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35365D" w14:textId="40CD8172" w:rsidR="0016300F" w:rsidRPr="00DE13EE" w:rsidRDefault="00917D27" w:rsidP="00E55EEB">
      <w:pPr>
        <w:spacing w:line="360" w:lineRule="auto"/>
        <w:jc w:val="both"/>
        <w:rPr>
          <w:rFonts w:ascii="Times New Roman" w:hAnsi="Times New Roman" w:cs="Times New Roman"/>
          <w:b/>
          <w:bCs/>
          <w:color w:val="000000" w:themeColor="text1"/>
          <w:sz w:val="24"/>
          <w:szCs w:val="24"/>
          <w:lang w:val="en-US"/>
        </w:rPr>
      </w:pPr>
      <w:r w:rsidRPr="00DE13EE">
        <w:rPr>
          <w:rFonts w:ascii="Times New Roman" w:hAnsi="Times New Roman" w:cs="Times New Roman"/>
          <w:b/>
          <w:bCs/>
          <w:color w:val="000000" w:themeColor="text1"/>
          <w:sz w:val="24"/>
          <w:szCs w:val="24"/>
          <w:lang w:val="en-US"/>
        </w:rPr>
        <w:t xml:space="preserve">Do </w:t>
      </w:r>
      <w:r w:rsidR="00386F12" w:rsidRPr="00DE13EE">
        <w:rPr>
          <w:rFonts w:ascii="Times New Roman" w:hAnsi="Times New Roman" w:cs="Times New Roman"/>
          <w:b/>
          <w:bCs/>
          <w:color w:val="000000" w:themeColor="text1"/>
          <w:sz w:val="24"/>
          <w:szCs w:val="24"/>
          <w:lang w:val="en-US"/>
        </w:rPr>
        <w:t xml:space="preserve">forward-looking narratives affect investors’ valuation of </w:t>
      </w:r>
      <w:r w:rsidRPr="00DE13EE">
        <w:rPr>
          <w:rFonts w:ascii="Times New Roman" w:hAnsi="Times New Roman" w:cs="Times New Roman"/>
          <w:b/>
          <w:bCs/>
          <w:color w:val="000000" w:themeColor="text1"/>
          <w:sz w:val="24"/>
          <w:szCs w:val="24"/>
          <w:lang w:val="en-US"/>
        </w:rPr>
        <w:t xml:space="preserve">UK FTSE </w:t>
      </w:r>
      <w:r w:rsidR="00386F12" w:rsidRPr="00DE13EE">
        <w:rPr>
          <w:rFonts w:ascii="Times New Roman" w:hAnsi="Times New Roman" w:cs="Times New Roman"/>
          <w:b/>
          <w:bCs/>
          <w:color w:val="000000" w:themeColor="text1"/>
          <w:sz w:val="24"/>
          <w:szCs w:val="24"/>
          <w:lang w:val="en-US"/>
        </w:rPr>
        <w:t>all-shares firms?</w:t>
      </w:r>
    </w:p>
    <w:p w14:paraId="3A736B39" w14:textId="77777777" w:rsidR="00917D27" w:rsidRPr="00DE13EE" w:rsidRDefault="00917D27" w:rsidP="00E55EEB">
      <w:pPr>
        <w:spacing w:line="360" w:lineRule="auto"/>
        <w:jc w:val="both"/>
        <w:rPr>
          <w:rFonts w:ascii="Times New Roman" w:hAnsi="Times New Roman" w:cs="Times New Roman"/>
          <w:b/>
          <w:bCs/>
          <w:color w:val="000000" w:themeColor="text1"/>
          <w:sz w:val="24"/>
          <w:szCs w:val="24"/>
          <w:lang w:val="en-US"/>
        </w:rPr>
      </w:pPr>
    </w:p>
    <w:p w14:paraId="78E53096" w14:textId="77777777" w:rsidR="00382D78" w:rsidRPr="00DE13EE" w:rsidRDefault="00382D78" w:rsidP="00E55EEB">
      <w:pPr>
        <w:spacing w:line="360" w:lineRule="auto"/>
        <w:jc w:val="both"/>
        <w:rPr>
          <w:rFonts w:ascii="Times New Roman" w:hAnsi="Times New Roman" w:cs="Times New Roman"/>
          <w:b/>
          <w:bCs/>
          <w:color w:val="000000" w:themeColor="text1"/>
          <w:sz w:val="24"/>
          <w:szCs w:val="24"/>
          <w:lang w:val="en-US"/>
        </w:rPr>
      </w:pPr>
    </w:p>
    <w:p w14:paraId="0B85E441" w14:textId="77777777" w:rsidR="00382D78" w:rsidRPr="00DE13EE" w:rsidRDefault="00382D78" w:rsidP="00E55EEB">
      <w:pPr>
        <w:spacing w:line="360" w:lineRule="auto"/>
        <w:jc w:val="both"/>
        <w:rPr>
          <w:rFonts w:ascii="Times New Roman" w:hAnsi="Times New Roman" w:cs="Times New Roman"/>
          <w:b/>
          <w:bCs/>
          <w:color w:val="000000" w:themeColor="text1"/>
          <w:sz w:val="24"/>
          <w:szCs w:val="24"/>
          <w:lang w:val="en-US"/>
        </w:rPr>
      </w:pPr>
    </w:p>
    <w:p w14:paraId="2A924B89" w14:textId="77777777" w:rsidR="0016300F" w:rsidRPr="00DE13EE" w:rsidRDefault="0016300F" w:rsidP="00E55EEB">
      <w:pPr>
        <w:spacing w:line="360" w:lineRule="auto"/>
        <w:jc w:val="both"/>
        <w:rPr>
          <w:rFonts w:ascii="Times New Roman" w:hAnsi="Times New Roman" w:cs="Times New Roman"/>
          <w:b/>
          <w:bCs/>
          <w:color w:val="000000" w:themeColor="text1"/>
          <w:sz w:val="24"/>
          <w:szCs w:val="24"/>
          <w:lang w:val="en-US"/>
        </w:rPr>
      </w:pPr>
      <w:r w:rsidRPr="00DE13EE">
        <w:rPr>
          <w:rFonts w:ascii="Times New Roman" w:hAnsi="Times New Roman" w:cs="Times New Roman"/>
          <w:b/>
          <w:bCs/>
          <w:color w:val="000000" w:themeColor="text1"/>
          <w:sz w:val="24"/>
          <w:szCs w:val="24"/>
          <w:lang w:val="en-US"/>
        </w:rPr>
        <w:t>Abstract</w:t>
      </w:r>
      <w:r w:rsidR="00BE71A5" w:rsidRPr="00DE13EE">
        <w:rPr>
          <w:rFonts w:ascii="Times New Roman" w:hAnsi="Times New Roman" w:cs="Times New Roman"/>
          <w:b/>
          <w:bCs/>
          <w:color w:val="000000" w:themeColor="text1"/>
          <w:sz w:val="24"/>
          <w:szCs w:val="24"/>
          <w:lang w:val="en-US"/>
        </w:rPr>
        <w:t>:</w:t>
      </w:r>
    </w:p>
    <w:p w14:paraId="496889E8" w14:textId="0230E44E" w:rsidR="00BE71A5" w:rsidRPr="00DE13EE" w:rsidRDefault="00BE71A5" w:rsidP="00FE2A64">
      <w:pPr>
        <w:spacing w:line="360" w:lineRule="auto"/>
        <w:ind w:left="567" w:right="567"/>
        <w:jc w:val="both"/>
        <w:rPr>
          <w:rFonts w:ascii="Times New Roman" w:hAnsi="Times New Roman" w:cs="Times New Roman"/>
          <w:bCs/>
          <w:color w:val="000000" w:themeColor="text1"/>
          <w:sz w:val="24"/>
          <w:lang w:val="en-US"/>
        </w:rPr>
      </w:pPr>
      <w:r w:rsidRPr="00DE13EE">
        <w:rPr>
          <w:rFonts w:ascii="Times New Roman" w:hAnsi="Times New Roman" w:cs="Times New Roman"/>
          <w:bCs/>
          <w:color w:val="000000" w:themeColor="text1"/>
          <w:sz w:val="24"/>
          <w:szCs w:val="24"/>
          <w:lang w:val="en-US"/>
        </w:rPr>
        <w:t xml:space="preserve">Narrative reporting is an important avenue for investors to know more about </w:t>
      </w:r>
      <w:r w:rsidR="00C30F88" w:rsidRPr="00DE13EE">
        <w:rPr>
          <w:rFonts w:ascii="Times New Roman" w:hAnsi="Times New Roman" w:cs="Times New Roman"/>
          <w:bCs/>
          <w:color w:val="000000" w:themeColor="text1"/>
          <w:sz w:val="24"/>
          <w:szCs w:val="24"/>
          <w:lang w:val="en-US"/>
        </w:rPr>
        <w:t xml:space="preserve">a </w:t>
      </w:r>
      <w:r w:rsidRPr="00DE13EE">
        <w:rPr>
          <w:rFonts w:ascii="Times New Roman" w:hAnsi="Times New Roman" w:cs="Times New Roman"/>
          <w:bCs/>
          <w:color w:val="000000" w:themeColor="text1"/>
          <w:sz w:val="24"/>
          <w:szCs w:val="24"/>
          <w:lang w:val="en-US"/>
        </w:rPr>
        <w:t xml:space="preserve">company from the eyes of </w:t>
      </w:r>
      <w:r w:rsidR="00AA0844" w:rsidRPr="00DE13EE">
        <w:rPr>
          <w:rFonts w:ascii="Times New Roman" w:hAnsi="Times New Roman" w:cs="Times New Roman"/>
          <w:bCs/>
          <w:color w:val="000000" w:themeColor="text1"/>
          <w:sz w:val="24"/>
          <w:szCs w:val="24"/>
          <w:lang w:val="en-US"/>
        </w:rPr>
        <w:t xml:space="preserve">its </w:t>
      </w:r>
      <w:r w:rsidRPr="00DE13EE">
        <w:rPr>
          <w:rFonts w:ascii="Times New Roman" w:hAnsi="Times New Roman" w:cs="Times New Roman"/>
          <w:bCs/>
          <w:color w:val="000000" w:themeColor="text1"/>
          <w:sz w:val="24"/>
          <w:szCs w:val="24"/>
          <w:lang w:val="en-US"/>
        </w:rPr>
        <w:t xml:space="preserve">board of directors. This study aims to examine the impact of </w:t>
      </w:r>
      <w:bookmarkStart w:id="0" w:name="_GoBack"/>
      <w:bookmarkEnd w:id="0"/>
      <w:r w:rsidRPr="00DE13EE">
        <w:rPr>
          <w:rFonts w:ascii="Times New Roman" w:hAnsi="Times New Roman" w:cs="Times New Roman"/>
          <w:bCs/>
          <w:color w:val="000000" w:themeColor="text1"/>
          <w:sz w:val="24"/>
          <w:szCs w:val="24"/>
          <w:lang w:val="en-US"/>
        </w:rPr>
        <w:t xml:space="preserve">forward-looking </w:t>
      </w:r>
      <w:r w:rsidR="00C437A2" w:rsidRPr="00DE13EE">
        <w:rPr>
          <w:rFonts w:ascii="Times New Roman" w:hAnsi="Times New Roman" w:cs="Times New Roman"/>
          <w:bCs/>
          <w:color w:val="000000" w:themeColor="text1"/>
          <w:sz w:val="24"/>
          <w:szCs w:val="24"/>
          <w:lang w:val="en-US"/>
        </w:rPr>
        <w:t>disclosure</w:t>
      </w:r>
      <w:r w:rsidR="00C30F88" w:rsidRPr="00DE13EE">
        <w:rPr>
          <w:rFonts w:ascii="Times New Roman" w:hAnsi="Times New Roman" w:cs="Times New Roman"/>
          <w:bCs/>
          <w:color w:val="000000" w:themeColor="text1"/>
          <w:sz w:val="24"/>
          <w:szCs w:val="24"/>
          <w:lang w:val="en-US"/>
        </w:rPr>
        <w:t>s</w:t>
      </w:r>
      <w:r w:rsidR="0095140D" w:rsidRPr="00DE13EE">
        <w:rPr>
          <w:rFonts w:ascii="Times New Roman" w:hAnsi="Times New Roman" w:cs="Times New Roman"/>
          <w:bCs/>
          <w:color w:val="000000" w:themeColor="text1"/>
          <w:sz w:val="24"/>
          <w:szCs w:val="24"/>
          <w:lang w:val="en-US"/>
        </w:rPr>
        <w:t xml:space="preserve"> </w:t>
      </w:r>
      <w:r w:rsidRPr="00DE13EE">
        <w:rPr>
          <w:rFonts w:ascii="Times New Roman" w:hAnsi="Times New Roman" w:cs="Times New Roman"/>
          <w:bCs/>
          <w:color w:val="000000" w:themeColor="text1"/>
          <w:sz w:val="24"/>
          <w:szCs w:val="24"/>
          <w:lang w:val="en-US"/>
        </w:rPr>
        <w:t>on the values of</w:t>
      </w:r>
      <w:r w:rsidR="007A7249" w:rsidRPr="00DE13EE">
        <w:rPr>
          <w:rFonts w:ascii="Times New Roman" w:hAnsi="Times New Roman" w:cs="Times New Roman"/>
          <w:bCs/>
          <w:color w:val="000000" w:themeColor="text1"/>
          <w:sz w:val="24"/>
          <w:szCs w:val="24"/>
          <w:lang w:val="en-US"/>
        </w:rPr>
        <w:t xml:space="preserve"> UK</w:t>
      </w:r>
      <w:r w:rsidR="00223734" w:rsidRPr="00DE13EE">
        <w:rPr>
          <w:rFonts w:ascii="Times New Roman" w:hAnsi="Times New Roman" w:cs="Times New Roman"/>
          <w:bCs/>
          <w:color w:val="000000" w:themeColor="text1"/>
          <w:sz w:val="24"/>
          <w:szCs w:val="24"/>
          <w:lang w:val="en-US"/>
        </w:rPr>
        <w:t xml:space="preserve"> FTSE all-</w:t>
      </w:r>
      <w:r w:rsidRPr="00DE13EE">
        <w:rPr>
          <w:rFonts w:ascii="Times New Roman" w:hAnsi="Times New Roman" w:cs="Times New Roman"/>
          <w:bCs/>
          <w:color w:val="000000" w:themeColor="text1"/>
          <w:sz w:val="24"/>
          <w:szCs w:val="24"/>
          <w:lang w:val="en-US"/>
        </w:rPr>
        <w:t>shares</w:t>
      </w:r>
      <w:r w:rsidR="0095140D" w:rsidRPr="00DE13EE">
        <w:rPr>
          <w:rFonts w:ascii="Times New Roman" w:hAnsi="Times New Roman" w:cs="Times New Roman"/>
          <w:bCs/>
          <w:color w:val="000000" w:themeColor="text1"/>
          <w:sz w:val="24"/>
          <w:szCs w:val="24"/>
          <w:lang w:val="en-US"/>
        </w:rPr>
        <w:t xml:space="preserve"> non-financial</w:t>
      </w:r>
      <w:r w:rsidRPr="00DE13EE">
        <w:rPr>
          <w:rFonts w:ascii="Times New Roman" w:hAnsi="Times New Roman" w:cs="Times New Roman"/>
          <w:bCs/>
          <w:color w:val="000000" w:themeColor="text1"/>
          <w:sz w:val="24"/>
          <w:szCs w:val="24"/>
          <w:lang w:val="en-US"/>
        </w:rPr>
        <w:t xml:space="preserve"> firms. </w:t>
      </w:r>
      <w:r w:rsidR="00382D78" w:rsidRPr="00DE13EE">
        <w:rPr>
          <w:rFonts w:ascii="Times New Roman" w:hAnsi="Times New Roman" w:cs="Times New Roman"/>
          <w:bCs/>
          <w:color w:val="000000" w:themeColor="text1"/>
          <w:sz w:val="24"/>
          <w:szCs w:val="24"/>
          <w:lang w:val="en-US"/>
        </w:rPr>
        <w:t>It</w:t>
      </w:r>
      <w:r w:rsidRPr="00DE13EE">
        <w:rPr>
          <w:rFonts w:ascii="Times New Roman" w:hAnsi="Times New Roman" w:cs="Times New Roman"/>
          <w:bCs/>
          <w:color w:val="000000" w:themeColor="text1"/>
          <w:sz w:val="24"/>
          <w:szCs w:val="24"/>
          <w:lang w:val="en-US"/>
        </w:rPr>
        <w:t xml:space="preserve"> uses a sample of </w:t>
      </w:r>
      <w:r w:rsidR="0088240B" w:rsidRPr="00DE13EE">
        <w:rPr>
          <w:rFonts w:ascii="Times New Roman" w:hAnsi="Times New Roman" w:cs="Times New Roman"/>
          <w:bCs/>
          <w:color w:val="000000" w:themeColor="text1"/>
          <w:sz w:val="24"/>
          <w:szCs w:val="24"/>
          <w:lang w:val="en-US"/>
        </w:rPr>
        <w:t>annual report narratives</w:t>
      </w:r>
      <w:r w:rsidRPr="00DE13EE">
        <w:rPr>
          <w:rFonts w:ascii="Times New Roman" w:hAnsi="Times New Roman" w:cs="Times New Roman"/>
          <w:bCs/>
          <w:color w:val="000000" w:themeColor="text1"/>
          <w:sz w:val="24"/>
          <w:szCs w:val="24"/>
          <w:lang w:val="en-US"/>
        </w:rPr>
        <w:t xml:space="preserve"> from 2005 to </w:t>
      </w:r>
      <w:r w:rsidR="00360032" w:rsidRPr="00DE13EE">
        <w:rPr>
          <w:rFonts w:ascii="Times New Roman" w:hAnsi="Times New Roman" w:cs="Times New Roman"/>
          <w:bCs/>
          <w:color w:val="000000" w:themeColor="text1"/>
          <w:sz w:val="24"/>
          <w:szCs w:val="24"/>
          <w:lang w:val="en-US"/>
        </w:rPr>
        <w:t>2014</w:t>
      </w:r>
      <w:r w:rsidR="00E40210" w:rsidRPr="00DE13EE">
        <w:rPr>
          <w:rFonts w:ascii="Times New Roman" w:hAnsi="Times New Roman" w:cs="Times New Roman"/>
          <w:bCs/>
          <w:color w:val="000000" w:themeColor="text1"/>
          <w:sz w:val="24"/>
          <w:szCs w:val="24"/>
          <w:lang w:val="en-US"/>
        </w:rPr>
        <w:t xml:space="preserve"> </w:t>
      </w:r>
      <w:r w:rsidR="0002472A" w:rsidRPr="00DE13EE">
        <w:rPr>
          <w:rFonts w:ascii="Times New Roman" w:hAnsi="Times New Roman" w:cs="Times New Roman"/>
          <w:bCs/>
          <w:color w:val="000000" w:themeColor="text1"/>
          <w:sz w:val="24"/>
          <w:szCs w:val="24"/>
          <w:lang w:val="en-US"/>
        </w:rPr>
        <w:t>to determine</w:t>
      </w:r>
      <w:r w:rsidRPr="00DE13EE">
        <w:rPr>
          <w:rFonts w:ascii="Times New Roman" w:hAnsi="Times New Roman" w:cs="Times New Roman"/>
          <w:bCs/>
          <w:color w:val="000000" w:themeColor="text1"/>
          <w:sz w:val="24"/>
          <w:szCs w:val="24"/>
          <w:lang w:val="en-US"/>
        </w:rPr>
        <w:t xml:space="preserve"> that the values of UK </w:t>
      </w:r>
      <w:r w:rsidR="00382D78" w:rsidRPr="00DE13EE">
        <w:rPr>
          <w:rFonts w:ascii="Times New Roman" w:hAnsi="Times New Roman" w:cs="Times New Roman"/>
          <w:bCs/>
          <w:color w:val="000000" w:themeColor="text1"/>
          <w:sz w:val="24"/>
          <w:szCs w:val="24"/>
          <w:lang w:val="en-US"/>
        </w:rPr>
        <w:t xml:space="preserve">FTSE all-shares </w:t>
      </w:r>
      <w:r w:rsidRPr="00DE13EE">
        <w:rPr>
          <w:rFonts w:ascii="Times New Roman" w:hAnsi="Times New Roman" w:cs="Times New Roman"/>
          <w:bCs/>
          <w:color w:val="000000" w:themeColor="text1"/>
          <w:sz w:val="24"/>
          <w:szCs w:val="24"/>
          <w:lang w:val="en-US"/>
        </w:rPr>
        <w:t xml:space="preserve">firms are positively </w:t>
      </w:r>
      <w:r w:rsidR="00527263" w:rsidRPr="00DE13EE">
        <w:rPr>
          <w:rFonts w:ascii="Times New Roman" w:hAnsi="Times New Roman" w:cs="Times New Roman"/>
          <w:bCs/>
          <w:color w:val="000000" w:themeColor="text1"/>
          <w:sz w:val="24"/>
          <w:szCs w:val="24"/>
          <w:lang w:val="en-US"/>
        </w:rPr>
        <w:t>influenced by</w:t>
      </w:r>
      <w:r w:rsidRPr="00DE13EE">
        <w:rPr>
          <w:rFonts w:ascii="Times New Roman" w:hAnsi="Times New Roman" w:cs="Times New Roman"/>
          <w:bCs/>
          <w:color w:val="000000" w:themeColor="text1"/>
          <w:sz w:val="24"/>
          <w:szCs w:val="24"/>
          <w:lang w:val="en-US"/>
        </w:rPr>
        <w:t xml:space="preserve"> the disclosure of forward-looking information. </w:t>
      </w:r>
      <w:r w:rsidR="00D540EA" w:rsidRPr="00DE13EE">
        <w:rPr>
          <w:rFonts w:ascii="Times New Roman" w:hAnsi="Times New Roman" w:cs="Times New Roman"/>
          <w:bCs/>
          <w:color w:val="000000" w:themeColor="text1"/>
          <w:sz w:val="24"/>
          <w:szCs w:val="24"/>
          <w:lang w:val="en-US"/>
        </w:rPr>
        <w:t xml:space="preserve">Besides, after distinguishing between </w:t>
      </w:r>
      <w:r w:rsidR="00183B9D" w:rsidRPr="00DE13EE">
        <w:rPr>
          <w:rFonts w:ascii="Times New Roman" w:hAnsi="Times New Roman" w:cs="Times New Roman"/>
          <w:bCs/>
          <w:color w:val="000000" w:themeColor="text1"/>
          <w:sz w:val="24"/>
          <w:szCs w:val="24"/>
          <w:lang w:val="en-US"/>
        </w:rPr>
        <w:t>high and low-</w:t>
      </w:r>
      <w:r w:rsidR="00D540EA" w:rsidRPr="00DE13EE">
        <w:rPr>
          <w:rFonts w:ascii="Times New Roman" w:hAnsi="Times New Roman" w:cs="Times New Roman"/>
          <w:bCs/>
          <w:color w:val="000000" w:themeColor="text1"/>
          <w:sz w:val="24"/>
          <w:szCs w:val="24"/>
          <w:lang w:val="en-US"/>
        </w:rPr>
        <w:t xml:space="preserve">performing firms, the study finds that forward-looking disclosures have </w:t>
      </w:r>
      <w:r w:rsidR="00D540EA" w:rsidRPr="00DE13EE">
        <w:rPr>
          <w:rFonts w:ascii="Times New Roman" w:hAnsi="Times New Roman" w:cs="Times New Roman"/>
          <w:bCs/>
          <w:color w:val="000000" w:themeColor="text1"/>
          <w:sz w:val="24"/>
          <w:lang w:val="en-US"/>
        </w:rPr>
        <w:t xml:space="preserve">no effect on the values of high-performing firms, though they positively enhance investors’ valuation of low-performing firms. </w:t>
      </w:r>
      <w:r w:rsidR="007A7249" w:rsidRPr="00DE13EE">
        <w:rPr>
          <w:rFonts w:ascii="Times New Roman" w:hAnsi="Times New Roman" w:cs="Times New Roman"/>
          <w:bCs/>
          <w:color w:val="000000" w:themeColor="text1"/>
          <w:sz w:val="24"/>
          <w:szCs w:val="24"/>
          <w:lang w:val="en-US"/>
        </w:rPr>
        <w:t>Further</w:t>
      </w:r>
      <w:r w:rsidR="00EB5C54" w:rsidRPr="00DE13EE">
        <w:rPr>
          <w:rFonts w:ascii="Times New Roman" w:hAnsi="Times New Roman" w:cs="Times New Roman"/>
          <w:bCs/>
          <w:color w:val="000000" w:themeColor="text1"/>
          <w:sz w:val="24"/>
          <w:szCs w:val="24"/>
          <w:lang w:val="en-US"/>
        </w:rPr>
        <w:t>more</w:t>
      </w:r>
      <w:r w:rsidR="00D1028B" w:rsidRPr="00DE13EE">
        <w:rPr>
          <w:rFonts w:ascii="Times New Roman" w:hAnsi="Times New Roman" w:cs="Times New Roman"/>
          <w:bCs/>
          <w:color w:val="000000" w:themeColor="text1"/>
          <w:sz w:val="24"/>
          <w:szCs w:val="24"/>
          <w:lang w:val="en-US"/>
        </w:rPr>
        <w:t>,</w:t>
      </w:r>
      <w:r w:rsidR="007A7249" w:rsidRPr="00DE13EE">
        <w:rPr>
          <w:rFonts w:ascii="Times New Roman" w:hAnsi="Times New Roman" w:cs="Times New Roman"/>
          <w:bCs/>
          <w:color w:val="000000" w:themeColor="text1"/>
          <w:sz w:val="24"/>
          <w:szCs w:val="24"/>
          <w:lang w:val="en-US"/>
        </w:rPr>
        <w:t xml:space="preserve"> </w:t>
      </w:r>
      <w:r w:rsidR="00882839" w:rsidRPr="00DE13EE">
        <w:rPr>
          <w:rFonts w:ascii="Times New Roman" w:hAnsi="Times New Roman" w:cs="Times New Roman"/>
          <w:bCs/>
          <w:color w:val="000000" w:themeColor="text1"/>
          <w:sz w:val="24"/>
          <w:szCs w:val="24"/>
          <w:lang w:val="en-US"/>
        </w:rPr>
        <w:t xml:space="preserve">the study concludes that </w:t>
      </w:r>
      <w:r w:rsidR="00B67D43" w:rsidRPr="00DE13EE">
        <w:rPr>
          <w:rFonts w:ascii="Times New Roman" w:hAnsi="Times New Roman" w:cs="Times New Roman"/>
          <w:bCs/>
          <w:color w:val="000000" w:themeColor="text1"/>
          <w:sz w:val="24"/>
          <w:szCs w:val="24"/>
          <w:lang w:val="en-US"/>
        </w:rPr>
        <w:t xml:space="preserve">when </w:t>
      </w:r>
      <w:r w:rsidR="00527263" w:rsidRPr="00DE13EE">
        <w:rPr>
          <w:rFonts w:ascii="Times New Roman" w:hAnsi="Times New Roman" w:cs="Times New Roman"/>
          <w:bCs/>
          <w:color w:val="000000" w:themeColor="text1"/>
          <w:sz w:val="24"/>
          <w:szCs w:val="24"/>
          <w:lang w:val="en-US"/>
        </w:rPr>
        <w:t xml:space="preserve">UK firms are divided </w:t>
      </w:r>
      <w:r w:rsidR="003934DA" w:rsidRPr="00DE13EE">
        <w:rPr>
          <w:rFonts w:ascii="Times New Roman" w:hAnsi="Times New Roman" w:cs="Times New Roman"/>
          <w:bCs/>
          <w:color w:val="000000" w:themeColor="text1"/>
          <w:sz w:val="24"/>
          <w:szCs w:val="24"/>
          <w:lang w:val="en-US"/>
        </w:rPr>
        <w:t xml:space="preserve">based on the </w:t>
      </w:r>
      <w:r w:rsidR="00014C1D" w:rsidRPr="00DE13EE">
        <w:rPr>
          <w:rFonts w:ascii="Times New Roman" w:hAnsi="Times New Roman" w:cs="Times New Roman"/>
          <w:bCs/>
          <w:color w:val="000000" w:themeColor="text1"/>
          <w:sz w:val="24"/>
          <w:szCs w:val="24"/>
          <w:lang w:val="en-US"/>
        </w:rPr>
        <w:t xml:space="preserve">size of the </w:t>
      </w:r>
      <w:r w:rsidR="003934DA" w:rsidRPr="00DE13EE">
        <w:rPr>
          <w:rFonts w:ascii="Times New Roman" w:hAnsi="Times New Roman" w:cs="Times New Roman"/>
          <w:bCs/>
          <w:color w:val="000000" w:themeColor="text1"/>
          <w:sz w:val="24"/>
          <w:szCs w:val="24"/>
          <w:lang w:val="en-US"/>
        </w:rPr>
        <w:t xml:space="preserve">audit firm </w:t>
      </w:r>
      <w:r w:rsidR="00382D78" w:rsidRPr="00DE13EE">
        <w:rPr>
          <w:rFonts w:ascii="Times New Roman" w:hAnsi="Times New Roman" w:cs="Times New Roman"/>
          <w:bCs/>
          <w:color w:val="000000" w:themeColor="text1"/>
          <w:sz w:val="24"/>
          <w:szCs w:val="24"/>
          <w:lang w:val="en-US"/>
        </w:rPr>
        <w:t>(</w:t>
      </w:r>
      <w:r w:rsidR="007B11B3" w:rsidRPr="00DE13EE">
        <w:rPr>
          <w:rFonts w:ascii="Times New Roman" w:hAnsi="Times New Roman" w:cs="Times New Roman"/>
          <w:bCs/>
          <w:color w:val="000000" w:themeColor="text1"/>
          <w:sz w:val="24"/>
          <w:szCs w:val="24"/>
          <w:lang w:val="en-US"/>
        </w:rPr>
        <w:t>B</w:t>
      </w:r>
      <w:r w:rsidR="00382D78" w:rsidRPr="00DE13EE">
        <w:rPr>
          <w:rFonts w:ascii="Times New Roman" w:hAnsi="Times New Roman" w:cs="Times New Roman"/>
          <w:bCs/>
          <w:color w:val="000000" w:themeColor="text1"/>
          <w:sz w:val="24"/>
          <w:szCs w:val="24"/>
          <w:lang w:val="en-US"/>
        </w:rPr>
        <w:t>ig</w:t>
      </w:r>
      <w:r w:rsidR="003934DA" w:rsidRPr="00DE13EE">
        <w:rPr>
          <w:rFonts w:ascii="Times New Roman" w:hAnsi="Times New Roman" w:cs="Times New Roman"/>
          <w:bCs/>
          <w:color w:val="000000" w:themeColor="text1"/>
          <w:sz w:val="24"/>
          <w:szCs w:val="24"/>
          <w:lang w:val="en-US"/>
        </w:rPr>
        <w:t xml:space="preserve"> 4</w:t>
      </w:r>
      <w:r w:rsidR="00382D78" w:rsidRPr="00DE13EE">
        <w:rPr>
          <w:rFonts w:ascii="Times New Roman" w:hAnsi="Times New Roman" w:cs="Times New Roman"/>
          <w:bCs/>
          <w:color w:val="000000" w:themeColor="text1"/>
          <w:sz w:val="24"/>
          <w:szCs w:val="24"/>
          <w:lang w:val="en-US"/>
        </w:rPr>
        <w:t xml:space="preserve"> vs. </w:t>
      </w:r>
      <w:r w:rsidR="00495C0A" w:rsidRPr="00DE13EE">
        <w:rPr>
          <w:rFonts w:ascii="Times New Roman" w:hAnsi="Times New Roman" w:cs="Times New Roman"/>
          <w:bCs/>
          <w:color w:val="000000" w:themeColor="text1"/>
          <w:sz w:val="24"/>
          <w:szCs w:val="24"/>
          <w:lang w:val="en-US"/>
        </w:rPr>
        <w:t>non</w:t>
      </w:r>
      <w:r w:rsidR="00382D78" w:rsidRPr="00DE13EE">
        <w:rPr>
          <w:rFonts w:ascii="Times New Roman" w:hAnsi="Times New Roman" w:cs="Times New Roman"/>
          <w:bCs/>
          <w:color w:val="000000" w:themeColor="text1"/>
          <w:sz w:val="24"/>
          <w:szCs w:val="24"/>
          <w:lang w:val="en-US"/>
        </w:rPr>
        <w:t>-</w:t>
      </w:r>
      <w:r w:rsidR="007B11B3" w:rsidRPr="00DE13EE">
        <w:rPr>
          <w:rFonts w:ascii="Times New Roman" w:hAnsi="Times New Roman" w:cs="Times New Roman"/>
          <w:bCs/>
          <w:color w:val="000000" w:themeColor="text1"/>
          <w:sz w:val="24"/>
          <w:szCs w:val="24"/>
          <w:lang w:val="en-US"/>
        </w:rPr>
        <w:t>B</w:t>
      </w:r>
      <w:r w:rsidR="00382D78" w:rsidRPr="00DE13EE">
        <w:rPr>
          <w:rFonts w:ascii="Times New Roman" w:hAnsi="Times New Roman" w:cs="Times New Roman"/>
          <w:bCs/>
          <w:color w:val="000000" w:themeColor="text1"/>
          <w:sz w:val="24"/>
          <w:szCs w:val="24"/>
          <w:lang w:val="en-US"/>
        </w:rPr>
        <w:t>ig</w:t>
      </w:r>
      <w:r w:rsidR="003934DA" w:rsidRPr="00DE13EE">
        <w:rPr>
          <w:rFonts w:ascii="Times New Roman" w:hAnsi="Times New Roman" w:cs="Times New Roman"/>
          <w:bCs/>
          <w:color w:val="000000" w:themeColor="text1"/>
          <w:sz w:val="24"/>
          <w:szCs w:val="24"/>
          <w:lang w:val="en-US"/>
        </w:rPr>
        <w:t xml:space="preserve"> 4</w:t>
      </w:r>
      <w:r w:rsidR="00382D78" w:rsidRPr="00DE13EE">
        <w:rPr>
          <w:rFonts w:ascii="Times New Roman" w:hAnsi="Times New Roman" w:cs="Times New Roman"/>
          <w:bCs/>
          <w:color w:val="000000" w:themeColor="text1"/>
          <w:sz w:val="24"/>
          <w:szCs w:val="24"/>
          <w:lang w:val="en-US"/>
        </w:rPr>
        <w:t xml:space="preserve"> auditors)</w:t>
      </w:r>
      <w:r w:rsidR="00B67D43" w:rsidRPr="00DE13EE">
        <w:rPr>
          <w:rFonts w:ascii="Times New Roman" w:hAnsi="Times New Roman" w:cs="Times New Roman"/>
          <w:bCs/>
          <w:color w:val="000000" w:themeColor="text1"/>
          <w:sz w:val="24"/>
          <w:szCs w:val="24"/>
          <w:lang w:val="en-US"/>
        </w:rPr>
        <w:t xml:space="preserve">, </w:t>
      </w:r>
      <w:r w:rsidR="0088240B" w:rsidRPr="00DE13EE">
        <w:rPr>
          <w:rFonts w:ascii="Times New Roman" w:hAnsi="Times New Roman" w:cs="Times New Roman"/>
          <w:bCs/>
          <w:color w:val="000000" w:themeColor="text1"/>
          <w:sz w:val="24"/>
          <w:szCs w:val="24"/>
          <w:lang w:val="en-US"/>
        </w:rPr>
        <w:t>forward-looking disclosure</w:t>
      </w:r>
      <w:r w:rsidR="00D511AA" w:rsidRPr="00DE13EE">
        <w:rPr>
          <w:rFonts w:ascii="Times New Roman" w:hAnsi="Times New Roman" w:cs="Times New Roman"/>
          <w:bCs/>
          <w:color w:val="000000" w:themeColor="text1"/>
          <w:sz w:val="24"/>
          <w:szCs w:val="24"/>
          <w:lang w:val="en-US"/>
        </w:rPr>
        <w:t>s</w:t>
      </w:r>
      <w:r w:rsidR="0088240B" w:rsidRPr="00DE13EE">
        <w:rPr>
          <w:rFonts w:ascii="Times New Roman" w:hAnsi="Times New Roman" w:cs="Times New Roman"/>
          <w:bCs/>
          <w:color w:val="000000" w:themeColor="text1"/>
          <w:sz w:val="24"/>
          <w:szCs w:val="24"/>
          <w:lang w:val="en-US"/>
        </w:rPr>
        <w:t xml:space="preserve"> </w:t>
      </w:r>
      <w:r w:rsidR="003B5B82" w:rsidRPr="00DE13EE">
        <w:rPr>
          <w:rFonts w:ascii="Times New Roman" w:hAnsi="Times New Roman" w:cs="Times New Roman"/>
          <w:bCs/>
          <w:color w:val="000000" w:themeColor="text1"/>
          <w:sz w:val="24"/>
          <w:szCs w:val="24"/>
          <w:lang w:val="en-US"/>
        </w:rPr>
        <w:t xml:space="preserve">only </w:t>
      </w:r>
      <w:r w:rsidR="00917D27" w:rsidRPr="00DE13EE">
        <w:rPr>
          <w:rFonts w:ascii="Times New Roman" w:hAnsi="Times New Roman" w:cs="Times New Roman"/>
          <w:bCs/>
          <w:color w:val="000000" w:themeColor="text1"/>
          <w:sz w:val="24"/>
          <w:szCs w:val="24"/>
          <w:lang w:val="en-US"/>
        </w:rPr>
        <w:t>positively</w:t>
      </w:r>
      <w:r w:rsidR="00882839" w:rsidRPr="00DE13EE">
        <w:rPr>
          <w:rFonts w:ascii="Times New Roman" w:hAnsi="Times New Roman" w:cs="Times New Roman"/>
          <w:bCs/>
          <w:color w:val="000000" w:themeColor="text1"/>
          <w:sz w:val="24"/>
          <w:szCs w:val="24"/>
          <w:lang w:val="en-US"/>
        </w:rPr>
        <w:t xml:space="preserve"> </w:t>
      </w:r>
      <w:r w:rsidR="00527263" w:rsidRPr="00DE13EE">
        <w:rPr>
          <w:rFonts w:ascii="Times New Roman" w:hAnsi="Times New Roman" w:cs="Times New Roman"/>
          <w:bCs/>
          <w:color w:val="000000" w:themeColor="text1"/>
          <w:sz w:val="24"/>
          <w:szCs w:val="24"/>
          <w:lang w:val="en-US"/>
        </w:rPr>
        <w:t xml:space="preserve">affect </w:t>
      </w:r>
      <w:r w:rsidR="0088240B" w:rsidRPr="00DE13EE">
        <w:rPr>
          <w:rFonts w:ascii="Times New Roman" w:hAnsi="Times New Roman" w:cs="Times New Roman"/>
          <w:bCs/>
          <w:color w:val="000000" w:themeColor="text1"/>
          <w:sz w:val="24"/>
          <w:szCs w:val="24"/>
          <w:lang w:val="en-US"/>
        </w:rPr>
        <w:t xml:space="preserve">the values </w:t>
      </w:r>
      <w:r w:rsidR="00527263" w:rsidRPr="00DE13EE">
        <w:rPr>
          <w:rFonts w:ascii="Times New Roman" w:hAnsi="Times New Roman" w:cs="Times New Roman"/>
          <w:bCs/>
          <w:color w:val="000000" w:themeColor="text1"/>
          <w:sz w:val="24"/>
          <w:szCs w:val="24"/>
          <w:lang w:val="en-US"/>
        </w:rPr>
        <w:t xml:space="preserve">of </w:t>
      </w:r>
      <w:r w:rsidR="00382D78" w:rsidRPr="00DE13EE">
        <w:rPr>
          <w:rFonts w:ascii="Times New Roman" w:hAnsi="Times New Roman" w:cs="Times New Roman"/>
          <w:bCs/>
          <w:color w:val="000000" w:themeColor="text1"/>
          <w:sz w:val="24"/>
          <w:szCs w:val="24"/>
          <w:lang w:val="en-US"/>
        </w:rPr>
        <w:t xml:space="preserve">FTSE all-shares </w:t>
      </w:r>
      <w:r w:rsidR="00527263" w:rsidRPr="00DE13EE">
        <w:rPr>
          <w:rFonts w:ascii="Times New Roman" w:hAnsi="Times New Roman" w:cs="Times New Roman"/>
          <w:bCs/>
          <w:color w:val="000000" w:themeColor="text1"/>
          <w:sz w:val="24"/>
          <w:szCs w:val="24"/>
          <w:lang w:val="en-US"/>
        </w:rPr>
        <w:t>firms</w:t>
      </w:r>
      <w:r w:rsidR="0088240B" w:rsidRPr="00DE13EE">
        <w:rPr>
          <w:rFonts w:ascii="Times New Roman" w:hAnsi="Times New Roman" w:cs="Times New Roman"/>
          <w:bCs/>
          <w:color w:val="000000" w:themeColor="text1"/>
          <w:sz w:val="24"/>
          <w:szCs w:val="24"/>
          <w:lang w:val="en-US"/>
        </w:rPr>
        <w:t xml:space="preserve"> </w:t>
      </w:r>
      <w:r w:rsidR="003B5B82" w:rsidRPr="00DE13EE">
        <w:rPr>
          <w:rFonts w:ascii="Times New Roman" w:hAnsi="Times New Roman" w:cs="Times New Roman"/>
          <w:bCs/>
          <w:color w:val="000000" w:themeColor="text1"/>
          <w:sz w:val="24"/>
          <w:szCs w:val="24"/>
          <w:lang w:val="en-US"/>
        </w:rPr>
        <w:t>that</w:t>
      </w:r>
      <w:r w:rsidR="00382D78" w:rsidRPr="00DE13EE">
        <w:rPr>
          <w:rFonts w:ascii="Times New Roman" w:hAnsi="Times New Roman" w:cs="Times New Roman"/>
          <w:bCs/>
          <w:color w:val="000000" w:themeColor="text1"/>
          <w:sz w:val="24"/>
          <w:szCs w:val="24"/>
          <w:lang w:val="en-US"/>
        </w:rPr>
        <w:t xml:space="preserve"> are </w:t>
      </w:r>
      <w:r w:rsidR="0088240B" w:rsidRPr="00DE13EE">
        <w:rPr>
          <w:rFonts w:ascii="Times New Roman" w:hAnsi="Times New Roman" w:cs="Times New Roman"/>
          <w:bCs/>
          <w:color w:val="000000" w:themeColor="text1"/>
          <w:sz w:val="24"/>
          <w:szCs w:val="24"/>
          <w:lang w:val="en-US"/>
        </w:rPr>
        <w:t xml:space="preserve">audited by one of the </w:t>
      </w:r>
      <w:r w:rsidR="007B11B3" w:rsidRPr="00DE13EE">
        <w:rPr>
          <w:rFonts w:ascii="Times New Roman" w:hAnsi="Times New Roman" w:cs="Times New Roman"/>
          <w:bCs/>
          <w:color w:val="000000" w:themeColor="text1"/>
          <w:sz w:val="24"/>
          <w:szCs w:val="24"/>
          <w:lang w:val="en-US"/>
        </w:rPr>
        <w:t>B</w:t>
      </w:r>
      <w:r w:rsidR="0088240B" w:rsidRPr="00DE13EE">
        <w:rPr>
          <w:rFonts w:ascii="Times New Roman" w:hAnsi="Times New Roman" w:cs="Times New Roman"/>
          <w:bCs/>
          <w:color w:val="000000" w:themeColor="text1"/>
          <w:sz w:val="24"/>
          <w:szCs w:val="24"/>
          <w:lang w:val="en-US"/>
        </w:rPr>
        <w:t>ig</w:t>
      </w:r>
      <w:r w:rsidR="00770CF6" w:rsidRPr="00DE13EE">
        <w:rPr>
          <w:rFonts w:ascii="Times New Roman" w:hAnsi="Times New Roman" w:cs="Times New Roman"/>
          <w:bCs/>
          <w:color w:val="000000" w:themeColor="text1"/>
          <w:sz w:val="24"/>
          <w:szCs w:val="24"/>
          <w:lang w:val="en-US"/>
        </w:rPr>
        <w:t xml:space="preserve"> 4</w:t>
      </w:r>
      <w:r w:rsidR="0088240B" w:rsidRPr="00DE13EE">
        <w:rPr>
          <w:rFonts w:ascii="Times New Roman" w:hAnsi="Times New Roman" w:cs="Times New Roman"/>
          <w:bCs/>
          <w:color w:val="000000" w:themeColor="text1"/>
          <w:sz w:val="24"/>
          <w:szCs w:val="24"/>
          <w:lang w:val="en-US"/>
        </w:rPr>
        <w:t xml:space="preserve"> audit</w:t>
      </w:r>
      <w:r w:rsidR="00917D27" w:rsidRPr="00DE13EE">
        <w:rPr>
          <w:rFonts w:ascii="Times New Roman" w:hAnsi="Times New Roman" w:cs="Times New Roman"/>
          <w:bCs/>
          <w:color w:val="000000" w:themeColor="text1"/>
          <w:sz w:val="24"/>
          <w:szCs w:val="24"/>
          <w:lang w:val="en-US"/>
        </w:rPr>
        <w:t>ing</w:t>
      </w:r>
      <w:r w:rsidR="00304A8D" w:rsidRPr="00DE13EE">
        <w:rPr>
          <w:rFonts w:ascii="Times New Roman" w:hAnsi="Times New Roman" w:cs="Times New Roman"/>
          <w:bCs/>
          <w:color w:val="000000" w:themeColor="text1"/>
          <w:sz w:val="24"/>
          <w:szCs w:val="24"/>
          <w:lang w:val="en-US"/>
        </w:rPr>
        <w:t xml:space="preserve"> firm</w:t>
      </w:r>
      <w:r w:rsidR="00D511AA" w:rsidRPr="00DE13EE">
        <w:rPr>
          <w:rFonts w:ascii="Times New Roman" w:hAnsi="Times New Roman" w:cs="Times New Roman"/>
          <w:bCs/>
          <w:color w:val="000000" w:themeColor="text1"/>
          <w:sz w:val="24"/>
          <w:szCs w:val="24"/>
          <w:lang w:val="en-US"/>
        </w:rPr>
        <w:t>s</w:t>
      </w:r>
      <w:r w:rsidR="0088240B" w:rsidRPr="00DE13EE">
        <w:rPr>
          <w:rFonts w:ascii="Times New Roman" w:hAnsi="Times New Roman" w:cs="Times New Roman"/>
          <w:bCs/>
          <w:color w:val="000000" w:themeColor="text1"/>
          <w:sz w:val="24"/>
          <w:szCs w:val="24"/>
          <w:lang w:val="en-US"/>
        </w:rPr>
        <w:t>.</w:t>
      </w:r>
      <w:r w:rsidR="00183B9D" w:rsidRPr="00DE13EE">
        <w:rPr>
          <w:rFonts w:ascii="Times New Roman" w:hAnsi="Times New Roman" w:cs="Times New Roman"/>
          <w:bCs/>
          <w:color w:val="000000" w:themeColor="text1"/>
          <w:sz w:val="24"/>
          <w:lang w:val="en-US"/>
        </w:rPr>
        <w:t xml:space="preserve"> </w:t>
      </w:r>
      <w:r w:rsidR="0070651E" w:rsidRPr="00DE13EE">
        <w:rPr>
          <w:rFonts w:ascii="Times New Roman" w:hAnsi="Times New Roman" w:cs="Times New Roman"/>
          <w:bCs/>
          <w:color w:val="000000" w:themeColor="text1"/>
          <w:sz w:val="24"/>
          <w:lang w:val="en-US"/>
        </w:rPr>
        <w:t>Therefore, t</w:t>
      </w:r>
      <w:r w:rsidRPr="00DE13EE">
        <w:rPr>
          <w:rFonts w:ascii="Times New Roman" w:hAnsi="Times New Roman" w:cs="Times New Roman"/>
          <w:bCs/>
          <w:color w:val="000000" w:themeColor="text1"/>
          <w:sz w:val="24"/>
          <w:lang w:val="en-US"/>
        </w:rPr>
        <w:t xml:space="preserve">he results suggest that forward-looking information in UK </w:t>
      </w:r>
      <w:r w:rsidR="001275AD" w:rsidRPr="00DE13EE">
        <w:rPr>
          <w:rFonts w:ascii="Times New Roman" w:hAnsi="Times New Roman" w:cs="Times New Roman"/>
          <w:bCs/>
          <w:color w:val="000000" w:themeColor="text1"/>
          <w:sz w:val="24"/>
          <w:lang w:val="en-US"/>
        </w:rPr>
        <w:t>narrative reporting statements</w:t>
      </w:r>
      <w:r w:rsidRPr="00DE13EE">
        <w:rPr>
          <w:rFonts w:ascii="Times New Roman" w:hAnsi="Times New Roman" w:cs="Times New Roman"/>
          <w:bCs/>
          <w:color w:val="000000" w:themeColor="text1"/>
          <w:sz w:val="24"/>
          <w:lang w:val="en-US"/>
        </w:rPr>
        <w:t xml:space="preserve"> </w:t>
      </w:r>
      <w:r w:rsidR="00304A8D" w:rsidRPr="00DE13EE">
        <w:rPr>
          <w:rFonts w:ascii="Times New Roman" w:hAnsi="Times New Roman" w:cs="Times New Roman"/>
          <w:bCs/>
          <w:color w:val="000000" w:themeColor="text1"/>
          <w:sz w:val="24"/>
          <w:lang w:val="en-US"/>
        </w:rPr>
        <w:t xml:space="preserve">is seen as credible </w:t>
      </w:r>
      <w:r w:rsidR="0070651E" w:rsidRPr="00DE13EE">
        <w:rPr>
          <w:rFonts w:ascii="Times New Roman" w:hAnsi="Times New Roman" w:cs="Times New Roman"/>
          <w:bCs/>
          <w:color w:val="000000" w:themeColor="text1"/>
          <w:sz w:val="24"/>
          <w:lang w:val="en-US"/>
        </w:rPr>
        <w:t xml:space="preserve">for </w:t>
      </w:r>
      <w:r w:rsidR="00304A8D" w:rsidRPr="00DE13EE">
        <w:rPr>
          <w:rFonts w:ascii="Times New Roman" w:hAnsi="Times New Roman" w:cs="Times New Roman"/>
          <w:bCs/>
          <w:color w:val="000000" w:themeColor="text1"/>
          <w:sz w:val="24"/>
          <w:lang w:val="en-US"/>
        </w:rPr>
        <w:t>firms</w:t>
      </w:r>
      <w:r w:rsidR="006D5500" w:rsidRPr="00DE13EE">
        <w:rPr>
          <w:rFonts w:ascii="Times New Roman" w:hAnsi="Times New Roman" w:cs="Times New Roman"/>
          <w:bCs/>
          <w:color w:val="000000" w:themeColor="text1"/>
          <w:sz w:val="24"/>
          <w:lang w:val="en-US"/>
        </w:rPr>
        <w:t xml:space="preserve"> </w:t>
      </w:r>
      <w:r w:rsidR="0070651E" w:rsidRPr="00DE13EE">
        <w:rPr>
          <w:rFonts w:ascii="Times New Roman" w:hAnsi="Times New Roman" w:cs="Times New Roman"/>
          <w:bCs/>
          <w:color w:val="000000" w:themeColor="text1"/>
          <w:sz w:val="24"/>
          <w:lang w:val="en-US"/>
        </w:rPr>
        <w:t>that are audited by a large</w:t>
      </w:r>
      <w:r w:rsidR="007A7249" w:rsidRPr="00DE13EE">
        <w:rPr>
          <w:rFonts w:ascii="Times New Roman" w:hAnsi="Times New Roman" w:cs="Times New Roman"/>
          <w:bCs/>
          <w:color w:val="000000" w:themeColor="text1"/>
          <w:sz w:val="24"/>
          <w:lang w:val="en-US"/>
        </w:rPr>
        <w:t xml:space="preserve"> </w:t>
      </w:r>
      <w:r w:rsidR="00304A8D" w:rsidRPr="00DE13EE">
        <w:rPr>
          <w:rFonts w:ascii="Times New Roman" w:hAnsi="Times New Roman" w:cs="Times New Roman"/>
          <w:bCs/>
          <w:color w:val="000000" w:themeColor="text1"/>
          <w:sz w:val="24"/>
          <w:lang w:val="en-US"/>
        </w:rPr>
        <w:t>auditor</w:t>
      </w:r>
      <w:r w:rsidR="007A7249" w:rsidRPr="00DE13EE">
        <w:rPr>
          <w:rFonts w:ascii="Times New Roman" w:hAnsi="Times New Roman" w:cs="Times New Roman"/>
          <w:bCs/>
          <w:color w:val="000000" w:themeColor="text1"/>
          <w:sz w:val="24"/>
          <w:lang w:val="en-US"/>
        </w:rPr>
        <w:t xml:space="preserve"> </w:t>
      </w:r>
      <w:r w:rsidR="00917D27" w:rsidRPr="00DE13EE">
        <w:rPr>
          <w:rFonts w:ascii="Times New Roman" w:hAnsi="Times New Roman" w:cs="Times New Roman"/>
          <w:bCs/>
          <w:color w:val="000000" w:themeColor="text1"/>
          <w:sz w:val="24"/>
          <w:lang w:val="en-US"/>
        </w:rPr>
        <w:t>and/or</w:t>
      </w:r>
      <w:r w:rsidR="007D6938" w:rsidRPr="00DE13EE">
        <w:rPr>
          <w:rFonts w:ascii="Times New Roman" w:hAnsi="Times New Roman" w:cs="Times New Roman"/>
          <w:bCs/>
          <w:color w:val="000000" w:themeColor="text1"/>
          <w:sz w:val="24"/>
          <w:lang w:val="en-US"/>
        </w:rPr>
        <w:t xml:space="preserve"> are</w:t>
      </w:r>
      <w:r w:rsidR="00917D27" w:rsidRPr="00DE13EE">
        <w:rPr>
          <w:rFonts w:ascii="Times New Roman" w:hAnsi="Times New Roman" w:cs="Times New Roman"/>
          <w:bCs/>
          <w:color w:val="000000" w:themeColor="text1"/>
          <w:sz w:val="24"/>
          <w:lang w:val="en-US"/>
        </w:rPr>
        <w:t xml:space="preserve"> </w:t>
      </w:r>
      <w:r w:rsidR="0070651E" w:rsidRPr="00DE13EE">
        <w:rPr>
          <w:rFonts w:ascii="Times New Roman" w:hAnsi="Times New Roman" w:cs="Times New Roman"/>
          <w:bCs/>
          <w:color w:val="000000" w:themeColor="text1"/>
          <w:sz w:val="24"/>
          <w:lang w:val="en-US"/>
        </w:rPr>
        <w:t>low-performing</w:t>
      </w:r>
      <w:r w:rsidRPr="00DE13EE">
        <w:rPr>
          <w:rFonts w:ascii="Times New Roman" w:hAnsi="Times New Roman" w:cs="Times New Roman"/>
          <w:bCs/>
          <w:color w:val="000000" w:themeColor="text1"/>
          <w:sz w:val="24"/>
          <w:lang w:val="en-US"/>
        </w:rPr>
        <w:t>.</w:t>
      </w:r>
      <w:r w:rsidR="00304A8D" w:rsidRPr="00DE13EE">
        <w:rPr>
          <w:color w:val="000000" w:themeColor="text1"/>
          <w:lang w:val="en-US"/>
        </w:rPr>
        <w:t xml:space="preserve"> </w:t>
      </w:r>
    </w:p>
    <w:p w14:paraId="4A7F5987" w14:textId="20ED127A" w:rsidR="0016300F" w:rsidRPr="00DE13EE" w:rsidRDefault="001D1EC5" w:rsidP="00BE71A5">
      <w:pPr>
        <w:spacing w:line="240" w:lineRule="auto"/>
        <w:ind w:left="567" w:right="567"/>
        <w:jc w:val="both"/>
        <w:rPr>
          <w:rFonts w:ascii="Times New Roman" w:hAnsi="Times New Roman" w:cs="Times New Roman"/>
          <w:bCs/>
          <w:color w:val="000000" w:themeColor="text1"/>
          <w:sz w:val="24"/>
          <w:szCs w:val="24"/>
          <w:lang w:val="en-US"/>
        </w:rPr>
      </w:pPr>
      <w:r w:rsidRPr="00DE13EE">
        <w:rPr>
          <w:rFonts w:ascii="Times New Roman" w:hAnsi="Times New Roman" w:cs="Times New Roman"/>
          <w:bCs/>
          <w:color w:val="000000" w:themeColor="text1"/>
          <w:sz w:val="24"/>
          <w:lang w:val="en-US"/>
        </w:rPr>
        <w:t xml:space="preserve">    </w:t>
      </w:r>
      <w:r w:rsidR="00BE71A5" w:rsidRPr="00DE13EE">
        <w:rPr>
          <w:rFonts w:ascii="Times New Roman" w:hAnsi="Times New Roman" w:cs="Times New Roman"/>
          <w:bCs/>
          <w:color w:val="000000" w:themeColor="text1"/>
          <w:sz w:val="24"/>
          <w:lang w:val="en-US"/>
        </w:rPr>
        <w:t xml:space="preserve"> </w:t>
      </w:r>
    </w:p>
    <w:p w14:paraId="129A7E7E" w14:textId="77777777" w:rsidR="00BE71A5" w:rsidRPr="00DE13EE" w:rsidRDefault="00BE71A5" w:rsidP="00BE71A5">
      <w:pPr>
        <w:spacing w:line="360" w:lineRule="auto"/>
        <w:jc w:val="both"/>
        <w:rPr>
          <w:rFonts w:ascii="Times New Roman" w:hAnsi="Times New Roman" w:cs="Times New Roman"/>
          <w:bCs/>
          <w:color w:val="000000" w:themeColor="text1"/>
          <w:sz w:val="24"/>
          <w:lang w:val="en-US"/>
        </w:rPr>
      </w:pPr>
      <w:r w:rsidRPr="00DE13EE">
        <w:rPr>
          <w:rFonts w:ascii="Times New Roman" w:hAnsi="Times New Roman" w:cs="Times New Roman"/>
          <w:bCs/>
          <w:i/>
          <w:iCs/>
          <w:color w:val="000000" w:themeColor="text1"/>
          <w:sz w:val="24"/>
          <w:lang w:val="en-US"/>
        </w:rPr>
        <w:t>Keywords</w:t>
      </w:r>
      <w:r w:rsidRPr="00DE13EE">
        <w:rPr>
          <w:rFonts w:ascii="Times New Roman" w:hAnsi="Times New Roman" w:cs="Times New Roman"/>
          <w:bCs/>
          <w:color w:val="000000" w:themeColor="text1"/>
          <w:sz w:val="24"/>
          <w:lang w:val="en-US"/>
        </w:rPr>
        <w:t xml:space="preserve">: Narrative Reporting; Forward-Looking </w:t>
      </w:r>
      <w:r w:rsidR="00917D27" w:rsidRPr="00DE13EE">
        <w:rPr>
          <w:rFonts w:ascii="Times New Roman" w:hAnsi="Times New Roman" w:cs="Times New Roman"/>
          <w:bCs/>
          <w:color w:val="000000" w:themeColor="text1"/>
          <w:sz w:val="24"/>
          <w:lang w:val="en-US"/>
        </w:rPr>
        <w:t>Information</w:t>
      </w:r>
      <w:r w:rsidRPr="00DE13EE">
        <w:rPr>
          <w:rFonts w:ascii="Times New Roman" w:hAnsi="Times New Roman" w:cs="Times New Roman"/>
          <w:bCs/>
          <w:color w:val="000000" w:themeColor="text1"/>
          <w:sz w:val="24"/>
          <w:lang w:val="en-US"/>
        </w:rPr>
        <w:t>; Firm Value</w:t>
      </w:r>
      <w:r w:rsidR="00917D27" w:rsidRPr="00DE13EE">
        <w:rPr>
          <w:rFonts w:ascii="Times New Roman" w:hAnsi="Times New Roman" w:cs="Times New Roman"/>
          <w:bCs/>
          <w:color w:val="000000" w:themeColor="text1"/>
          <w:sz w:val="24"/>
          <w:lang w:val="en-US"/>
        </w:rPr>
        <w:t>; UK</w:t>
      </w:r>
    </w:p>
    <w:p w14:paraId="4BF35135" w14:textId="2B86CC24" w:rsidR="0016300F" w:rsidRPr="00DE13EE" w:rsidRDefault="007E4456" w:rsidP="00E55EEB">
      <w:pPr>
        <w:spacing w:line="360" w:lineRule="auto"/>
        <w:jc w:val="both"/>
        <w:rPr>
          <w:rFonts w:ascii="Times New Roman" w:hAnsi="Times New Roman" w:cs="Times New Roman"/>
          <w:b/>
          <w:bCs/>
          <w:color w:val="000000" w:themeColor="text1"/>
          <w:sz w:val="24"/>
          <w:szCs w:val="24"/>
          <w:lang w:val="en-US"/>
        </w:rPr>
      </w:pPr>
      <w:r w:rsidRPr="00DE13EE">
        <w:rPr>
          <w:rFonts w:ascii="Times New Roman" w:hAnsi="Times New Roman" w:cs="Times New Roman"/>
          <w:bCs/>
          <w:i/>
          <w:color w:val="000000" w:themeColor="text1"/>
          <w:sz w:val="24"/>
          <w:szCs w:val="24"/>
          <w:lang w:val="en-US"/>
        </w:rPr>
        <w:t>JEL:</w:t>
      </w:r>
      <w:r w:rsidRPr="00DE13EE">
        <w:rPr>
          <w:rFonts w:ascii="Times New Roman" w:hAnsi="Times New Roman" w:cs="Times New Roman"/>
          <w:b/>
          <w:bCs/>
          <w:color w:val="000000" w:themeColor="text1"/>
          <w:sz w:val="24"/>
          <w:szCs w:val="24"/>
          <w:lang w:val="en-US"/>
        </w:rPr>
        <w:t xml:space="preserve"> </w:t>
      </w:r>
      <w:r w:rsidRPr="00DE13EE">
        <w:rPr>
          <w:rFonts w:ascii="Times New Roman" w:hAnsi="Times New Roman" w:cs="Times New Roman"/>
          <w:bCs/>
          <w:color w:val="000000" w:themeColor="text1"/>
          <w:sz w:val="24"/>
          <w:szCs w:val="24"/>
          <w:lang w:val="en-US"/>
        </w:rPr>
        <w:t>M41</w:t>
      </w:r>
    </w:p>
    <w:p w14:paraId="507F4940" w14:textId="77777777" w:rsidR="0016300F" w:rsidRPr="00DE13EE" w:rsidRDefault="0016300F" w:rsidP="00E55EEB">
      <w:pPr>
        <w:spacing w:line="360" w:lineRule="auto"/>
        <w:jc w:val="both"/>
        <w:rPr>
          <w:rFonts w:ascii="Times New Roman" w:hAnsi="Times New Roman" w:cs="Times New Roman"/>
          <w:b/>
          <w:bCs/>
          <w:color w:val="000000" w:themeColor="text1"/>
          <w:sz w:val="24"/>
          <w:szCs w:val="24"/>
          <w:lang w:val="en-US"/>
        </w:rPr>
      </w:pPr>
    </w:p>
    <w:p w14:paraId="3E2A04C7" w14:textId="77777777" w:rsidR="0016300F" w:rsidRPr="00DE13EE" w:rsidRDefault="0016300F" w:rsidP="00E55EEB">
      <w:pPr>
        <w:spacing w:line="360" w:lineRule="auto"/>
        <w:jc w:val="both"/>
        <w:rPr>
          <w:rFonts w:ascii="Times New Roman" w:hAnsi="Times New Roman" w:cs="Times New Roman"/>
          <w:b/>
          <w:bCs/>
          <w:color w:val="000000" w:themeColor="text1"/>
          <w:sz w:val="24"/>
          <w:szCs w:val="24"/>
          <w:lang w:val="en-US"/>
        </w:rPr>
      </w:pPr>
    </w:p>
    <w:p w14:paraId="6D0608AD" w14:textId="77777777" w:rsidR="0016300F" w:rsidRPr="00DE13EE" w:rsidRDefault="0016300F" w:rsidP="00E55EEB">
      <w:pPr>
        <w:spacing w:line="360" w:lineRule="auto"/>
        <w:jc w:val="both"/>
        <w:rPr>
          <w:rFonts w:ascii="Times New Roman" w:hAnsi="Times New Roman" w:cs="Times New Roman"/>
          <w:b/>
          <w:bCs/>
          <w:color w:val="000000" w:themeColor="text1"/>
          <w:sz w:val="24"/>
          <w:szCs w:val="24"/>
          <w:lang w:val="en-US"/>
        </w:rPr>
      </w:pPr>
    </w:p>
    <w:p w14:paraId="1B87D281" w14:textId="77777777" w:rsidR="0016300F" w:rsidRPr="00DE13EE" w:rsidRDefault="0016300F" w:rsidP="00E55EEB">
      <w:pPr>
        <w:spacing w:line="360" w:lineRule="auto"/>
        <w:jc w:val="both"/>
        <w:rPr>
          <w:rFonts w:ascii="Times New Roman" w:hAnsi="Times New Roman" w:cs="Times New Roman"/>
          <w:b/>
          <w:bCs/>
          <w:color w:val="000000" w:themeColor="text1"/>
          <w:sz w:val="24"/>
          <w:szCs w:val="24"/>
          <w:lang w:val="en-US"/>
        </w:rPr>
      </w:pPr>
    </w:p>
    <w:p w14:paraId="44A369DE" w14:textId="77777777" w:rsidR="0016300F" w:rsidRPr="00DE13EE" w:rsidRDefault="0016300F" w:rsidP="00B93D4F">
      <w:pPr>
        <w:pStyle w:val="Heading1"/>
        <w:rPr>
          <w:color w:val="000000" w:themeColor="text1"/>
          <w:lang w:val="en-US"/>
        </w:rPr>
      </w:pPr>
      <w:r w:rsidRPr="00DE13EE">
        <w:rPr>
          <w:color w:val="000000" w:themeColor="text1"/>
          <w:lang w:val="en-US"/>
        </w:rPr>
        <w:lastRenderedPageBreak/>
        <w:t xml:space="preserve">Introduction </w:t>
      </w:r>
    </w:p>
    <w:p w14:paraId="603A33F7" w14:textId="6C4AB284" w:rsidR="00F77C2B" w:rsidRPr="00DE13EE" w:rsidRDefault="00FC3405" w:rsidP="00B93D4F">
      <w:pPr>
        <w:spacing w:before="120" w:line="360" w:lineRule="auto"/>
        <w:jc w:val="both"/>
        <w:rPr>
          <w:color w:val="000000" w:themeColor="text1"/>
        </w:rPr>
      </w:pPr>
      <w:r w:rsidRPr="00DE13EE">
        <w:rPr>
          <w:rFonts w:ascii="Times New Roman" w:eastAsia="Calibri" w:hAnsi="Times New Roman" w:cs="Times New Roman"/>
          <w:color w:val="000000" w:themeColor="text1"/>
          <w:sz w:val="24"/>
          <w:szCs w:val="24"/>
          <w:lang w:val="en-US" w:eastAsia="en-US"/>
        </w:rPr>
        <w:t>Narrative reporting</w:t>
      </w:r>
      <w:r w:rsidR="00F961FA" w:rsidRPr="00DE13EE">
        <w:rPr>
          <w:rStyle w:val="FootnoteReference"/>
          <w:rFonts w:ascii="Times New Roman" w:eastAsia="Calibri" w:hAnsi="Times New Roman" w:cs="Times New Roman"/>
          <w:color w:val="000000" w:themeColor="text1"/>
          <w:sz w:val="24"/>
          <w:szCs w:val="24"/>
          <w:lang w:val="en-US" w:eastAsia="en-US"/>
        </w:rPr>
        <w:footnoteReference w:id="1"/>
      </w:r>
      <w:r w:rsidR="00812C9C" w:rsidRPr="00DE13EE">
        <w:rPr>
          <w:rFonts w:ascii="Times New Roman" w:eastAsia="Calibri" w:hAnsi="Times New Roman" w:cs="Times New Roman"/>
          <w:color w:val="000000" w:themeColor="text1"/>
          <w:sz w:val="24"/>
          <w:szCs w:val="24"/>
          <w:lang w:val="en-US" w:eastAsia="en-US"/>
        </w:rPr>
        <w:t xml:space="preserve"> in annual reports </w:t>
      </w:r>
      <w:r w:rsidR="00FE5EAC" w:rsidRPr="00DE13EE">
        <w:rPr>
          <w:rFonts w:ascii="Times New Roman" w:eastAsia="Calibri" w:hAnsi="Times New Roman" w:cs="Times New Roman"/>
          <w:color w:val="000000" w:themeColor="text1"/>
          <w:sz w:val="24"/>
          <w:szCs w:val="24"/>
          <w:lang w:val="en-US" w:eastAsia="en-US"/>
        </w:rPr>
        <w:t>provides</w:t>
      </w:r>
      <w:r w:rsidR="00812C9C" w:rsidRPr="00DE13EE">
        <w:rPr>
          <w:rFonts w:ascii="Times New Roman" w:eastAsia="Calibri" w:hAnsi="Times New Roman" w:cs="Times New Roman"/>
          <w:color w:val="000000" w:themeColor="text1"/>
          <w:sz w:val="24"/>
          <w:szCs w:val="24"/>
          <w:lang w:val="en-US" w:eastAsia="en-US"/>
        </w:rPr>
        <w:t xml:space="preserve"> critical textual information alongside financial statements (</w:t>
      </w:r>
      <w:r w:rsidR="00812C9C" w:rsidRPr="00DE13EE">
        <w:rPr>
          <w:rFonts w:ascii="Times New Roman" w:eastAsia="Calibri" w:hAnsi="Times New Roman" w:cs="Times New Roman"/>
          <w:bCs/>
          <w:color w:val="000000" w:themeColor="text1"/>
          <w:sz w:val="24"/>
          <w:szCs w:val="24"/>
          <w:lang w:val="en-US" w:eastAsia="en-US"/>
        </w:rPr>
        <w:t>Merkley 2014)</w:t>
      </w:r>
      <w:r w:rsidR="00812C9C" w:rsidRPr="00DE13EE">
        <w:rPr>
          <w:rFonts w:ascii="Times New Roman" w:eastAsia="Calibri" w:hAnsi="Times New Roman" w:cs="Times New Roman"/>
          <w:color w:val="000000" w:themeColor="text1"/>
          <w:sz w:val="24"/>
          <w:szCs w:val="24"/>
          <w:lang w:val="en-US" w:eastAsia="en-US"/>
        </w:rPr>
        <w:t xml:space="preserve">. </w:t>
      </w:r>
      <w:r w:rsidR="00A64298" w:rsidRPr="00DE13EE">
        <w:rPr>
          <w:rFonts w:ascii="Times New Roman" w:eastAsia="Calibri" w:hAnsi="Times New Roman" w:cs="Times New Roman"/>
          <w:color w:val="000000" w:themeColor="text1"/>
          <w:sz w:val="24"/>
          <w:szCs w:val="24"/>
          <w:lang w:val="en-US" w:eastAsia="en-US"/>
        </w:rPr>
        <w:t xml:space="preserve">The reporting </w:t>
      </w:r>
      <w:r w:rsidR="00812C9C" w:rsidRPr="00DE13EE">
        <w:rPr>
          <w:rFonts w:ascii="Times New Roman" w:eastAsia="Calibri" w:hAnsi="Times New Roman" w:cs="Times New Roman"/>
          <w:color w:val="000000" w:themeColor="text1"/>
          <w:sz w:val="24"/>
          <w:szCs w:val="24"/>
          <w:lang w:val="en-US" w:eastAsia="en-US"/>
        </w:rPr>
        <w:t xml:space="preserve">aims to </w:t>
      </w:r>
      <w:r w:rsidR="006E0C55" w:rsidRPr="00DE13EE">
        <w:rPr>
          <w:rFonts w:ascii="Times New Roman" w:eastAsia="Calibri" w:hAnsi="Times New Roman" w:cs="Times New Roman"/>
          <w:color w:val="000000" w:themeColor="text1"/>
          <w:sz w:val="24"/>
          <w:szCs w:val="24"/>
          <w:lang w:val="en-US" w:eastAsia="en-US"/>
        </w:rPr>
        <w:t>analyze and discuss</w:t>
      </w:r>
      <w:r w:rsidR="00812C9C" w:rsidRPr="00DE13EE">
        <w:rPr>
          <w:rFonts w:ascii="Times New Roman" w:eastAsia="Calibri" w:hAnsi="Times New Roman" w:cs="Times New Roman"/>
          <w:color w:val="000000" w:themeColor="text1"/>
          <w:sz w:val="24"/>
          <w:szCs w:val="24"/>
          <w:lang w:val="en-US" w:eastAsia="en-US"/>
        </w:rPr>
        <w:t xml:space="preserve"> firm performance through the eyes of its bo</w:t>
      </w:r>
      <w:r w:rsidR="006B0499" w:rsidRPr="00DE13EE">
        <w:rPr>
          <w:rFonts w:ascii="Times New Roman" w:eastAsia="Calibri" w:hAnsi="Times New Roman" w:cs="Times New Roman"/>
          <w:color w:val="000000" w:themeColor="text1"/>
          <w:sz w:val="24"/>
          <w:szCs w:val="24"/>
          <w:lang w:val="en-US" w:eastAsia="en-US"/>
        </w:rPr>
        <w:t xml:space="preserve">ard of directors (ASB 2005 </w:t>
      </w:r>
      <w:r w:rsidR="00550D53" w:rsidRPr="00DE13EE">
        <w:rPr>
          <w:rFonts w:ascii="Times New Roman" w:eastAsia="Calibri" w:hAnsi="Times New Roman" w:cs="Times New Roman"/>
          <w:color w:val="000000" w:themeColor="text1"/>
          <w:sz w:val="24"/>
          <w:szCs w:val="24"/>
          <w:lang w:val="en-US" w:eastAsia="en-US"/>
        </w:rPr>
        <w:t xml:space="preserve">and </w:t>
      </w:r>
      <w:r w:rsidR="00812C9C" w:rsidRPr="00DE13EE">
        <w:rPr>
          <w:rFonts w:ascii="Times New Roman" w:eastAsia="Calibri" w:hAnsi="Times New Roman" w:cs="Times New Roman"/>
          <w:color w:val="000000" w:themeColor="text1"/>
          <w:sz w:val="24"/>
          <w:szCs w:val="24"/>
          <w:lang w:val="en-US" w:eastAsia="en-US"/>
        </w:rPr>
        <w:t>2006). Likewise</w:t>
      </w:r>
      <w:r w:rsidR="00812C9C" w:rsidRPr="00DE13EE">
        <w:rPr>
          <w:rFonts w:ascii="Times New Roman" w:eastAsia="Calibri" w:hAnsi="Times New Roman" w:cs="Times New Roman"/>
          <w:bCs/>
          <w:color w:val="000000" w:themeColor="text1"/>
          <w:sz w:val="24"/>
          <w:szCs w:val="24"/>
          <w:lang w:val="en-US" w:eastAsia="en-US"/>
        </w:rPr>
        <w:t xml:space="preserve">, investors </w:t>
      </w:r>
      <w:r w:rsidR="007D6938" w:rsidRPr="00DE13EE">
        <w:rPr>
          <w:rFonts w:ascii="Times New Roman" w:eastAsia="Calibri" w:hAnsi="Times New Roman" w:cs="Times New Roman"/>
          <w:bCs/>
          <w:color w:val="000000" w:themeColor="text1"/>
          <w:sz w:val="24"/>
          <w:szCs w:val="24"/>
          <w:lang w:val="en-US" w:eastAsia="en-US"/>
        </w:rPr>
        <w:t xml:space="preserve">analyze </w:t>
      </w:r>
      <w:r w:rsidR="00812C9C" w:rsidRPr="00DE13EE">
        <w:rPr>
          <w:rFonts w:ascii="Times New Roman" w:eastAsia="Calibri" w:hAnsi="Times New Roman" w:cs="Times New Roman"/>
          <w:bCs/>
          <w:color w:val="000000" w:themeColor="text1"/>
          <w:sz w:val="24"/>
          <w:szCs w:val="24"/>
          <w:lang w:val="en-US" w:eastAsia="en-US"/>
        </w:rPr>
        <w:t>narratives to bridge the gap between financial statements and the economic reality of firms’ performances (Feldman</w:t>
      </w:r>
      <w:r w:rsidR="00550D53" w:rsidRPr="00DE13EE">
        <w:rPr>
          <w:rFonts w:ascii="Times New Roman" w:eastAsia="Calibri" w:hAnsi="Times New Roman" w:cs="Times New Roman"/>
          <w:color w:val="000000" w:themeColor="text1"/>
          <w:sz w:val="24"/>
          <w:szCs w:val="24"/>
          <w:lang w:val="en-US" w:eastAsia="en-US"/>
        </w:rPr>
        <w:t xml:space="preserve"> et al.</w:t>
      </w:r>
      <w:r w:rsidR="00812C9C" w:rsidRPr="00DE13EE">
        <w:rPr>
          <w:rFonts w:ascii="Times New Roman" w:eastAsia="Calibri" w:hAnsi="Times New Roman" w:cs="Times New Roman"/>
          <w:color w:val="000000" w:themeColor="text1"/>
          <w:sz w:val="24"/>
          <w:szCs w:val="24"/>
          <w:lang w:val="en-US" w:eastAsia="en-US"/>
        </w:rPr>
        <w:t xml:space="preserve"> </w:t>
      </w:r>
      <w:r w:rsidR="00DC2838" w:rsidRPr="00DE13EE">
        <w:rPr>
          <w:rFonts w:ascii="Times New Roman" w:eastAsia="Calibri" w:hAnsi="Times New Roman" w:cs="Times New Roman"/>
          <w:bCs/>
          <w:color w:val="000000" w:themeColor="text1"/>
          <w:sz w:val="24"/>
          <w:szCs w:val="24"/>
          <w:lang w:val="en-US" w:eastAsia="en-US"/>
        </w:rPr>
        <w:t>2010</w:t>
      </w:r>
      <w:r w:rsidR="00812C9C" w:rsidRPr="00DE13EE">
        <w:rPr>
          <w:rFonts w:ascii="Times New Roman" w:eastAsia="Calibri" w:hAnsi="Times New Roman" w:cs="Times New Roman"/>
          <w:bCs/>
          <w:color w:val="000000" w:themeColor="text1"/>
          <w:sz w:val="24"/>
          <w:szCs w:val="24"/>
          <w:lang w:val="en-US" w:eastAsia="en-US"/>
        </w:rPr>
        <w:t xml:space="preserve">). In </w:t>
      </w:r>
      <w:r w:rsidR="00C51E61" w:rsidRPr="00DE13EE">
        <w:rPr>
          <w:rFonts w:ascii="Times New Roman" w:eastAsia="Calibri" w:hAnsi="Times New Roman" w:cs="Times New Roman"/>
          <w:bCs/>
          <w:color w:val="000000" w:themeColor="text1"/>
          <w:sz w:val="24"/>
          <w:szCs w:val="24"/>
          <w:lang w:val="en-US" w:eastAsia="en-US"/>
        </w:rPr>
        <w:t xml:space="preserve">the </w:t>
      </w:r>
      <w:r w:rsidR="00812C9C" w:rsidRPr="00DE13EE">
        <w:rPr>
          <w:rFonts w:ascii="Times New Roman" w:eastAsia="Calibri" w:hAnsi="Times New Roman" w:cs="Times New Roman"/>
          <w:bCs/>
          <w:color w:val="000000" w:themeColor="text1"/>
          <w:sz w:val="24"/>
          <w:szCs w:val="24"/>
          <w:lang w:val="en-US" w:eastAsia="en-US"/>
        </w:rPr>
        <w:t>United Kingdom (UK), narrative reporting is reported under different headings</w:t>
      </w:r>
      <w:r w:rsidR="00C51E61" w:rsidRPr="00DE13EE">
        <w:rPr>
          <w:rFonts w:ascii="Times New Roman" w:eastAsia="Calibri" w:hAnsi="Times New Roman" w:cs="Times New Roman"/>
          <w:bCs/>
          <w:color w:val="000000" w:themeColor="text1"/>
          <w:sz w:val="24"/>
          <w:szCs w:val="24"/>
          <w:lang w:val="en-US" w:eastAsia="en-US"/>
        </w:rPr>
        <w:t>,</w:t>
      </w:r>
      <w:r w:rsidR="00812C9C" w:rsidRPr="00DE13EE">
        <w:rPr>
          <w:rFonts w:ascii="Times New Roman" w:eastAsia="Calibri" w:hAnsi="Times New Roman" w:cs="Times New Roman"/>
          <w:bCs/>
          <w:color w:val="000000" w:themeColor="text1"/>
          <w:sz w:val="24"/>
          <w:szCs w:val="24"/>
          <w:lang w:val="en-US" w:eastAsia="en-US"/>
        </w:rPr>
        <w:t xml:space="preserve"> such as Operating and Financial Review (OFR), Business Review, and Chief Executive Review. The UK regulatory requirements of narrative reporting (i.e., IASB) recommend that narrative analysis and discussion should have a forward-looking orientation and</w:t>
      </w:r>
      <w:r w:rsidR="00ED54AC" w:rsidRPr="00DE13EE">
        <w:rPr>
          <w:rFonts w:ascii="Times New Roman" w:eastAsia="Calibri" w:hAnsi="Times New Roman" w:cs="Times New Roman"/>
          <w:bCs/>
          <w:color w:val="000000" w:themeColor="text1"/>
          <w:sz w:val="24"/>
          <w:szCs w:val="24"/>
          <w:lang w:val="en-US" w:eastAsia="en-US"/>
        </w:rPr>
        <w:t xml:space="preserve"> that</w:t>
      </w:r>
      <w:r w:rsidR="00812C9C" w:rsidRPr="00DE13EE">
        <w:rPr>
          <w:rFonts w:ascii="Times New Roman" w:eastAsia="Calibri" w:hAnsi="Times New Roman" w:cs="Times New Roman"/>
          <w:bCs/>
          <w:color w:val="000000" w:themeColor="text1"/>
          <w:sz w:val="24"/>
          <w:szCs w:val="24"/>
          <w:lang w:val="en-US" w:eastAsia="en-US"/>
        </w:rPr>
        <w:t xml:space="preserve"> firms should provide this type of disclosure.</w:t>
      </w:r>
      <w:r w:rsidR="00812C9C" w:rsidRPr="00DE13EE">
        <w:rPr>
          <w:rFonts w:ascii="Times New Roman" w:eastAsia="Calibri" w:hAnsi="Times New Roman" w:cs="Times New Roman"/>
          <w:color w:val="000000" w:themeColor="text1"/>
          <w:sz w:val="24"/>
          <w:szCs w:val="24"/>
          <w:lang w:val="en-US" w:eastAsia="en-US"/>
        </w:rPr>
        <w:t xml:space="preserve"> </w:t>
      </w:r>
      <w:r w:rsidR="00812C9C" w:rsidRPr="00DE13EE">
        <w:rPr>
          <w:rFonts w:ascii="Times New Roman" w:eastAsia="Calibri" w:hAnsi="Times New Roman" w:cs="Times New Roman"/>
          <w:bCs/>
          <w:color w:val="000000" w:themeColor="text1"/>
          <w:sz w:val="24"/>
          <w:szCs w:val="24"/>
          <w:lang w:val="en-US" w:eastAsia="en-US"/>
        </w:rPr>
        <w:t xml:space="preserve">This information would be expected to help investors </w:t>
      </w:r>
      <w:r w:rsidR="006B79BA" w:rsidRPr="00DE13EE">
        <w:rPr>
          <w:rFonts w:ascii="Times New Roman" w:eastAsia="Calibri" w:hAnsi="Times New Roman" w:cs="Times New Roman"/>
          <w:bCs/>
          <w:color w:val="000000" w:themeColor="text1"/>
          <w:sz w:val="24"/>
          <w:szCs w:val="24"/>
          <w:lang w:val="en-US" w:eastAsia="en-US"/>
        </w:rPr>
        <w:t xml:space="preserve">understand </w:t>
      </w:r>
      <w:r w:rsidR="00812C9C" w:rsidRPr="00DE13EE">
        <w:rPr>
          <w:rFonts w:ascii="Times New Roman" w:eastAsia="Calibri" w:hAnsi="Times New Roman" w:cs="Times New Roman"/>
          <w:bCs/>
          <w:color w:val="000000" w:themeColor="text1"/>
          <w:sz w:val="24"/>
          <w:szCs w:val="24"/>
          <w:lang w:val="en-US" w:eastAsia="en-US"/>
        </w:rPr>
        <w:t>firms’ past and current financial performances</w:t>
      </w:r>
      <w:r w:rsidR="006B79BA" w:rsidRPr="00DE13EE">
        <w:rPr>
          <w:rFonts w:ascii="Times New Roman" w:eastAsia="Calibri" w:hAnsi="Times New Roman" w:cs="Times New Roman"/>
          <w:bCs/>
          <w:color w:val="000000" w:themeColor="text1"/>
          <w:sz w:val="24"/>
          <w:szCs w:val="24"/>
          <w:lang w:val="en-US" w:eastAsia="en-US"/>
        </w:rPr>
        <w:t xml:space="preserve"> </w:t>
      </w:r>
      <w:r w:rsidR="00812C9C" w:rsidRPr="00DE13EE">
        <w:rPr>
          <w:rFonts w:ascii="Times New Roman" w:eastAsia="Calibri" w:hAnsi="Times New Roman" w:cs="Times New Roman"/>
          <w:bCs/>
          <w:color w:val="000000" w:themeColor="text1"/>
          <w:sz w:val="24"/>
          <w:szCs w:val="24"/>
          <w:lang w:val="en-US" w:eastAsia="en-US"/>
        </w:rPr>
        <w:t>and to predict future earnings (Hussainey</w:t>
      </w:r>
      <w:r w:rsidR="00550D53" w:rsidRPr="00DE13EE">
        <w:rPr>
          <w:rFonts w:ascii="Times New Roman" w:eastAsia="Calibri" w:hAnsi="Times New Roman" w:cs="Times New Roman"/>
          <w:bCs/>
          <w:color w:val="000000" w:themeColor="text1"/>
          <w:sz w:val="24"/>
          <w:szCs w:val="24"/>
          <w:lang w:val="en-US" w:eastAsia="en-US"/>
        </w:rPr>
        <w:t xml:space="preserve"> et al.</w:t>
      </w:r>
      <w:r w:rsidR="00812C9C" w:rsidRPr="00DE13EE">
        <w:rPr>
          <w:rFonts w:ascii="Times New Roman" w:eastAsia="Calibri" w:hAnsi="Times New Roman" w:cs="Times New Roman"/>
          <w:bCs/>
          <w:color w:val="000000" w:themeColor="text1"/>
          <w:sz w:val="24"/>
          <w:szCs w:val="24"/>
          <w:lang w:val="en-US" w:eastAsia="en-US"/>
        </w:rPr>
        <w:t xml:space="preserve"> 2003).</w:t>
      </w:r>
      <w:r w:rsidR="00824CF0" w:rsidRPr="00DE13EE">
        <w:rPr>
          <w:rFonts w:ascii="Times New Roman" w:eastAsia="Calibri" w:hAnsi="Times New Roman" w:cs="Times New Roman"/>
          <w:bCs/>
          <w:color w:val="000000" w:themeColor="text1"/>
          <w:sz w:val="24"/>
          <w:szCs w:val="24"/>
          <w:lang w:val="en-US" w:eastAsia="en-US"/>
        </w:rPr>
        <w:t xml:space="preserve"> However, opponents </w:t>
      </w:r>
      <w:r w:rsidR="00812C9C" w:rsidRPr="00DE13EE">
        <w:rPr>
          <w:rFonts w:ascii="Times New Roman" w:eastAsia="Calibri" w:hAnsi="Times New Roman" w:cs="Times New Roman"/>
          <w:bCs/>
          <w:color w:val="000000" w:themeColor="text1"/>
          <w:sz w:val="24"/>
          <w:szCs w:val="24"/>
          <w:lang w:val="en-US" w:eastAsia="en-US"/>
        </w:rPr>
        <w:t xml:space="preserve">of narrative reporting argue that it may not be as useful as intended. The soft talk (vs. hard facts) nature of narratives makes them difficult to be audited and, </w:t>
      </w:r>
      <w:r w:rsidR="00B61F5C" w:rsidRPr="00DE13EE">
        <w:rPr>
          <w:rFonts w:ascii="Times New Roman" w:eastAsia="Calibri" w:hAnsi="Times New Roman" w:cs="Times New Roman"/>
          <w:bCs/>
          <w:color w:val="000000" w:themeColor="text1"/>
          <w:sz w:val="24"/>
          <w:szCs w:val="24"/>
          <w:lang w:val="en-US" w:eastAsia="en-US"/>
        </w:rPr>
        <w:t>therefore</w:t>
      </w:r>
      <w:r w:rsidR="00812C9C" w:rsidRPr="00DE13EE">
        <w:rPr>
          <w:rFonts w:ascii="Times New Roman" w:eastAsia="Calibri" w:hAnsi="Times New Roman" w:cs="Times New Roman"/>
          <w:bCs/>
          <w:color w:val="000000" w:themeColor="text1"/>
          <w:sz w:val="24"/>
          <w:szCs w:val="24"/>
          <w:lang w:val="en-US" w:eastAsia="en-US"/>
        </w:rPr>
        <w:t xml:space="preserve">, may include substantial boilerplate </w:t>
      </w:r>
      <w:r w:rsidR="00C84EF5" w:rsidRPr="00DE13EE">
        <w:rPr>
          <w:rFonts w:ascii="Times New Roman" w:eastAsia="Calibri" w:hAnsi="Times New Roman" w:cs="Times New Roman"/>
          <w:bCs/>
          <w:color w:val="000000" w:themeColor="text1"/>
          <w:sz w:val="24"/>
          <w:szCs w:val="24"/>
          <w:lang w:val="en-US" w:eastAsia="en-US"/>
        </w:rPr>
        <w:t>information</w:t>
      </w:r>
      <w:r w:rsidR="00812C9C" w:rsidRPr="00DE13EE">
        <w:rPr>
          <w:rFonts w:ascii="Times New Roman" w:eastAsia="Calibri" w:hAnsi="Times New Roman" w:cs="Times New Roman"/>
          <w:bCs/>
          <w:color w:val="000000" w:themeColor="text1"/>
          <w:sz w:val="24"/>
          <w:szCs w:val="24"/>
          <w:lang w:val="en-US" w:eastAsia="en-US"/>
        </w:rPr>
        <w:t xml:space="preserve">, generic language, and </w:t>
      </w:r>
      <w:r w:rsidR="00B61F5C" w:rsidRPr="00DE13EE">
        <w:rPr>
          <w:rFonts w:ascii="Times New Roman" w:eastAsia="Calibri" w:hAnsi="Times New Roman" w:cs="Times New Roman"/>
          <w:bCs/>
          <w:color w:val="000000" w:themeColor="text1"/>
          <w:sz w:val="24"/>
          <w:szCs w:val="24"/>
          <w:lang w:val="en-US" w:eastAsia="en-US"/>
        </w:rPr>
        <w:t xml:space="preserve">irrelevant </w:t>
      </w:r>
      <w:r w:rsidR="005A7E89" w:rsidRPr="00DE13EE">
        <w:rPr>
          <w:rFonts w:ascii="Times New Roman" w:eastAsia="Calibri" w:hAnsi="Times New Roman" w:cs="Times New Roman"/>
          <w:bCs/>
          <w:color w:val="000000" w:themeColor="text1"/>
          <w:sz w:val="24"/>
          <w:szCs w:val="24"/>
          <w:lang w:val="en-US" w:eastAsia="en-US"/>
        </w:rPr>
        <w:t xml:space="preserve">disclosures </w:t>
      </w:r>
      <w:r w:rsidR="00812C9C" w:rsidRPr="00DE13EE">
        <w:rPr>
          <w:rFonts w:ascii="Times New Roman" w:eastAsia="Calibri" w:hAnsi="Times New Roman" w:cs="Times New Roman"/>
          <w:bCs/>
          <w:color w:val="000000" w:themeColor="text1"/>
          <w:sz w:val="24"/>
          <w:szCs w:val="24"/>
          <w:lang w:val="en-US" w:eastAsia="en-US"/>
        </w:rPr>
        <w:t xml:space="preserve">(Li 2010). </w:t>
      </w:r>
      <w:r w:rsidR="006C65ED" w:rsidRPr="00DE13EE">
        <w:rPr>
          <w:rFonts w:ascii="Times New Roman" w:eastAsia="Calibri" w:hAnsi="Times New Roman" w:cs="Times New Roman"/>
          <w:bCs/>
          <w:color w:val="000000" w:themeColor="text1"/>
          <w:sz w:val="24"/>
          <w:szCs w:val="24"/>
          <w:lang w:val="en-US" w:eastAsia="en-US"/>
        </w:rPr>
        <w:t>T</w:t>
      </w:r>
      <w:r w:rsidR="00812C9C" w:rsidRPr="00DE13EE">
        <w:rPr>
          <w:rFonts w:ascii="Times New Roman" w:eastAsia="Calibri" w:hAnsi="Times New Roman" w:cs="Times New Roman"/>
          <w:bCs/>
          <w:color w:val="000000" w:themeColor="text1"/>
          <w:sz w:val="24"/>
          <w:szCs w:val="24"/>
          <w:lang w:val="en-US" w:eastAsia="en-US"/>
        </w:rPr>
        <w:t xml:space="preserve">he </w:t>
      </w:r>
      <w:r w:rsidR="00812C9C" w:rsidRPr="00DE13EE">
        <w:rPr>
          <w:rFonts w:ascii="Times New Roman" w:hAnsi="Times New Roman" w:cs="Times New Roman"/>
          <w:bCs/>
          <w:color w:val="000000" w:themeColor="text1"/>
          <w:sz w:val="24"/>
          <w:szCs w:val="24"/>
          <w:lang w:val="en-US"/>
        </w:rPr>
        <w:t xml:space="preserve">International Accounting Standard Board (IASB) has </w:t>
      </w:r>
      <w:r w:rsidR="006C65ED" w:rsidRPr="00DE13EE">
        <w:rPr>
          <w:rFonts w:ascii="Times New Roman" w:hAnsi="Times New Roman" w:cs="Times New Roman"/>
          <w:bCs/>
          <w:color w:val="000000" w:themeColor="text1"/>
          <w:sz w:val="24"/>
          <w:szCs w:val="24"/>
          <w:lang w:val="en-US"/>
        </w:rPr>
        <w:t xml:space="preserve">consistently </w:t>
      </w:r>
      <w:r w:rsidR="00812C9C" w:rsidRPr="00DE13EE">
        <w:rPr>
          <w:rFonts w:ascii="Times New Roman" w:hAnsi="Times New Roman" w:cs="Times New Roman"/>
          <w:bCs/>
          <w:color w:val="000000" w:themeColor="text1"/>
          <w:sz w:val="24"/>
          <w:szCs w:val="24"/>
          <w:lang w:val="en-US"/>
        </w:rPr>
        <w:t xml:space="preserve">worried about </w:t>
      </w:r>
      <w:r w:rsidR="00944EA0" w:rsidRPr="00DE13EE">
        <w:rPr>
          <w:rFonts w:ascii="Times New Roman" w:hAnsi="Times New Roman" w:cs="Times New Roman"/>
          <w:bCs/>
          <w:color w:val="000000" w:themeColor="text1"/>
          <w:sz w:val="24"/>
          <w:szCs w:val="24"/>
          <w:lang w:val="en-US"/>
        </w:rPr>
        <w:t>informational</w:t>
      </w:r>
      <w:r w:rsidR="00812C9C" w:rsidRPr="00DE13EE">
        <w:rPr>
          <w:rFonts w:ascii="Times New Roman" w:hAnsi="Times New Roman" w:cs="Times New Roman"/>
          <w:bCs/>
          <w:color w:val="000000" w:themeColor="text1"/>
          <w:sz w:val="24"/>
          <w:szCs w:val="24"/>
          <w:lang w:val="en-US"/>
        </w:rPr>
        <w:t xml:space="preserve"> </w:t>
      </w:r>
      <w:r w:rsidR="00A325D9" w:rsidRPr="00DE13EE">
        <w:rPr>
          <w:rFonts w:ascii="Times New Roman" w:hAnsi="Times New Roman" w:cs="Times New Roman"/>
          <w:bCs/>
          <w:color w:val="000000" w:themeColor="text1"/>
          <w:sz w:val="24"/>
          <w:szCs w:val="24"/>
          <w:lang w:val="en-US"/>
        </w:rPr>
        <w:t xml:space="preserve">contents of </w:t>
      </w:r>
      <w:r w:rsidR="00812C9C" w:rsidRPr="00DE13EE">
        <w:rPr>
          <w:rFonts w:ascii="Times New Roman" w:hAnsi="Times New Roman" w:cs="Times New Roman"/>
          <w:bCs/>
          <w:color w:val="000000" w:themeColor="text1"/>
          <w:sz w:val="24"/>
          <w:szCs w:val="24"/>
          <w:lang w:val="en-US"/>
        </w:rPr>
        <w:t xml:space="preserve">narrative reporting and has advised firms to avoid providing boilerplate </w:t>
      </w:r>
      <w:r w:rsidR="005A7E89" w:rsidRPr="00DE13EE">
        <w:rPr>
          <w:rFonts w:ascii="Times New Roman" w:hAnsi="Times New Roman" w:cs="Times New Roman"/>
          <w:bCs/>
          <w:color w:val="000000" w:themeColor="text1"/>
          <w:sz w:val="24"/>
          <w:szCs w:val="24"/>
          <w:lang w:val="en-US"/>
        </w:rPr>
        <w:t xml:space="preserve">and irrelevant </w:t>
      </w:r>
      <w:r w:rsidR="00812C9C" w:rsidRPr="00DE13EE">
        <w:rPr>
          <w:rFonts w:ascii="Times New Roman" w:hAnsi="Times New Roman" w:cs="Times New Roman"/>
          <w:bCs/>
          <w:color w:val="000000" w:themeColor="text1"/>
          <w:sz w:val="24"/>
          <w:szCs w:val="24"/>
          <w:lang w:val="en-US"/>
        </w:rPr>
        <w:t xml:space="preserve">disclosures (IFRS 2010). </w:t>
      </w:r>
      <w:r w:rsidR="00944EA0" w:rsidRPr="00DE13EE">
        <w:rPr>
          <w:rFonts w:ascii="Times New Roman" w:eastAsia="Calibri" w:hAnsi="Times New Roman" w:cs="Times New Roman"/>
          <w:bCs/>
          <w:color w:val="000000" w:themeColor="text1"/>
          <w:sz w:val="24"/>
          <w:szCs w:val="24"/>
          <w:lang w:val="en-US" w:eastAsia="en-US"/>
        </w:rPr>
        <w:t>T</w:t>
      </w:r>
      <w:r w:rsidR="00770CF6" w:rsidRPr="00DE13EE">
        <w:rPr>
          <w:rFonts w:ascii="Times New Roman" w:eastAsia="Calibri" w:hAnsi="Times New Roman" w:cs="Times New Roman"/>
          <w:bCs/>
          <w:color w:val="000000" w:themeColor="text1"/>
          <w:sz w:val="24"/>
          <w:szCs w:val="24"/>
          <w:lang w:val="en-US" w:eastAsia="en-US"/>
        </w:rPr>
        <w:t>he current</w:t>
      </w:r>
      <w:r w:rsidR="00812C9C" w:rsidRPr="00DE13EE">
        <w:rPr>
          <w:rFonts w:ascii="Times New Roman" w:eastAsia="Calibri" w:hAnsi="Times New Roman" w:cs="Times New Roman"/>
          <w:bCs/>
          <w:color w:val="000000" w:themeColor="text1"/>
          <w:sz w:val="24"/>
          <w:szCs w:val="24"/>
          <w:lang w:val="en-US" w:eastAsia="en-US"/>
        </w:rPr>
        <w:t xml:space="preserve"> stu</w:t>
      </w:r>
      <w:r w:rsidR="0086750A" w:rsidRPr="00DE13EE">
        <w:rPr>
          <w:rFonts w:ascii="Times New Roman" w:eastAsia="Calibri" w:hAnsi="Times New Roman" w:cs="Times New Roman"/>
          <w:bCs/>
          <w:color w:val="000000" w:themeColor="text1"/>
          <w:sz w:val="24"/>
          <w:szCs w:val="24"/>
          <w:lang w:val="en-US" w:eastAsia="en-US"/>
        </w:rPr>
        <w:t xml:space="preserve">dy empirically investigates the </w:t>
      </w:r>
      <w:r w:rsidR="00812C9C" w:rsidRPr="00DE13EE">
        <w:rPr>
          <w:rFonts w:ascii="Times New Roman" w:eastAsia="Calibri" w:hAnsi="Times New Roman" w:cs="Times New Roman"/>
          <w:bCs/>
          <w:color w:val="000000" w:themeColor="text1"/>
          <w:sz w:val="24"/>
          <w:szCs w:val="24"/>
          <w:lang w:val="en-US" w:eastAsia="en-US"/>
        </w:rPr>
        <w:t>usefulness of UK narrative reporting.</w:t>
      </w:r>
      <w:r w:rsidR="001C6363" w:rsidRPr="00DE13EE">
        <w:rPr>
          <w:color w:val="000000" w:themeColor="text1"/>
        </w:rPr>
        <w:t xml:space="preserve"> </w:t>
      </w:r>
    </w:p>
    <w:p w14:paraId="3C529A05" w14:textId="7A2C6721" w:rsidR="00C5287F" w:rsidRPr="00DE13EE" w:rsidRDefault="005818E6" w:rsidP="00B93D4F">
      <w:pPr>
        <w:spacing w:line="360" w:lineRule="auto"/>
        <w:jc w:val="both"/>
        <w:rPr>
          <w:rFonts w:ascii="Times New Roman" w:eastAsia="Calibri" w:hAnsi="Times New Roman" w:cs="Times New Roman"/>
          <w:color w:val="000000" w:themeColor="text1"/>
          <w:sz w:val="24"/>
          <w:szCs w:val="24"/>
          <w:lang w:eastAsia="en-US"/>
        </w:rPr>
      </w:pPr>
      <w:r w:rsidRPr="00DE13EE">
        <w:rPr>
          <w:rFonts w:ascii="Times New Roman" w:eastAsia="Calibri" w:hAnsi="Times New Roman" w:cs="Times New Roman"/>
          <w:bCs/>
          <w:color w:val="000000" w:themeColor="text1"/>
          <w:sz w:val="24"/>
          <w:szCs w:val="24"/>
          <w:lang w:val="en-US" w:eastAsia="en-US"/>
        </w:rPr>
        <w:t xml:space="preserve">In particular, the objectives of the current </w:t>
      </w:r>
      <w:r w:rsidR="00043CAF" w:rsidRPr="00DE13EE">
        <w:rPr>
          <w:rFonts w:ascii="Times New Roman" w:eastAsia="Calibri" w:hAnsi="Times New Roman" w:cs="Times New Roman"/>
          <w:bCs/>
          <w:color w:val="000000" w:themeColor="text1"/>
          <w:sz w:val="24"/>
          <w:szCs w:val="24"/>
          <w:lang w:val="en-US" w:eastAsia="en-US"/>
        </w:rPr>
        <w:t>study</w:t>
      </w:r>
      <w:r w:rsidRPr="00DE13EE">
        <w:rPr>
          <w:rFonts w:ascii="Times New Roman" w:eastAsia="Calibri" w:hAnsi="Times New Roman" w:cs="Times New Roman"/>
          <w:bCs/>
          <w:color w:val="000000" w:themeColor="text1"/>
          <w:sz w:val="24"/>
          <w:szCs w:val="24"/>
          <w:lang w:val="en-US" w:eastAsia="en-US"/>
        </w:rPr>
        <w:t xml:space="preserve"> are </w:t>
      </w:r>
      <w:r w:rsidR="00043CAF" w:rsidRPr="00DE13EE">
        <w:rPr>
          <w:rFonts w:ascii="Times New Roman" w:eastAsia="Calibri" w:hAnsi="Times New Roman" w:cs="Times New Roman"/>
          <w:bCs/>
          <w:color w:val="000000" w:themeColor="text1"/>
          <w:sz w:val="24"/>
          <w:szCs w:val="24"/>
          <w:lang w:val="en-US" w:eastAsia="en-US"/>
        </w:rPr>
        <w:t>threefold</w:t>
      </w:r>
      <w:r w:rsidRPr="00DE13EE">
        <w:rPr>
          <w:rFonts w:ascii="Times New Roman" w:eastAsia="Calibri" w:hAnsi="Times New Roman" w:cs="Times New Roman"/>
          <w:bCs/>
          <w:color w:val="000000" w:themeColor="text1"/>
          <w:sz w:val="24"/>
          <w:szCs w:val="24"/>
          <w:lang w:val="en-US" w:eastAsia="en-US"/>
        </w:rPr>
        <w:t xml:space="preserve">. First, </w:t>
      </w:r>
      <w:r w:rsidR="00824CF0" w:rsidRPr="00DE13EE">
        <w:rPr>
          <w:rFonts w:ascii="Times New Roman" w:eastAsia="Calibri" w:hAnsi="Times New Roman" w:cs="Times New Roman"/>
          <w:bCs/>
          <w:color w:val="000000" w:themeColor="text1"/>
          <w:sz w:val="24"/>
          <w:szCs w:val="24"/>
          <w:lang w:val="en-US" w:eastAsia="en-US"/>
        </w:rPr>
        <w:t xml:space="preserve">the </w:t>
      </w:r>
      <w:r w:rsidRPr="00DE13EE">
        <w:rPr>
          <w:rFonts w:ascii="Times New Roman" w:eastAsia="Calibri" w:hAnsi="Times New Roman" w:cs="Times New Roman"/>
          <w:bCs/>
          <w:color w:val="000000" w:themeColor="text1"/>
          <w:sz w:val="24"/>
          <w:szCs w:val="24"/>
          <w:lang w:val="en-US" w:eastAsia="en-US"/>
        </w:rPr>
        <w:t xml:space="preserve">study examines the impact of </w:t>
      </w:r>
      <w:r w:rsidR="00B05CD9" w:rsidRPr="00DE13EE">
        <w:rPr>
          <w:rFonts w:ascii="Times New Roman" w:eastAsia="Calibri" w:hAnsi="Times New Roman" w:cs="Times New Roman"/>
          <w:bCs/>
          <w:color w:val="000000" w:themeColor="text1"/>
          <w:sz w:val="24"/>
          <w:szCs w:val="24"/>
          <w:lang w:val="en-US" w:eastAsia="en-US"/>
        </w:rPr>
        <w:t xml:space="preserve">the disclosure of forward-looking information </w:t>
      </w:r>
      <w:r w:rsidRPr="00DE13EE">
        <w:rPr>
          <w:rFonts w:ascii="Times New Roman" w:eastAsia="Calibri" w:hAnsi="Times New Roman" w:cs="Times New Roman"/>
          <w:bCs/>
          <w:color w:val="000000" w:themeColor="text1"/>
          <w:sz w:val="24"/>
          <w:szCs w:val="24"/>
          <w:lang w:val="en-US" w:eastAsia="en-US"/>
        </w:rPr>
        <w:t>on the value</w:t>
      </w:r>
      <w:r w:rsidR="00B05CD9" w:rsidRPr="00DE13EE">
        <w:rPr>
          <w:rFonts w:ascii="Times New Roman" w:eastAsia="Calibri" w:hAnsi="Times New Roman" w:cs="Times New Roman"/>
          <w:bCs/>
          <w:color w:val="000000" w:themeColor="text1"/>
          <w:sz w:val="24"/>
          <w:szCs w:val="24"/>
          <w:lang w:val="en-US" w:eastAsia="en-US"/>
        </w:rPr>
        <w:t>s</w:t>
      </w:r>
      <w:r w:rsidRPr="00DE13EE">
        <w:rPr>
          <w:rFonts w:ascii="Times New Roman" w:eastAsia="Calibri" w:hAnsi="Times New Roman" w:cs="Times New Roman"/>
          <w:bCs/>
          <w:color w:val="000000" w:themeColor="text1"/>
          <w:sz w:val="24"/>
          <w:szCs w:val="24"/>
          <w:lang w:val="en-US" w:eastAsia="en-US"/>
        </w:rPr>
        <w:t xml:space="preserve"> of UK FTSE all-shares firms. Second, </w:t>
      </w:r>
      <w:r w:rsidR="00C5287F" w:rsidRPr="00DE13EE">
        <w:rPr>
          <w:rFonts w:ascii="Times New Roman" w:eastAsia="Calibri" w:hAnsi="Times New Roman" w:cs="Times New Roman"/>
          <w:bCs/>
          <w:color w:val="000000" w:themeColor="text1"/>
          <w:sz w:val="24"/>
          <w:szCs w:val="24"/>
          <w:lang w:val="en-US" w:eastAsia="en-US"/>
        </w:rPr>
        <w:t xml:space="preserve">it is argued that </w:t>
      </w:r>
      <w:r w:rsidR="000B14B1" w:rsidRPr="00DE13EE">
        <w:rPr>
          <w:rFonts w:ascii="Times New Roman" w:eastAsia="Calibri" w:hAnsi="Times New Roman" w:cs="Times New Roman"/>
          <w:bCs/>
          <w:color w:val="000000" w:themeColor="text1"/>
          <w:sz w:val="24"/>
          <w:szCs w:val="24"/>
          <w:lang w:val="en-US" w:eastAsia="en-US"/>
        </w:rPr>
        <w:t xml:space="preserve">as </w:t>
      </w:r>
      <w:r w:rsidR="00C5287F" w:rsidRPr="00DE13EE">
        <w:rPr>
          <w:rFonts w:ascii="Times New Roman" w:eastAsia="Calibri" w:hAnsi="Times New Roman" w:cs="Times New Roman"/>
          <w:color w:val="000000" w:themeColor="text1"/>
          <w:sz w:val="24"/>
          <w:szCs w:val="24"/>
          <w:lang w:eastAsia="en-US"/>
        </w:rPr>
        <w:t>earnings performance decreases the earnings signal becomes noisier and reported disclosure becomes less predictive of future value (Merk</w:t>
      </w:r>
      <w:r w:rsidR="00A454D4" w:rsidRPr="00DE13EE">
        <w:rPr>
          <w:rFonts w:ascii="Times New Roman" w:eastAsia="Calibri" w:hAnsi="Times New Roman" w:cs="Times New Roman"/>
          <w:color w:val="000000" w:themeColor="text1"/>
          <w:sz w:val="24"/>
          <w:szCs w:val="24"/>
          <w:lang w:eastAsia="en-US"/>
        </w:rPr>
        <w:t>l</w:t>
      </w:r>
      <w:r w:rsidR="00C5287F" w:rsidRPr="00DE13EE">
        <w:rPr>
          <w:rFonts w:ascii="Times New Roman" w:eastAsia="Calibri" w:hAnsi="Times New Roman" w:cs="Times New Roman"/>
          <w:color w:val="000000" w:themeColor="text1"/>
          <w:sz w:val="24"/>
          <w:szCs w:val="24"/>
          <w:lang w:eastAsia="en-US"/>
        </w:rPr>
        <w:t>ey 2014).</w:t>
      </w:r>
      <w:r w:rsidR="000B14B1" w:rsidRPr="00DE13EE">
        <w:rPr>
          <w:rFonts w:ascii="Times New Roman" w:eastAsia="Calibri" w:hAnsi="Times New Roman" w:cs="Times New Roman"/>
          <w:color w:val="000000" w:themeColor="text1"/>
          <w:sz w:val="24"/>
          <w:szCs w:val="24"/>
          <w:lang w:eastAsia="en-US"/>
        </w:rPr>
        <w:t xml:space="preserve"> In turn, managers increase their discussion</w:t>
      </w:r>
      <w:r w:rsidR="00541D28" w:rsidRPr="00DE13EE">
        <w:rPr>
          <w:rFonts w:ascii="Times New Roman" w:eastAsia="Calibri" w:hAnsi="Times New Roman" w:cs="Times New Roman"/>
          <w:color w:val="000000" w:themeColor="text1"/>
          <w:sz w:val="24"/>
          <w:szCs w:val="24"/>
          <w:lang w:eastAsia="en-US"/>
        </w:rPr>
        <w:t>s</w:t>
      </w:r>
      <w:r w:rsidR="000B14B1" w:rsidRPr="00DE13EE">
        <w:rPr>
          <w:rFonts w:ascii="Times New Roman" w:eastAsia="Calibri" w:hAnsi="Times New Roman" w:cs="Times New Roman"/>
          <w:color w:val="000000" w:themeColor="text1"/>
          <w:sz w:val="24"/>
          <w:szCs w:val="24"/>
          <w:lang w:eastAsia="en-US"/>
        </w:rPr>
        <w:t xml:space="preserve"> and analys</w:t>
      </w:r>
      <w:r w:rsidR="00541D28" w:rsidRPr="00DE13EE">
        <w:rPr>
          <w:rFonts w:ascii="Times New Roman" w:eastAsia="Calibri" w:hAnsi="Times New Roman" w:cs="Times New Roman"/>
          <w:color w:val="000000" w:themeColor="text1"/>
          <w:sz w:val="24"/>
          <w:szCs w:val="24"/>
          <w:lang w:eastAsia="en-US"/>
        </w:rPr>
        <w:t>e</w:t>
      </w:r>
      <w:r w:rsidR="000B14B1" w:rsidRPr="00DE13EE">
        <w:rPr>
          <w:rFonts w:ascii="Times New Roman" w:eastAsia="Calibri" w:hAnsi="Times New Roman" w:cs="Times New Roman"/>
          <w:color w:val="000000" w:themeColor="text1"/>
          <w:sz w:val="24"/>
          <w:szCs w:val="24"/>
          <w:lang w:eastAsia="en-US"/>
        </w:rPr>
        <w:t>s on activities with a potential</w:t>
      </w:r>
      <w:r w:rsidR="0023126A" w:rsidRPr="00DE13EE">
        <w:rPr>
          <w:rFonts w:ascii="Times New Roman" w:eastAsia="Calibri" w:hAnsi="Times New Roman" w:cs="Times New Roman"/>
          <w:color w:val="000000" w:themeColor="text1"/>
          <w:sz w:val="24"/>
          <w:szCs w:val="24"/>
          <w:lang w:eastAsia="en-US"/>
        </w:rPr>
        <w:t>ly</w:t>
      </w:r>
      <w:r w:rsidR="000B14B1" w:rsidRPr="00DE13EE">
        <w:rPr>
          <w:rFonts w:ascii="Times New Roman" w:eastAsia="Calibri" w:hAnsi="Times New Roman" w:cs="Times New Roman"/>
          <w:color w:val="000000" w:themeColor="text1"/>
          <w:sz w:val="24"/>
          <w:szCs w:val="24"/>
          <w:lang w:eastAsia="en-US"/>
        </w:rPr>
        <w:t xml:space="preserve"> positive effect on firms. However, they may use their discretion in preparing narrative disclosure</w:t>
      </w:r>
      <w:r w:rsidR="00541D28" w:rsidRPr="00DE13EE">
        <w:rPr>
          <w:rFonts w:ascii="Times New Roman" w:eastAsia="Calibri" w:hAnsi="Times New Roman" w:cs="Times New Roman"/>
          <w:color w:val="000000" w:themeColor="text1"/>
          <w:sz w:val="24"/>
          <w:szCs w:val="24"/>
          <w:lang w:eastAsia="en-US"/>
        </w:rPr>
        <w:t>s</w:t>
      </w:r>
      <w:r w:rsidR="000B14B1" w:rsidRPr="00DE13EE">
        <w:rPr>
          <w:rFonts w:ascii="Times New Roman" w:eastAsia="Calibri" w:hAnsi="Times New Roman" w:cs="Times New Roman"/>
          <w:color w:val="000000" w:themeColor="text1"/>
          <w:sz w:val="24"/>
          <w:szCs w:val="24"/>
          <w:lang w:eastAsia="en-US"/>
        </w:rPr>
        <w:t xml:space="preserve"> to strategically obfuscate the financial results (</w:t>
      </w:r>
      <w:r w:rsidR="00A454D4" w:rsidRPr="00DE13EE">
        <w:rPr>
          <w:rFonts w:ascii="Times New Roman" w:eastAsia="Calibri" w:hAnsi="Times New Roman" w:cs="Times New Roman"/>
          <w:color w:val="000000" w:themeColor="text1"/>
          <w:sz w:val="24"/>
          <w:szCs w:val="24"/>
          <w:lang w:eastAsia="en-US"/>
        </w:rPr>
        <w:t>Li 2010</w:t>
      </w:r>
      <w:r w:rsidR="00B05CD9" w:rsidRPr="00DE13EE">
        <w:rPr>
          <w:rFonts w:ascii="Times New Roman" w:eastAsia="Calibri" w:hAnsi="Times New Roman" w:cs="Times New Roman"/>
          <w:color w:val="000000" w:themeColor="text1"/>
          <w:sz w:val="24"/>
          <w:szCs w:val="24"/>
          <w:lang w:eastAsia="en-US"/>
        </w:rPr>
        <w:t>)</w:t>
      </w:r>
      <w:r w:rsidR="00007019" w:rsidRPr="00DE13EE">
        <w:rPr>
          <w:rFonts w:ascii="Times New Roman" w:eastAsia="Calibri" w:hAnsi="Times New Roman" w:cs="Times New Roman"/>
          <w:color w:val="000000" w:themeColor="text1"/>
          <w:sz w:val="24"/>
          <w:szCs w:val="24"/>
          <w:lang w:eastAsia="en-US"/>
        </w:rPr>
        <w:t xml:space="preserve">; </w:t>
      </w:r>
      <w:r w:rsidR="000B14B1" w:rsidRPr="00DE13EE">
        <w:rPr>
          <w:rFonts w:ascii="Times New Roman" w:eastAsia="Calibri" w:hAnsi="Times New Roman" w:cs="Times New Roman"/>
          <w:color w:val="000000" w:themeColor="text1"/>
          <w:sz w:val="24"/>
          <w:szCs w:val="24"/>
          <w:lang w:eastAsia="en-US"/>
        </w:rPr>
        <w:t>p</w:t>
      </w:r>
      <w:r w:rsidR="00B05CD9" w:rsidRPr="00DE13EE">
        <w:rPr>
          <w:rFonts w:ascii="Times New Roman" w:eastAsia="Calibri" w:hAnsi="Times New Roman" w:cs="Times New Roman"/>
          <w:color w:val="000000" w:themeColor="text1"/>
          <w:sz w:val="24"/>
          <w:szCs w:val="24"/>
          <w:lang w:eastAsia="en-US"/>
        </w:rPr>
        <w:t>articularly when firms are loss-</w:t>
      </w:r>
      <w:r w:rsidR="000B14B1" w:rsidRPr="00DE13EE">
        <w:rPr>
          <w:rFonts w:ascii="Times New Roman" w:eastAsia="Calibri" w:hAnsi="Times New Roman" w:cs="Times New Roman"/>
          <w:color w:val="000000" w:themeColor="text1"/>
          <w:sz w:val="24"/>
          <w:szCs w:val="24"/>
          <w:lang w:eastAsia="en-US"/>
        </w:rPr>
        <w:t>making</w:t>
      </w:r>
      <w:r w:rsidR="004802ED" w:rsidRPr="00DE13EE">
        <w:rPr>
          <w:rFonts w:ascii="Times New Roman" w:eastAsia="Calibri" w:hAnsi="Times New Roman" w:cs="Times New Roman"/>
          <w:color w:val="000000" w:themeColor="text1"/>
          <w:sz w:val="24"/>
          <w:szCs w:val="24"/>
          <w:lang w:eastAsia="en-US"/>
        </w:rPr>
        <w:t xml:space="preserve"> (Schleicher</w:t>
      </w:r>
      <w:r w:rsidR="00550D53" w:rsidRPr="00DE13EE">
        <w:rPr>
          <w:rFonts w:ascii="Times New Roman" w:eastAsia="Calibri" w:hAnsi="Times New Roman" w:cs="Times New Roman"/>
          <w:color w:val="000000" w:themeColor="text1"/>
          <w:sz w:val="24"/>
          <w:szCs w:val="24"/>
          <w:lang w:eastAsia="en-US"/>
        </w:rPr>
        <w:t xml:space="preserve"> et al.</w:t>
      </w:r>
      <w:r w:rsidR="004802ED" w:rsidRPr="00DE13EE">
        <w:rPr>
          <w:rFonts w:ascii="Times New Roman" w:eastAsia="Calibri" w:hAnsi="Times New Roman" w:cs="Times New Roman"/>
          <w:color w:val="000000" w:themeColor="text1"/>
          <w:sz w:val="24"/>
          <w:szCs w:val="24"/>
          <w:lang w:eastAsia="en-US"/>
        </w:rPr>
        <w:t xml:space="preserve"> 2007)</w:t>
      </w:r>
      <w:r w:rsidR="000B14B1" w:rsidRPr="00DE13EE">
        <w:rPr>
          <w:rFonts w:ascii="Times New Roman" w:eastAsia="Calibri" w:hAnsi="Times New Roman" w:cs="Times New Roman"/>
          <w:color w:val="000000" w:themeColor="text1"/>
          <w:sz w:val="24"/>
          <w:szCs w:val="24"/>
          <w:lang w:eastAsia="en-US"/>
        </w:rPr>
        <w:t>. Therefore</w:t>
      </w:r>
      <w:r w:rsidR="00C5287F" w:rsidRPr="00DE13EE">
        <w:rPr>
          <w:rFonts w:ascii="Times New Roman" w:eastAsia="Calibri" w:hAnsi="Times New Roman" w:cs="Times New Roman"/>
          <w:color w:val="000000" w:themeColor="text1"/>
          <w:sz w:val="24"/>
          <w:szCs w:val="24"/>
          <w:lang w:eastAsia="en-US"/>
        </w:rPr>
        <w:t xml:space="preserve">, the current study differentiates between firms with earnings increase (high-performing) and earnings decrease (low-performing) to </w:t>
      </w:r>
      <w:r w:rsidR="000B14B1" w:rsidRPr="00DE13EE">
        <w:rPr>
          <w:rFonts w:ascii="Times New Roman" w:eastAsia="Calibri" w:hAnsi="Times New Roman" w:cs="Times New Roman"/>
          <w:color w:val="000000" w:themeColor="text1"/>
          <w:sz w:val="24"/>
          <w:szCs w:val="24"/>
          <w:lang w:eastAsia="en-US"/>
        </w:rPr>
        <w:t>examine</w:t>
      </w:r>
      <w:r w:rsidR="00C5287F" w:rsidRPr="00DE13EE">
        <w:rPr>
          <w:rFonts w:ascii="Times New Roman" w:eastAsia="Calibri" w:hAnsi="Times New Roman" w:cs="Times New Roman"/>
          <w:color w:val="000000" w:themeColor="text1"/>
          <w:sz w:val="24"/>
          <w:szCs w:val="24"/>
          <w:lang w:eastAsia="en-US"/>
        </w:rPr>
        <w:t xml:space="preserve"> whether the association between forward-looking disclosure and firm value differ between high and low-</w:t>
      </w:r>
      <w:r w:rsidR="000B14B1" w:rsidRPr="00DE13EE">
        <w:rPr>
          <w:rFonts w:ascii="Times New Roman" w:eastAsia="Calibri" w:hAnsi="Times New Roman" w:cs="Times New Roman"/>
          <w:color w:val="000000" w:themeColor="text1"/>
          <w:sz w:val="24"/>
          <w:szCs w:val="24"/>
          <w:lang w:eastAsia="en-US"/>
        </w:rPr>
        <w:t>performing</w:t>
      </w:r>
      <w:r w:rsidR="00C5287F" w:rsidRPr="00DE13EE">
        <w:rPr>
          <w:rFonts w:ascii="Times New Roman" w:eastAsia="Calibri" w:hAnsi="Times New Roman" w:cs="Times New Roman"/>
          <w:color w:val="000000" w:themeColor="text1"/>
          <w:sz w:val="24"/>
          <w:szCs w:val="24"/>
          <w:lang w:eastAsia="en-US"/>
        </w:rPr>
        <w:t xml:space="preserve"> firms. Third, </w:t>
      </w:r>
      <w:r w:rsidR="00007019" w:rsidRPr="00DE13EE">
        <w:rPr>
          <w:rFonts w:ascii="Times New Roman" w:eastAsia="Calibri" w:hAnsi="Times New Roman" w:cs="Times New Roman"/>
          <w:color w:val="000000" w:themeColor="text1"/>
          <w:sz w:val="24"/>
          <w:szCs w:val="24"/>
          <w:lang w:eastAsia="en-US"/>
        </w:rPr>
        <w:t>f</w:t>
      </w:r>
      <w:r w:rsidR="00F940F3" w:rsidRPr="00DE13EE">
        <w:rPr>
          <w:rFonts w:ascii="Times New Roman" w:eastAsia="Calibri" w:hAnsi="Times New Roman" w:cs="Times New Roman"/>
          <w:color w:val="000000" w:themeColor="text1"/>
          <w:sz w:val="24"/>
          <w:szCs w:val="24"/>
          <w:lang w:eastAsia="en-US"/>
        </w:rPr>
        <w:t xml:space="preserve">orward-looking information is disclosed outside the audited financial </w:t>
      </w:r>
      <w:r w:rsidR="00F940F3" w:rsidRPr="00DE13EE">
        <w:rPr>
          <w:rFonts w:ascii="Times New Roman" w:eastAsia="Calibri" w:hAnsi="Times New Roman" w:cs="Times New Roman"/>
          <w:color w:val="000000" w:themeColor="text1"/>
          <w:sz w:val="24"/>
          <w:szCs w:val="24"/>
          <w:lang w:eastAsia="en-US"/>
        </w:rPr>
        <w:lastRenderedPageBreak/>
        <w:t>statements. Thus, in absence of a mechanism to verify forward-looking information</w:t>
      </w:r>
      <w:r w:rsidR="00B05CD9" w:rsidRPr="00DE13EE">
        <w:rPr>
          <w:rFonts w:ascii="Times New Roman" w:eastAsia="Calibri" w:hAnsi="Times New Roman" w:cs="Times New Roman"/>
          <w:color w:val="000000" w:themeColor="text1"/>
          <w:sz w:val="24"/>
          <w:szCs w:val="24"/>
          <w:lang w:eastAsia="en-US"/>
        </w:rPr>
        <w:t>,</w:t>
      </w:r>
      <w:r w:rsidR="00F940F3" w:rsidRPr="00DE13EE">
        <w:rPr>
          <w:rFonts w:ascii="Times New Roman" w:eastAsia="Calibri" w:hAnsi="Times New Roman" w:cs="Times New Roman"/>
          <w:color w:val="000000" w:themeColor="text1"/>
          <w:sz w:val="24"/>
          <w:szCs w:val="24"/>
          <w:lang w:eastAsia="en-US"/>
        </w:rPr>
        <w:t xml:space="preserve"> investors </w:t>
      </w:r>
      <w:r w:rsidR="00B05CD9" w:rsidRPr="00DE13EE">
        <w:rPr>
          <w:rFonts w:ascii="Times New Roman" w:eastAsia="Calibri" w:hAnsi="Times New Roman" w:cs="Times New Roman"/>
          <w:color w:val="000000" w:themeColor="text1"/>
          <w:sz w:val="24"/>
          <w:szCs w:val="24"/>
          <w:lang w:eastAsia="en-US"/>
        </w:rPr>
        <w:t>may</w:t>
      </w:r>
      <w:r w:rsidR="00F940F3" w:rsidRPr="00DE13EE">
        <w:rPr>
          <w:rFonts w:ascii="Times New Roman" w:eastAsia="Calibri" w:hAnsi="Times New Roman" w:cs="Times New Roman"/>
          <w:color w:val="000000" w:themeColor="text1"/>
          <w:sz w:val="24"/>
          <w:szCs w:val="24"/>
          <w:lang w:eastAsia="en-US"/>
        </w:rPr>
        <w:t xml:space="preserve"> ignore it (Li </w:t>
      </w:r>
      <w:r w:rsidR="00550D53" w:rsidRPr="00DE13EE">
        <w:rPr>
          <w:rFonts w:ascii="Times New Roman" w:eastAsia="Calibri" w:hAnsi="Times New Roman" w:cs="Times New Roman"/>
          <w:color w:val="000000" w:themeColor="text1"/>
          <w:sz w:val="24"/>
          <w:szCs w:val="24"/>
          <w:lang w:eastAsia="en-US"/>
        </w:rPr>
        <w:t xml:space="preserve">and </w:t>
      </w:r>
      <w:r w:rsidR="00F940F3" w:rsidRPr="00DE13EE">
        <w:rPr>
          <w:rFonts w:ascii="Times New Roman" w:eastAsia="Calibri" w:hAnsi="Times New Roman" w:cs="Times New Roman"/>
          <w:color w:val="000000" w:themeColor="text1"/>
          <w:sz w:val="24"/>
          <w:szCs w:val="24"/>
          <w:lang w:eastAsia="en-US"/>
        </w:rPr>
        <w:t xml:space="preserve">Yang </w:t>
      </w:r>
      <w:r w:rsidR="00CD7497" w:rsidRPr="00DE13EE">
        <w:rPr>
          <w:rFonts w:ascii="Times New Roman" w:eastAsia="Calibri" w:hAnsi="Times New Roman" w:cs="Times New Roman"/>
          <w:color w:val="000000" w:themeColor="text1"/>
          <w:sz w:val="24"/>
          <w:szCs w:val="24"/>
          <w:lang w:eastAsia="en-US"/>
        </w:rPr>
        <w:t>2016</w:t>
      </w:r>
      <w:r w:rsidR="00F940F3" w:rsidRPr="00DE13EE">
        <w:rPr>
          <w:rFonts w:ascii="Times New Roman" w:eastAsia="Calibri" w:hAnsi="Times New Roman" w:cs="Times New Roman"/>
          <w:color w:val="000000" w:themeColor="text1"/>
          <w:sz w:val="24"/>
          <w:szCs w:val="24"/>
          <w:lang w:eastAsia="en-US"/>
        </w:rPr>
        <w:t>). However, external auditors review the narrative disclosure statements and so this may encourage man</w:t>
      </w:r>
      <w:r w:rsidR="0023126A" w:rsidRPr="00DE13EE">
        <w:rPr>
          <w:rFonts w:ascii="Times New Roman" w:eastAsia="Calibri" w:hAnsi="Times New Roman" w:cs="Times New Roman"/>
          <w:color w:val="000000" w:themeColor="text1"/>
          <w:sz w:val="24"/>
          <w:szCs w:val="24"/>
          <w:lang w:eastAsia="en-US"/>
        </w:rPr>
        <w:t>a</w:t>
      </w:r>
      <w:r w:rsidR="00F940F3" w:rsidRPr="00DE13EE">
        <w:rPr>
          <w:rFonts w:ascii="Times New Roman" w:eastAsia="Calibri" w:hAnsi="Times New Roman" w:cs="Times New Roman"/>
          <w:color w:val="000000" w:themeColor="text1"/>
          <w:sz w:val="24"/>
          <w:szCs w:val="24"/>
          <w:lang w:eastAsia="en-US"/>
        </w:rPr>
        <w:t xml:space="preserve">gers to provide informative disclosure (Brown </w:t>
      </w:r>
      <w:r w:rsidR="00550D53" w:rsidRPr="00DE13EE">
        <w:rPr>
          <w:rFonts w:ascii="Times New Roman" w:eastAsia="Calibri" w:hAnsi="Times New Roman" w:cs="Times New Roman"/>
          <w:color w:val="000000" w:themeColor="text1"/>
          <w:sz w:val="24"/>
          <w:szCs w:val="24"/>
          <w:lang w:eastAsia="en-US"/>
        </w:rPr>
        <w:t xml:space="preserve">and </w:t>
      </w:r>
      <w:r w:rsidR="00F940F3" w:rsidRPr="00DE13EE">
        <w:rPr>
          <w:rFonts w:ascii="Times New Roman" w:eastAsia="Calibri" w:hAnsi="Times New Roman" w:cs="Times New Roman"/>
          <w:color w:val="000000" w:themeColor="text1"/>
          <w:sz w:val="24"/>
          <w:szCs w:val="24"/>
          <w:lang w:eastAsia="en-US"/>
        </w:rPr>
        <w:t>Tucker 201</w:t>
      </w:r>
      <w:r w:rsidR="005E0815" w:rsidRPr="00DE13EE">
        <w:rPr>
          <w:rFonts w:ascii="Times New Roman" w:eastAsia="Calibri" w:hAnsi="Times New Roman" w:cs="Times New Roman"/>
          <w:color w:val="000000" w:themeColor="text1"/>
          <w:sz w:val="24"/>
          <w:szCs w:val="24"/>
          <w:lang w:eastAsia="en-US"/>
        </w:rPr>
        <w:t>1</w:t>
      </w:r>
      <w:r w:rsidR="00F940F3" w:rsidRPr="00DE13EE">
        <w:rPr>
          <w:rFonts w:ascii="Times New Roman" w:eastAsia="Calibri" w:hAnsi="Times New Roman" w:cs="Times New Roman"/>
          <w:color w:val="000000" w:themeColor="text1"/>
          <w:sz w:val="24"/>
          <w:szCs w:val="24"/>
          <w:lang w:eastAsia="en-US"/>
        </w:rPr>
        <w:t>). Therefore, the current study differentiates between firms audited by one of the big auditing firms (Big-N) and firms au</w:t>
      </w:r>
      <w:r w:rsidR="00B05CD9" w:rsidRPr="00DE13EE">
        <w:rPr>
          <w:rFonts w:ascii="Times New Roman" w:eastAsia="Calibri" w:hAnsi="Times New Roman" w:cs="Times New Roman"/>
          <w:color w:val="000000" w:themeColor="text1"/>
          <w:sz w:val="24"/>
          <w:szCs w:val="24"/>
          <w:lang w:eastAsia="en-US"/>
        </w:rPr>
        <w:t>dited by a non-Big auditor (Non</w:t>
      </w:r>
      <w:r w:rsidR="0023126A" w:rsidRPr="00DE13EE">
        <w:rPr>
          <w:rFonts w:ascii="Times New Roman" w:eastAsia="Calibri" w:hAnsi="Times New Roman" w:cs="Times New Roman"/>
          <w:color w:val="000000" w:themeColor="text1"/>
          <w:sz w:val="24"/>
          <w:szCs w:val="24"/>
          <w:lang w:eastAsia="en-US"/>
        </w:rPr>
        <w:t>-</w:t>
      </w:r>
      <w:r w:rsidR="00F940F3" w:rsidRPr="00DE13EE">
        <w:rPr>
          <w:rFonts w:ascii="Times New Roman" w:eastAsia="Calibri" w:hAnsi="Times New Roman" w:cs="Times New Roman"/>
          <w:color w:val="000000" w:themeColor="text1"/>
          <w:sz w:val="24"/>
          <w:szCs w:val="24"/>
          <w:lang w:eastAsia="en-US"/>
        </w:rPr>
        <w:t>Big-N)</w:t>
      </w:r>
      <w:r w:rsidR="00F940F3" w:rsidRPr="00DE13EE">
        <w:rPr>
          <w:color w:val="000000" w:themeColor="text1"/>
        </w:rPr>
        <w:t xml:space="preserve"> </w:t>
      </w:r>
      <w:r w:rsidR="00F940F3" w:rsidRPr="00DE13EE">
        <w:rPr>
          <w:rFonts w:ascii="Times New Roman" w:eastAsia="Calibri" w:hAnsi="Times New Roman" w:cs="Times New Roman"/>
          <w:color w:val="000000" w:themeColor="text1"/>
          <w:sz w:val="24"/>
          <w:szCs w:val="24"/>
          <w:lang w:eastAsia="en-US"/>
        </w:rPr>
        <w:t>to examine whether the association between forward-looking disclosure and firm value differ</w:t>
      </w:r>
      <w:r w:rsidR="004802ED" w:rsidRPr="00DE13EE">
        <w:rPr>
          <w:rFonts w:ascii="Times New Roman" w:eastAsia="Calibri" w:hAnsi="Times New Roman" w:cs="Times New Roman"/>
          <w:color w:val="000000" w:themeColor="text1"/>
          <w:sz w:val="24"/>
          <w:szCs w:val="24"/>
          <w:lang w:eastAsia="en-US"/>
        </w:rPr>
        <w:t>s</w:t>
      </w:r>
      <w:r w:rsidR="00F940F3" w:rsidRPr="00DE13EE">
        <w:rPr>
          <w:rFonts w:ascii="Times New Roman" w:eastAsia="Calibri" w:hAnsi="Times New Roman" w:cs="Times New Roman"/>
          <w:color w:val="000000" w:themeColor="text1"/>
          <w:sz w:val="24"/>
          <w:szCs w:val="24"/>
          <w:lang w:eastAsia="en-US"/>
        </w:rPr>
        <w:t xml:space="preserve"> between big and non-big auditors. </w:t>
      </w:r>
    </w:p>
    <w:p w14:paraId="43012EF8" w14:textId="1EC7FF99" w:rsidR="00812C9C" w:rsidRPr="00DE13EE" w:rsidRDefault="00CF35BF" w:rsidP="00B93D4F">
      <w:pPr>
        <w:spacing w:line="360" w:lineRule="auto"/>
        <w:jc w:val="both"/>
        <w:rPr>
          <w:rFonts w:ascii="Times New Roman" w:eastAsia="Calibri" w:hAnsi="Times New Roman" w:cs="Times New Roman"/>
          <w:bCs/>
          <w:color w:val="000000" w:themeColor="text1"/>
          <w:sz w:val="24"/>
          <w:szCs w:val="24"/>
          <w:lang w:val="en-US" w:eastAsia="en-US"/>
        </w:rPr>
      </w:pPr>
      <w:r w:rsidRPr="00DE13EE">
        <w:rPr>
          <w:rFonts w:ascii="Times New Roman" w:eastAsia="Calibri" w:hAnsi="Times New Roman" w:cs="Times New Roman"/>
          <w:bCs/>
          <w:color w:val="000000" w:themeColor="text1"/>
          <w:sz w:val="24"/>
          <w:szCs w:val="24"/>
          <w:lang w:val="en-US" w:eastAsia="en-US"/>
        </w:rPr>
        <w:t>We</w:t>
      </w:r>
      <w:r w:rsidR="00812C9C" w:rsidRPr="00DE13EE">
        <w:rPr>
          <w:rFonts w:ascii="Times New Roman" w:eastAsia="Calibri" w:hAnsi="Times New Roman" w:cs="Times New Roman"/>
          <w:bCs/>
          <w:color w:val="000000" w:themeColor="text1"/>
          <w:sz w:val="24"/>
          <w:szCs w:val="24"/>
          <w:lang w:val="en-US" w:eastAsia="en-US"/>
        </w:rPr>
        <w:t xml:space="preserve"> consider UK forward-looking disclosure</w:t>
      </w:r>
      <w:r w:rsidRPr="00DE13EE">
        <w:rPr>
          <w:rFonts w:ascii="Times New Roman" w:eastAsia="Calibri" w:hAnsi="Times New Roman" w:cs="Times New Roman"/>
          <w:bCs/>
          <w:color w:val="000000" w:themeColor="text1"/>
          <w:sz w:val="24"/>
          <w:szCs w:val="24"/>
          <w:lang w:val="en-US" w:eastAsia="en-US"/>
        </w:rPr>
        <w:t>s</w:t>
      </w:r>
      <w:r w:rsidR="00812C9C" w:rsidRPr="00DE13EE">
        <w:rPr>
          <w:rFonts w:ascii="Times New Roman" w:eastAsia="Calibri" w:hAnsi="Times New Roman" w:cs="Times New Roman"/>
          <w:bCs/>
          <w:color w:val="000000" w:themeColor="text1"/>
          <w:sz w:val="24"/>
          <w:szCs w:val="24"/>
          <w:lang w:val="en-US" w:eastAsia="en-US"/>
        </w:rPr>
        <w:t xml:space="preserve"> for </w:t>
      </w:r>
      <w:r w:rsidRPr="00DE13EE">
        <w:rPr>
          <w:rFonts w:ascii="Times New Roman" w:eastAsia="Calibri" w:hAnsi="Times New Roman" w:cs="Times New Roman"/>
          <w:bCs/>
          <w:color w:val="000000" w:themeColor="text1"/>
          <w:sz w:val="24"/>
          <w:szCs w:val="24"/>
          <w:lang w:val="en-US" w:eastAsia="en-US"/>
        </w:rPr>
        <w:t>a number of reasons</w:t>
      </w:r>
      <w:r w:rsidR="00812C9C" w:rsidRPr="00DE13EE">
        <w:rPr>
          <w:rFonts w:ascii="Times New Roman" w:eastAsia="Calibri" w:hAnsi="Times New Roman" w:cs="Times New Roman"/>
          <w:bCs/>
          <w:color w:val="000000" w:themeColor="text1"/>
          <w:sz w:val="24"/>
          <w:szCs w:val="24"/>
          <w:lang w:val="en-US" w:eastAsia="en-US"/>
        </w:rPr>
        <w:t xml:space="preserve">. </w:t>
      </w:r>
      <w:r w:rsidR="00EF116A" w:rsidRPr="00DE13EE">
        <w:rPr>
          <w:rFonts w:ascii="Times New Roman" w:eastAsia="Calibri" w:hAnsi="Times New Roman" w:cs="Times New Roman"/>
          <w:bCs/>
          <w:color w:val="000000" w:themeColor="text1"/>
          <w:sz w:val="24"/>
          <w:szCs w:val="24"/>
          <w:lang w:val="en-US" w:eastAsia="en-US"/>
        </w:rPr>
        <w:t xml:space="preserve">First, </w:t>
      </w:r>
      <w:r w:rsidR="00812C9C" w:rsidRPr="00DE13EE">
        <w:rPr>
          <w:rFonts w:ascii="Times New Roman" w:eastAsia="Calibri" w:hAnsi="Times New Roman" w:cs="Times New Roman"/>
          <w:bCs/>
          <w:color w:val="000000" w:themeColor="text1"/>
          <w:sz w:val="24"/>
          <w:szCs w:val="24"/>
          <w:lang w:val="en-US" w:eastAsia="en-US"/>
        </w:rPr>
        <w:t xml:space="preserve">UK provides a unique context to </w:t>
      </w:r>
      <w:r w:rsidRPr="00DE13EE">
        <w:rPr>
          <w:rFonts w:ascii="Times New Roman" w:eastAsia="Calibri" w:hAnsi="Times New Roman" w:cs="Times New Roman"/>
          <w:bCs/>
          <w:color w:val="000000" w:themeColor="text1"/>
          <w:sz w:val="24"/>
          <w:szCs w:val="24"/>
          <w:lang w:val="en-US" w:eastAsia="en-US"/>
        </w:rPr>
        <w:t>analyze</w:t>
      </w:r>
      <w:r w:rsidR="00812C9C" w:rsidRPr="00DE13EE">
        <w:rPr>
          <w:rFonts w:ascii="Times New Roman" w:eastAsia="Calibri" w:hAnsi="Times New Roman" w:cs="Times New Roman"/>
          <w:bCs/>
          <w:color w:val="000000" w:themeColor="text1"/>
          <w:sz w:val="24"/>
          <w:szCs w:val="24"/>
          <w:lang w:val="en-US" w:eastAsia="en-US"/>
        </w:rPr>
        <w:t xml:space="preserve"> the disclosure of forward-looking information</w:t>
      </w:r>
      <w:r w:rsidR="00470976" w:rsidRPr="00DE13EE">
        <w:rPr>
          <w:rFonts w:ascii="Times New Roman" w:eastAsia="Calibri" w:hAnsi="Times New Roman" w:cs="Times New Roman"/>
          <w:bCs/>
          <w:color w:val="000000" w:themeColor="text1"/>
          <w:sz w:val="24"/>
          <w:szCs w:val="24"/>
          <w:lang w:val="en-US" w:eastAsia="en-US"/>
        </w:rPr>
        <w:t xml:space="preserve">. This information </w:t>
      </w:r>
      <w:r w:rsidR="00812C9C" w:rsidRPr="00DE13EE">
        <w:rPr>
          <w:rFonts w:ascii="Times New Roman" w:eastAsia="Calibri" w:hAnsi="Times New Roman" w:cs="Times New Roman"/>
          <w:bCs/>
          <w:color w:val="000000" w:themeColor="text1"/>
          <w:sz w:val="24"/>
          <w:szCs w:val="24"/>
          <w:lang w:val="en-US" w:eastAsia="en-US"/>
        </w:rPr>
        <w:t>is</w:t>
      </w:r>
      <w:r w:rsidR="00812C9C" w:rsidRPr="00DE13EE">
        <w:rPr>
          <w:rFonts w:ascii="Times New Roman" w:eastAsia="Calibri" w:hAnsi="Times New Roman" w:cs="Times New Roman"/>
          <w:color w:val="000000" w:themeColor="text1"/>
          <w:sz w:val="24"/>
          <w:szCs w:val="24"/>
          <w:lang w:val="en-US" w:eastAsia="en-US"/>
        </w:rPr>
        <w:t xml:space="preserve"> </w:t>
      </w:r>
      <w:r w:rsidR="00812C9C" w:rsidRPr="00DE13EE">
        <w:rPr>
          <w:rFonts w:ascii="Times New Roman" w:eastAsia="Calibri" w:hAnsi="Times New Roman" w:cs="Times New Roman"/>
          <w:bCs/>
          <w:color w:val="000000" w:themeColor="text1"/>
          <w:sz w:val="24"/>
          <w:szCs w:val="24"/>
          <w:lang w:val="en-US" w:eastAsia="en-US"/>
        </w:rPr>
        <w:t xml:space="preserve">qualitative in nature and not immediately verifiable or auditable (Athanasakou </w:t>
      </w:r>
      <w:r w:rsidR="00550D53" w:rsidRPr="00DE13EE">
        <w:rPr>
          <w:rFonts w:ascii="Times New Roman" w:eastAsia="Calibri" w:hAnsi="Times New Roman" w:cs="Times New Roman"/>
          <w:bCs/>
          <w:color w:val="000000" w:themeColor="text1"/>
          <w:sz w:val="24"/>
          <w:szCs w:val="24"/>
          <w:lang w:val="en-US" w:eastAsia="en-US"/>
        </w:rPr>
        <w:t xml:space="preserve">and </w:t>
      </w:r>
      <w:r w:rsidR="00812C9C" w:rsidRPr="00DE13EE">
        <w:rPr>
          <w:rFonts w:ascii="Times New Roman" w:eastAsia="Calibri" w:hAnsi="Times New Roman" w:cs="Times New Roman"/>
          <w:bCs/>
          <w:color w:val="000000" w:themeColor="text1"/>
          <w:sz w:val="24"/>
          <w:szCs w:val="24"/>
          <w:lang w:val="en-US" w:eastAsia="en-US"/>
        </w:rPr>
        <w:t xml:space="preserve">Hussainey 2014). </w:t>
      </w:r>
      <w:r w:rsidR="00EF116A" w:rsidRPr="00DE13EE">
        <w:rPr>
          <w:rFonts w:ascii="Times New Roman" w:eastAsia="Calibri" w:hAnsi="Times New Roman" w:cs="Times New Roman"/>
          <w:bCs/>
          <w:color w:val="000000" w:themeColor="text1"/>
          <w:sz w:val="24"/>
          <w:szCs w:val="24"/>
          <w:lang w:val="en-US" w:eastAsia="en-US"/>
        </w:rPr>
        <w:t>Besides, significant variations exist between UK firms</w:t>
      </w:r>
      <w:r w:rsidR="004802ED" w:rsidRPr="00DE13EE">
        <w:rPr>
          <w:rFonts w:ascii="Times New Roman" w:eastAsia="Calibri" w:hAnsi="Times New Roman" w:cs="Times New Roman"/>
          <w:bCs/>
          <w:color w:val="000000" w:themeColor="text1"/>
          <w:sz w:val="24"/>
          <w:szCs w:val="24"/>
          <w:lang w:val="en-US" w:eastAsia="en-US"/>
        </w:rPr>
        <w:t xml:space="preserve"> in terms of their</w:t>
      </w:r>
      <w:r w:rsidR="00EF116A" w:rsidRPr="00DE13EE">
        <w:rPr>
          <w:rFonts w:ascii="Times New Roman" w:eastAsia="Calibri" w:hAnsi="Times New Roman" w:cs="Times New Roman"/>
          <w:bCs/>
          <w:color w:val="000000" w:themeColor="text1"/>
          <w:sz w:val="24"/>
          <w:szCs w:val="24"/>
          <w:lang w:val="en-US" w:eastAsia="en-US"/>
        </w:rPr>
        <w:t xml:space="preserve"> forward-looking disclosure practices (Wang </w:t>
      </w:r>
      <w:r w:rsidR="00550D53" w:rsidRPr="00DE13EE">
        <w:rPr>
          <w:rFonts w:ascii="Times New Roman" w:eastAsia="Calibri" w:hAnsi="Times New Roman" w:cs="Times New Roman"/>
          <w:bCs/>
          <w:color w:val="000000" w:themeColor="text1"/>
          <w:sz w:val="24"/>
          <w:szCs w:val="24"/>
          <w:lang w:val="en-US" w:eastAsia="en-US"/>
        </w:rPr>
        <w:t xml:space="preserve">and </w:t>
      </w:r>
      <w:r w:rsidR="00EF116A" w:rsidRPr="00DE13EE">
        <w:rPr>
          <w:rFonts w:ascii="Times New Roman" w:eastAsia="Calibri" w:hAnsi="Times New Roman" w:cs="Times New Roman"/>
          <w:bCs/>
          <w:color w:val="000000" w:themeColor="text1"/>
          <w:sz w:val="24"/>
          <w:szCs w:val="24"/>
          <w:lang w:val="en-US" w:eastAsia="en-US"/>
        </w:rPr>
        <w:t xml:space="preserve">Hussainey 2013). </w:t>
      </w:r>
      <w:r w:rsidR="00812C9C" w:rsidRPr="00DE13EE">
        <w:rPr>
          <w:rFonts w:ascii="Times New Roman" w:eastAsia="Calibri" w:hAnsi="Times New Roman" w:cs="Times New Roman"/>
          <w:bCs/>
          <w:color w:val="000000" w:themeColor="text1"/>
          <w:sz w:val="24"/>
          <w:szCs w:val="24"/>
          <w:lang w:val="en-US" w:eastAsia="en-US"/>
        </w:rPr>
        <w:t xml:space="preserve">This raises a concern </w:t>
      </w:r>
      <w:r w:rsidR="00444E53" w:rsidRPr="00DE13EE">
        <w:rPr>
          <w:rFonts w:ascii="Times New Roman" w:eastAsia="Calibri" w:hAnsi="Times New Roman" w:cs="Times New Roman"/>
          <w:bCs/>
          <w:color w:val="000000" w:themeColor="text1"/>
          <w:sz w:val="24"/>
          <w:szCs w:val="24"/>
          <w:lang w:val="en-US" w:eastAsia="en-US"/>
        </w:rPr>
        <w:t xml:space="preserve">about </w:t>
      </w:r>
      <w:r w:rsidR="00812C9C" w:rsidRPr="00DE13EE">
        <w:rPr>
          <w:rFonts w:ascii="Times New Roman" w:eastAsia="Calibri" w:hAnsi="Times New Roman" w:cs="Times New Roman"/>
          <w:bCs/>
          <w:color w:val="000000" w:themeColor="text1"/>
          <w:sz w:val="24"/>
          <w:szCs w:val="24"/>
          <w:lang w:val="en-US" w:eastAsia="en-US"/>
        </w:rPr>
        <w:t xml:space="preserve">whether this type of disclosure </w:t>
      </w:r>
      <w:r w:rsidR="00770CF6" w:rsidRPr="00DE13EE">
        <w:rPr>
          <w:rFonts w:ascii="Times New Roman" w:eastAsia="Calibri" w:hAnsi="Times New Roman" w:cs="Times New Roman"/>
          <w:bCs/>
          <w:color w:val="000000" w:themeColor="text1"/>
          <w:sz w:val="24"/>
          <w:szCs w:val="24"/>
          <w:lang w:val="en-US" w:eastAsia="en-US"/>
        </w:rPr>
        <w:t>is</w:t>
      </w:r>
      <w:r w:rsidR="00812C9C" w:rsidRPr="00DE13EE">
        <w:rPr>
          <w:rFonts w:ascii="Times New Roman" w:eastAsia="Calibri" w:hAnsi="Times New Roman" w:cs="Times New Roman"/>
          <w:bCs/>
          <w:color w:val="000000" w:themeColor="text1"/>
          <w:sz w:val="24"/>
          <w:szCs w:val="24"/>
          <w:lang w:val="en-US" w:eastAsia="en-US"/>
        </w:rPr>
        <w:t xml:space="preserve"> informative to investors.</w:t>
      </w:r>
      <w:r w:rsidR="00812C9C" w:rsidRPr="00DE13EE">
        <w:rPr>
          <w:rFonts w:ascii="Times New Roman" w:hAnsi="Times New Roman" w:cs="Times New Roman"/>
          <w:bCs/>
          <w:color w:val="000000" w:themeColor="text1"/>
          <w:sz w:val="24"/>
          <w:szCs w:val="24"/>
          <w:lang w:val="en-US"/>
        </w:rPr>
        <w:t xml:space="preserve"> </w:t>
      </w:r>
      <w:r w:rsidR="00EF116A" w:rsidRPr="00DE13EE">
        <w:rPr>
          <w:rFonts w:ascii="Times New Roman" w:eastAsia="Calibri" w:hAnsi="Times New Roman" w:cs="Times New Roman"/>
          <w:bCs/>
          <w:color w:val="000000" w:themeColor="text1"/>
          <w:sz w:val="24"/>
          <w:szCs w:val="24"/>
          <w:lang w:val="en-US" w:eastAsia="en-US"/>
        </w:rPr>
        <w:t>Second</w:t>
      </w:r>
      <w:r w:rsidR="00386F12" w:rsidRPr="00DE13EE">
        <w:rPr>
          <w:rFonts w:ascii="Times New Roman" w:eastAsia="Calibri" w:hAnsi="Times New Roman" w:cs="Times New Roman"/>
          <w:bCs/>
          <w:color w:val="000000" w:themeColor="text1"/>
          <w:sz w:val="24"/>
          <w:szCs w:val="24"/>
          <w:lang w:val="en-US" w:eastAsia="en-US"/>
        </w:rPr>
        <w:t xml:space="preserve">, </w:t>
      </w:r>
      <w:r w:rsidR="00861668" w:rsidRPr="00DE13EE">
        <w:rPr>
          <w:rFonts w:ascii="Times New Roman" w:eastAsia="Calibri" w:hAnsi="Times New Roman" w:cs="Times New Roman"/>
          <w:bCs/>
          <w:color w:val="000000" w:themeColor="text1"/>
          <w:sz w:val="24"/>
          <w:szCs w:val="24"/>
          <w:lang w:val="en-US" w:eastAsia="en-US"/>
        </w:rPr>
        <w:t xml:space="preserve">UK </w:t>
      </w:r>
      <w:r w:rsidR="00812C9C" w:rsidRPr="00DE13EE">
        <w:rPr>
          <w:rFonts w:ascii="Times New Roman" w:eastAsia="Calibri" w:hAnsi="Times New Roman" w:cs="Times New Roman"/>
          <w:bCs/>
          <w:color w:val="000000" w:themeColor="text1"/>
          <w:sz w:val="24"/>
          <w:szCs w:val="24"/>
          <w:lang w:val="en-US" w:eastAsia="en-US"/>
        </w:rPr>
        <w:t>forward-looking disclosure</w:t>
      </w:r>
      <w:r w:rsidR="0023126A" w:rsidRPr="00DE13EE">
        <w:rPr>
          <w:rFonts w:ascii="Times New Roman" w:eastAsia="Calibri" w:hAnsi="Times New Roman" w:cs="Times New Roman"/>
          <w:bCs/>
          <w:color w:val="000000" w:themeColor="text1"/>
          <w:sz w:val="24"/>
          <w:szCs w:val="24"/>
          <w:lang w:val="en-US" w:eastAsia="en-US"/>
        </w:rPr>
        <w:t>,</w:t>
      </w:r>
      <w:r w:rsidR="00812C9C" w:rsidRPr="00DE13EE">
        <w:rPr>
          <w:rFonts w:ascii="Times New Roman" w:eastAsia="Calibri" w:hAnsi="Times New Roman" w:cs="Times New Roman"/>
          <w:bCs/>
          <w:color w:val="000000" w:themeColor="text1"/>
          <w:sz w:val="24"/>
          <w:szCs w:val="24"/>
          <w:lang w:val="en-US" w:eastAsia="en-US"/>
        </w:rPr>
        <w:t xml:space="preserve"> </w:t>
      </w:r>
      <w:r w:rsidR="00392E06" w:rsidRPr="00DE13EE">
        <w:rPr>
          <w:rFonts w:ascii="Times New Roman" w:eastAsia="Calibri" w:hAnsi="Times New Roman" w:cs="Times New Roman"/>
          <w:bCs/>
          <w:color w:val="000000" w:themeColor="text1"/>
          <w:sz w:val="24"/>
          <w:szCs w:val="24"/>
          <w:lang w:val="en-US" w:eastAsia="en-US"/>
        </w:rPr>
        <w:t>on the one hand</w:t>
      </w:r>
      <w:r w:rsidR="0023126A" w:rsidRPr="00DE13EE">
        <w:rPr>
          <w:rFonts w:ascii="Times New Roman" w:eastAsia="Calibri" w:hAnsi="Times New Roman" w:cs="Times New Roman"/>
          <w:bCs/>
          <w:color w:val="000000" w:themeColor="text1"/>
          <w:sz w:val="24"/>
          <w:szCs w:val="24"/>
          <w:lang w:val="en-US" w:eastAsia="en-US"/>
        </w:rPr>
        <w:t>,</w:t>
      </w:r>
      <w:r w:rsidR="00392E06" w:rsidRPr="00DE13EE">
        <w:rPr>
          <w:rFonts w:ascii="Times New Roman" w:eastAsia="Calibri" w:hAnsi="Times New Roman" w:cs="Times New Roman"/>
          <w:bCs/>
          <w:color w:val="000000" w:themeColor="text1"/>
          <w:sz w:val="24"/>
          <w:szCs w:val="24"/>
          <w:lang w:val="en-US" w:eastAsia="en-US"/>
        </w:rPr>
        <w:t xml:space="preserve"> </w:t>
      </w:r>
      <w:r w:rsidR="00812C9C" w:rsidRPr="00DE13EE">
        <w:rPr>
          <w:rFonts w:ascii="Times New Roman" w:eastAsia="Calibri" w:hAnsi="Times New Roman" w:cs="Times New Roman"/>
          <w:bCs/>
          <w:color w:val="000000" w:themeColor="text1"/>
          <w:sz w:val="24"/>
          <w:szCs w:val="24"/>
          <w:lang w:val="en-US" w:eastAsia="en-US"/>
        </w:rPr>
        <w:t>contains valuable and relevant information for investors in anticipating future earnings (Hussainey et al. 2003). On the other hand, it may not be useful for real</w:t>
      </w:r>
      <w:r w:rsidR="00392E06" w:rsidRPr="00DE13EE">
        <w:rPr>
          <w:rFonts w:ascii="Times New Roman" w:eastAsia="Calibri" w:hAnsi="Times New Roman" w:cs="Times New Roman"/>
          <w:bCs/>
          <w:color w:val="000000" w:themeColor="text1"/>
          <w:sz w:val="24"/>
          <w:szCs w:val="24"/>
          <w:lang w:val="en-US" w:eastAsia="en-US"/>
        </w:rPr>
        <w:t>-</w:t>
      </w:r>
      <w:r w:rsidR="00812C9C" w:rsidRPr="00DE13EE">
        <w:rPr>
          <w:rFonts w:ascii="Times New Roman" w:eastAsia="Calibri" w:hAnsi="Times New Roman" w:cs="Times New Roman"/>
          <w:bCs/>
          <w:color w:val="000000" w:themeColor="text1"/>
          <w:sz w:val="24"/>
          <w:szCs w:val="24"/>
          <w:lang w:val="en-US" w:eastAsia="en-US"/>
        </w:rPr>
        <w:t xml:space="preserve">time decision-making because of the relative </w:t>
      </w:r>
      <w:r w:rsidR="00392E06" w:rsidRPr="00DE13EE">
        <w:rPr>
          <w:rFonts w:ascii="Times New Roman" w:eastAsia="Calibri" w:hAnsi="Times New Roman" w:cs="Times New Roman"/>
          <w:bCs/>
          <w:color w:val="000000" w:themeColor="text1"/>
          <w:sz w:val="24"/>
          <w:szCs w:val="24"/>
          <w:lang w:val="en-US" w:eastAsia="en-US"/>
        </w:rPr>
        <w:t>delay in publishing</w:t>
      </w:r>
      <w:r w:rsidR="00812C9C" w:rsidRPr="00DE13EE">
        <w:rPr>
          <w:rFonts w:ascii="Times New Roman" w:eastAsia="Calibri" w:hAnsi="Times New Roman" w:cs="Times New Roman"/>
          <w:bCs/>
          <w:color w:val="000000" w:themeColor="text1"/>
          <w:sz w:val="24"/>
          <w:szCs w:val="24"/>
          <w:lang w:val="en-US" w:eastAsia="en-US"/>
        </w:rPr>
        <w:t xml:space="preserve"> annual report</w:t>
      </w:r>
      <w:r w:rsidR="00392E06" w:rsidRPr="00DE13EE">
        <w:rPr>
          <w:rFonts w:ascii="Times New Roman" w:eastAsia="Calibri" w:hAnsi="Times New Roman" w:cs="Times New Roman"/>
          <w:bCs/>
          <w:color w:val="000000" w:themeColor="text1"/>
          <w:sz w:val="24"/>
          <w:szCs w:val="24"/>
          <w:lang w:val="en-US" w:eastAsia="en-US"/>
        </w:rPr>
        <w:t>s</w:t>
      </w:r>
      <w:r w:rsidR="00812C9C" w:rsidRPr="00DE13EE">
        <w:rPr>
          <w:rFonts w:ascii="Times New Roman" w:eastAsia="Calibri" w:hAnsi="Times New Roman" w:cs="Times New Roman"/>
          <w:bCs/>
          <w:color w:val="000000" w:themeColor="text1"/>
          <w:sz w:val="24"/>
          <w:szCs w:val="24"/>
          <w:lang w:val="en-US" w:eastAsia="en-US"/>
        </w:rPr>
        <w:t>.</w:t>
      </w:r>
      <w:r w:rsidR="00861668" w:rsidRPr="00DE13EE">
        <w:rPr>
          <w:rFonts w:ascii="Times New Roman" w:eastAsia="Calibri" w:hAnsi="Times New Roman" w:cs="Times New Roman"/>
          <w:bCs/>
          <w:color w:val="000000" w:themeColor="text1"/>
          <w:sz w:val="24"/>
          <w:szCs w:val="24"/>
          <w:lang w:val="en-US" w:eastAsia="en-US"/>
        </w:rPr>
        <w:t xml:space="preserve"> Beside</w:t>
      </w:r>
      <w:r w:rsidR="0023126A" w:rsidRPr="00DE13EE">
        <w:rPr>
          <w:rFonts w:ascii="Times New Roman" w:eastAsia="Calibri" w:hAnsi="Times New Roman" w:cs="Times New Roman"/>
          <w:bCs/>
          <w:color w:val="000000" w:themeColor="text1"/>
          <w:sz w:val="24"/>
          <w:szCs w:val="24"/>
          <w:lang w:val="en-US" w:eastAsia="en-US"/>
        </w:rPr>
        <w:t>s</w:t>
      </w:r>
      <w:r w:rsidR="00861668" w:rsidRPr="00DE13EE">
        <w:rPr>
          <w:rFonts w:ascii="Times New Roman" w:eastAsia="Calibri" w:hAnsi="Times New Roman" w:cs="Times New Roman"/>
          <w:bCs/>
          <w:color w:val="000000" w:themeColor="text1"/>
          <w:sz w:val="24"/>
          <w:szCs w:val="24"/>
          <w:lang w:val="en-US" w:eastAsia="en-US"/>
        </w:rPr>
        <w:t xml:space="preserve">, Wang and Hussainey (2013) </w:t>
      </w:r>
      <w:r w:rsidR="00A97A9B" w:rsidRPr="00DE13EE">
        <w:rPr>
          <w:rFonts w:ascii="Times New Roman" w:eastAsia="Calibri" w:hAnsi="Times New Roman" w:cs="Times New Roman"/>
          <w:bCs/>
          <w:color w:val="000000" w:themeColor="text1"/>
          <w:sz w:val="24"/>
          <w:szCs w:val="24"/>
          <w:lang w:val="en-US" w:eastAsia="en-US"/>
        </w:rPr>
        <w:t xml:space="preserve">argue </w:t>
      </w:r>
      <w:r w:rsidR="00861668" w:rsidRPr="00DE13EE">
        <w:rPr>
          <w:rFonts w:ascii="Times New Roman" w:eastAsia="Calibri" w:hAnsi="Times New Roman" w:cs="Times New Roman"/>
          <w:bCs/>
          <w:color w:val="000000" w:themeColor="text1"/>
          <w:sz w:val="24"/>
          <w:szCs w:val="24"/>
          <w:lang w:val="en-US" w:eastAsia="en-US"/>
        </w:rPr>
        <w:t>that research investigating investors’ responses to UK narrative statements remains limited.</w:t>
      </w:r>
      <w:r w:rsidR="00812C9C" w:rsidRPr="00DE13EE">
        <w:rPr>
          <w:rFonts w:ascii="Times New Roman" w:eastAsia="Calibri" w:hAnsi="Times New Roman" w:cs="Times New Roman"/>
          <w:bCs/>
          <w:color w:val="000000" w:themeColor="text1"/>
          <w:sz w:val="24"/>
          <w:szCs w:val="24"/>
          <w:lang w:val="en-US" w:eastAsia="en-US"/>
        </w:rPr>
        <w:t xml:space="preserve"> </w:t>
      </w:r>
      <w:r w:rsidR="00711D0C" w:rsidRPr="00DE13EE">
        <w:rPr>
          <w:rFonts w:ascii="Times New Roman" w:eastAsia="Calibri" w:hAnsi="Times New Roman" w:cs="Times New Roman"/>
          <w:bCs/>
          <w:color w:val="000000" w:themeColor="text1"/>
          <w:sz w:val="24"/>
          <w:szCs w:val="24"/>
          <w:lang w:val="en-US" w:eastAsia="en-US"/>
        </w:rPr>
        <w:t xml:space="preserve">Consequently, </w:t>
      </w:r>
      <w:r w:rsidR="00812C9C" w:rsidRPr="00DE13EE">
        <w:rPr>
          <w:rFonts w:ascii="Times New Roman" w:eastAsia="Calibri" w:hAnsi="Times New Roman" w:cs="Times New Roman"/>
          <w:bCs/>
          <w:color w:val="000000" w:themeColor="text1"/>
          <w:sz w:val="24"/>
          <w:szCs w:val="24"/>
          <w:lang w:val="en-US" w:eastAsia="en-US"/>
        </w:rPr>
        <w:t xml:space="preserve">the usefulness of forward-looking disclosure in UK narratives </w:t>
      </w:r>
      <w:r w:rsidR="00711D0C" w:rsidRPr="00DE13EE">
        <w:rPr>
          <w:rFonts w:ascii="Times New Roman" w:eastAsia="Calibri" w:hAnsi="Times New Roman" w:cs="Times New Roman"/>
          <w:bCs/>
          <w:color w:val="000000" w:themeColor="text1"/>
          <w:sz w:val="24"/>
          <w:szCs w:val="24"/>
          <w:lang w:val="en-US" w:eastAsia="en-US"/>
        </w:rPr>
        <w:t xml:space="preserve">remains an </w:t>
      </w:r>
      <w:r w:rsidR="00812C9C" w:rsidRPr="00DE13EE">
        <w:rPr>
          <w:rFonts w:ascii="Times New Roman" w:eastAsia="Calibri" w:hAnsi="Times New Roman" w:cs="Times New Roman"/>
          <w:bCs/>
          <w:color w:val="000000" w:themeColor="text1"/>
          <w:sz w:val="24"/>
          <w:szCs w:val="24"/>
          <w:lang w:val="en-US" w:eastAsia="en-US"/>
        </w:rPr>
        <w:t>open empirical issue that requires more investigation</w:t>
      </w:r>
      <w:r w:rsidR="00527E43" w:rsidRPr="00DE13EE">
        <w:rPr>
          <w:rFonts w:ascii="Times New Roman" w:eastAsia="Calibri" w:hAnsi="Times New Roman" w:cs="Times New Roman"/>
          <w:bCs/>
          <w:color w:val="000000" w:themeColor="text1"/>
          <w:sz w:val="24"/>
          <w:szCs w:val="24"/>
          <w:lang w:val="en-US" w:eastAsia="en-US"/>
        </w:rPr>
        <w:t>, as undertaken by t</w:t>
      </w:r>
      <w:r w:rsidR="00812C9C" w:rsidRPr="00DE13EE">
        <w:rPr>
          <w:rFonts w:ascii="Times New Roman" w:eastAsia="Calibri" w:hAnsi="Times New Roman" w:cs="Times New Roman"/>
          <w:bCs/>
          <w:color w:val="000000" w:themeColor="text1"/>
          <w:sz w:val="24"/>
          <w:szCs w:val="24"/>
          <w:lang w:val="en-US" w:eastAsia="en-US"/>
        </w:rPr>
        <w:t>his paper.</w:t>
      </w:r>
      <w:r w:rsidR="00812C9C" w:rsidRPr="00DE13EE" w:rsidDel="00AD3093">
        <w:rPr>
          <w:rFonts w:ascii="Times New Roman" w:eastAsia="Calibri" w:hAnsi="Times New Roman" w:cs="Times New Roman"/>
          <w:bCs/>
          <w:color w:val="000000" w:themeColor="text1"/>
          <w:sz w:val="24"/>
          <w:szCs w:val="24"/>
          <w:lang w:val="en-US" w:eastAsia="en-US"/>
        </w:rPr>
        <w:t xml:space="preserve"> </w:t>
      </w:r>
    </w:p>
    <w:p w14:paraId="62EB70B2" w14:textId="56172F6B" w:rsidR="00E41889" w:rsidRPr="00DE13EE" w:rsidRDefault="00812C9C" w:rsidP="00B93D4F">
      <w:pPr>
        <w:spacing w:line="360" w:lineRule="auto"/>
        <w:jc w:val="both"/>
        <w:rPr>
          <w:rFonts w:ascii="Times New Roman" w:eastAsia="Calibri" w:hAnsi="Times New Roman" w:cs="Times New Roman"/>
          <w:bCs/>
          <w:color w:val="000000" w:themeColor="text1"/>
          <w:sz w:val="24"/>
          <w:szCs w:val="24"/>
          <w:lang w:val="en-US" w:eastAsia="en-US"/>
        </w:rPr>
      </w:pPr>
      <w:r w:rsidRPr="00DE13EE">
        <w:rPr>
          <w:rFonts w:ascii="Times New Roman" w:eastAsia="Calibri" w:hAnsi="Times New Roman" w:cs="Times New Roman"/>
          <w:bCs/>
          <w:color w:val="000000" w:themeColor="text1"/>
          <w:sz w:val="24"/>
          <w:szCs w:val="24"/>
          <w:lang w:val="en-US" w:eastAsia="en-US"/>
        </w:rPr>
        <w:t xml:space="preserve">This paper provides two distinct contributions to the literature </w:t>
      </w:r>
      <w:r w:rsidR="00527E43" w:rsidRPr="00DE13EE">
        <w:rPr>
          <w:rFonts w:ascii="Times New Roman" w:eastAsia="Calibri" w:hAnsi="Times New Roman" w:cs="Times New Roman"/>
          <w:bCs/>
          <w:color w:val="000000" w:themeColor="text1"/>
          <w:sz w:val="24"/>
          <w:szCs w:val="24"/>
          <w:lang w:val="en-US" w:eastAsia="en-US"/>
        </w:rPr>
        <w:t>on</w:t>
      </w:r>
      <w:r w:rsidRPr="00DE13EE">
        <w:rPr>
          <w:rFonts w:ascii="Times New Roman" w:eastAsia="Calibri" w:hAnsi="Times New Roman" w:cs="Times New Roman"/>
          <w:bCs/>
          <w:color w:val="000000" w:themeColor="text1"/>
          <w:sz w:val="24"/>
          <w:szCs w:val="24"/>
          <w:lang w:val="en-US" w:eastAsia="en-US"/>
        </w:rPr>
        <w:t xml:space="preserve"> narrative reporting and firm value. </w:t>
      </w:r>
      <w:r w:rsidR="00B3093B" w:rsidRPr="00DE13EE">
        <w:rPr>
          <w:rFonts w:ascii="Times New Roman" w:eastAsia="Calibri" w:hAnsi="Times New Roman" w:cs="Times New Roman"/>
          <w:bCs/>
          <w:color w:val="000000" w:themeColor="text1"/>
          <w:sz w:val="24"/>
          <w:szCs w:val="24"/>
          <w:lang w:val="en-US" w:eastAsia="en-US"/>
        </w:rPr>
        <w:t>First</w:t>
      </w:r>
      <w:r w:rsidR="00E41889" w:rsidRPr="00DE13EE">
        <w:rPr>
          <w:rFonts w:ascii="Times New Roman" w:eastAsia="Calibri" w:hAnsi="Times New Roman" w:cs="Times New Roman"/>
          <w:bCs/>
          <w:color w:val="000000" w:themeColor="text1"/>
          <w:sz w:val="24"/>
          <w:szCs w:val="24"/>
          <w:lang w:val="en-US" w:eastAsia="en-US"/>
        </w:rPr>
        <w:t xml:space="preserve">, </w:t>
      </w:r>
      <w:r w:rsidR="00432CFA" w:rsidRPr="00DE13EE">
        <w:rPr>
          <w:rFonts w:ascii="Times New Roman" w:eastAsia="Calibri" w:hAnsi="Times New Roman" w:cs="Times New Roman"/>
          <w:bCs/>
          <w:color w:val="000000" w:themeColor="text1"/>
          <w:sz w:val="24"/>
          <w:szCs w:val="24"/>
          <w:lang w:val="en-US" w:eastAsia="en-US"/>
        </w:rPr>
        <w:t>it</w:t>
      </w:r>
      <w:r w:rsidR="00E41889" w:rsidRPr="00DE13EE">
        <w:rPr>
          <w:rFonts w:ascii="Times New Roman" w:eastAsia="Calibri" w:hAnsi="Times New Roman" w:cs="Times New Roman"/>
          <w:bCs/>
          <w:color w:val="000000" w:themeColor="text1"/>
          <w:sz w:val="24"/>
          <w:szCs w:val="24"/>
          <w:lang w:val="en-US" w:eastAsia="en-US"/>
        </w:rPr>
        <w:t xml:space="preserve"> provides timely evidence for how the disclosure of forward-looking information influences the values of FTSE all-shares firms over a 10-year period and finds that values of UK firms are positively associated with the disclosure of forward-looking information. It, also, contributes to the research calling for </w:t>
      </w:r>
      <w:r w:rsidR="0023126A" w:rsidRPr="00DE13EE">
        <w:rPr>
          <w:rFonts w:ascii="Times New Roman" w:eastAsia="Calibri" w:hAnsi="Times New Roman" w:cs="Times New Roman"/>
          <w:bCs/>
          <w:color w:val="000000" w:themeColor="text1"/>
          <w:sz w:val="24"/>
          <w:szCs w:val="24"/>
          <w:lang w:val="en-US" w:eastAsia="en-US"/>
        </w:rPr>
        <w:t xml:space="preserve">the </w:t>
      </w:r>
      <w:r w:rsidR="00E41889" w:rsidRPr="00DE13EE">
        <w:rPr>
          <w:rFonts w:ascii="Times New Roman" w:eastAsia="Calibri" w:hAnsi="Times New Roman" w:cs="Times New Roman"/>
          <w:bCs/>
          <w:color w:val="000000" w:themeColor="text1"/>
          <w:sz w:val="24"/>
          <w:szCs w:val="24"/>
          <w:lang w:val="en-US" w:eastAsia="en-US"/>
        </w:rPr>
        <w:t>distinction between profit and loss</w:t>
      </w:r>
      <w:r w:rsidR="0023126A" w:rsidRPr="00DE13EE">
        <w:rPr>
          <w:rFonts w:ascii="Times New Roman" w:eastAsia="Calibri" w:hAnsi="Times New Roman" w:cs="Times New Roman"/>
          <w:bCs/>
          <w:color w:val="000000" w:themeColor="text1"/>
          <w:sz w:val="24"/>
          <w:szCs w:val="24"/>
          <w:lang w:val="en-US" w:eastAsia="en-US"/>
        </w:rPr>
        <w:t>-</w:t>
      </w:r>
      <w:r w:rsidR="00E41889" w:rsidRPr="00DE13EE">
        <w:rPr>
          <w:rFonts w:ascii="Times New Roman" w:eastAsia="Calibri" w:hAnsi="Times New Roman" w:cs="Times New Roman"/>
          <w:bCs/>
          <w:color w:val="000000" w:themeColor="text1"/>
          <w:sz w:val="24"/>
          <w:szCs w:val="24"/>
          <w:lang w:val="en-US" w:eastAsia="en-US"/>
        </w:rPr>
        <w:t>making firms when investigating disclosure (e.g</w:t>
      </w:r>
      <w:r w:rsidR="006B0499" w:rsidRPr="00DE13EE">
        <w:rPr>
          <w:rFonts w:ascii="Times New Roman" w:eastAsia="Calibri" w:hAnsi="Times New Roman" w:cs="Times New Roman"/>
          <w:bCs/>
          <w:color w:val="000000" w:themeColor="text1"/>
          <w:sz w:val="24"/>
          <w:szCs w:val="24"/>
          <w:lang w:val="en-US" w:eastAsia="en-US"/>
        </w:rPr>
        <w:t>., Merk</w:t>
      </w:r>
      <w:r w:rsidR="00B3093B" w:rsidRPr="00DE13EE">
        <w:rPr>
          <w:rFonts w:ascii="Times New Roman" w:eastAsia="Calibri" w:hAnsi="Times New Roman" w:cs="Times New Roman"/>
          <w:bCs/>
          <w:color w:val="000000" w:themeColor="text1"/>
          <w:sz w:val="24"/>
          <w:szCs w:val="24"/>
          <w:lang w:val="en-US" w:eastAsia="en-US"/>
        </w:rPr>
        <w:t>l</w:t>
      </w:r>
      <w:r w:rsidR="006B0499" w:rsidRPr="00DE13EE">
        <w:rPr>
          <w:rFonts w:ascii="Times New Roman" w:eastAsia="Calibri" w:hAnsi="Times New Roman" w:cs="Times New Roman"/>
          <w:bCs/>
          <w:color w:val="000000" w:themeColor="text1"/>
          <w:sz w:val="24"/>
          <w:szCs w:val="24"/>
          <w:lang w:val="en-US" w:eastAsia="en-US"/>
        </w:rPr>
        <w:t>e</w:t>
      </w:r>
      <w:r w:rsidR="00B3093B" w:rsidRPr="00DE13EE">
        <w:rPr>
          <w:rFonts w:ascii="Times New Roman" w:eastAsia="Calibri" w:hAnsi="Times New Roman" w:cs="Times New Roman"/>
          <w:bCs/>
          <w:color w:val="000000" w:themeColor="text1"/>
          <w:sz w:val="24"/>
          <w:szCs w:val="24"/>
          <w:lang w:val="en-US" w:eastAsia="en-US"/>
        </w:rPr>
        <w:t xml:space="preserve">y 2014). Unlike prior research on UK forward-looking disclosure (e.g., </w:t>
      </w:r>
      <w:r w:rsidR="00DC6348" w:rsidRPr="00DE13EE">
        <w:rPr>
          <w:rFonts w:ascii="Times New Roman" w:eastAsia="Calibri" w:hAnsi="Times New Roman" w:cs="Times New Roman"/>
          <w:bCs/>
          <w:color w:val="000000" w:themeColor="text1"/>
          <w:sz w:val="24"/>
          <w:szCs w:val="24"/>
          <w:lang w:val="en-US" w:eastAsia="en-US"/>
        </w:rPr>
        <w:t xml:space="preserve">Hussainey et al. 2003: Wang </w:t>
      </w:r>
      <w:r w:rsidR="00550D53" w:rsidRPr="00DE13EE">
        <w:rPr>
          <w:rFonts w:ascii="Times New Roman" w:eastAsia="Calibri" w:hAnsi="Times New Roman" w:cs="Times New Roman"/>
          <w:bCs/>
          <w:color w:val="000000" w:themeColor="text1"/>
          <w:sz w:val="24"/>
          <w:szCs w:val="24"/>
          <w:lang w:val="en-US" w:eastAsia="en-US"/>
        </w:rPr>
        <w:t xml:space="preserve">and </w:t>
      </w:r>
      <w:r w:rsidR="00DC6348" w:rsidRPr="00DE13EE">
        <w:rPr>
          <w:rFonts w:ascii="Times New Roman" w:eastAsia="Calibri" w:hAnsi="Times New Roman" w:cs="Times New Roman"/>
          <w:bCs/>
          <w:color w:val="000000" w:themeColor="text1"/>
          <w:sz w:val="24"/>
          <w:szCs w:val="24"/>
          <w:lang w:val="en-US" w:eastAsia="en-US"/>
        </w:rPr>
        <w:t xml:space="preserve">Hussainey 2013: Athanasakou </w:t>
      </w:r>
      <w:r w:rsidR="00550D53" w:rsidRPr="00DE13EE">
        <w:rPr>
          <w:rFonts w:ascii="Times New Roman" w:eastAsia="Calibri" w:hAnsi="Times New Roman" w:cs="Times New Roman"/>
          <w:bCs/>
          <w:color w:val="000000" w:themeColor="text1"/>
          <w:sz w:val="24"/>
          <w:szCs w:val="24"/>
          <w:lang w:val="en-US" w:eastAsia="en-US"/>
        </w:rPr>
        <w:t xml:space="preserve">and </w:t>
      </w:r>
      <w:r w:rsidR="00DC6348" w:rsidRPr="00DE13EE">
        <w:rPr>
          <w:rFonts w:ascii="Times New Roman" w:eastAsia="Calibri" w:hAnsi="Times New Roman" w:cs="Times New Roman"/>
          <w:bCs/>
          <w:color w:val="000000" w:themeColor="text1"/>
          <w:sz w:val="24"/>
          <w:szCs w:val="24"/>
          <w:lang w:val="en-US" w:eastAsia="en-US"/>
        </w:rPr>
        <w:t>Hussainey 2014), the</w:t>
      </w:r>
      <w:r w:rsidR="00B3093B" w:rsidRPr="00DE13EE">
        <w:rPr>
          <w:rFonts w:ascii="Times New Roman" w:eastAsia="Calibri" w:hAnsi="Times New Roman" w:cs="Times New Roman"/>
          <w:bCs/>
          <w:color w:val="000000" w:themeColor="text1"/>
          <w:sz w:val="24"/>
          <w:szCs w:val="24"/>
          <w:lang w:val="en-US" w:eastAsia="en-US"/>
        </w:rPr>
        <w:t xml:space="preserve"> study distinguishes between high and low-performing firms and finds that forward-looking disclosures have no effect on the value</w:t>
      </w:r>
      <w:r w:rsidR="00004D3B" w:rsidRPr="00DE13EE">
        <w:rPr>
          <w:rFonts w:ascii="Times New Roman" w:eastAsia="Calibri" w:hAnsi="Times New Roman" w:cs="Times New Roman"/>
          <w:bCs/>
          <w:color w:val="000000" w:themeColor="text1"/>
          <w:sz w:val="24"/>
          <w:szCs w:val="24"/>
          <w:lang w:val="en-US" w:eastAsia="en-US"/>
        </w:rPr>
        <w:t>s</w:t>
      </w:r>
      <w:r w:rsidR="00B3093B" w:rsidRPr="00DE13EE">
        <w:rPr>
          <w:rFonts w:ascii="Times New Roman" w:eastAsia="Calibri" w:hAnsi="Times New Roman" w:cs="Times New Roman"/>
          <w:bCs/>
          <w:color w:val="000000" w:themeColor="text1"/>
          <w:sz w:val="24"/>
          <w:szCs w:val="24"/>
          <w:lang w:val="en-US" w:eastAsia="en-US"/>
        </w:rPr>
        <w:t xml:space="preserve"> of high-performing firms while positively affecting the values of low-performing firms.</w:t>
      </w:r>
      <w:r w:rsidR="00004D3B" w:rsidRPr="00DE13EE">
        <w:rPr>
          <w:rFonts w:ascii="Times New Roman" w:eastAsia="Calibri" w:hAnsi="Times New Roman" w:cs="Times New Roman"/>
          <w:bCs/>
          <w:color w:val="000000" w:themeColor="text1"/>
          <w:sz w:val="24"/>
          <w:szCs w:val="24"/>
          <w:lang w:val="en-US" w:eastAsia="en-US"/>
        </w:rPr>
        <w:t xml:space="preserve"> Furthermore, this</w:t>
      </w:r>
      <w:r w:rsidR="00DC6348" w:rsidRPr="00DE13EE">
        <w:rPr>
          <w:rFonts w:ascii="Times New Roman" w:eastAsia="Calibri" w:hAnsi="Times New Roman" w:cs="Times New Roman"/>
          <w:bCs/>
          <w:color w:val="000000" w:themeColor="text1"/>
          <w:sz w:val="24"/>
          <w:szCs w:val="24"/>
          <w:lang w:val="en-US" w:eastAsia="en-US"/>
        </w:rPr>
        <w:t xml:space="preserve"> study is the first in </w:t>
      </w:r>
      <w:r w:rsidR="0023126A" w:rsidRPr="00DE13EE">
        <w:rPr>
          <w:rFonts w:ascii="Times New Roman" w:eastAsia="Calibri" w:hAnsi="Times New Roman" w:cs="Times New Roman"/>
          <w:bCs/>
          <w:color w:val="000000" w:themeColor="text1"/>
          <w:sz w:val="24"/>
          <w:szCs w:val="24"/>
          <w:lang w:val="en-US" w:eastAsia="en-US"/>
        </w:rPr>
        <w:t xml:space="preserve">the </w:t>
      </w:r>
      <w:r w:rsidR="00DC6348" w:rsidRPr="00DE13EE">
        <w:rPr>
          <w:rFonts w:ascii="Times New Roman" w:eastAsia="Calibri" w:hAnsi="Times New Roman" w:cs="Times New Roman"/>
          <w:bCs/>
          <w:color w:val="000000" w:themeColor="text1"/>
          <w:sz w:val="24"/>
          <w:szCs w:val="24"/>
          <w:lang w:val="en-US" w:eastAsia="en-US"/>
        </w:rPr>
        <w:t xml:space="preserve">UK to consider the role of </w:t>
      </w:r>
      <w:r w:rsidR="0023126A" w:rsidRPr="00DE13EE">
        <w:rPr>
          <w:rFonts w:ascii="Times New Roman" w:eastAsia="Calibri" w:hAnsi="Times New Roman" w:cs="Times New Roman"/>
          <w:bCs/>
          <w:color w:val="000000" w:themeColor="text1"/>
          <w:sz w:val="24"/>
          <w:szCs w:val="24"/>
          <w:lang w:val="en-US" w:eastAsia="en-US"/>
        </w:rPr>
        <w:t xml:space="preserve">the </w:t>
      </w:r>
      <w:r w:rsidR="00DC6348" w:rsidRPr="00DE13EE">
        <w:rPr>
          <w:rFonts w:ascii="Times New Roman" w:eastAsia="Calibri" w:hAnsi="Times New Roman" w:cs="Times New Roman"/>
          <w:bCs/>
          <w:color w:val="000000" w:themeColor="text1"/>
          <w:sz w:val="24"/>
          <w:szCs w:val="24"/>
          <w:lang w:val="en-US" w:eastAsia="en-US"/>
        </w:rPr>
        <w:t>auditor in overseeing narrative disclosures.</w:t>
      </w:r>
      <w:r w:rsidR="00E41889" w:rsidRPr="00DE13EE">
        <w:rPr>
          <w:rFonts w:ascii="Times New Roman" w:eastAsia="Calibri" w:hAnsi="Times New Roman" w:cs="Times New Roman"/>
          <w:bCs/>
          <w:color w:val="000000" w:themeColor="text1"/>
          <w:sz w:val="24"/>
          <w:szCs w:val="24"/>
          <w:lang w:val="en-US" w:eastAsia="en-US"/>
        </w:rPr>
        <w:t xml:space="preserve"> </w:t>
      </w:r>
      <w:r w:rsidR="00DC6348" w:rsidRPr="00DE13EE">
        <w:rPr>
          <w:rFonts w:ascii="Times New Roman" w:eastAsia="Calibri" w:hAnsi="Times New Roman" w:cs="Times New Roman"/>
          <w:bCs/>
          <w:color w:val="000000" w:themeColor="text1"/>
          <w:sz w:val="24"/>
          <w:szCs w:val="24"/>
          <w:lang w:val="en-US" w:eastAsia="en-US"/>
        </w:rPr>
        <w:t>T</w:t>
      </w:r>
      <w:r w:rsidR="00E41889" w:rsidRPr="00DE13EE">
        <w:rPr>
          <w:rFonts w:ascii="Times New Roman" w:eastAsia="Calibri" w:hAnsi="Times New Roman" w:cs="Times New Roman"/>
          <w:bCs/>
          <w:color w:val="000000" w:themeColor="text1"/>
          <w:sz w:val="24"/>
          <w:szCs w:val="24"/>
          <w:lang w:val="en-US" w:eastAsia="en-US"/>
        </w:rPr>
        <w:t xml:space="preserve">he study finds that forward-looking disclosures positively affect the values of UK firms only when they are audited by one of the Big 4 auditing firms. These results are helpful for investors and researchers to understand the usefulness of UK narrative reporting practices. Given IASB’s </w:t>
      </w:r>
      <w:r w:rsidR="00E41889" w:rsidRPr="00DE13EE">
        <w:rPr>
          <w:rFonts w:ascii="Times New Roman" w:eastAsia="Calibri" w:hAnsi="Times New Roman" w:cs="Times New Roman"/>
          <w:bCs/>
          <w:color w:val="000000" w:themeColor="text1"/>
          <w:sz w:val="24"/>
          <w:szCs w:val="24"/>
          <w:lang w:val="en-US" w:eastAsia="en-US"/>
        </w:rPr>
        <w:lastRenderedPageBreak/>
        <w:t>concerns about the usefulness of narratives, this study</w:t>
      </w:r>
      <w:r w:rsidR="00B55AB1" w:rsidRPr="00DE13EE">
        <w:rPr>
          <w:rFonts w:ascii="Times New Roman" w:eastAsia="Calibri" w:hAnsi="Times New Roman" w:cs="Times New Roman"/>
          <w:bCs/>
          <w:color w:val="000000" w:themeColor="text1"/>
          <w:sz w:val="24"/>
          <w:szCs w:val="24"/>
          <w:lang w:val="en-US" w:eastAsia="en-US"/>
        </w:rPr>
        <w:t xml:space="preserve"> rationalizes the debate over the usefulness of forward-looking disclosure in </w:t>
      </w:r>
      <w:r w:rsidR="0023126A" w:rsidRPr="00DE13EE">
        <w:rPr>
          <w:rFonts w:ascii="Times New Roman" w:eastAsia="Calibri" w:hAnsi="Times New Roman" w:cs="Times New Roman"/>
          <w:bCs/>
          <w:color w:val="000000" w:themeColor="text1"/>
          <w:sz w:val="24"/>
          <w:szCs w:val="24"/>
          <w:lang w:val="en-US" w:eastAsia="en-US"/>
        </w:rPr>
        <w:t xml:space="preserve">the </w:t>
      </w:r>
      <w:r w:rsidR="00B55AB1" w:rsidRPr="00DE13EE">
        <w:rPr>
          <w:rFonts w:ascii="Times New Roman" w:eastAsia="Calibri" w:hAnsi="Times New Roman" w:cs="Times New Roman"/>
          <w:bCs/>
          <w:color w:val="000000" w:themeColor="text1"/>
          <w:sz w:val="24"/>
          <w:szCs w:val="24"/>
          <w:lang w:val="en-US" w:eastAsia="en-US"/>
        </w:rPr>
        <w:t>UK</w:t>
      </w:r>
      <w:r w:rsidR="00327471" w:rsidRPr="00DE13EE">
        <w:rPr>
          <w:rFonts w:ascii="Times New Roman" w:eastAsia="Calibri" w:hAnsi="Times New Roman" w:cs="Times New Roman"/>
          <w:bCs/>
          <w:color w:val="000000" w:themeColor="text1"/>
          <w:sz w:val="24"/>
          <w:szCs w:val="24"/>
          <w:lang w:val="en-US" w:eastAsia="en-US"/>
        </w:rPr>
        <w:t>. It is considered an important source for information, particularly, for low performing firms. Thus, this</w:t>
      </w:r>
      <w:r w:rsidR="00B55AB1" w:rsidRPr="00DE13EE">
        <w:rPr>
          <w:rFonts w:ascii="Times New Roman" w:eastAsia="Calibri" w:hAnsi="Times New Roman" w:cs="Times New Roman"/>
          <w:bCs/>
          <w:color w:val="000000" w:themeColor="text1"/>
          <w:sz w:val="24"/>
          <w:szCs w:val="24"/>
          <w:lang w:val="en-US" w:eastAsia="en-US"/>
        </w:rPr>
        <w:t xml:space="preserve"> may lead policymakers to encourage firms to disclose more forward-looking information to improve the information content of the annual reports and, consequently, enhances investors’ valuation of firms.</w:t>
      </w:r>
    </w:p>
    <w:p w14:paraId="1F73B298" w14:textId="7B4E5D02" w:rsidR="00812C9C" w:rsidRPr="00DE13EE" w:rsidRDefault="00E41889" w:rsidP="00B93D4F">
      <w:pPr>
        <w:spacing w:line="360" w:lineRule="auto"/>
        <w:jc w:val="both"/>
        <w:rPr>
          <w:rFonts w:ascii="Times New Roman" w:eastAsia="Calibri" w:hAnsi="Times New Roman" w:cs="Times New Roman"/>
          <w:bCs/>
          <w:color w:val="000000" w:themeColor="text1"/>
          <w:sz w:val="24"/>
          <w:szCs w:val="24"/>
          <w:lang w:val="en-US" w:eastAsia="en-US"/>
        </w:rPr>
      </w:pPr>
      <w:r w:rsidRPr="00DE13EE">
        <w:rPr>
          <w:rFonts w:ascii="Times New Roman" w:eastAsia="Calibri" w:hAnsi="Times New Roman" w:cs="Times New Roman"/>
          <w:bCs/>
          <w:color w:val="000000" w:themeColor="text1"/>
          <w:sz w:val="24"/>
          <w:szCs w:val="24"/>
          <w:lang w:val="en-US" w:eastAsia="en-US"/>
        </w:rPr>
        <w:t>Second</w:t>
      </w:r>
      <w:r w:rsidR="00812C9C" w:rsidRPr="00DE13EE">
        <w:rPr>
          <w:rFonts w:ascii="Times New Roman" w:eastAsia="Calibri" w:hAnsi="Times New Roman" w:cs="Times New Roman"/>
          <w:bCs/>
          <w:color w:val="000000" w:themeColor="text1"/>
          <w:sz w:val="24"/>
          <w:szCs w:val="24"/>
          <w:lang w:val="en-US" w:eastAsia="en-US"/>
        </w:rPr>
        <w:t xml:space="preserve">, the study contributes to the knowledge on methodological developments in both </w:t>
      </w:r>
      <w:r w:rsidR="00F01CC9" w:rsidRPr="00DE13EE">
        <w:rPr>
          <w:rFonts w:ascii="Times New Roman" w:eastAsia="Calibri" w:hAnsi="Times New Roman" w:cs="Times New Roman"/>
          <w:bCs/>
          <w:color w:val="000000" w:themeColor="text1"/>
          <w:sz w:val="24"/>
          <w:szCs w:val="24"/>
          <w:lang w:val="en-US" w:eastAsia="en-US"/>
        </w:rPr>
        <w:t xml:space="preserve">the </w:t>
      </w:r>
      <w:r w:rsidR="00812C9C" w:rsidRPr="00DE13EE">
        <w:rPr>
          <w:rFonts w:ascii="Times New Roman" w:eastAsia="Calibri" w:hAnsi="Times New Roman" w:cs="Times New Roman"/>
          <w:bCs/>
          <w:color w:val="000000" w:themeColor="text1"/>
          <w:sz w:val="24"/>
          <w:szCs w:val="24"/>
          <w:lang w:val="en-US" w:eastAsia="en-US"/>
        </w:rPr>
        <w:t>measurement of variables and the estimation method in empirical tests. Unlike prior research on firm value (e.g., Patel</w:t>
      </w:r>
      <w:r w:rsidR="00550D53" w:rsidRPr="00DE13EE">
        <w:rPr>
          <w:rFonts w:ascii="Times New Roman" w:eastAsia="Calibri" w:hAnsi="Times New Roman" w:cs="Times New Roman"/>
          <w:bCs/>
          <w:color w:val="000000" w:themeColor="text1"/>
          <w:sz w:val="24"/>
          <w:szCs w:val="24"/>
          <w:lang w:val="en-US" w:eastAsia="en-US"/>
        </w:rPr>
        <w:t xml:space="preserve"> et al.</w:t>
      </w:r>
      <w:r w:rsidR="00812C9C" w:rsidRPr="00DE13EE">
        <w:rPr>
          <w:rFonts w:ascii="Times New Roman" w:eastAsia="Calibri" w:hAnsi="Times New Roman" w:cs="Times New Roman"/>
          <w:bCs/>
          <w:color w:val="000000" w:themeColor="text1"/>
          <w:sz w:val="24"/>
          <w:szCs w:val="24"/>
          <w:lang w:val="en-US" w:eastAsia="en-US"/>
        </w:rPr>
        <w:t xml:space="preserve"> 2002; Hassan</w:t>
      </w:r>
      <w:r w:rsidR="00550D53" w:rsidRPr="00DE13EE">
        <w:rPr>
          <w:rFonts w:ascii="Times New Roman" w:eastAsia="Calibri" w:hAnsi="Times New Roman" w:cs="Times New Roman"/>
          <w:bCs/>
          <w:color w:val="000000" w:themeColor="text1"/>
          <w:sz w:val="24"/>
          <w:szCs w:val="24"/>
          <w:lang w:val="en-US" w:eastAsia="en-US"/>
        </w:rPr>
        <w:t xml:space="preserve"> et al.</w:t>
      </w:r>
      <w:r w:rsidR="00812C9C" w:rsidRPr="00DE13EE">
        <w:rPr>
          <w:rFonts w:ascii="Times New Roman" w:eastAsia="Calibri" w:hAnsi="Times New Roman" w:cs="Times New Roman"/>
          <w:bCs/>
          <w:color w:val="000000" w:themeColor="text1"/>
          <w:sz w:val="24"/>
          <w:szCs w:val="24"/>
          <w:lang w:val="en-US" w:eastAsia="en-US"/>
        </w:rPr>
        <w:t xml:space="preserve"> 2009; </w:t>
      </w:r>
      <w:r w:rsidR="00004D3B" w:rsidRPr="00DE13EE">
        <w:rPr>
          <w:rFonts w:ascii="Times New Roman" w:eastAsia="Calibri" w:hAnsi="Times New Roman" w:cs="Times New Roman"/>
          <w:bCs/>
          <w:color w:val="000000" w:themeColor="text1"/>
          <w:sz w:val="24"/>
          <w:szCs w:val="24"/>
          <w:lang w:val="en-US" w:eastAsia="en-US"/>
        </w:rPr>
        <w:t xml:space="preserve">Zhang </w:t>
      </w:r>
      <w:r w:rsidR="00550D53" w:rsidRPr="00DE13EE">
        <w:rPr>
          <w:rFonts w:ascii="Times New Roman" w:eastAsia="Calibri" w:hAnsi="Times New Roman" w:cs="Times New Roman"/>
          <w:bCs/>
          <w:color w:val="000000" w:themeColor="text1"/>
          <w:sz w:val="24"/>
          <w:szCs w:val="24"/>
          <w:lang w:val="en-US" w:eastAsia="en-US"/>
        </w:rPr>
        <w:t xml:space="preserve">and </w:t>
      </w:r>
      <w:r w:rsidR="00004D3B" w:rsidRPr="00DE13EE">
        <w:rPr>
          <w:rFonts w:ascii="Times New Roman" w:eastAsia="Calibri" w:hAnsi="Times New Roman" w:cs="Times New Roman"/>
          <w:bCs/>
          <w:color w:val="000000" w:themeColor="text1"/>
          <w:sz w:val="24"/>
          <w:szCs w:val="24"/>
          <w:lang w:val="en-US" w:eastAsia="en-US"/>
        </w:rPr>
        <w:t xml:space="preserve">Ding 2006; </w:t>
      </w:r>
      <w:r w:rsidR="00812C9C" w:rsidRPr="00DE13EE">
        <w:rPr>
          <w:rFonts w:ascii="Times New Roman" w:eastAsia="Calibri" w:hAnsi="Times New Roman" w:cs="Times New Roman"/>
          <w:bCs/>
          <w:color w:val="000000" w:themeColor="text1"/>
          <w:sz w:val="24"/>
          <w:szCs w:val="24"/>
          <w:lang w:val="en-US" w:eastAsia="en-US"/>
        </w:rPr>
        <w:t>Plumlee</w:t>
      </w:r>
      <w:r w:rsidR="00550D53" w:rsidRPr="00DE13EE">
        <w:rPr>
          <w:rFonts w:ascii="Times New Roman" w:eastAsia="Calibri" w:hAnsi="Times New Roman" w:cs="Times New Roman"/>
          <w:bCs/>
          <w:color w:val="000000" w:themeColor="text1"/>
          <w:sz w:val="24"/>
          <w:szCs w:val="24"/>
          <w:lang w:val="en-US" w:eastAsia="en-US"/>
        </w:rPr>
        <w:t xml:space="preserve"> et al.</w:t>
      </w:r>
      <w:r w:rsidR="00812C9C" w:rsidRPr="00DE13EE">
        <w:rPr>
          <w:rFonts w:ascii="Times New Roman" w:eastAsia="Calibri" w:hAnsi="Times New Roman" w:cs="Times New Roman"/>
          <w:bCs/>
          <w:color w:val="000000" w:themeColor="text1"/>
          <w:sz w:val="24"/>
          <w:szCs w:val="24"/>
          <w:lang w:val="en-US" w:eastAsia="en-US"/>
        </w:rPr>
        <w:t xml:space="preserve"> 20</w:t>
      </w:r>
      <w:r w:rsidR="006E4451" w:rsidRPr="00DE13EE">
        <w:rPr>
          <w:rFonts w:ascii="Times New Roman" w:eastAsia="Calibri" w:hAnsi="Times New Roman" w:cs="Times New Roman"/>
          <w:bCs/>
          <w:color w:val="000000" w:themeColor="text1"/>
          <w:sz w:val="24"/>
          <w:szCs w:val="24"/>
          <w:lang w:val="en-US" w:eastAsia="en-US"/>
        </w:rPr>
        <w:t>15</w:t>
      </w:r>
      <w:r w:rsidR="00812C9C" w:rsidRPr="00DE13EE">
        <w:rPr>
          <w:rFonts w:ascii="Times New Roman" w:eastAsia="Calibri" w:hAnsi="Times New Roman" w:cs="Times New Roman"/>
          <w:bCs/>
          <w:color w:val="000000" w:themeColor="text1"/>
          <w:sz w:val="24"/>
          <w:szCs w:val="24"/>
          <w:lang w:val="en-US" w:eastAsia="en-US"/>
        </w:rPr>
        <w:t xml:space="preserve">; </w:t>
      </w:r>
      <w:r w:rsidR="00812C9C" w:rsidRPr="00DE13EE">
        <w:rPr>
          <w:rFonts w:ascii="Times New Roman" w:eastAsia="MS Mincho" w:hAnsi="Times New Roman" w:cs="Times New Roman"/>
          <w:color w:val="000000" w:themeColor="text1"/>
          <w:sz w:val="24"/>
          <w:szCs w:val="24"/>
          <w:lang w:val="en-US" w:eastAsia="ja-JP"/>
        </w:rPr>
        <w:t>Elzahar</w:t>
      </w:r>
      <w:r w:rsidR="00550D53" w:rsidRPr="00DE13EE">
        <w:rPr>
          <w:rFonts w:ascii="Times New Roman" w:eastAsia="MS Mincho" w:hAnsi="Times New Roman" w:cs="Times New Roman"/>
          <w:color w:val="000000" w:themeColor="text1"/>
          <w:sz w:val="24"/>
          <w:szCs w:val="24"/>
          <w:lang w:val="en-US" w:eastAsia="ja-JP"/>
        </w:rPr>
        <w:t xml:space="preserve"> et al.</w:t>
      </w:r>
      <w:r w:rsidR="00812C9C" w:rsidRPr="00DE13EE">
        <w:rPr>
          <w:rFonts w:ascii="Times New Roman" w:eastAsia="MS Mincho" w:hAnsi="Times New Roman" w:cs="Times New Roman"/>
          <w:color w:val="000000" w:themeColor="text1"/>
          <w:sz w:val="24"/>
          <w:szCs w:val="24"/>
          <w:lang w:val="en-US" w:eastAsia="ja-JP"/>
        </w:rPr>
        <w:t xml:space="preserve"> 2015</w:t>
      </w:r>
      <w:r w:rsidR="00812C9C" w:rsidRPr="00DE13EE">
        <w:rPr>
          <w:rFonts w:ascii="Times New Roman" w:eastAsia="Calibri" w:hAnsi="Times New Roman" w:cs="Times New Roman"/>
          <w:bCs/>
          <w:color w:val="000000" w:themeColor="text1"/>
          <w:sz w:val="24"/>
          <w:szCs w:val="24"/>
          <w:lang w:val="en-US" w:eastAsia="en-US"/>
        </w:rPr>
        <w:t xml:space="preserve">), this study computes an industry median adjusted Tobin’s Q ratio to measure the value of a firm. This measure </w:t>
      </w:r>
      <w:r w:rsidR="00B844E6" w:rsidRPr="00DE13EE">
        <w:rPr>
          <w:rFonts w:ascii="Times New Roman" w:eastAsia="Calibri" w:hAnsi="Times New Roman" w:cs="Times New Roman"/>
          <w:bCs/>
          <w:color w:val="000000" w:themeColor="text1"/>
          <w:sz w:val="24"/>
          <w:szCs w:val="24"/>
          <w:lang w:val="en-US" w:eastAsia="en-US"/>
        </w:rPr>
        <w:t xml:space="preserve">reduces the </w:t>
      </w:r>
      <w:r w:rsidR="00812C9C" w:rsidRPr="00DE13EE">
        <w:rPr>
          <w:rFonts w:ascii="Times New Roman" w:eastAsia="Calibri" w:hAnsi="Times New Roman" w:cs="Times New Roman"/>
          <w:bCs/>
          <w:color w:val="000000" w:themeColor="text1"/>
          <w:sz w:val="24"/>
          <w:szCs w:val="24"/>
          <w:lang w:val="en-US" w:eastAsia="en-US"/>
        </w:rPr>
        <w:t>potential bias arising from industry (Bebchuk</w:t>
      </w:r>
      <w:r w:rsidR="00550D53" w:rsidRPr="00DE13EE">
        <w:rPr>
          <w:rFonts w:ascii="Times New Roman" w:eastAsia="Calibri" w:hAnsi="Times New Roman" w:cs="Times New Roman"/>
          <w:bCs/>
          <w:color w:val="000000" w:themeColor="text1"/>
          <w:sz w:val="24"/>
          <w:szCs w:val="24"/>
          <w:lang w:val="en-US" w:eastAsia="en-US"/>
        </w:rPr>
        <w:t xml:space="preserve"> et al.</w:t>
      </w:r>
      <w:r w:rsidR="00812C9C" w:rsidRPr="00DE13EE">
        <w:rPr>
          <w:rFonts w:ascii="Times New Roman" w:eastAsia="Calibri" w:hAnsi="Times New Roman" w:cs="Times New Roman"/>
          <w:bCs/>
          <w:color w:val="000000" w:themeColor="text1"/>
          <w:sz w:val="24"/>
          <w:szCs w:val="24"/>
          <w:lang w:val="en-US" w:eastAsia="en-US"/>
        </w:rPr>
        <w:t xml:space="preserve"> 2009), </w:t>
      </w:r>
      <w:r w:rsidR="00B844E6" w:rsidRPr="00DE13EE">
        <w:rPr>
          <w:rFonts w:ascii="Times New Roman" w:eastAsia="Calibri" w:hAnsi="Times New Roman" w:cs="Times New Roman"/>
          <w:bCs/>
          <w:color w:val="000000" w:themeColor="text1"/>
          <w:sz w:val="24"/>
          <w:szCs w:val="24"/>
          <w:lang w:val="en-US" w:eastAsia="en-US"/>
        </w:rPr>
        <w:t>controls</w:t>
      </w:r>
      <w:r w:rsidR="00812C9C" w:rsidRPr="00DE13EE">
        <w:rPr>
          <w:rFonts w:ascii="Times New Roman" w:eastAsia="Calibri" w:hAnsi="Times New Roman" w:cs="Times New Roman"/>
          <w:bCs/>
          <w:color w:val="000000" w:themeColor="text1"/>
          <w:sz w:val="24"/>
          <w:szCs w:val="24"/>
          <w:lang w:val="en-US" w:eastAsia="en-US"/>
        </w:rPr>
        <w:t xml:space="preserve"> simultaneity</w:t>
      </w:r>
      <w:r w:rsidR="00795E60" w:rsidRPr="00DE13EE">
        <w:rPr>
          <w:rFonts w:ascii="Times New Roman" w:eastAsia="Calibri" w:hAnsi="Times New Roman" w:cs="Times New Roman"/>
          <w:bCs/>
          <w:color w:val="000000" w:themeColor="text1"/>
          <w:sz w:val="24"/>
          <w:szCs w:val="24"/>
          <w:lang w:val="en-US" w:eastAsia="en-US"/>
        </w:rPr>
        <w:t>,</w:t>
      </w:r>
      <w:r w:rsidR="00812C9C" w:rsidRPr="00DE13EE">
        <w:rPr>
          <w:rFonts w:ascii="Times New Roman" w:eastAsia="Calibri" w:hAnsi="Times New Roman" w:cs="Times New Roman"/>
          <w:bCs/>
          <w:color w:val="000000" w:themeColor="text1"/>
          <w:sz w:val="24"/>
          <w:szCs w:val="24"/>
          <w:lang w:val="en-US" w:eastAsia="en-US"/>
        </w:rPr>
        <w:t xml:space="preserve"> and helps to mitigate endogeneity problem (Brown </w:t>
      </w:r>
      <w:r w:rsidR="00550D53" w:rsidRPr="00DE13EE">
        <w:rPr>
          <w:rFonts w:ascii="Times New Roman" w:eastAsia="Calibri" w:hAnsi="Times New Roman" w:cs="Times New Roman"/>
          <w:bCs/>
          <w:color w:val="000000" w:themeColor="text1"/>
          <w:sz w:val="24"/>
          <w:szCs w:val="24"/>
          <w:lang w:val="en-US" w:eastAsia="en-US"/>
        </w:rPr>
        <w:t xml:space="preserve">and </w:t>
      </w:r>
      <w:r w:rsidR="00812C9C" w:rsidRPr="00DE13EE">
        <w:rPr>
          <w:rFonts w:ascii="Times New Roman" w:eastAsia="Calibri" w:hAnsi="Times New Roman" w:cs="Times New Roman"/>
          <w:bCs/>
          <w:color w:val="000000" w:themeColor="text1"/>
          <w:sz w:val="24"/>
          <w:szCs w:val="24"/>
          <w:lang w:val="en-US" w:eastAsia="en-US"/>
        </w:rPr>
        <w:t xml:space="preserve">Caylor 2006). Furthermore, </w:t>
      </w:r>
      <w:r w:rsidR="00587465" w:rsidRPr="00DE13EE">
        <w:rPr>
          <w:rFonts w:ascii="Times New Roman" w:eastAsia="Calibri" w:hAnsi="Times New Roman" w:cs="Times New Roman"/>
          <w:bCs/>
          <w:color w:val="000000" w:themeColor="text1"/>
          <w:sz w:val="24"/>
          <w:szCs w:val="24"/>
          <w:lang w:val="en-US" w:eastAsia="en-US"/>
        </w:rPr>
        <w:t>beside</w:t>
      </w:r>
      <w:r w:rsidR="0023126A" w:rsidRPr="00DE13EE">
        <w:rPr>
          <w:rFonts w:ascii="Times New Roman" w:eastAsia="Calibri" w:hAnsi="Times New Roman" w:cs="Times New Roman"/>
          <w:bCs/>
          <w:color w:val="000000" w:themeColor="text1"/>
          <w:sz w:val="24"/>
          <w:szCs w:val="24"/>
          <w:lang w:val="en-US" w:eastAsia="en-US"/>
        </w:rPr>
        <w:t>s</w:t>
      </w:r>
      <w:r w:rsidR="00587465" w:rsidRPr="00DE13EE">
        <w:rPr>
          <w:rFonts w:ascii="Times New Roman" w:eastAsia="Calibri" w:hAnsi="Times New Roman" w:cs="Times New Roman"/>
          <w:bCs/>
          <w:color w:val="000000" w:themeColor="text1"/>
          <w:sz w:val="24"/>
          <w:szCs w:val="24"/>
          <w:lang w:val="en-US" w:eastAsia="en-US"/>
        </w:rPr>
        <w:t xml:space="preserve"> the fixed effect estimation, </w:t>
      </w:r>
      <w:r w:rsidR="007B11B3" w:rsidRPr="00DE13EE">
        <w:rPr>
          <w:rFonts w:ascii="Times New Roman" w:eastAsia="Calibri" w:hAnsi="Times New Roman" w:cs="Times New Roman"/>
          <w:bCs/>
          <w:color w:val="000000" w:themeColor="text1"/>
          <w:sz w:val="24"/>
          <w:szCs w:val="24"/>
          <w:lang w:val="en-US" w:eastAsia="en-US"/>
        </w:rPr>
        <w:t>the empirical analyses are estimated using</w:t>
      </w:r>
      <w:r w:rsidR="00812C9C" w:rsidRPr="00DE13EE">
        <w:rPr>
          <w:rFonts w:ascii="Times New Roman" w:eastAsia="Calibri" w:hAnsi="Times New Roman" w:cs="Times New Roman"/>
          <w:bCs/>
          <w:color w:val="000000" w:themeColor="text1"/>
          <w:sz w:val="24"/>
          <w:szCs w:val="24"/>
          <w:lang w:val="en-US" w:eastAsia="en-US"/>
        </w:rPr>
        <w:t xml:space="preserve"> random effect panel regression to mitigate the problems caused by time effect (heteroscedasticity) and unobserved firm effect (auto-correlation). </w:t>
      </w:r>
      <w:r w:rsidR="00575D44" w:rsidRPr="00DE13EE">
        <w:rPr>
          <w:rFonts w:ascii="Times New Roman" w:eastAsia="Calibri" w:hAnsi="Times New Roman" w:cs="Times New Roman"/>
          <w:bCs/>
          <w:color w:val="000000" w:themeColor="text1"/>
          <w:sz w:val="24"/>
          <w:szCs w:val="24"/>
          <w:lang w:val="en-US" w:eastAsia="en-US"/>
        </w:rPr>
        <w:t xml:space="preserve">The random effect </w:t>
      </w:r>
      <w:r w:rsidR="00812C9C" w:rsidRPr="00DE13EE">
        <w:rPr>
          <w:rFonts w:ascii="Times New Roman" w:eastAsia="Calibri" w:hAnsi="Times New Roman" w:cs="Times New Roman"/>
          <w:bCs/>
          <w:color w:val="000000" w:themeColor="text1"/>
          <w:sz w:val="24"/>
          <w:szCs w:val="24"/>
          <w:lang w:val="en-US" w:eastAsia="en-US"/>
        </w:rPr>
        <w:t>estimation method accounts for the residual dependency problems frequently neglected in market-based accounting research (Petersen 2009; Gow</w:t>
      </w:r>
      <w:r w:rsidR="00550D53" w:rsidRPr="00DE13EE">
        <w:rPr>
          <w:rFonts w:ascii="Times New Roman" w:eastAsia="Calibri" w:hAnsi="Times New Roman" w:cs="Times New Roman"/>
          <w:bCs/>
          <w:color w:val="000000" w:themeColor="text1"/>
          <w:sz w:val="24"/>
          <w:szCs w:val="24"/>
          <w:lang w:val="en-US" w:eastAsia="en-US"/>
        </w:rPr>
        <w:t xml:space="preserve"> et al.</w:t>
      </w:r>
      <w:r w:rsidR="00812C9C" w:rsidRPr="00DE13EE">
        <w:rPr>
          <w:rFonts w:ascii="Times New Roman" w:eastAsia="Calibri" w:hAnsi="Times New Roman" w:cs="Times New Roman"/>
          <w:bCs/>
          <w:color w:val="000000" w:themeColor="text1"/>
          <w:sz w:val="24"/>
          <w:szCs w:val="24"/>
          <w:lang w:val="en-US" w:eastAsia="en-US"/>
        </w:rPr>
        <w:t xml:space="preserve"> 2010).</w:t>
      </w:r>
    </w:p>
    <w:p w14:paraId="2553733E" w14:textId="4A536A89" w:rsidR="00812C9C" w:rsidRPr="00DE13EE" w:rsidRDefault="00812C9C" w:rsidP="00B93D4F">
      <w:pPr>
        <w:spacing w:line="360" w:lineRule="auto"/>
        <w:jc w:val="both"/>
        <w:rPr>
          <w:rFonts w:ascii="Times New Roman" w:eastAsia="Calibri" w:hAnsi="Times New Roman" w:cs="Times New Roman"/>
          <w:bCs/>
          <w:color w:val="000000" w:themeColor="text1"/>
          <w:sz w:val="24"/>
          <w:szCs w:val="24"/>
          <w:lang w:val="en-US" w:eastAsia="en-US"/>
        </w:rPr>
      </w:pPr>
      <w:r w:rsidRPr="00DE13EE">
        <w:rPr>
          <w:rFonts w:ascii="Times New Roman" w:eastAsia="Calibri" w:hAnsi="Times New Roman" w:cs="Times New Roman"/>
          <w:bCs/>
          <w:color w:val="000000" w:themeColor="text1"/>
          <w:sz w:val="24"/>
          <w:szCs w:val="24"/>
          <w:lang w:val="en-US" w:eastAsia="en-US"/>
        </w:rPr>
        <w:t xml:space="preserve">The </w:t>
      </w:r>
      <w:r w:rsidR="00C71D34" w:rsidRPr="00DE13EE">
        <w:rPr>
          <w:rFonts w:ascii="Times New Roman" w:eastAsia="Calibri" w:hAnsi="Times New Roman" w:cs="Times New Roman"/>
          <w:bCs/>
          <w:color w:val="000000" w:themeColor="text1"/>
          <w:sz w:val="24"/>
          <w:szCs w:val="24"/>
          <w:lang w:val="en-US" w:eastAsia="en-US"/>
        </w:rPr>
        <w:t xml:space="preserve">remainder </w:t>
      </w:r>
      <w:r w:rsidRPr="00DE13EE">
        <w:rPr>
          <w:rFonts w:ascii="Times New Roman" w:eastAsia="Calibri" w:hAnsi="Times New Roman" w:cs="Times New Roman"/>
          <w:bCs/>
          <w:color w:val="000000" w:themeColor="text1"/>
          <w:sz w:val="24"/>
          <w:szCs w:val="24"/>
          <w:lang w:val="en-US" w:eastAsia="en-US"/>
        </w:rPr>
        <w:t xml:space="preserve">of </w:t>
      </w:r>
      <w:r w:rsidR="00C71D34" w:rsidRPr="00DE13EE">
        <w:rPr>
          <w:rFonts w:ascii="Times New Roman" w:eastAsia="Calibri" w:hAnsi="Times New Roman" w:cs="Times New Roman"/>
          <w:bCs/>
          <w:color w:val="000000" w:themeColor="text1"/>
          <w:sz w:val="24"/>
          <w:szCs w:val="24"/>
          <w:lang w:val="en-US" w:eastAsia="en-US"/>
        </w:rPr>
        <w:t xml:space="preserve">this </w:t>
      </w:r>
      <w:r w:rsidRPr="00DE13EE">
        <w:rPr>
          <w:rFonts w:ascii="Times New Roman" w:eastAsia="Calibri" w:hAnsi="Times New Roman" w:cs="Times New Roman"/>
          <w:bCs/>
          <w:color w:val="000000" w:themeColor="text1"/>
          <w:sz w:val="24"/>
          <w:szCs w:val="24"/>
          <w:lang w:val="en-US" w:eastAsia="en-US"/>
        </w:rPr>
        <w:t>paper proceeds as follows</w:t>
      </w:r>
      <w:r w:rsidR="00C71D34" w:rsidRPr="00DE13EE">
        <w:rPr>
          <w:rFonts w:ascii="Times New Roman" w:eastAsia="Calibri" w:hAnsi="Times New Roman" w:cs="Times New Roman"/>
          <w:bCs/>
          <w:color w:val="000000" w:themeColor="text1"/>
          <w:sz w:val="24"/>
          <w:szCs w:val="24"/>
          <w:lang w:val="en-US" w:eastAsia="en-US"/>
        </w:rPr>
        <w:t>:</w:t>
      </w:r>
      <w:r w:rsidRPr="00DE13EE">
        <w:rPr>
          <w:rFonts w:ascii="Times New Roman" w:eastAsia="Calibri" w:hAnsi="Times New Roman" w:cs="Times New Roman"/>
          <w:bCs/>
          <w:color w:val="000000" w:themeColor="text1"/>
          <w:sz w:val="24"/>
          <w:szCs w:val="24"/>
          <w:lang w:val="en-US" w:eastAsia="en-US"/>
        </w:rPr>
        <w:t xml:space="preserve"> Section 2 </w:t>
      </w:r>
      <w:r w:rsidR="00666EC5" w:rsidRPr="00DE13EE">
        <w:rPr>
          <w:rFonts w:ascii="Times New Roman" w:eastAsia="Calibri" w:hAnsi="Times New Roman" w:cs="Times New Roman"/>
          <w:bCs/>
          <w:color w:val="000000" w:themeColor="text1"/>
          <w:sz w:val="24"/>
          <w:szCs w:val="24"/>
          <w:lang w:val="en-US" w:eastAsia="en-US"/>
        </w:rPr>
        <w:t>reviews the</w:t>
      </w:r>
      <w:r w:rsidRPr="00DE13EE">
        <w:rPr>
          <w:rFonts w:ascii="Times New Roman" w:eastAsia="Calibri" w:hAnsi="Times New Roman" w:cs="Times New Roman"/>
          <w:bCs/>
          <w:color w:val="000000" w:themeColor="text1"/>
          <w:sz w:val="24"/>
          <w:szCs w:val="24"/>
          <w:lang w:val="en-US" w:eastAsia="en-US"/>
        </w:rPr>
        <w:t xml:space="preserve"> literature </w:t>
      </w:r>
      <w:r w:rsidR="00666EC5" w:rsidRPr="00DE13EE">
        <w:rPr>
          <w:rFonts w:ascii="Times New Roman" w:eastAsia="Calibri" w:hAnsi="Times New Roman" w:cs="Times New Roman"/>
          <w:bCs/>
          <w:color w:val="000000" w:themeColor="text1"/>
          <w:sz w:val="24"/>
          <w:szCs w:val="24"/>
          <w:lang w:val="en-US" w:eastAsia="en-US"/>
        </w:rPr>
        <w:t xml:space="preserve">and </w:t>
      </w:r>
      <w:r w:rsidRPr="00DE13EE">
        <w:rPr>
          <w:rFonts w:ascii="Times New Roman" w:eastAsia="Calibri" w:hAnsi="Times New Roman" w:cs="Times New Roman"/>
          <w:bCs/>
          <w:color w:val="000000" w:themeColor="text1"/>
          <w:sz w:val="24"/>
          <w:szCs w:val="24"/>
          <w:lang w:val="en-US" w:eastAsia="en-US"/>
        </w:rPr>
        <w:t>formulate</w:t>
      </w:r>
      <w:r w:rsidR="00666EC5" w:rsidRPr="00DE13EE">
        <w:rPr>
          <w:rFonts w:ascii="Times New Roman" w:eastAsia="Calibri" w:hAnsi="Times New Roman" w:cs="Times New Roman"/>
          <w:bCs/>
          <w:color w:val="000000" w:themeColor="text1"/>
          <w:sz w:val="24"/>
          <w:szCs w:val="24"/>
          <w:lang w:val="en-US" w:eastAsia="en-US"/>
        </w:rPr>
        <w:t>s</w:t>
      </w:r>
      <w:r w:rsidRPr="00DE13EE">
        <w:rPr>
          <w:rFonts w:ascii="Times New Roman" w:eastAsia="Calibri" w:hAnsi="Times New Roman" w:cs="Times New Roman"/>
          <w:bCs/>
          <w:color w:val="000000" w:themeColor="text1"/>
          <w:sz w:val="24"/>
          <w:szCs w:val="24"/>
          <w:lang w:val="en-US" w:eastAsia="en-US"/>
        </w:rPr>
        <w:t xml:space="preserve"> the research </w:t>
      </w:r>
      <w:r w:rsidR="00666EC5" w:rsidRPr="00DE13EE">
        <w:rPr>
          <w:rFonts w:ascii="Times New Roman" w:eastAsia="Calibri" w:hAnsi="Times New Roman" w:cs="Times New Roman"/>
          <w:bCs/>
          <w:color w:val="000000" w:themeColor="text1"/>
          <w:sz w:val="24"/>
          <w:szCs w:val="24"/>
          <w:lang w:val="en-US" w:eastAsia="en-US"/>
        </w:rPr>
        <w:t>hypotheses</w:t>
      </w:r>
      <w:r w:rsidR="00C71D34" w:rsidRPr="00DE13EE">
        <w:rPr>
          <w:rFonts w:ascii="Times New Roman" w:eastAsia="Calibri" w:hAnsi="Times New Roman" w:cs="Times New Roman"/>
          <w:bCs/>
          <w:color w:val="000000" w:themeColor="text1"/>
          <w:sz w:val="24"/>
          <w:szCs w:val="24"/>
          <w:lang w:val="en-US" w:eastAsia="en-US"/>
        </w:rPr>
        <w:t xml:space="preserve">; </w:t>
      </w:r>
      <w:r w:rsidRPr="00DE13EE">
        <w:rPr>
          <w:rFonts w:ascii="Times New Roman" w:eastAsia="Calibri" w:hAnsi="Times New Roman" w:cs="Times New Roman"/>
          <w:bCs/>
          <w:color w:val="000000" w:themeColor="text1"/>
          <w:sz w:val="24"/>
          <w:szCs w:val="24"/>
          <w:lang w:val="en-US" w:eastAsia="en-US"/>
        </w:rPr>
        <w:t>Section 3 details the research design</w:t>
      </w:r>
      <w:r w:rsidR="00C71D34" w:rsidRPr="00DE13EE">
        <w:rPr>
          <w:rFonts w:ascii="Times New Roman" w:eastAsia="Calibri" w:hAnsi="Times New Roman" w:cs="Times New Roman"/>
          <w:bCs/>
          <w:color w:val="000000" w:themeColor="text1"/>
          <w:sz w:val="24"/>
          <w:szCs w:val="24"/>
          <w:lang w:val="en-US" w:eastAsia="en-US"/>
        </w:rPr>
        <w:t xml:space="preserve">; </w:t>
      </w:r>
      <w:r w:rsidRPr="00DE13EE">
        <w:rPr>
          <w:rFonts w:ascii="Times New Roman" w:eastAsia="Calibri" w:hAnsi="Times New Roman" w:cs="Times New Roman"/>
          <w:bCs/>
          <w:color w:val="000000" w:themeColor="text1"/>
          <w:sz w:val="24"/>
          <w:szCs w:val="24"/>
          <w:lang w:val="en-US" w:eastAsia="en-US"/>
        </w:rPr>
        <w:t>Section 4 reports the results</w:t>
      </w:r>
      <w:r w:rsidR="00C71D34" w:rsidRPr="00DE13EE">
        <w:rPr>
          <w:rFonts w:ascii="Times New Roman" w:eastAsia="Calibri" w:hAnsi="Times New Roman" w:cs="Times New Roman"/>
          <w:bCs/>
          <w:color w:val="000000" w:themeColor="text1"/>
          <w:sz w:val="24"/>
          <w:szCs w:val="24"/>
          <w:lang w:val="en-US" w:eastAsia="en-US"/>
        </w:rPr>
        <w:t xml:space="preserve">; </w:t>
      </w:r>
      <w:r w:rsidRPr="00DE13EE">
        <w:rPr>
          <w:rFonts w:ascii="Times New Roman" w:eastAsia="Calibri" w:hAnsi="Times New Roman" w:cs="Times New Roman"/>
          <w:bCs/>
          <w:color w:val="000000" w:themeColor="text1"/>
          <w:sz w:val="24"/>
          <w:szCs w:val="24"/>
          <w:lang w:val="en-US" w:eastAsia="en-US"/>
        </w:rPr>
        <w:t>Section 5 introduces a robustness check</w:t>
      </w:r>
      <w:r w:rsidR="0023126A" w:rsidRPr="00DE13EE">
        <w:rPr>
          <w:rFonts w:ascii="Times New Roman" w:eastAsia="Calibri" w:hAnsi="Times New Roman" w:cs="Times New Roman"/>
          <w:bCs/>
          <w:color w:val="000000" w:themeColor="text1"/>
          <w:sz w:val="24"/>
          <w:szCs w:val="24"/>
          <w:lang w:val="en-US" w:eastAsia="en-US"/>
        </w:rPr>
        <w:t xml:space="preserve">, </w:t>
      </w:r>
      <w:r w:rsidR="00C71D34" w:rsidRPr="00DE13EE">
        <w:rPr>
          <w:rFonts w:ascii="Times New Roman" w:eastAsia="Calibri" w:hAnsi="Times New Roman" w:cs="Times New Roman"/>
          <w:bCs/>
          <w:color w:val="000000" w:themeColor="text1"/>
          <w:sz w:val="24"/>
          <w:szCs w:val="24"/>
          <w:lang w:val="en-US" w:eastAsia="en-US"/>
        </w:rPr>
        <w:t>and</w:t>
      </w:r>
      <w:r w:rsidRPr="00DE13EE">
        <w:rPr>
          <w:rFonts w:ascii="Times New Roman" w:eastAsia="Calibri" w:hAnsi="Times New Roman" w:cs="Times New Roman"/>
          <w:bCs/>
          <w:color w:val="000000" w:themeColor="text1"/>
          <w:sz w:val="24"/>
          <w:szCs w:val="24"/>
          <w:lang w:val="en-US" w:eastAsia="en-US"/>
        </w:rPr>
        <w:t xml:space="preserve"> </w:t>
      </w:r>
      <w:r w:rsidR="003B0201" w:rsidRPr="00DE13EE">
        <w:rPr>
          <w:rFonts w:ascii="Times New Roman" w:eastAsia="Calibri" w:hAnsi="Times New Roman" w:cs="Times New Roman"/>
          <w:bCs/>
          <w:color w:val="000000" w:themeColor="text1"/>
          <w:sz w:val="24"/>
          <w:szCs w:val="24"/>
          <w:lang w:val="en-US" w:eastAsia="en-US"/>
        </w:rPr>
        <w:t xml:space="preserve">section </w:t>
      </w:r>
      <w:r w:rsidRPr="00DE13EE">
        <w:rPr>
          <w:rFonts w:ascii="Times New Roman" w:eastAsia="Calibri" w:hAnsi="Times New Roman" w:cs="Times New Roman"/>
          <w:bCs/>
          <w:color w:val="000000" w:themeColor="text1"/>
          <w:sz w:val="24"/>
          <w:szCs w:val="24"/>
          <w:lang w:val="en-US" w:eastAsia="en-US"/>
        </w:rPr>
        <w:t xml:space="preserve">6 </w:t>
      </w:r>
      <w:r w:rsidR="00C71D34" w:rsidRPr="00DE13EE">
        <w:rPr>
          <w:rFonts w:ascii="Times New Roman" w:eastAsia="Calibri" w:hAnsi="Times New Roman" w:cs="Times New Roman"/>
          <w:bCs/>
          <w:color w:val="000000" w:themeColor="text1"/>
          <w:sz w:val="24"/>
          <w:szCs w:val="24"/>
          <w:lang w:val="en-US" w:eastAsia="en-US"/>
        </w:rPr>
        <w:t>presents the conclusion</w:t>
      </w:r>
      <w:r w:rsidRPr="00DE13EE">
        <w:rPr>
          <w:rFonts w:ascii="Times New Roman" w:eastAsia="Calibri" w:hAnsi="Times New Roman" w:cs="Times New Roman"/>
          <w:bCs/>
          <w:color w:val="000000" w:themeColor="text1"/>
          <w:sz w:val="24"/>
          <w:szCs w:val="24"/>
          <w:lang w:val="en-US" w:eastAsia="en-US"/>
        </w:rPr>
        <w:t>.</w:t>
      </w:r>
    </w:p>
    <w:p w14:paraId="1C3B638C" w14:textId="1DA4AC9B" w:rsidR="00812C9C" w:rsidRPr="00DE13EE" w:rsidRDefault="005C7758" w:rsidP="00B93D4F">
      <w:pPr>
        <w:pStyle w:val="Heading1"/>
        <w:rPr>
          <w:color w:val="000000" w:themeColor="text1"/>
          <w:lang w:val="en-US"/>
        </w:rPr>
      </w:pPr>
      <w:r w:rsidRPr="00DE13EE" w:rsidDel="005C7758">
        <w:rPr>
          <w:rFonts w:eastAsia="MS Mincho"/>
          <w:color w:val="000000" w:themeColor="text1"/>
          <w:lang w:val="en-US" w:eastAsia="ja-JP"/>
        </w:rPr>
        <w:t xml:space="preserve"> </w:t>
      </w:r>
      <w:r w:rsidR="00812C9C" w:rsidRPr="00DE13EE">
        <w:rPr>
          <w:color w:val="000000" w:themeColor="text1"/>
          <w:lang w:val="en-US"/>
        </w:rPr>
        <w:t>Literature and hypothesis development</w:t>
      </w:r>
    </w:p>
    <w:p w14:paraId="4621225A" w14:textId="57A1A520" w:rsidR="001C6363" w:rsidRPr="00DE13EE" w:rsidRDefault="00AE0311" w:rsidP="00B93D4F">
      <w:pPr>
        <w:spacing w:line="360" w:lineRule="auto"/>
        <w:jc w:val="both"/>
        <w:rPr>
          <w:rFonts w:ascii="Times New Roman" w:hAnsi="Times New Roman" w:cs="Times New Roman"/>
          <w:color w:val="000000" w:themeColor="text1"/>
          <w:sz w:val="24"/>
          <w:szCs w:val="24"/>
          <w:lang w:val="en-US"/>
        </w:rPr>
      </w:pPr>
      <w:r w:rsidRPr="00DE13EE">
        <w:rPr>
          <w:rFonts w:ascii="Times New Roman" w:hAnsi="Times New Roman" w:cs="Times New Roman"/>
          <w:color w:val="000000" w:themeColor="text1"/>
          <w:sz w:val="24"/>
          <w:szCs w:val="24"/>
          <w:lang w:val="en-US"/>
        </w:rPr>
        <w:t xml:space="preserve">In this section, </w:t>
      </w:r>
      <w:r w:rsidR="001C6363" w:rsidRPr="00DE13EE">
        <w:rPr>
          <w:rFonts w:ascii="Times New Roman" w:hAnsi="Times New Roman" w:cs="Times New Roman"/>
          <w:color w:val="000000" w:themeColor="text1"/>
          <w:sz w:val="24"/>
          <w:szCs w:val="24"/>
          <w:lang w:val="en-US"/>
        </w:rPr>
        <w:t>we review the three strands of literature that are relevant</w:t>
      </w:r>
      <w:r w:rsidRPr="00DE13EE">
        <w:rPr>
          <w:rFonts w:ascii="Times New Roman" w:hAnsi="Times New Roman" w:cs="Times New Roman"/>
          <w:color w:val="000000" w:themeColor="text1"/>
          <w:sz w:val="24"/>
          <w:szCs w:val="24"/>
          <w:lang w:val="en-US"/>
        </w:rPr>
        <w:t xml:space="preserve"> and consistent with the </w:t>
      </w:r>
      <w:r w:rsidR="00720965" w:rsidRPr="00DE13EE">
        <w:rPr>
          <w:rFonts w:ascii="Times New Roman" w:hAnsi="Times New Roman" w:cs="Times New Roman"/>
          <w:color w:val="000000" w:themeColor="text1"/>
          <w:sz w:val="24"/>
          <w:szCs w:val="24"/>
          <w:lang w:val="en-US"/>
        </w:rPr>
        <w:t xml:space="preserve">research </w:t>
      </w:r>
      <w:r w:rsidRPr="00DE13EE">
        <w:rPr>
          <w:rFonts w:ascii="Times New Roman" w:hAnsi="Times New Roman" w:cs="Times New Roman"/>
          <w:color w:val="000000" w:themeColor="text1"/>
          <w:sz w:val="24"/>
          <w:szCs w:val="24"/>
          <w:lang w:val="en-US"/>
        </w:rPr>
        <w:t xml:space="preserve">objectives </w:t>
      </w:r>
      <w:r w:rsidR="001C6363" w:rsidRPr="00DE13EE">
        <w:rPr>
          <w:rFonts w:ascii="Times New Roman" w:hAnsi="Times New Roman" w:cs="Times New Roman"/>
          <w:color w:val="000000" w:themeColor="text1"/>
          <w:sz w:val="24"/>
          <w:szCs w:val="24"/>
          <w:lang w:val="en-US"/>
        </w:rPr>
        <w:t>and</w:t>
      </w:r>
      <w:r w:rsidR="00F54140" w:rsidRPr="00DE13EE">
        <w:rPr>
          <w:rFonts w:ascii="Times New Roman" w:hAnsi="Times New Roman" w:cs="Times New Roman"/>
          <w:color w:val="000000" w:themeColor="text1"/>
          <w:sz w:val="24"/>
          <w:szCs w:val="24"/>
          <w:lang w:val="en-US"/>
        </w:rPr>
        <w:t>, then,</w:t>
      </w:r>
      <w:r w:rsidR="001C6363" w:rsidRPr="00DE13EE">
        <w:rPr>
          <w:rFonts w:ascii="Times New Roman" w:hAnsi="Times New Roman" w:cs="Times New Roman"/>
          <w:color w:val="000000" w:themeColor="text1"/>
          <w:sz w:val="24"/>
          <w:szCs w:val="24"/>
          <w:lang w:val="en-US"/>
        </w:rPr>
        <w:t xml:space="preserve"> </w:t>
      </w:r>
      <w:r w:rsidRPr="00DE13EE">
        <w:rPr>
          <w:rFonts w:ascii="Times New Roman" w:hAnsi="Times New Roman" w:cs="Times New Roman"/>
          <w:color w:val="000000" w:themeColor="text1"/>
          <w:sz w:val="24"/>
          <w:szCs w:val="24"/>
          <w:lang w:val="en-US"/>
        </w:rPr>
        <w:t xml:space="preserve">the </w:t>
      </w:r>
      <w:r w:rsidR="001C6363" w:rsidRPr="00DE13EE">
        <w:rPr>
          <w:rFonts w:ascii="Times New Roman" w:hAnsi="Times New Roman" w:cs="Times New Roman"/>
          <w:color w:val="000000" w:themeColor="text1"/>
          <w:sz w:val="24"/>
          <w:szCs w:val="24"/>
          <w:lang w:val="en-US"/>
        </w:rPr>
        <w:t>research hypotheses</w:t>
      </w:r>
      <w:r w:rsidR="00F54140" w:rsidRPr="00DE13EE">
        <w:rPr>
          <w:rFonts w:ascii="Times New Roman" w:hAnsi="Times New Roman" w:cs="Times New Roman"/>
          <w:color w:val="000000" w:themeColor="text1"/>
          <w:sz w:val="24"/>
          <w:szCs w:val="24"/>
          <w:lang w:val="en-US"/>
        </w:rPr>
        <w:t xml:space="preserve"> are formulated</w:t>
      </w:r>
      <w:r w:rsidR="001C6363" w:rsidRPr="00DE13EE">
        <w:rPr>
          <w:rFonts w:ascii="Times New Roman" w:hAnsi="Times New Roman" w:cs="Times New Roman"/>
          <w:color w:val="000000" w:themeColor="text1"/>
          <w:sz w:val="24"/>
          <w:szCs w:val="24"/>
          <w:lang w:val="en-US"/>
        </w:rPr>
        <w:t xml:space="preserve">. The first strand relates to the </w:t>
      </w:r>
      <w:r w:rsidRPr="00DE13EE">
        <w:rPr>
          <w:rFonts w:ascii="Times New Roman" w:hAnsi="Times New Roman" w:cs="Times New Roman"/>
          <w:color w:val="000000" w:themeColor="text1"/>
          <w:sz w:val="24"/>
          <w:szCs w:val="24"/>
          <w:lang w:val="en-US"/>
        </w:rPr>
        <w:t>association between a firm forward-looking disclosure and its value</w:t>
      </w:r>
      <w:r w:rsidR="001C6363" w:rsidRPr="00DE13EE">
        <w:rPr>
          <w:rFonts w:ascii="Times New Roman" w:hAnsi="Times New Roman" w:cs="Times New Roman"/>
          <w:color w:val="000000" w:themeColor="text1"/>
          <w:sz w:val="24"/>
          <w:szCs w:val="24"/>
          <w:lang w:val="en-US"/>
        </w:rPr>
        <w:t xml:space="preserve">. The second focuses on </w:t>
      </w:r>
      <w:r w:rsidR="0024367F" w:rsidRPr="00DE13EE">
        <w:rPr>
          <w:rFonts w:ascii="Times New Roman" w:hAnsi="Times New Roman" w:cs="Times New Roman"/>
          <w:color w:val="000000" w:themeColor="text1"/>
          <w:sz w:val="24"/>
          <w:szCs w:val="24"/>
          <w:lang w:val="en-US"/>
        </w:rPr>
        <w:t xml:space="preserve">how </w:t>
      </w:r>
      <w:r w:rsidR="0023126A" w:rsidRPr="00DE13EE">
        <w:rPr>
          <w:rFonts w:ascii="Times New Roman" w:hAnsi="Times New Roman" w:cs="Times New Roman"/>
          <w:color w:val="000000" w:themeColor="text1"/>
          <w:sz w:val="24"/>
          <w:szCs w:val="24"/>
          <w:lang w:val="en-US"/>
        </w:rPr>
        <w:t xml:space="preserve">a </w:t>
      </w:r>
      <w:r w:rsidR="0024367F" w:rsidRPr="00DE13EE">
        <w:rPr>
          <w:rFonts w:ascii="Times New Roman" w:hAnsi="Times New Roman" w:cs="Times New Roman"/>
          <w:color w:val="000000" w:themeColor="text1"/>
          <w:sz w:val="24"/>
          <w:szCs w:val="24"/>
          <w:lang w:val="en-US"/>
        </w:rPr>
        <w:t xml:space="preserve">change in </w:t>
      </w:r>
      <w:r w:rsidRPr="00DE13EE">
        <w:rPr>
          <w:rFonts w:ascii="Times New Roman" w:hAnsi="Times New Roman" w:cs="Times New Roman"/>
          <w:color w:val="000000" w:themeColor="text1"/>
          <w:sz w:val="24"/>
          <w:szCs w:val="24"/>
          <w:lang w:val="en-US"/>
        </w:rPr>
        <w:t xml:space="preserve">a </w:t>
      </w:r>
      <w:r w:rsidR="0024367F" w:rsidRPr="00DE13EE">
        <w:rPr>
          <w:rFonts w:ascii="Times New Roman" w:hAnsi="Times New Roman" w:cs="Times New Roman"/>
          <w:color w:val="000000" w:themeColor="text1"/>
          <w:sz w:val="24"/>
          <w:szCs w:val="24"/>
          <w:lang w:val="en-US"/>
        </w:rPr>
        <w:t xml:space="preserve">firm performance could affect the association between </w:t>
      </w:r>
      <w:r w:rsidRPr="00DE13EE">
        <w:rPr>
          <w:rFonts w:ascii="Times New Roman" w:hAnsi="Times New Roman" w:cs="Times New Roman"/>
          <w:color w:val="000000" w:themeColor="text1"/>
          <w:sz w:val="24"/>
          <w:szCs w:val="24"/>
          <w:lang w:val="en-US"/>
        </w:rPr>
        <w:t xml:space="preserve">forward-looking disclosure </w:t>
      </w:r>
      <w:r w:rsidR="0024367F" w:rsidRPr="00DE13EE">
        <w:rPr>
          <w:rFonts w:ascii="Times New Roman" w:hAnsi="Times New Roman" w:cs="Times New Roman"/>
          <w:color w:val="000000" w:themeColor="text1"/>
          <w:sz w:val="24"/>
          <w:szCs w:val="24"/>
          <w:lang w:val="en-US"/>
        </w:rPr>
        <w:t xml:space="preserve">and </w:t>
      </w:r>
      <w:r w:rsidR="00720965" w:rsidRPr="00DE13EE">
        <w:rPr>
          <w:rFonts w:ascii="Times New Roman" w:hAnsi="Times New Roman" w:cs="Times New Roman"/>
          <w:color w:val="000000" w:themeColor="text1"/>
          <w:sz w:val="24"/>
          <w:szCs w:val="24"/>
          <w:lang w:val="en-US"/>
        </w:rPr>
        <w:t xml:space="preserve">a </w:t>
      </w:r>
      <w:r w:rsidR="0024367F" w:rsidRPr="00DE13EE">
        <w:rPr>
          <w:rFonts w:ascii="Times New Roman" w:hAnsi="Times New Roman" w:cs="Times New Roman"/>
          <w:color w:val="000000" w:themeColor="text1"/>
          <w:sz w:val="24"/>
          <w:szCs w:val="24"/>
          <w:lang w:val="en-US"/>
        </w:rPr>
        <w:t>firm value</w:t>
      </w:r>
      <w:r w:rsidR="001C6363" w:rsidRPr="00DE13EE">
        <w:rPr>
          <w:rFonts w:ascii="Times New Roman" w:hAnsi="Times New Roman" w:cs="Times New Roman"/>
          <w:color w:val="000000" w:themeColor="text1"/>
          <w:sz w:val="24"/>
          <w:szCs w:val="24"/>
          <w:lang w:val="en-US"/>
        </w:rPr>
        <w:t xml:space="preserve">. The third focuses on </w:t>
      </w:r>
      <w:r w:rsidR="0024367F" w:rsidRPr="00DE13EE">
        <w:rPr>
          <w:rFonts w:ascii="Times New Roman" w:hAnsi="Times New Roman" w:cs="Times New Roman"/>
          <w:color w:val="000000" w:themeColor="text1"/>
          <w:sz w:val="24"/>
          <w:szCs w:val="24"/>
          <w:lang w:val="en-US"/>
        </w:rPr>
        <w:t xml:space="preserve">how audit firm size could affect the association </w:t>
      </w:r>
      <w:r w:rsidR="005C7758" w:rsidRPr="00DE13EE">
        <w:rPr>
          <w:rFonts w:ascii="Times New Roman" w:hAnsi="Times New Roman" w:cs="Times New Roman"/>
          <w:color w:val="000000" w:themeColor="text1"/>
          <w:sz w:val="24"/>
          <w:szCs w:val="24"/>
          <w:lang w:val="en-US"/>
        </w:rPr>
        <w:t>between</w:t>
      </w:r>
      <w:r w:rsidR="0024367F" w:rsidRPr="00DE13EE">
        <w:rPr>
          <w:rFonts w:ascii="Times New Roman" w:hAnsi="Times New Roman" w:cs="Times New Roman"/>
          <w:color w:val="000000" w:themeColor="text1"/>
          <w:sz w:val="24"/>
          <w:szCs w:val="24"/>
          <w:lang w:val="en-US"/>
        </w:rPr>
        <w:t xml:space="preserve"> </w:t>
      </w:r>
      <w:r w:rsidRPr="00DE13EE">
        <w:rPr>
          <w:rFonts w:ascii="Times New Roman" w:hAnsi="Times New Roman" w:cs="Times New Roman"/>
          <w:color w:val="000000" w:themeColor="text1"/>
          <w:sz w:val="24"/>
          <w:szCs w:val="24"/>
          <w:lang w:val="en-US"/>
        </w:rPr>
        <w:t xml:space="preserve">forward-looking disclosure </w:t>
      </w:r>
      <w:r w:rsidR="0024367F" w:rsidRPr="00DE13EE">
        <w:rPr>
          <w:rFonts w:ascii="Times New Roman" w:hAnsi="Times New Roman" w:cs="Times New Roman"/>
          <w:color w:val="000000" w:themeColor="text1"/>
          <w:sz w:val="24"/>
          <w:szCs w:val="24"/>
          <w:lang w:val="en-US"/>
        </w:rPr>
        <w:t>and firm value</w:t>
      </w:r>
      <w:r w:rsidR="001C6363" w:rsidRPr="00DE13EE">
        <w:rPr>
          <w:rFonts w:ascii="Times New Roman" w:hAnsi="Times New Roman" w:cs="Times New Roman"/>
          <w:color w:val="000000" w:themeColor="text1"/>
          <w:sz w:val="24"/>
          <w:szCs w:val="24"/>
          <w:lang w:val="en-US"/>
        </w:rPr>
        <w:t xml:space="preserve">. </w:t>
      </w:r>
    </w:p>
    <w:p w14:paraId="53D20D22" w14:textId="5C394A36" w:rsidR="0024367F" w:rsidRPr="00DE13EE" w:rsidRDefault="0024367F" w:rsidP="00B93D4F">
      <w:pPr>
        <w:pStyle w:val="Heading2"/>
        <w:rPr>
          <w:color w:val="000000" w:themeColor="text1"/>
          <w:lang w:val="en-US"/>
        </w:rPr>
      </w:pPr>
      <w:r w:rsidRPr="00DE13EE">
        <w:rPr>
          <w:color w:val="000000" w:themeColor="text1"/>
          <w:lang w:val="en-US"/>
        </w:rPr>
        <w:t xml:space="preserve">2.1 Forward-looking disclosure and </w:t>
      </w:r>
      <w:r w:rsidR="00F1762F" w:rsidRPr="00DE13EE">
        <w:rPr>
          <w:color w:val="000000" w:themeColor="text1"/>
          <w:lang w:val="en-US"/>
        </w:rPr>
        <w:t>firm value</w:t>
      </w:r>
    </w:p>
    <w:p w14:paraId="0659B1A5" w14:textId="5005CE75" w:rsidR="005C7758" w:rsidRPr="00DE13EE" w:rsidRDefault="00E20171" w:rsidP="00B93D4F">
      <w:pPr>
        <w:spacing w:line="360" w:lineRule="auto"/>
        <w:jc w:val="both"/>
        <w:rPr>
          <w:rFonts w:ascii="Times New Roman" w:hAnsi="Times New Roman" w:cs="Times New Roman"/>
          <w:color w:val="000000" w:themeColor="text1"/>
          <w:sz w:val="24"/>
          <w:szCs w:val="24"/>
          <w:lang w:val="en-US"/>
        </w:rPr>
      </w:pPr>
      <w:r w:rsidRPr="00DE13EE">
        <w:rPr>
          <w:rFonts w:ascii="Times New Roman" w:hAnsi="Times New Roman" w:cs="Times New Roman"/>
          <w:color w:val="000000" w:themeColor="text1"/>
          <w:sz w:val="24"/>
          <w:szCs w:val="24"/>
          <w:lang w:val="en-US"/>
        </w:rPr>
        <w:t>I</w:t>
      </w:r>
      <w:r w:rsidR="005C7758" w:rsidRPr="00DE13EE">
        <w:rPr>
          <w:rFonts w:ascii="Times New Roman" w:hAnsi="Times New Roman" w:cs="Times New Roman"/>
          <w:color w:val="000000" w:themeColor="text1"/>
          <w:sz w:val="24"/>
          <w:szCs w:val="24"/>
          <w:lang w:val="en-US"/>
        </w:rPr>
        <w:t>nformative disclosures enhance investors’ perceptions of firms which are reflected in the value of the firm (Healy</w:t>
      </w:r>
      <w:r w:rsidR="00550D53" w:rsidRPr="00DE13EE">
        <w:rPr>
          <w:rFonts w:ascii="Times New Roman" w:hAnsi="Times New Roman" w:cs="Times New Roman"/>
          <w:color w:val="000000" w:themeColor="text1"/>
          <w:sz w:val="24"/>
          <w:szCs w:val="24"/>
          <w:lang w:val="en-US"/>
        </w:rPr>
        <w:t xml:space="preserve"> et al.</w:t>
      </w:r>
      <w:r w:rsidR="005C7758" w:rsidRPr="00DE13EE">
        <w:rPr>
          <w:rFonts w:ascii="Times New Roman" w:hAnsi="Times New Roman" w:cs="Times New Roman"/>
          <w:color w:val="000000" w:themeColor="text1"/>
          <w:sz w:val="24"/>
          <w:szCs w:val="24"/>
          <w:lang w:val="en-US"/>
        </w:rPr>
        <w:t xml:space="preserve"> 1999). Theoretically, an investor’s decision to </w:t>
      </w:r>
      <w:r w:rsidR="002E7521" w:rsidRPr="00DE13EE">
        <w:rPr>
          <w:rFonts w:ascii="Times New Roman" w:hAnsi="Times New Roman" w:cs="Times New Roman"/>
          <w:color w:val="000000" w:themeColor="text1"/>
          <w:sz w:val="24"/>
          <w:szCs w:val="24"/>
          <w:lang w:val="en-US"/>
        </w:rPr>
        <w:t xml:space="preserve">acquire </w:t>
      </w:r>
      <w:r w:rsidR="005C7758" w:rsidRPr="00DE13EE">
        <w:rPr>
          <w:rFonts w:ascii="Times New Roman" w:hAnsi="Times New Roman" w:cs="Times New Roman"/>
          <w:color w:val="000000" w:themeColor="text1"/>
          <w:sz w:val="24"/>
          <w:szCs w:val="24"/>
          <w:lang w:val="en-US"/>
        </w:rPr>
        <w:t xml:space="preserve">a firm’s financial securities depends on his/her expectations </w:t>
      </w:r>
      <w:r w:rsidR="002E7521" w:rsidRPr="00DE13EE">
        <w:rPr>
          <w:rFonts w:ascii="Times New Roman" w:hAnsi="Times New Roman" w:cs="Times New Roman"/>
          <w:color w:val="000000" w:themeColor="text1"/>
          <w:sz w:val="24"/>
          <w:szCs w:val="24"/>
          <w:lang w:val="en-US"/>
        </w:rPr>
        <w:t xml:space="preserve">in terms of </w:t>
      </w:r>
      <w:r w:rsidR="005C7758" w:rsidRPr="00DE13EE">
        <w:rPr>
          <w:rFonts w:ascii="Times New Roman" w:hAnsi="Times New Roman" w:cs="Times New Roman"/>
          <w:color w:val="000000" w:themeColor="text1"/>
          <w:sz w:val="24"/>
          <w:szCs w:val="24"/>
          <w:lang w:val="en-US"/>
        </w:rPr>
        <w:t xml:space="preserve">the firm’s future cash flows and/or its </w:t>
      </w:r>
      <w:r w:rsidR="005C7758" w:rsidRPr="00DE13EE">
        <w:rPr>
          <w:rFonts w:ascii="Times New Roman" w:hAnsi="Times New Roman" w:cs="Times New Roman"/>
          <w:color w:val="000000" w:themeColor="text1"/>
          <w:sz w:val="24"/>
          <w:szCs w:val="24"/>
          <w:lang w:val="en-US"/>
        </w:rPr>
        <w:lastRenderedPageBreak/>
        <w:t>returns</w:t>
      </w:r>
      <w:r w:rsidR="00394D14" w:rsidRPr="00DE13EE">
        <w:rPr>
          <w:rFonts w:ascii="Times New Roman" w:hAnsi="Times New Roman" w:cs="Times New Roman"/>
          <w:color w:val="000000" w:themeColor="text1"/>
          <w:sz w:val="24"/>
          <w:szCs w:val="24"/>
          <w:lang w:val="en-US"/>
        </w:rPr>
        <w:t xml:space="preserve"> based on the available information</w:t>
      </w:r>
      <w:r w:rsidR="009A51E7" w:rsidRPr="00DE13EE">
        <w:rPr>
          <w:rFonts w:ascii="Times New Roman" w:hAnsi="Times New Roman" w:cs="Times New Roman"/>
          <w:color w:val="000000" w:themeColor="text1"/>
          <w:sz w:val="24"/>
          <w:szCs w:val="24"/>
          <w:lang w:val="en-US"/>
        </w:rPr>
        <w:t xml:space="preserve"> (Miller 2010)</w:t>
      </w:r>
      <w:r w:rsidR="005C7758" w:rsidRPr="00DE13EE">
        <w:rPr>
          <w:rFonts w:ascii="Times New Roman" w:hAnsi="Times New Roman" w:cs="Times New Roman"/>
          <w:color w:val="000000" w:themeColor="text1"/>
          <w:sz w:val="24"/>
          <w:szCs w:val="24"/>
          <w:lang w:val="en-US"/>
        </w:rPr>
        <w:t xml:space="preserve">. Forward-looking disclosure may </w:t>
      </w:r>
      <w:r w:rsidR="00903891" w:rsidRPr="00DE13EE">
        <w:rPr>
          <w:rFonts w:ascii="Times New Roman" w:hAnsi="Times New Roman" w:cs="Times New Roman"/>
          <w:color w:val="000000" w:themeColor="text1"/>
          <w:sz w:val="24"/>
          <w:szCs w:val="24"/>
          <w:lang w:val="en-US"/>
        </w:rPr>
        <w:t xml:space="preserve">enable </w:t>
      </w:r>
      <w:r w:rsidR="005C7758" w:rsidRPr="00DE13EE">
        <w:rPr>
          <w:rFonts w:ascii="Times New Roman" w:hAnsi="Times New Roman" w:cs="Times New Roman"/>
          <w:color w:val="000000" w:themeColor="text1"/>
          <w:sz w:val="24"/>
          <w:szCs w:val="24"/>
          <w:lang w:val="en-US"/>
        </w:rPr>
        <w:t xml:space="preserve">investors </w:t>
      </w:r>
      <w:r w:rsidR="0023126A" w:rsidRPr="00DE13EE">
        <w:rPr>
          <w:rFonts w:ascii="Times New Roman" w:hAnsi="Times New Roman" w:cs="Times New Roman"/>
          <w:color w:val="000000" w:themeColor="text1"/>
          <w:sz w:val="24"/>
          <w:szCs w:val="24"/>
          <w:lang w:val="en-US"/>
        </w:rPr>
        <w:t xml:space="preserve">to </w:t>
      </w:r>
      <w:r w:rsidR="005C7758" w:rsidRPr="00DE13EE">
        <w:rPr>
          <w:rFonts w:ascii="Times New Roman" w:hAnsi="Times New Roman" w:cs="Times New Roman"/>
          <w:color w:val="000000" w:themeColor="text1"/>
          <w:sz w:val="24"/>
          <w:szCs w:val="24"/>
          <w:lang w:val="en-US"/>
        </w:rPr>
        <w:t>build their expectations about a firm’s future cash flows and/or its returns. Furthermore, information reduces liquidity costs, therefore increasing stock liquidity and reducing the rate of return required by investors to invest in a firm’s shares. This, in turn, affects the value of a firm. Agency theory, also, suggests that disclosures decrease information asymmetry between management and in</w:t>
      </w:r>
      <w:r w:rsidR="005E0815" w:rsidRPr="00DE13EE">
        <w:rPr>
          <w:rFonts w:ascii="Times New Roman" w:hAnsi="Times New Roman" w:cs="Times New Roman"/>
          <w:color w:val="000000" w:themeColor="text1"/>
          <w:sz w:val="24"/>
          <w:szCs w:val="24"/>
          <w:lang w:val="en-US"/>
        </w:rPr>
        <w:t>vestors (Jensen 1986</w:t>
      </w:r>
      <w:r w:rsidR="005C7758" w:rsidRPr="00DE13EE">
        <w:rPr>
          <w:rFonts w:ascii="Times New Roman" w:hAnsi="Times New Roman" w:cs="Times New Roman"/>
          <w:color w:val="000000" w:themeColor="text1"/>
          <w:sz w:val="24"/>
          <w:szCs w:val="24"/>
          <w:lang w:val="en-US"/>
        </w:rPr>
        <w:t>).</w:t>
      </w:r>
      <w:r w:rsidR="00FF4B7D" w:rsidRPr="00DE13EE">
        <w:rPr>
          <w:rFonts w:ascii="Times New Roman" w:hAnsi="Times New Roman" w:cs="Times New Roman"/>
          <w:color w:val="000000" w:themeColor="text1"/>
          <w:sz w:val="24"/>
          <w:szCs w:val="24"/>
          <w:lang w:val="en-US"/>
        </w:rPr>
        <w:t xml:space="preserve"> Empirically, Van Buskirk</w:t>
      </w:r>
      <w:r w:rsidR="005C7758" w:rsidRPr="00DE13EE">
        <w:rPr>
          <w:rFonts w:ascii="Times New Roman" w:hAnsi="Times New Roman" w:cs="Times New Roman"/>
          <w:color w:val="000000" w:themeColor="text1"/>
          <w:sz w:val="24"/>
          <w:szCs w:val="24"/>
          <w:lang w:val="en-US"/>
        </w:rPr>
        <w:t xml:space="preserve"> </w:t>
      </w:r>
      <w:r w:rsidR="00FF4B7D" w:rsidRPr="00DE13EE">
        <w:rPr>
          <w:rFonts w:ascii="Times New Roman" w:hAnsi="Times New Roman" w:cs="Times New Roman"/>
          <w:color w:val="000000" w:themeColor="text1"/>
          <w:sz w:val="24"/>
          <w:szCs w:val="24"/>
          <w:lang w:val="en-US"/>
        </w:rPr>
        <w:t xml:space="preserve">(2012) uses a panel of 386 </w:t>
      </w:r>
      <w:r w:rsidR="00E9027D" w:rsidRPr="00DE13EE">
        <w:rPr>
          <w:rFonts w:ascii="Times New Roman" w:hAnsi="Times New Roman" w:cs="Times New Roman"/>
          <w:color w:val="000000" w:themeColor="text1"/>
          <w:sz w:val="24"/>
          <w:szCs w:val="24"/>
          <w:lang w:val="en-US"/>
        </w:rPr>
        <w:t xml:space="preserve">US </w:t>
      </w:r>
      <w:r w:rsidR="00FF4B7D" w:rsidRPr="00DE13EE">
        <w:rPr>
          <w:rFonts w:ascii="Times New Roman" w:hAnsi="Times New Roman" w:cs="Times New Roman"/>
          <w:color w:val="000000" w:themeColor="text1"/>
          <w:sz w:val="24"/>
          <w:szCs w:val="24"/>
          <w:lang w:val="en-US"/>
        </w:rPr>
        <w:t xml:space="preserve">firms </w:t>
      </w:r>
      <w:r w:rsidR="00E9027D" w:rsidRPr="00DE13EE">
        <w:rPr>
          <w:rFonts w:ascii="Times New Roman" w:hAnsi="Times New Roman" w:cs="Times New Roman"/>
          <w:color w:val="000000" w:themeColor="text1"/>
          <w:sz w:val="24"/>
          <w:szCs w:val="24"/>
          <w:lang w:val="en-US"/>
        </w:rPr>
        <w:t>from a</w:t>
      </w:r>
      <w:r w:rsidR="00FF4B7D" w:rsidRPr="00DE13EE">
        <w:rPr>
          <w:rFonts w:ascii="Times New Roman" w:hAnsi="Times New Roman" w:cs="Times New Roman"/>
          <w:color w:val="000000" w:themeColor="text1"/>
          <w:sz w:val="24"/>
          <w:szCs w:val="24"/>
          <w:lang w:val="en-US"/>
        </w:rPr>
        <w:t xml:space="preserve"> retail sector and finds that quantity of disclosure is associated with </w:t>
      </w:r>
      <w:r w:rsidR="00B134A5" w:rsidRPr="00DE13EE">
        <w:rPr>
          <w:rFonts w:ascii="Times New Roman" w:hAnsi="Times New Roman" w:cs="Times New Roman"/>
          <w:color w:val="000000" w:themeColor="text1"/>
          <w:sz w:val="24"/>
          <w:szCs w:val="24"/>
          <w:lang w:val="en-US"/>
        </w:rPr>
        <w:t xml:space="preserve">a </w:t>
      </w:r>
      <w:r w:rsidR="00FF4B7D" w:rsidRPr="00DE13EE">
        <w:rPr>
          <w:rFonts w:ascii="Times New Roman" w:hAnsi="Times New Roman" w:cs="Times New Roman"/>
          <w:color w:val="000000" w:themeColor="text1"/>
          <w:sz w:val="24"/>
          <w:szCs w:val="24"/>
          <w:lang w:val="en-US"/>
        </w:rPr>
        <w:t xml:space="preserve">decreased information asymmetry. </w:t>
      </w:r>
      <w:r w:rsidR="005C7758" w:rsidRPr="00DE13EE">
        <w:rPr>
          <w:rFonts w:ascii="Times New Roman" w:hAnsi="Times New Roman" w:cs="Times New Roman"/>
          <w:color w:val="000000" w:themeColor="text1"/>
          <w:sz w:val="24"/>
          <w:szCs w:val="24"/>
          <w:lang w:val="en-US"/>
        </w:rPr>
        <w:t>This may reduce the uncertainty surrounding a firm’s future performance, which in turn affects its share prices and, consequently, its value</w:t>
      </w:r>
      <w:r w:rsidR="009A51E7" w:rsidRPr="00DE13EE">
        <w:rPr>
          <w:rFonts w:ascii="Times New Roman" w:hAnsi="Times New Roman" w:cs="Times New Roman"/>
          <w:color w:val="000000" w:themeColor="text1"/>
          <w:sz w:val="24"/>
          <w:szCs w:val="24"/>
          <w:lang w:val="en-US"/>
        </w:rPr>
        <w:t xml:space="preserve"> (Healy et al. 1999)</w:t>
      </w:r>
      <w:r w:rsidR="005C7758" w:rsidRPr="00DE13EE">
        <w:rPr>
          <w:rFonts w:ascii="Times New Roman" w:hAnsi="Times New Roman" w:cs="Times New Roman"/>
          <w:color w:val="000000" w:themeColor="text1"/>
          <w:sz w:val="24"/>
          <w:szCs w:val="24"/>
          <w:lang w:val="en-US"/>
        </w:rPr>
        <w:t>. In addition, voluntary disclosure (e.g., forward-looking information) may reduce the private benefits that controlling shareholders and management might get from controlling the firm (e.g., monitoring costs). This would increase the expected cash flow to shareholder</w:t>
      </w:r>
      <w:r w:rsidR="00C81406" w:rsidRPr="00DE13EE">
        <w:rPr>
          <w:rFonts w:ascii="Times New Roman" w:hAnsi="Times New Roman" w:cs="Times New Roman"/>
          <w:color w:val="000000" w:themeColor="text1"/>
          <w:sz w:val="24"/>
          <w:szCs w:val="24"/>
          <w:lang w:val="en-US"/>
        </w:rPr>
        <w:t>s and, consequently, their firm</w:t>
      </w:r>
      <w:r w:rsidR="005C7758" w:rsidRPr="00DE13EE">
        <w:rPr>
          <w:rFonts w:ascii="Times New Roman" w:hAnsi="Times New Roman" w:cs="Times New Roman"/>
          <w:color w:val="000000" w:themeColor="text1"/>
          <w:sz w:val="24"/>
          <w:szCs w:val="24"/>
          <w:lang w:val="en-US"/>
        </w:rPr>
        <w:t>s</w:t>
      </w:r>
      <w:r w:rsidR="00C81406" w:rsidRPr="00DE13EE">
        <w:rPr>
          <w:rFonts w:ascii="Times New Roman" w:hAnsi="Times New Roman" w:cs="Times New Roman"/>
          <w:color w:val="000000" w:themeColor="text1"/>
          <w:sz w:val="24"/>
          <w:szCs w:val="24"/>
          <w:lang w:val="en-US"/>
        </w:rPr>
        <w:t>’</w:t>
      </w:r>
      <w:r w:rsidR="005C7758" w:rsidRPr="00DE13EE">
        <w:rPr>
          <w:rFonts w:ascii="Times New Roman" w:hAnsi="Times New Roman" w:cs="Times New Roman"/>
          <w:color w:val="000000" w:themeColor="text1"/>
          <w:sz w:val="24"/>
          <w:szCs w:val="24"/>
          <w:lang w:val="en-US"/>
        </w:rPr>
        <w:t xml:space="preserve"> values.</w:t>
      </w:r>
    </w:p>
    <w:p w14:paraId="5BBEDECD" w14:textId="09E51A1E" w:rsidR="00812C9C" w:rsidRPr="00DE13EE" w:rsidRDefault="00812C9C" w:rsidP="00B93D4F">
      <w:pPr>
        <w:spacing w:line="360" w:lineRule="auto"/>
        <w:jc w:val="both"/>
        <w:rPr>
          <w:rFonts w:ascii="Times New Roman" w:hAnsi="Times New Roman" w:cs="Times New Roman"/>
          <w:color w:val="000000" w:themeColor="text1"/>
          <w:sz w:val="24"/>
          <w:szCs w:val="24"/>
          <w:lang w:val="en-US"/>
        </w:rPr>
      </w:pPr>
      <w:r w:rsidRPr="00DE13EE">
        <w:rPr>
          <w:rFonts w:ascii="Times New Roman" w:hAnsi="Times New Roman" w:cs="Times New Roman"/>
          <w:color w:val="000000" w:themeColor="text1"/>
          <w:sz w:val="24"/>
          <w:szCs w:val="24"/>
          <w:lang w:val="en-US"/>
        </w:rPr>
        <w:t xml:space="preserve">Prior research examines the effect of disclosure on </w:t>
      </w:r>
      <w:r w:rsidR="00C81406" w:rsidRPr="00DE13EE">
        <w:rPr>
          <w:rFonts w:ascii="Times New Roman" w:hAnsi="Times New Roman" w:cs="Times New Roman"/>
          <w:color w:val="000000" w:themeColor="text1"/>
          <w:sz w:val="24"/>
          <w:szCs w:val="24"/>
          <w:lang w:val="en-US"/>
        </w:rPr>
        <w:t xml:space="preserve">a </w:t>
      </w:r>
      <w:r w:rsidRPr="00DE13EE">
        <w:rPr>
          <w:rFonts w:ascii="Times New Roman" w:hAnsi="Times New Roman" w:cs="Times New Roman"/>
          <w:color w:val="000000" w:themeColor="text1"/>
          <w:sz w:val="24"/>
          <w:szCs w:val="24"/>
          <w:lang w:val="en-US"/>
        </w:rPr>
        <w:t>firm value through its effect on the firm</w:t>
      </w:r>
      <w:r w:rsidR="00541982" w:rsidRPr="00DE13EE">
        <w:rPr>
          <w:rFonts w:ascii="Times New Roman" w:hAnsi="Times New Roman" w:cs="Times New Roman"/>
          <w:color w:val="000000" w:themeColor="text1"/>
          <w:sz w:val="24"/>
          <w:szCs w:val="24"/>
          <w:lang w:val="en-US"/>
        </w:rPr>
        <w:t>’s</w:t>
      </w:r>
      <w:r w:rsidR="004C7E5B" w:rsidRPr="00DE13EE">
        <w:rPr>
          <w:rFonts w:ascii="Times New Roman" w:hAnsi="Times New Roman" w:cs="Times New Roman"/>
          <w:color w:val="000000" w:themeColor="text1"/>
          <w:sz w:val="24"/>
          <w:szCs w:val="24"/>
          <w:lang w:val="en-US"/>
        </w:rPr>
        <w:t xml:space="preserve"> cost of capital. This stream of research argue</w:t>
      </w:r>
      <w:r w:rsidR="003829E7" w:rsidRPr="00DE13EE">
        <w:rPr>
          <w:rFonts w:ascii="Times New Roman" w:hAnsi="Times New Roman" w:cs="Times New Roman"/>
          <w:color w:val="000000" w:themeColor="text1"/>
          <w:sz w:val="24"/>
          <w:szCs w:val="24"/>
          <w:lang w:val="en-US"/>
        </w:rPr>
        <w:t>s</w:t>
      </w:r>
      <w:r w:rsidR="004C7E5B" w:rsidRPr="00DE13EE">
        <w:rPr>
          <w:rFonts w:ascii="Times New Roman" w:hAnsi="Times New Roman" w:cs="Times New Roman"/>
          <w:color w:val="000000" w:themeColor="text1"/>
          <w:sz w:val="24"/>
          <w:szCs w:val="24"/>
          <w:lang w:val="en-US"/>
        </w:rPr>
        <w:t xml:space="preserve"> that the value of the firm is a decreasing function of its cost of capital. In other words, the lower the firm cost of capital, the higher the firm value. This is because</w:t>
      </w:r>
      <w:r w:rsidR="003829E7" w:rsidRPr="00DE13EE">
        <w:rPr>
          <w:rFonts w:ascii="Times New Roman" w:hAnsi="Times New Roman" w:cs="Times New Roman"/>
          <w:color w:val="000000" w:themeColor="text1"/>
          <w:sz w:val="24"/>
          <w:szCs w:val="24"/>
          <w:lang w:val="en-US"/>
        </w:rPr>
        <w:t xml:space="preserve"> investors are willing to invest in </w:t>
      </w:r>
      <w:r w:rsidR="0031751E" w:rsidRPr="00DE13EE">
        <w:rPr>
          <w:rFonts w:ascii="Times New Roman" w:hAnsi="Times New Roman" w:cs="Times New Roman"/>
          <w:color w:val="000000" w:themeColor="text1"/>
          <w:sz w:val="24"/>
          <w:szCs w:val="24"/>
          <w:lang w:val="en-US"/>
        </w:rPr>
        <w:t>a company</w:t>
      </w:r>
      <w:r w:rsidR="003829E7" w:rsidRPr="00DE13EE">
        <w:rPr>
          <w:rFonts w:ascii="Times New Roman" w:hAnsi="Times New Roman" w:cs="Times New Roman"/>
          <w:color w:val="000000" w:themeColor="text1"/>
          <w:sz w:val="24"/>
          <w:szCs w:val="24"/>
          <w:lang w:val="en-US"/>
        </w:rPr>
        <w:t xml:space="preserve"> with </w:t>
      </w:r>
      <w:r w:rsidR="0023126A" w:rsidRPr="00DE13EE">
        <w:rPr>
          <w:rFonts w:ascii="Times New Roman" w:hAnsi="Times New Roman" w:cs="Times New Roman"/>
          <w:color w:val="000000" w:themeColor="text1"/>
          <w:sz w:val="24"/>
          <w:szCs w:val="24"/>
          <w:lang w:val="en-US"/>
        </w:rPr>
        <w:t xml:space="preserve">the </w:t>
      </w:r>
      <w:r w:rsidR="003829E7" w:rsidRPr="00DE13EE">
        <w:rPr>
          <w:rFonts w:ascii="Times New Roman" w:hAnsi="Times New Roman" w:cs="Times New Roman"/>
          <w:color w:val="000000" w:themeColor="text1"/>
          <w:sz w:val="24"/>
          <w:szCs w:val="24"/>
          <w:lang w:val="en-US"/>
        </w:rPr>
        <w:t>lower cost of capital.</w:t>
      </w:r>
      <w:r w:rsidR="00346E00" w:rsidRPr="00DE13EE">
        <w:rPr>
          <w:rFonts w:ascii="Times New Roman" w:hAnsi="Times New Roman" w:cs="Times New Roman"/>
          <w:color w:val="000000" w:themeColor="text1"/>
          <w:sz w:val="24"/>
          <w:szCs w:val="24"/>
          <w:lang w:val="en-US"/>
        </w:rPr>
        <w:t xml:space="preserve"> This</w:t>
      </w:r>
      <w:r w:rsidR="002D7591" w:rsidRPr="00DE13EE">
        <w:rPr>
          <w:rFonts w:ascii="Times New Roman" w:hAnsi="Times New Roman" w:cs="Times New Roman"/>
          <w:color w:val="000000" w:themeColor="text1"/>
          <w:sz w:val="24"/>
          <w:szCs w:val="24"/>
          <w:lang w:val="en-US"/>
        </w:rPr>
        <w:t xml:space="preserve"> leads to</w:t>
      </w:r>
      <w:r w:rsidR="00346E00" w:rsidRPr="00DE13EE">
        <w:rPr>
          <w:rFonts w:ascii="Times New Roman" w:hAnsi="Times New Roman" w:cs="Times New Roman"/>
          <w:color w:val="000000" w:themeColor="text1"/>
          <w:sz w:val="24"/>
          <w:szCs w:val="24"/>
          <w:lang w:val="en-US"/>
        </w:rPr>
        <w:t xml:space="preserve"> increases</w:t>
      </w:r>
      <w:r w:rsidR="002D7591" w:rsidRPr="00DE13EE">
        <w:rPr>
          <w:rFonts w:ascii="Times New Roman" w:hAnsi="Times New Roman" w:cs="Times New Roman"/>
          <w:color w:val="000000" w:themeColor="text1"/>
          <w:sz w:val="24"/>
          <w:szCs w:val="24"/>
          <w:lang w:val="en-US"/>
        </w:rPr>
        <w:t xml:space="preserve"> in</w:t>
      </w:r>
      <w:r w:rsidR="00346E00" w:rsidRPr="00DE13EE">
        <w:rPr>
          <w:rFonts w:ascii="Times New Roman" w:hAnsi="Times New Roman" w:cs="Times New Roman"/>
          <w:color w:val="000000" w:themeColor="text1"/>
          <w:sz w:val="24"/>
          <w:szCs w:val="24"/>
          <w:lang w:val="en-US"/>
        </w:rPr>
        <w:t xml:space="preserve"> the expected cash flows from investors.</w:t>
      </w:r>
      <w:r w:rsidR="003829E7" w:rsidRPr="00DE13EE">
        <w:rPr>
          <w:rFonts w:ascii="Times New Roman" w:hAnsi="Times New Roman" w:cs="Times New Roman"/>
          <w:color w:val="000000" w:themeColor="text1"/>
          <w:sz w:val="24"/>
          <w:szCs w:val="24"/>
          <w:lang w:val="en-US"/>
        </w:rPr>
        <w:t xml:space="preserve"> Consequently, the flow</w:t>
      </w:r>
      <w:r w:rsidR="00AD7391" w:rsidRPr="00DE13EE">
        <w:rPr>
          <w:rFonts w:ascii="Times New Roman" w:hAnsi="Times New Roman" w:cs="Times New Roman"/>
          <w:color w:val="000000" w:themeColor="text1"/>
          <w:sz w:val="24"/>
          <w:szCs w:val="24"/>
          <w:lang w:val="en-US"/>
        </w:rPr>
        <w:t>s</w:t>
      </w:r>
      <w:r w:rsidR="003829E7" w:rsidRPr="00DE13EE">
        <w:rPr>
          <w:rFonts w:ascii="Times New Roman" w:hAnsi="Times New Roman" w:cs="Times New Roman"/>
          <w:color w:val="000000" w:themeColor="text1"/>
          <w:sz w:val="24"/>
          <w:szCs w:val="24"/>
          <w:lang w:val="en-US"/>
        </w:rPr>
        <w:t xml:space="preserve"> of cash </w:t>
      </w:r>
      <w:r w:rsidR="0031751E" w:rsidRPr="00DE13EE">
        <w:rPr>
          <w:rFonts w:ascii="Times New Roman" w:hAnsi="Times New Roman" w:cs="Times New Roman"/>
          <w:color w:val="000000" w:themeColor="text1"/>
          <w:sz w:val="24"/>
          <w:szCs w:val="24"/>
          <w:lang w:val="en-US"/>
        </w:rPr>
        <w:t xml:space="preserve">from investors </w:t>
      </w:r>
      <w:r w:rsidR="003829E7" w:rsidRPr="00DE13EE">
        <w:rPr>
          <w:rFonts w:ascii="Times New Roman" w:hAnsi="Times New Roman" w:cs="Times New Roman"/>
          <w:color w:val="000000" w:themeColor="text1"/>
          <w:sz w:val="24"/>
          <w:szCs w:val="24"/>
          <w:lang w:val="en-US"/>
        </w:rPr>
        <w:t xml:space="preserve">will assertion the ability </w:t>
      </w:r>
      <w:r w:rsidR="0031751E" w:rsidRPr="00DE13EE">
        <w:rPr>
          <w:rFonts w:ascii="Times New Roman" w:hAnsi="Times New Roman" w:cs="Times New Roman"/>
          <w:color w:val="000000" w:themeColor="text1"/>
          <w:sz w:val="24"/>
          <w:szCs w:val="24"/>
          <w:lang w:val="en-US"/>
        </w:rPr>
        <w:t xml:space="preserve">of </w:t>
      </w:r>
      <w:r w:rsidR="0023126A" w:rsidRPr="00DE13EE">
        <w:rPr>
          <w:rFonts w:ascii="Times New Roman" w:hAnsi="Times New Roman" w:cs="Times New Roman"/>
          <w:color w:val="000000" w:themeColor="text1"/>
          <w:sz w:val="24"/>
          <w:szCs w:val="24"/>
          <w:lang w:val="en-US"/>
        </w:rPr>
        <w:t xml:space="preserve">the </w:t>
      </w:r>
      <w:r w:rsidR="0031751E" w:rsidRPr="00DE13EE">
        <w:rPr>
          <w:rFonts w:ascii="Times New Roman" w:hAnsi="Times New Roman" w:cs="Times New Roman"/>
          <w:color w:val="000000" w:themeColor="text1"/>
          <w:sz w:val="24"/>
          <w:szCs w:val="24"/>
          <w:lang w:val="en-US"/>
        </w:rPr>
        <w:t xml:space="preserve">firm </w:t>
      </w:r>
      <w:r w:rsidR="003829E7" w:rsidRPr="00DE13EE">
        <w:rPr>
          <w:rFonts w:ascii="Times New Roman" w:hAnsi="Times New Roman" w:cs="Times New Roman"/>
          <w:color w:val="000000" w:themeColor="text1"/>
          <w:sz w:val="24"/>
          <w:szCs w:val="24"/>
          <w:lang w:val="en-US"/>
        </w:rPr>
        <w:t xml:space="preserve">to increase its size and continue operating in large scale. </w:t>
      </w:r>
      <w:r w:rsidR="00FF62E2" w:rsidRPr="00DE13EE">
        <w:rPr>
          <w:rFonts w:ascii="Times New Roman" w:hAnsi="Times New Roman" w:cs="Times New Roman"/>
          <w:color w:val="000000" w:themeColor="text1"/>
          <w:sz w:val="24"/>
          <w:szCs w:val="24"/>
          <w:lang w:val="en-US"/>
        </w:rPr>
        <w:t>A s</w:t>
      </w:r>
      <w:r w:rsidRPr="00DE13EE">
        <w:rPr>
          <w:rFonts w:ascii="Times New Roman" w:hAnsi="Times New Roman" w:cs="Times New Roman"/>
          <w:color w:val="000000" w:themeColor="text1"/>
          <w:sz w:val="24"/>
          <w:szCs w:val="24"/>
          <w:lang w:val="en-US"/>
        </w:rPr>
        <w:t xml:space="preserve">ubstantial </w:t>
      </w:r>
      <w:r w:rsidR="00FF62E2" w:rsidRPr="00DE13EE">
        <w:rPr>
          <w:rFonts w:ascii="Times New Roman" w:hAnsi="Times New Roman" w:cs="Times New Roman"/>
          <w:color w:val="000000" w:themeColor="text1"/>
          <w:sz w:val="24"/>
          <w:szCs w:val="24"/>
          <w:lang w:val="en-US"/>
        </w:rPr>
        <w:t xml:space="preserve">body of </w:t>
      </w:r>
      <w:r w:rsidRPr="00DE13EE">
        <w:rPr>
          <w:rFonts w:ascii="Times New Roman" w:hAnsi="Times New Roman" w:cs="Times New Roman"/>
          <w:color w:val="000000" w:themeColor="text1"/>
          <w:sz w:val="24"/>
          <w:szCs w:val="24"/>
          <w:lang w:val="en-US"/>
        </w:rPr>
        <w:t xml:space="preserve">research has examined this association between disclosure and </w:t>
      </w:r>
      <w:r w:rsidR="00AB6C97" w:rsidRPr="00DE13EE">
        <w:rPr>
          <w:rFonts w:ascii="Times New Roman" w:hAnsi="Times New Roman" w:cs="Times New Roman"/>
          <w:color w:val="000000" w:themeColor="text1"/>
          <w:sz w:val="24"/>
          <w:szCs w:val="24"/>
          <w:lang w:val="en-US"/>
        </w:rPr>
        <w:t xml:space="preserve">the </w:t>
      </w:r>
      <w:r w:rsidRPr="00DE13EE">
        <w:rPr>
          <w:rFonts w:ascii="Times New Roman" w:hAnsi="Times New Roman" w:cs="Times New Roman"/>
          <w:color w:val="000000" w:themeColor="text1"/>
          <w:sz w:val="24"/>
          <w:szCs w:val="24"/>
          <w:lang w:val="en-US"/>
        </w:rPr>
        <w:t>cost of capital</w:t>
      </w:r>
      <w:r w:rsidR="00FF62E2" w:rsidRPr="00DE13EE">
        <w:rPr>
          <w:rFonts w:ascii="Times New Roman" w:hAnsi="Times New Roman" w:cs="Times New Roman"/>
          <w:color w:val="000000" w:themeColor="text1"/>
          <w:sz w:val="24"/>
          <w:szCs w:val="24"/>
          <w:lang w:val="en-US"/>
        </w:rPr>
        <w:t>, suggesting a negative relationship between disclosure and</w:t>
      </w:r>
      <w:r w:rsidR="00AB6C97" w:rsidRPr="00DE13EE">
        <w:rPr>
          <w:rFonts w:ascii="Times New Roman" w:hAnsi="Times New Roman" w:cs="Times New Roman"/>
          <w:color w:val="000000" w:themeColor="text1"/>
          <w:sz w:val="24"/>
          <w:szCs w:val="24"/>
          <w:lang w:val="en-US"/>
        </w:rPr>
        <w:t xml:space="preserve"> the</w:t>
      </w:r>
      <w:r w:rsidR="00FF62E2" w:rsidRPr="00DE13EE">
        <w:rPr>
          <w:rFonts w:ascii="Times New Roman" w:hAnsi="Times New Roman" w:cs="Times New Roman"/>
          <w:color w:val="000000" w:themeColor="text1"/>
          <w:sz w:val="24"/>
          <w:szCs w:val="24"/>
          <w:lang w:val="en-US"/>
        </w:rPr>
        <w:t xml:space="preserve"> cost of capital, but a positive association be</w:t>
      </w:r>
      <w:r w:rsidR="00C81406" w:rsidRPr="00DE13EE">
        <w:rPr>
          <w:rFonts w:ascii="Times New Roman" w:hAnsi="Times New Roman" w:cs="Times New Roman"/>
          <w:color w:val="000000" w:themeColor="text1"/>
          <w:sz w:val="24"/>
          <w:szCs w:val="24"/>
          <w:lang w:val="en-US"/>
        </w:rPr>
        <w:t>tween disclosure and firm value</w:t>
      </w:r>
      <w:r w:rsidR="001D1EC5" w:rsidRPr="00DE13EE">
        <w:rPr>
          <w:rFonts w:ascii="Times New Roman" w:hAnsi="Times New Roman" w:cs="Times New Roman"/>
          <w:color w:val="000000" w:themeColor="text1"/>
          <w:sz w:val="24"/>
          <w:szCs w:val="24"/>
          <w:lang w:val="en-US"/>
        </w:rPr>
        <w:t xml:space="preserve"> </w:t>
      </w:r>
      <w:r w:rsidRPr="00DE13EE">
        <w:rPr>
          <w:rFonts w:ascii="Times New Roman" w:hAnsi="Times New Roman" w:cs="Times New Roman"/>
          <w:color w:val="000000" w:themeColor="text1"/>
          <w:sz w:val="24"/>
          <w:szCs w:val="24"/>
          <w:lang w:val="en-US"/>
        </w:rPr>
        <w:t>(</w:t>
      </w:r>
      <w:r w:rsidR="00C81406" w:rsidRPr="00DE13EE">
        <w:rPr>
          <w:rFonts w:ascii="Times New Roman" w:hAnsi="Times New Roman" w:cs="Times New Roman"/>
          <w:color w:val="000000" w:themeColor="text1"/>
          <w:sz w:val="24"/>
          <w:szCs w:val="24"/>
          <w:lang w:val="en-US"/>
        </w:rPr>
        <w:t xml:space="preserve">e.g., </w:t>
      </w:r>
      <w:r w:rsidRPr="00DE13EE">
        <w:rPr>
          <w:rFonts w:ascii="Times New Roman" w:hAnsi="Times New Roman" w:cs="Times New Roman"/>
          <w:color w:val="000000" w:themeColor="text1"/>
          <w:sz w:val="24"/>
          <w:szCs w:val="24"/>
          <w:lang w:val="en-US"/>
        </w:rPr>
        <w:t xml:space="preserve">Lam </w:t>
      </w:r>
      <w:r w:rsidR="00550D53" w:rsidRPr="00DE13EE">
        <w:rPr>
          <w:rFonts w:ascii="Times New Roman" w:hAnsi="Times New Roman" w:cs="Times New Roman"/>
          <w:color w:val="000000" w:themeColor="text1"/>
          <w:sz w:val="24"/>
          <w:szCs w:val="24"/>
          <w:lang w:val="en-US"/>
        </w:rPr>
        <w:t xml:space="preserve">and </w:t>
      </w:r>
      <w:r w:rsidRPr="00DE13EE">
        <w:rPr>
          <w:rFonts w:ascii="Times New Roman" w:hAnsi="Times New Roman" w:cs="Times New Roman"/>
          <w:color w:val="000000" w:themeColor="text1"/>
          <w:sz w:val="24"/>
          <w:szCs w:val="24"/>
          <w:lang w:val="en-US"/>
        </w:rPr>
        <w:t xml:space="preserve">Du 2004; </w:t>
      </w:r>
      <w:r w:rsidR="00BE63FB" w:rsidRPr="00DE13EE">
        <w:rPr>
          <w:rFonts w:ascii="Times New Roman" w:hAnsi="Times New Roman" w:cs="Times New Roman"/>
          <w:color w:val="000000" w:themeColor="text1"/>
          <w:sz w:val="24"/>
          <w:szCs w:val="24"/>
          <w:lang w:val="en-US"/>
        </w:rPr>
        <w:t xml:space="preserve">Zhang </w:t>
      </w:r>
      <w:r w:rsidR="00550D53" w:rsidRPr="00DE13EE">
        <w:rPr>
          <w:rFonts w:ascii="Times New Roman" w:hAnsi="Times New Roman" w:cs="Times New Roman"/>
          <w:color w:val="000000" w:themeColor="text1"/>
          <w:sz w:val="24"/>
          <w:szCs w:val="24"/>
          <w:lang w:val="en-US"/>
        </w:rPr>
        <w:t xml:space="preserve">and </w:t>
      </w:r>
      <w:r w:rsidR="00BE63FB" w:rsidRPr="00DE13EE">
        <w:rPr>
          <w:rFonts w:ascii="Times New Roman" w:hAnsi="Times New Roman" w:cs="Times New Roman"/>
          <w:color w:val="000000" w:themeColor="text1"/>
          <w:sz w:val="24"/>
          <w:szCs w:val="24"/>
          <w:lang w:val="en-US"/>
        </w:rPr>
        <w:t xml:space="preserve">Ding 2006; </w:t>
      </w:r>
      <w:r w:rsidRPr="00DE13EE">
        <w:rPr>
          <w:rFonts w:ascii="Times New Roman" w:hAnsi="Times New Roman" w:cs="Times New Roman"/>
          <w:color w:val="000000" w:themeColor="text1"/>
          <w:sz w:val="24"/>
          <w:szCs w:val="24"/>
          <w:lang w:val="en-US"/>
        </w:rPr>
        <w:t>Plumlee et al. 20</w:t>
      </w:r>
      <w:r w:rsidR="006E4451" w:rsidRPr="00DE13EE">
        <w:rPr>
          <w:rFonts w:ascii="Times New Roman" w:hAnsi="Times New Roman" w:cs="Times New Roman"/>
          <w:color w:val="000000" w:themeColor="text1"/>
          <w:sz w:val="24"/>
          <w:szCs w:val="24"/>
          <w:lang w:val="en-US"/>
        </w:rPr>
        <w:t>15</w:t>
      </w:r>
      <w:r w:rsidRPr="00DE13EE">
        <w:rPr>
          <w:rFonts w:ascii="Times New Roman" w:hAnsi="Times New Roman" w:cs="Times New Roman"/>
          <w:color w:val="000000" w:themeColor="text1"/>
          <w:sz w:val="24"/>
          <w:szCs w:val="24"/>
          <w:lang w:val="en-US"/>
        </w:rPr>
        <w:t>; Dhaliwal</w:t>
      </w:r>
      <w:r w:rsidR="00550D53" w:rsidRPr="00DE13EE">
        <w:rPr>
          <w:rFonts w:ascii="Times New Roman" w:hAnsi="Times New Roman" w:cs="Times New Roman"/>
          <w:color w:val="000000" w:themeColor="text1"/>
          <w:sz w:val="24"/>
          <w:szCs w:val="24"/>
          <w:lang w:val="en-US"/>
        </w:rPr>
        <w:t xml:space="preserve"> et al.</w:t>
      </w:r>
      <w:r w:rsidRPr="00DE13EE">
        <w:rPr>
          <w:rFonts w:ascii="Times New Roman" w:hAnsi="Times New Roman" w:cs="Times New Roman"/>
          <w:color w:val="000000" w:themeColor="text1"/>
          <w:sz w:val="24"/>
          <w:szCs w:val="24"/>
          <w:lang w:val="en-US"/>
        </w:rPr>
        <w:t xml:space="preserve"> 2011; Barth</w:t>
      </w:r>
      <w:r w:rsidR="00550D53" w:rsidRPr="00DE13EE">
        <w:rPr>
          <w:rFonts w:ascii="Times New Roman" w:hAnsi="Times New Roman" w:cs="Times New Roman"/>
          <w:color w:val="000000" w:themeColor="text1"/>
          <w:sz w:val="24"/>
          <w:szCs w:val="24"/>
          <w:lang w:val="en-US"/>
        </w:rPr>
        <w:t xml:space="preserve"> et al.</w:t>
      </w:r>
      <w:r w:rsidRPr="00DE13EE">
        <w:rPr>
          <w:rFonts w:ascii="Times New Roman" w:hAnsi="Times New Roman" w:cs="Times New Roman"/>
          <w:color w:val="000000" w:themeColor="text1"/>
          <w:sz w:val="24"/>
          <w:szCs w:val="24"/>
          <w:lang w:val="en-US"/>
        </w:rPr>
        <w:t xml:space="preserve"> 2013; Mangena</w:t>
      </w:r>
      <w:r w:rsidR="00550D53" w:rsidRPr="00DE13EE">
        <w:rPr>
          <w:rFonts w:ascii="Times New Roman" w:hAnsi="Times New Roman" w:cs="Times New Roman"/>
          <w:color w:val="000000" w:themeColor="text1"/>
          <w:sz w:val="24"/>
          <w:szCs w:val="24"/>
          <w:lang w:val="en-US"/>
        </w:rPr>
        <w:t xml:space="preserve"> et al.</w:t>
      </w:r>
      <w:r w:rsidRPr="00DE13EE">
        <w:rPr>
          <w:rFonts w:ascii="Times New Roman" w:hAnsi="Times New Roman" w:cs="Times New Roman"/>
          <w:color w:val="000000" w:themeColor="text1"/>
          <w:sz w:val="24"/>
          <w:szCs w:val="24"/>
          <w:lang w:val="en-US"/>
        </w:rPr>
        <w:t xml:space="preserve"> 2016). However, Botosan and Plumblee (2002)</w:t>
      </w:r>
      <w:r w:rsidR="00816B8A" w:rsidRPr="00DE13EE">
        <w:rPr>
          <w:rFonts w:ascii="Times New Roman" w:hAnsi="Times New Roman" w:cs="Times New Roman"/>
          <w:color w:val="000000" w:themeColor="text1"/>
          <w:sz w:val="24"/>
          <w:szCs w:val="24"/>
          <w:lang w:val="en-US"/>
        </w:rPr>
        <w:t xml:space="preserve"> </w:t>
      </w:r>
      <w:r w:rsidR="00C81406" w:rsidRPr="00DE13EE">
        <w:rPr>
          <w:rFonts w:ascii="Times New Roman" w:hAnsi="Times New Roman" w:cs="Times New Roman"/>
          <w:color w:val="000000" w:themeColor="text1"/>
          <w:sz w:val="24"/>
          <w:szCs w:val="24"/>
          <w:lang w:val="en-US"/>
        </w:rPr>
        <w:t>find that</w:t>
      </w:r>
      <w:r w:rsidRPr="00DE13EE">
        <w:rPr>
          <w:rFonts w:ascii="Times New Roman" w:hAnsi="Times New Roman" w:cs="Times New Roman"/>
          <w:color w:val="000000" w:themeColor="text1"/>
          <w:sz w:val="24"/>
          <w:szCs w:val="24"/>
          <w:lang w:val="en-US"/>
        </w:rPr>
        <w:t xml:space="preserve"> </w:t>
      </w:r>
      <w:r w:rsidR="00C81406" w:rsidRPr="00DE13EE">
        <w:rPr>
          <w:rFonts w:ascii="Times New Roman" w:hAnsi="Times New Roman" w:cs="Times New Roman"/>
          <w:color w:val="000000" w:themeColor="text1"/>
          <w:sz w:val="24"/>
          <w:szCs w:val="24"/>
          <w:lang w:val="en-US"/>
        </w:rPr>
        <w:t xml:space="preserve">an </w:t>
      </w:r>
      <w:r w:rsidRPr="00DE13EE">
        <w:rPr>
          <w:rFonts w:ascii="Times New Roman" w:hAnsi="Times New Roman" w:cs="Times New Roman"/>
          <w:color w:val="000000" w:themeColor="text1"/>
          <w:sz w:val="24"/>
          <w:szCs w:val="24"/>
          <w:lang w:val="en-US"/>
        </w:rPr>
        <w:t>increase in the level of disclosure is associated with a higher cost of capital. Then, they examine</w:t>
      </w:r>
      <w:r w:rsidR="008613BD" w:rsidRPr="00DE13EE">
        <w:rPr>
          <w:rFonts w:ascii="Times New Roman" w:hAnsi="Times New Roman" w:cs="Times New Roman"/>
          <w:color w:val="000000" w:themeColor="text1"/>
          <w:sz w:val="24"/>
          <w:szCs w:val="24"/>
          <w:lang w:val="en-US"/>
        </w:rPr>
        <w:t>d</w:t>
      </w:r>
      <w:r w:rsidRPr="00DE13EE">
        <w:rPr>
          <w:rFonts w:ascii="Times New Roman" w:hAnsi="Times New Roman" w:cs="Times New Roman"/>
          <w:color w:val="000000" w:themeColor="text1"/>
          <w:sz w:val="24"/>
          <w:szCs w:val="24"/>
          <w:lang w:val="en-US"/>
        </w:rPr>
        <w:t xml:space="preserve"> whether the relationship between disclosure and cost of equity capital varies based on the timing of disclosure. Their results suggest that annual report disclosure</w:t>
      </w:r>
      <w:r w:rsidR="008613BD" w:rsidRPr="00DE13EE">
        <w:rPr>
          <w:rFonts w:ascii="Times New Roman" w:hAnsi="Times New Roman" w:cs="Times New Roman"/>
          <w:color w:val="000000" w:themeColor="text1"/>
          <w:sz w:val="24"/>
          <w:szCs w:val="24"/>
          <w:lang w:val="en-US"/>
        </w:rPr>
        <w:t>s</w:t>
      </w:r>
      <w:r w:rsidRPr="00DE13EE">
        <w:rPr>
          <w:rFonts w:ascii="Times New Roman" w:hAnsi="Times New Roman" w:cs="Times New Roman"/>
          <w:color w:val="000000" w:themeColor="text1"/>
          <w:sz w:val="24"/>
          <w:szCs w:val="24"/>
          <w:lang w:val="en-US"/>
        </w:rPr>
        <w:t xml:space="preserve"> reduce the cost of equity capital; however, disclosure</w:t>
      </w:r>
      <w:r w:rsidR="008613BD" w:rsidRPr="00DE13EE">
        <w:rPr>
          <w:rFonts w:ascii="Times New Roman" w:hAnsi="Times New Roman" w:cs="Times New Roman"/>
          <w:color w:val="000000" w:themeColor="text1"/>
          <w:sz w:val="24"/>
          <w:szCs w:val="24"/>
          <w:lang w:val="en-US"/>
        </w:rPr>
        <w:t>s</w:t>
      </w:r>
      <w:r w:rsidRPr="00DE13EE">
        <w:rPr>
          <w:rFonts w:ascii="Times New Roman" w:hAnsi="Times New Roman" w:cs="Times New Roman"/>
          <w:color w:val="000000" w:themeColor="text1"/>
          <w:sz w:val="24"/>
          <w:szCs w:val="24"/>
          <w:lang w:val="en-US"/>
        </w:rPr>
        <w:t xml:space="preserve"> of quarterly reports increase the cost of equity capital. They do not report any association between investor relations and</w:t>
      </w:r>
      <w:r w:rsidR="00B139BA" w:rsidRPr="00DE13EE">
        <w:rPr>
          <w:rFonts w:ascii="Times New Roman" w:hAnsi="Times New Roman" w:cs="Times New Roman"/>
          <w:color w:val="000000" w:themeColor="text1"/>
          <w:sz w:val="24"/>
          <w:szCs w:val="24"/>
          <w:lang w:val="en-US"/>
        </w:rPr>
        <w:t xml:space="preserve"> the</w:t>
      </w:r>
      <w:r w:rsidRPr="00DE13EE">
        <w:rPr>
          <w:rFonts w:ascii="Times New Roman" w:hAnsi="Times New Roman" w:cs="Times New Roman"/>
          <w:color w:val="000000" w:themeColor="text1"/>
          <w:sz w:val="24"/>
          <w:szCs w:val="24"/>
          <w:lang w:val="en-US"/>
        </w:rPr>
        <w:t xml:space="preserve"> cost of equity capital</w:t>
      </w:r>
      <w:r w:rsidR="007D6938" w:rsidRPr="00DE13EE">
        <w:rPr>
          <w:rFonts w:ascii="Times New Roman" w:hAnsi="Times New Roman" w:cs="Times New Roman"/>
          <w:color w:val="000000" w:themeColor="text1"/>
          <w:sz w:val="24"/>
          <w:szCs w:val="24"/>
          <w:lang w:val="en-US"/>
        </w:rPr>
        <w:t>. Moreover,</w:t>
      </w:r>
      <w:r w:rsidRPr="00DE13EE">
        <w:rPr>
          <w:rFonts w:ascii="Times New Roman" w:eastAsia="MS Mincho" w:hAnsi="Times New Roman" w:cs="Times New Roman"/>
          <w:color w:val="000000" w:themeColor="text1"/>
          <w:sz w:val="24"/>
          <w:szCs w:val="24"/>
          <w:lang w:val="en-US" w:eastAsia="ja-JP"/>
        </w:rPr>
        <w:t xml:space="preserve"> limited research</w:t>
      </w:r>
      <w:r w:rsidR="004A4B37" w:rsidRPr="00DE13EE">
        <w:rPr>
          <w:rFonts w:ascii="Times New Roman" w:eastAsia="MS Mincho" w:hAnsi="Times New Roman" w:cs="Times New Roman"/>
          <w:color w:val="000000" w:themeColor="text1"/>
          <w:sz w:val="24"/>
          <w:szCs w:val="24"/>
          <w:lang w:val="en-US" w:eastAsia="ja-JP"/>
        </w:rPr>
        <w:t xml:space="preserve"> has</w:t>
      </w:r>
      <w:r w:rsidRPr="00DE13EE">
        <w:rPr>
          <w:rFonts w:ascii="Times New Roman" w:eastAsia="MS Mincho" w:hAnsi="Times New Roman" w:cs="Times New Roman"/>
          <w:color w:val="000000" w:themeColor="text1"/>
          <w:sz w:val="24"/>
          <w:szCs w:val="24"/>
          <w:lang w:val="en-US" w:eastAsia="ja-JP"/>
        </w:rPr>
        <w:t xml:space="preserve"> examine</w:t>
      </w:r>
      <w:r w:rsidR="004A4B37" w:rsidRPr="00DE13EE">
        <w:rPr>
          <w:rFonts w:ascii="Times New Roman" w:eastAsia="MS Mincho" w:hAnsi="Times New Roman" w:cs="Times New Roman"/>
          <w:color w:val="000000" w:themeColor="text1"/>
          <w:sz w:val="24"/>
          <w:szCs w:val="24"/>
          <w:lang w:val="en-US" w:eastAsia="ja-JP"/>
        </w:rPr>
        <w:t>d</w:t>
      </w:r>
      <w:r w:rsidRPr="00DE13EE">
        <w:rPr>
          <w:rFonts w:ascii="Times New Roman" w:eastAsia="MS Mincho" w:hAnsi="Times New Roman" w:cs="Times New Roman"/>
          <w:color w:val="000000" w:themeColor="text1"/>
          <w:sz w:val="24"/>
          <w:szCs w:val="24"/>
          <w:lang w:val="en-US" w:eastAsia="ja-JP"/>
        </w:rPr>
        <w:t xml:space="preserve"> the effect of disclosure</w:t>
      </w:r>
      <w:r w:rsidR="004A4B37" w:rsidRPr="00DE13EE">
        <w:rPr>
          <w:rFonts w:ascii="Times New Roman" w:eastAsia="MS Mincho" w:hAnsi="Times New Roman" w:cs="Times New Roman"/>
          <w:color w:val="000000" w:themeColor="text1"/>
          <w:sz w:val="24"/>
          <w:szCs w:val="24"/>
          <w:lang w:val="en-US" w:eastAsia="ja-JP"/>
        </w:rPr>
        <w:t>s</w:t>
      </w:r>
      <w:r w:rsidRPr="00DE13EE">
        <w:rPr>
          <w:rFonts w:ascii="Times New Roman" w:eastAsia="MS Mincho" w:hAnsi="Times New Roman" w:cs="Times New Roman"/>
          <w:color w:val="000000" w:themeColor="text1"/>
          <w:sz w:val="24"/>
          <w:szCs w:val="24"/>
          <w:lang w:val="en-US" w:eastAsia="ja-JP"/>
        </w:rPr>
        <w:t xml:space="preserve"> on </w:t>
      </w:r>
      <w:r w:rsidR="0023126A" w:rsidRPr="00DE13EE">
        <w:rPr>
          <w:rFonts w:ascii="Times New Roman" w:eastAsia="MS Mincho" w:hAnsi="Times New Roman" w:cs="Times New Roman"/>
          <w:color w:val="000000" w:themeColor="text1"/>
          <w:sz w:val="24"/>
          <w:szCs w:val="24"/>
          <w:lang w:val="en-US" w:eastAsia="ja-JP"/>
        </w:rPr>
        <w:t xml:space="preserve">the </w:t>
      </w:r>
      <w:r w:rsidRPr="00DE13EE">
        <w:rPr>
          <w:rFonts w:ascii="Times New Roman" w:eastAsia="MS Mincho" w:hAnsi="Times New Roman" w:cs="Times New Roman"/>
          <w:color w:val="000000" w:themeColor="text1"/>
          <w:sz w:val="24"/>
          <w:szCs w:val="24"/>
          <w:lang w:val="en-US" w:eastAsia="ja-JP"/>
        </w:rPr>
        <w:t xml:space="preserve">cost of capital </w:t>
      </w:r>
      <w:r w:rsidR="004A4B37" w:rsidRPr="00DE13EE">
        <w:rPr>
          <w:rFonts w:ascii="Times New Roman" w:eastAsia="MS Mincho" w:hAnsi="Times New Roman" w:cs="Times New Roman"/>
          <w:color w:val="000000" w:themeColor="text1"/>
          <w:sz w:val="24"/>
          <w:szCs w:val="24"/>
          <w:lang w:val="en-US" w:eastAsia="ja-JP"/>
        </w:rPr>
        <w:t>due to</w:t>
      </w:r>
      <w:r w:rsidRPr="00DE13EE">
        <w:rPr>
          <w:rFonts w:ascii="Times New Roman" w:eastAsia="MS Mincho" w:hAnsi="Times New Roman" w:cs="Times New Roman"/>
          <w:color w:val="000000" w:themeColor="text1"/>
          <w:sz w:val="24"/>
          <w:szCs w:val="24"/>
          <w:lang w:val="en-US" w:eastAsia="ja-JP"/>
        </w:rPr>
        <w:t xml:space="preserve"> asymmetric estimation risks. It </w:t>
      </w:r>
      <w:r w:rsidR="004A4B37" w:rsidRPr="00DE13EE">
        <w:rPr>
          <w:rFonts w:ascii="Times New Roman" w:eastAsia="MS Mincho" w:hAnsi="Times New Roman" w:cs="Times New Roman"/>
          <w:color w:val="000000" w:themeColor="text1"/>
          <w:sz w:val="24"/>
          <w:szCs w:val="24"/>
          <w:lang w:val="en-US" w:eastAsia="ja-JP"/>
        </w:rPr>
        <w:t xml:space="preserve">has been </w:t>
      </w:r>
      <w:r w:rsidRPr="00DE13EE">
        <w:rPr>
          <w:rFonts w:ascii="Times New Roman" w:eastAsia="MS Mincho" w:hAnsi="Times New Roman" w:cs="Times New Roman"/>
          <w:color w:val="000000" w:themeColor="text1"/>
          <w:sz w:val="24"/>
          <w:szCs w:val="24"/>
          <w:lang w:val="en-US" w:eastAsia="ja-JP"/>
        </w:rPr>
        <w:t xml:space="preserve">argued that market beta is an increasing function of asymmetric estimation risk (Hassan et al. 2009). </w:t>
      </w:r>
      <w:r w:rsidR="007B11B3" w:rsidRPr="00DE13EE">
        <w:rPr>
          <w:rFonts w:ascii="Times New Roman" w:eastAsia="MS Mincho" w:hAnsi="Times New Roman" w:cs="Times New Roman"/>
          <w:color w:val="000000" w:themeColor="text1"/>
          <w:sz w:val="24"/>
          <w:szCs w:val="24"/>
          <w:lang w:val="en-US" w:eastAsia="ja-JP"/>
        </w:rPr>
        <w:t>Consistently</w:t>
      </w:r>
      <w:r w:rsidRPr="00DE13EE">
        <w:rPr>
          <w:rFonts w:ascii="Times New Roman" w:eastAsia="MS Mincho" w:hAnsi="Times New Roman" w:cs="Times New Roman"/>
          <w:color w:val="000000" w:themeColor="text1"/>
          <w:sz w:val="24"/>
          <w:szCs w:val="24"/>
          <w:lang w:val="en-US" w:eastAsia="ja-JP"/>
        </w:rPr>
        <w:t xml:space="preserve">, prior research suggests </w:t>
      </w:r>
      <w:r w:rsidR="007B11B3" w:rsidRPr="00DE13EE">
        <w:rPr>
          <w:rFonts w:ascii="Times New Roman" w:eastAsia="MS Mincho" w:hAnsi="Times New Roman" w:cs="Times New Roman"/>
          <w:color w:val="000000" w:themeColor="text1"/>
          <w:sz w:val="24"/>
          <w:szCs w:val="24"/>
          <w:lang w:val="en-US" w:eastAsia="ja-JP"/>
        </w:rPr>
        <w:t xml:space="preserve">a </w:t>
      </w:r>
      <w:r w:rsidRPr="00DE13EE">
        <w:rPr>
          <w:rFonts w:ascii="Times New Roman" w:eastAsia="MS Mincho" w:hAnsi="Times New Roman" w:cs="Times New Roman"/>
          <w:color w:val="000000" w:themeColor="text1"/>
          <w:sz w:val="24"/>
          <w:szCs w:val="24"/>
          <w:lang w:val="en-US" w:eastAsia="ja-JP"/>
        </w:rPr>
        <w:t xml:space="preserve">negative relationship between disclosure and market beta (e.g., Lam </w:t>
      </w:r>
      <w:r w:rsidR="00903294" w:rsidRPr="00DE13EE">
        <w:rPr>
          <w:rFonts w:ascii="Times New Roman" w:eastAsia="MS Mincho" w:hAnsi="Times New Roman" w:cs="Times New Roman"/>
          <w:color w:val="000000" w:themeColor="text1"/>
          <w:sz w:val="24"/>
          <w:szCs w:val="24"/>
          <w:lang w:val="en-US" w:eastAsia="ja-JP"/>
        </w:rPr>
        <w:t xml:space="preserve">and </w:t>
      </w:r>
      <w:r w:rsidRPr="00DE13EE">
        <w:rPr>
          <w:rFonts w:ascii="Times New Roman" w:eastAsia="MS Mincho" w:hAnsi="Times New Roman" w:cs="Times New Roman"/>
          <w:color w:val="000000" w:themeColor="text1"/>
          <w:sz w:val="24"/>
          <w:szCs w:val="24"/>
          <w:lang w:val="en-US" w:eastAsia="ja-JP"/>
        </w:rPr>
        <w:t>Du 2004)</w:t>
      </w:r>
      <w:r w:rsidR="007B11B3" w:rsidRPr="00DE13EE">
        <w:rPr>
          <w:rFonts w:ascii="Times New Roman" w:eastAsia="MS Mincho" w:hAnsi="Times New Roman" w:cs="Times New Roman"/>
          <w:color w:val="000000" w:themeColor="text1"/>
          <w:sz w:val="24"/>
          <w:szCs w:val="24"/>
          <w:lang w:val="en-US" w:eastAsia="ja-JP"/>
        </w:rPr>
        <w:t>.</w:t>
      </w:r>
      <w:r w:rsidRPr="00DE13EE">
        <w:rPr>
          <w:rFonts w:ascii="Times New Roman" w:eastAsia="MS Mincho" w:hAnsi="Times New Roman" w:cs="Times New Roman"/>
          <w:color w:val="000000" w:themeColor="text1"/>
          <w:sz w:val="24"/>
          <w:szCs w:val="24"/>
          <w:lang w:val="en-US" w:eastAsia="ja-JP"/>
        </w:rPr>
        <w:t xml:space="preserve"> </w:t>
      </w:r>
      <w:r w:rsidRPr="00DE13EE">
        <w:rPr>
          <w:rFonts w:ascii="Times New Roman" w:hAnsi="Times New Roman" w:cs="Times New Roman"/>
          <w:color w:val="000000" w:themeColor="text1"/>
          <w:sz w:val="24"/>
          <w:szCs w:val="24"/>
          <w:lang w:val="en-US"/>
        </w:rPr>
        <w:t xml:space="preserve">Despite </w:t>
      </w:r>
      <w:r w:rsidR="00701C65" w:rsidRPr="00DE13EE">
        <w:rPr>
          <w:rFonts w:ascii="Times New Roman" w:hAnsi="Times New Roman" w:cs="Times New Roman"/>
          <w:color w:val="000000" w:themeColor="text1"/>
          <w:sz w:val="24"/>
          <w:szCs w:val="24"/>
          <w:lang w:val="en-US"/>
        </w:rPr>
        <w:lastRenderedPageBreak/>
        <w:t>aforementioned</w:t>
      </w:r>
      <w:r w:rsidRPr="00DE13EE">
        <w:rPr>
          <w:rFonts w:ascii="Times New Roman" w:hAnsi="Times New Roman" w:cs="Times New Roman"/>
          <w:color w:val="000000" w:themeColor="text1"/>
          <w:sz w:val="24"/>
          <w:szCs w:val="24"/>
          <w:lang w:val="en-US"/>
        </w:rPr>
        <w:t xml:space="preserve"> research</w:t>
      </w:r>
      <w:r w:rsidR="00701C65" w:rsidRPr="00DE13EE">
        <w:rPr>
          <w:rFonts w:ascii="Times New Roman" w:hAnsi="Times New Roman" w:cs="Times New Roman"/>
          <w:color w:val="000000" w:themeColor="text1"/>
          <w:sz w:val="24"/>
          <w:szCs w:val="24"/>
          <w:lang w:val="en-US"/>
        </w:rPr>
        <w:t xml:space="preserve"> on disclosure and </w:t>
      </w:r>
      <w:r w:rsidR="0023126A" w:rsidRPr="00DE13EE">
        <w:rPr>
          <w:rFonts w:ascii="Times New Roman" w:hAnsi="Times New Roman" w:cs="Times New Roman"/>
          <w:color w:val="000000" w:themeColor="text1"/>
          <w:sz w:val="24"/>
          <w:szCs w:val="24"/>
          <w:lang w:val="en-US"/>
        </w:rPr>
        <w:t xml:space="preserve">the </w:t>
      </w:r>
      <w:r w:rsidR="004843BB" w:rsidRPr="00DE13EE">
        <w:rPr>
          <w:rFonts w:ascii="Times New Roman" w:hAnsi="Times New Roman" w:cs="Times New Roman"/>
          <w:color w:val="000000" w:themeColor="text1"/>
          <w:sz w:val="24"/>
          <w:szCs w:val="24"/>
          <w:lang w:val="en-US"/>
        </w:rPr>
        <w:t>cost of capital</w:t>
      </w:r>
      <w:r w:rsidRPr="00DE13EE">
        <w:rPr>
          <w:rFonts w:ascii="Times New Roman" w:hAnsi="Times New Roman" w:cs="Times New Roman"/>
          <w:color w:val="000000" w:themeColor="text1"/>
          <w:sz w:val="24"/>
          <w:szCs w:val="24"/>
          <w:lang w:val="en-US"/>
        </w:rPr>
        <w:t xml:space="preserve">, the nature of this </w:t>
      </w:r>
      <w:r w:rsidR="00701C65" w:rsidRPr="00DE13EE">
        <w:rPr>
          <w:rFonts w:ascii="Times New Roman" w:hAnsi="Times New Roman" w:cs="Times New Roman"/>
          <w:color w:val="000000" w:themeColor="text1"/>
          <w:sz w:val="24"/>
          <w:szCs w:val="24"/>
          <w:lang w:val="en-US"/>
        </w:rPr>
        <w:t xml:space="preserve">relationship </w:t>
      </w:r>
      <w:r w:rsidRPr="00DE13EE">
        <w:rPr>
          <w:rFonts w:ascii="Times New Roman" w:hAnsi="Times New Roman" w:cs="Times New Roman"/>
          <w:color w:val="000000" w:themeColor="text1"/>
          <w:sz w:val="24"/>
          <w:szCs w:val="24"/>
          <w:lang w:val="en-US"/>
        </w:rPr>
        <w:t>is still an open question. Empirical literature provides cross-sectional evidence that firms with more extensive voluntary disclosures exhibit less information asymmetry and have a lower cost of capital. However, there are substantial concerns about whether this relation</w:t>
      </w:r>
      <w:r w:rsidR="00E23565" w:rsidRPr="00DE13EE">
        <w:rPr>
          <w:rFonts w:ascii="Times New Roman" w:hAnsi="Times New Roman" w:cs="Times New Roman"/>
          <w:color w:val="000000" w:themeColor="text1"/>
          <w:sz w:val="24"/>
          <w:szCs w:val="24"/>
          <w:lang w:val="en-US"/>
        </w:rPr>
        <w:t>ship</w:t>
      </w:r>
      <w:r w:rsidRPr="00DE13EE">
        <w:rPr>
          <w:rFonts w:ascii="Times New Roman" w:hAnsi="Times New Roman" w:cs="Times New Roman"/>
          <w:color w:val="000000" w:themeColor="text1"/>
          <w:sz w:val="24"/>
          <w:szCs w:val="24"/>
          <w:lang w:val="en-US"/>
        </w:rPr>
        <w:t xml:space="preserve"> can be interpreted in a causal way. Firms are likely to choose disclosures with the effect on their cost of capital in mind, creating an endogeneity problem for which it is difficult to find valid instruments. The current study controls for the endogeneity problem in its empirical analysis. </w:t>
      </w:r>
    </w:p>
    <w:p w14:paraId="52446F98" w14:textId="084B6389" w:rsidR="00812C9C" w:rsidRPr="00DE13EE" w:rsidRDefault="00470976" w:rsidP="00B93D4F">
      <w:pPr>
        <w:spacing w:line="360" w:lineRule="auto"/>
        <w:jc w:val="both"/>
        <w:rPr>
          <w:rFonts w:ascii="Times New Roman" w:hAnsi="Times New Roman" w:cs="Times New Roman"/>
          <w:color w:val="000000" w:themeColor="text1"/>
          <w:sz w:val="24"/>
          <w:szCs w:val="24"/>
          <w:lang w:val="en-US"/>
        </w:rPr>
      </w:pPr>
      <w:r w:rsidRPr="00DE13EE">
        <w:rPr>
          <w:rFonts w:ascii="Times New Roman" w:hAnsi="Times New Roman" w:cs="Times New Roman"/>
          <w:color w:val="000000" w:themeColor="text1"/>
          <w:sz w:val="24"/>
          <w:szCs w:val="24"/>
          <w:lang w:val="en-US"/>
        </w:rPr>
        <w:t xml:space="preserve">A limited number of studies have examined </w:t>
      </w:r>
      <w:r w:rsidR="00812C9C" w:rsidRPr="00DE13EE">
        <w:rPr>
          <w:rFonts w:ascii="Times New Roman" w:hAnsi="Times New Roman" w:cs="Times New Roman"/>
          <w:color w:val="000000" w:themeColor="text1"/>
          <w:sz w:val="24"/>
          <w:szCs w:val="24"/>
          <w:lang w:val="en-US"/>
        </w:rPr>
        <w:t xml:space="preserve">the </w:t>
      </w:r>
      <w:r w:rsidRPr="00DE13EE">
        <w:rPr>
          <w:rFonts w:ascii="Times New Roman" w:hAnsi="Times New Roman" w:cs="Times New Roman"/>
          <w:color w:val="000000" w:themeColor="text1"/>
          <w:sz w:val="24"/>
          <w:szCs w:val="24"/>
          <w:lang w:val="en-US"/>
        </w:rPr>
        <w:t xml:space="preserve">impact of disclosure on firm value. This is because the disclosure-firm value relationship </w:t>
      </w:r>
      <w:r w:rsidR="00931E54" w:rsidRPr="00DE13EE">
        <w:rPr>
          <w:rFonts w:ascii="Times New Roman" w:hAnsi="Times New Roman" w:cs="Times New Roman"/>
          <w:color w:val="000000" w:themeColor="text1"/>
          <w:sz w:val="24"/>
          <w:szCs w:val="24"/>
          <w:lang w:val="en-US"/>
        </w:rPr>
        <w:t xml:space="preserve">can </w:t>
      </w:r>
      <w:r w:rsidR="00812C9C" w:rsidRPr="00DE13EE">
        <w:rPr>
          <w:rFonts w:ascii="Times New Roman" w:hAnsi="Times New Roman" w:cs="Times New Roman"/>
          <w:color w:val="000000" w:themeColor="text1"/>
          <w:sz w:val="24"/>
          <w:szCs w:val="24"/>
          <w:lang w:val="en-US"/>
        </w:rPr>
        <w:t xml:space="preserve">be perceived as a logical conclusion rather than </w:t>
      </w:r>
      <w:r w:rsidR="00C1343D" w:rsidRPr="00DE13EE">
        <w:rPr>
          <w:rFonts w:ascii="Times New Roman" w:hAnsi="Times New Roman" w:cs="Times New Roman"/>
          <w:color w:val="000000" w:themeColor="text1"/>
          <w:sz w:val="24"/>
          <w:szCs w:val="24"/>
          <w:lang w:val="en-US"/>
        </w:rPr>
        <w:t xml:space="preserve">a </w:t>
      </w:r>
      <w:r w:rsidR="00812C9C" w:rsidRPr="00DE13EE">
        <w:rPr>
          <w:rFonts w:ascii="Times New Roman" w:hAnsi="Times New Roman" w:cs="Times New Roman"/>
          <w:color w:val="000000" w:themeColor="text1"/>
          <w:sz w:val="24"/>
          <w:szCs w:val="24"/>
          <w:lang w:val="en-US"/>
        </w:rPr>
        <w:t xml:space="preserve">hypothesis to be tested. </w:t>
      </w:r>
      <w:r w:rsidRPr="00DE13EE">
        <w:rPr>
          <w:rFonts w:ascii="Times New Roman" w:hAnsi="Times New Roman" w:cs="Times New Roman"/>
          <w:color w:val="000000" w:themeColor="text1"/>
          <w:sz w:val="24"/>
          <w:szCs w:val="24"/>
          <w:lang w:val="en-US"/>
        </w:rPr>
        <w:t xml:space="preserve">Of these limited studies, </w:t>
      </w:r>
      <w:r w:rsidR="00812C9C" w:rsidRPr="00DE13EE">
        <w:rPr>
          <w:rFonts w:ascii="Times New Roman" w:hAnsi="Times New Roman" w:cs="Times New Roman"/>
          <w:color w:val="000000" w:themeColor="text1"/>
          <w:sz w:val="24"/>
          <w:szCs w:val="24"/>
          <w:lang w:val="en-US"/>
        </w:rPr>
        <w:t>Patel et al. (2002) use Standard and Poor’s dataset on Transparency and Disclosure (T&amp;D) scores to examine the relationship between T&amp;D scores and firm value. Their results suggest that firms with higher T&amp;D scores have higher value compared to firms with lower T&amp;D scores. However, they do not control for variables that may influence firm value</w:t>
      </w:r>
      <w:r w:rsidR="007B2C8D" w:rsidRPr="00DE13EE">
        <w:rPr>
          <w:rFonts w:ascii="Times New Roman" w:hAnsi="Times New Roman" w:cs="Times New Roman"/>
          <w:color w:val="000000" w:themeColor="text1"/>
          <w:sz w:val="24"/>
          <w:szCs w:val="24"/>
          <w:lang w:val="en-US"/>
        </w:rPr>
        <w:t>,</w:t>
      </w:r>
      <w:r w:rsidR="00812C9C" w:rsidRPr="00DE13EE">
        <w:rPr>
          <w:rFonts w:ascii="Times New Roman" w:hAnsi="Times New Roman" w:cs="Times New Roman"/>
          <w:color w:val="000000" w:themeColor="text1"/>
          <w:sz w:val="24"/>
          <w:szCs w:val="24"/>
          <w:lang w:val="en-US"/>
        </w:rPr>
        <w:t xml:space="preserve"> causing </w:t>
      </w:r>
      <w:r w:rsidR="00931E54" w:rsidRPr="00DE13EE">
        <w:rPr>
          <w:rFonts w:ascii="Times New Roman" w:hAnsi="Times New Roman" w:cs="Times New Roman"/>
          <w:color w:val="000000" w:themeColor="text1"/>
          <w:sz w:val="24"/>
          <w:szCs w:val="24"/>
          <w:lang w:val="en-US"/>
        </w:rPr>
        <w:t xml:space="preserve">a problem of </w:t>
      </w:r>
      <w:r w:rsidR="00812C9C" w:rsidRPr="00DE13EE">
        <w:rPr>
          <w:rFonts w:ascii="Times New Roman" w:hAnsi="Times New Roman" w:cs="Times New Roman"/>
          <w:color w:val="000000" w:themeColor="text1"/>
          <w:sz w:val="24"/>
          <w:szCs w:val="24"/>
          <w:lang w:val="en-US"/>
        </w:rPr>
        <w:t xml:space="preserve">omitted variable bias. Furthermore, Hassan et al. (2009) find that the relationship between disclosure and </w:t>
      </w:r>
      <w:r w:rsidR="00F1762F" w:rsidRPr="00DE13EE">
        <w:rPr>
          <w:rFonts w:ascii="Times New Roman" w:hAnsi="Times New Roman" w:cs="Times New Roman"/>
          <w:color w:val="000000" w:themeColor="text1"/>
          <w:sz w:val="24"/>
          <w:szCs w:val="24"/>
          <w:lang w:val="en-US"/>
        </w:rPr>
        <w:t>firm value</w:t>
      </w:r>
      <w:r w:rsidR="00812C9C" w:rsidRPr="00DE13EE">
        <w:rPr>
          <w:rFonts w:ascii="Times New Roman" w:hAnsi="Times New Roman" w:cs="Times New Roman"/>
          <w:color w:val="000000" w:themeColor="text1"/>
          <w:sz w:val="24"/>
          <w:szCs w:val="24"/>
          <w:lang w:val="en-US"/>
        </w:rPr>
        <w:t xml:space="preserve"> depends on </w:t>
      </w:r>
      <w:r w:rsidR="007B2C8D" w:rsidRPr="00DE13EE">
        <w:rPr>
          <w:rFonts w:ascii="Times New Roman" w:hAnsi="Times New Roman" w:cs="Times New Roman"/>
          <w:color w:val="000000" w:themeColor="text1"/>
          <w:sz w:val="24"/>
          <w:szCs w:val="24"/>
          <w:lang w:val="en-US"/>
        </w:rPr>
        <w:t>whether the disclosure was</w:t>
      </w:r>
      <w:r w:rsidR="00812C9C" w:rsidRPr="00DE13EE">
        <w:rPr>
          <w:rFonts w:ascii="Times New Roman" w:hAnsi="Times New Roman" w:cs="Times New Roman"/>
          <w:color w:val="000000" w:themeColor="text1"/>
          <w:sz w:val="24"/>
          <w:szCs w:val="24"/>
          <w:lang w:val="en-US"/>
        </w:rPr>
        <w:t xml:space="preserve"> mandatory </w:t>
      </w:r>
      <w:r w:rsidR="007B2C8D" w:rsidRPr="00DE13EE">
        <w:rPr>
          <w:rFonts w:ascii="Times New Roman" w:hAnsi="Times New Roman" w:cs="Times New Roman"/>
          <w:color w:val="000000" w:themeColor="text1"/>
          <w:sz w:val="24"/>
          <w:szCs w:val="24"/>
          <w:lang w:val="en-US"/>
        </w:rPr>
        <w:t>or</w:t>
      </w:r>
      <w:r w:rsidR="00812C9C" w:rsidRPr="00DE13EE">
        <w:rPr>
          <w:rFonts w:ascii="Times New Roman" w:hAnsi="Times New Roman" w:cs="Times New Roman"/>
          <w:color w:val="000000" w:themeColor="text1"/>
          <w:sz w:val="24"/>
          <w:szCs w:val="24"/>
          <w:lang w:val="en-US"/>
        </w:rPr>
        <w:t xml:space="preserve"> voluntary. They find negative association between firm value and mandatory disclosure </w:t>
      </w:r>
      <w:r w:rsidR="00DA5C07" w:rsidRPr="00DE13EE">
        <w:rPr>
          <w:rFonts w:ascii="Times New Roman" w:hAnsi="Times New Roman" w:cs="Times New Roman"/>
          <w:color w:val="000000" w:themeColor="text1"/>
          <w:sz w:val="24"/>
          <w:szCs w:val="24"/>
          <w:lang w:val="en-US"/>
        </w:rPr>
        <w:t>of Egyptian</w:t>
      </w:r>
      <w:r w:rsidR="00812C9C" w:rsidRPr="00DE13EE">
        <w:rPr>
          <w:rFonts w:ascii="Times New Roman" w:hAnsi="Times New Roman" w:cs="Times New Roman"/>
          <w:color w:val="000000" w:themeColor="text1"/>
          <w:sz w:val="24"/>
          <w:szCs w:val="24"/>
          <w:lang w:val="en-US"/>
        </w:rPr>
        <w:t xml:space="preserve"> firms. However, they report </w:t>
      </w:r>
      <w:r w:rsidR="00286E7C" w:rsidRPr="00DE13EE">
        <w:rPr>
          <w:rFonts w:ascii="Times New Roman" w:hAnsi="Times New Roman" w:cs="Times New Roman"/>
          <w:color w:val="000000" w:themeColor="text1"/>
          <w:sz w:val="24"/>
          <w:szCs w:val="24"/>
          <w:lang w:val="en-US"/>
        </w:rPr>
        <w:t xml:space="preserve">a </w:t>
      </w:r>
      <w:r w:rsidR="00812C9C" w:rsidRPr="00DE13EE">
        <w:rPr>
          <w:rFonts w:ascii="Times New Roman" w:hAnsi="Times New Roman" w:cs="Times New Roman"/>
          <w:color w:val="000000" w:themeColor="text1"/>
          <w:sz w:val="24"/>
          <w:szCs w:val="24"/>
          <w:lang w:val="en-US"/>
        </w:rPr>
        <w:t xml:space="preserve">non-significant relationship between firm value and voluntary disclosure. Elzahar et al. (2015) examine the effect of disclosure of Key Performance Indicators (KPIs) on </w:t>
      </w:r>
      <w:r w:rsidR="00140C6F" w:rsidRPr="00DE13EE">
        <w:rPr>
          <w:rFonts w:ascii="Times New Roman" w:hAnsi="Times New Roman" w:cs="Times New Roman"/>
          <w:color w:val="000000" w:themeColor="text1"/>
          <w:sz w:val="24"/>
          <w:szCs w:val="24"/>
          <w:lang w:val="en-US"/>
        </w:rPr>
        <w:t xml:space="preserve">the </w:t>
      </w:r>
      <w:r w:rsidR="00812C9C" w:rsidRPr="00DE13EE">
        <w:rPr>
          <w:rFonts w:ascii="Times New Roman" w:hAnsi="Times New Roman" w:cs="Times New Roman"/>
          <w:color w:val="000000" w:themeColor="text1"/>
          <w:sz w:val="24"/>
          <w:szCs w:val="24"/>
          <w:lang w:val="en-US"/>
        </w:rPr>
        <w:t xml:space="preserve">cost of capital and </w:t>
      </w:r>
      <w:r w:rsidR="00F1762F" w:rsidRPr="00DE13EE">
        <w:rPr>
          <w:rFonts w:ascii="Times New Roman" w:hAnsi="Times New Roman" w:cs="Times New Roman"/>
          <w:color w:val="000000" w:themeColor="text1"/>
          <w:sz w:val="24"/>
          <w:szCs w:val="24"/>
          <w:lang w:val="en-US"/>
        </w:rPr>
        <w:t>firm value</w:t>
      </w:r>
      <w:r w:rsidR="00812C9C" w:rsidRPr="00DE13EE">
        <w:rPr>
          <w:rFonts w:ascii="Times New Roman" w:hAnsi="Times New Roman" w:cs="Times New Roman"/>
          <w:color w:val="000000" w:themeColor="text1"/>
          <w:sz w:val="24"/>
          <w:szCs w:val="24"/>
          <w:lang w:val="en-US"/>
        </w:rPr>
        <w:t xml:space="preserve">. They </w:t>
      </w:r>
      <w:r w:rsidR="002A2323" w:rsidRPr="00DE13EE">
        <w:rPr>
          <w:rFonts w:ascii="Times New Roman" w:hAnsi="Times New Roman" w:cs="Times New Roman"/>
          <w:color w:val="000000" w:themeColor="text1"/>
          <w:sz w:val="24"/>
          <w:szCs w:val="24"/>
          <w:lang w:val="en-US"/>
        </w:rPr>
        <w:t xml:space="preserve">find </w:t>
      </w:r>
      <w:r w:rsidR="00B86349" w:rsidRPr="00DE13EE">
        <w:rPr>
          <w:rFonts w:ascii="Times New Roman" w:hAnsi="Times New Roman" w:cs="Times New Roman"/>
          <w:color w:val="000000" w:themeColor="text1"/>
          <w:sz w:val="24"/>
          <w:szCs w:val="24"/>
          <w:lang w:val="en-US"/>
        </w:rPr>
        <w:t xml:space="preserve">a </w:t>
      </w:r>
      <w:r w:rsidR="00812C9C" w:rsidRPr="00DE13EE">
        <w:rPr>
          <w:rFonts w:ascii="Times New Roman" w:hAnsi="Times New Roman" w:cs="Times New Roman"/>
          <w:color w:val="000000" w:themeColor="text1"/>
          <w:sz w:val="24"/>
          <w:szCs w:val="24"/>
          <w:lang w:val="en-US"/>
        </w:rPr>
        <w:t>significant negative relationship between the disclosure of KPIs and the cost of capital. However, they</w:t>
      </w:r>
      <w:r w:rsidR="003C16D1" w:rsidRPr="00DE13EE">
        <w:rPr>
          <w:rFonts w:ascii="Times New Roman" w:hAnsi="Times New Roman" w:cs="Times New Roman"/>
          <w:color w:val="000000" w:themeColor="text1"/>
          <w:sz w:val="24"/>
          <w:szCs w:val="24"/>
          <w:lang w:val="en-US"/>
        </w:rPr>
        <w:t xml:space="preserve"> </w:t>
      </w:r>
      <w:r w:rsidR="00DA5C07" w:rsidRPr="00DE13EE">
        <w:rPr>
          <w:rFonts w:ascii="Times New Roman" w:hAnsi="Times New Roman" w:cs="Times New Roman"/>
          <w:color w:val="000000" w:themeColor="text1"/>
          <w:sz w:val="24"/>
          <w:szCs w:val="24"/>
          <w:lang w:val="en-US"/>
        </w:rPr>
        <w:t xml:space="preserve">report </w:t>
      </w:r>
      <w:r w:rsidR="00812C9C" w:rsidRPr="00DE13EE">
        <w:rPr>
          <w:rFonts w:ascii="Times New Roman" w:hAnsi="Times New Roman" w:cs="Times New Roman"/>
          <w:color w:val="000000" w:themeColor="text1"/>
          <w:sz w:val="24"/>
          <w:szCs w:val="24"/>
          <w:lang w:val="en-US"/>
        </w:rPr>
        <w:t xml:space="preserve">a weak positive relationship between </w:t>
      </w:r>
      <w:r w:rsidR="00780E97" w:rsidRPr="00DE13EE">
        <w:rPr>
          <w:rFonts w:ascii="Times New Roman" w:hAnsi="Times New Roman" w:cs="Times New Roman"/>
          <w:color w:val="000000" w:themeColor="text1"/>
          <w:sz w:val="24"/>
          <w:szCs w:val="24"/>
          <w:lang w:val="en-US"/>
        </w:rPr>
        <w:t xml:space="preserve">the </w:t>
      </w:r>
      <w:r w:rsidR="00812C9C" w:rsidRPr="00DE13EE">
        <w:rPr>
          <w:rFonts w:ascii="Times New Roman" w:hAnsi="Times New Roman" w:cs="Times New Roman"/>
          <w:color w:val="000000" w:themeColor="text1"/>
          <w:sz w:val="24"/>
          <w:szCs w:val="24"/>
          <w:lang w:val="en-US"/>
        </w:rPr>
        <w:t xml:space="preserve">disclosure of KPIs and </w:t>
      </w:r>
      <w:r w:rsidR="00931E54" w:rsidRPr="00DE13EE">
        <w:rPr>
          <w:rFonts w:ascii="Times New Roman" w:hAnsi="Times New Roman" w:cs="Times New Roman"/>
          <w:color w:val="000000" w:themeColor="text1"/>
          <w:sz w:val="24"/>
          <w:szCs w:val="24"/>
          <w:lang w:val="en-US"/>
        </w:rPr>
        <w:t xml:space="preserve">a value </w:t>
      </w:r>
      <w:r w:rsidR="00DA5C07" w:rsidRPr="00DE13EE">
        <w:rPr>
          <w:rFonts w:ascii="Times New Roman" w:hAnsi="Times New Roman" w:cs="Times New Roman"/>
          <w:color w:val="000000" w:themeColor="text1"/>
          <w:sz w:val="24"/>
          <w:szCs w:val="24"/>
          <w:lang w:val="en-US"/>
        </w:rPr>
        <w:t>of a firm</w:t>
      </w:r>
      <w:r w:rsidR="00423E41" w:rsidRPr="00DE13EE">
        <w:rPr>
          <w:rFonts w:ascii="Times New Roman" w:hAnsi="Times New Roman" w:cs="Times New Roman"/>
          <w:color w:val="000000" w:themeColor="text1"/>
          <w:sz w:val="24"/>
          <w:szCs w:val="24"/>
          <w:lang w:val="en-US"/>
        </w:rPr>
        <w:t xml:space="preserve">. </w:t>
      </w:r>
      <w:r w:rsidR="00F1762F" w:rsidRPr="00DE13EE">
        <w:rPr>
          <w:rFonts w:ascii="Times New Roman" w:hAnsi="Times New Roman" w:cs="Times New Roman"/>
          <w:color w:val="000000" w:themeColor="text1"/>
          <w:sz w:val="24"/>
          <w:szCs w:val="24"/>
          <w:lang w:val="en-US"/>
        </w:rPr>
        <w:t>In a recent paper, Guo</w:t>
      </w:r>
      <w:r w:rsidR="00903294" w:rsidRPr="00DE13EE">
        <w:rPr>
          <w:rFonts w:ascii="Times New Roman" w:hAnsi="Times New Roman" w:cs="Times New Roman"/>
          <w:color w:val="000000" w:themeColor="text1"/>
          <w:sz w:val="24"/>
          <w:szCs w:val="24"/>
          <w:lang w:val="en-US"/>
        </w:rPr>
        <w:t xml:space="preserve"> et al.</w:t>
      </w:r>
      <w:r w:rsidR="00F1762F" w:rsidRPr="00DE13EE">
        <w:rPr>
          <w:rFonts w:ascii="Times New Roman" w:hAnsi="Times New Roman" w:cs="Times New Roman"/>
          <w:color w:val="000000" w:themeColor="text1"/>
          <w:sz w:val="24"/>
          <w:szCs w:val="24"/>
          <w:lang w:val="en-US"/>
        </w:rPr>
        <w:t xml:space="preserve"> (2016) find a positive relationship between disclosure and firm value in China. </w:t>
      </w:r>
      <w:r w:rsidR="00931E54" w:rsidRPr="00DE13EE">
        <w:rPr>
          <w:rFonts w:ascii="Times New Roman" w:hAnsi="Times New Roman" w:cs="Times New Roman"/>
          <w:color w:val="000000" w:themeColor="text1"/>
          <w:sz w:val="24"/>
          <w:szCs w:val="24"/>
          <w:lang w:val="en-US"/>
        </w:rPr>
        <w:t>To conclude, t</w:t>
      </w:r>
      <w:r w:rsidR="00423E41" w:rsidRPr="00DE13EE">
        <w:rPr>
          <w:rFonts w:ascii="Times New Roman" w:hAnsi="Times New Roman" w:cs="Times New Roman"/>
          <w:color w:val="000000" w:themeColor="text1"/>
          <w:sz w:val="24"/>
          <w:szCs w:val="24"/>
          <w:lang w:val="en-US"/>
        </w:rPr>
        <w:t>he</w:t>
      </w:r>
      <w:r w:rsidR="00812C9C" w:rsidRPr="00DE13EE">
        <w:rPr>
          <w:rFonts w:ascii="Times New Roman" w:hAnsi="Times New Roman" w:cs="Times New Roman"/>
          <w:color w:val="000000" w:themeColor="text1"/>
          <w:sz w:val="24"/>
          <w:szCs w:val="24"/>
          <w:lang w:val="en-US"/>
        </w:rPr>
        <w:t xml:space="preserve"> empirical evidence </w:t>
      </w:r>
      <w:r w:rsidR="00931E54" w:rsidRPr="00DE13EE">
        <w:rPr>
          <w:rFonts w:ascii="Times New Roman" w:hAnsi="Times New Roman" w:cs="Times New Roman"/>
          <w:color w:val="000000" w:themeColor="text1"/>
          <w:sz w:val="24"/>
          <w:szCs w:val="24"/>
          <w:lang w:val="en-US"/>
        </w:rPr>
        <w:t xml:space="preserve">in terms of </w:t>
      </w:r>
      <w:r w:rsidR="00812C9C" w:rsidRPr="00DE13EE">
        <w:rPr>
          <w:rFonts w:ascii="Times New Roman" w:hAnsi="Times New Roman" w:cs="Times New Roman"/>
          <w:color w:val="000000" w:themeColor="text1"/>
          <w:sz w:val="24"/>
          <w:szCs w:val="24"/>
          <w:lang w:val="en-US"/>
        </w:rPr>
        <w:t xml:space="preserve">the </w:t>
      </w:r>
      <w:r w:rsidR="00E77BEE" w:rsidRPr="00DE13EE">
        <w:rPr>
          <w:rFonts w:ascii="Times New Roman" w:hAnsi="Times New Roman" w:cs="Times New Roman"/>
          <w:color w:val="000000" w:themeColor="text1"/>
          <w:sz w:val="24"/>
          <w:szCs w:val="24"/>
          <w:lang w:val="en-US"/>
        </w:rPr>
        <w:t xml:space="preserve">impact </w:t>
      </w:r>
      <w:r w:rsidR="00812C9C" w:rsidRPr="00DE13EE">
        <w:rPr>
          <w:rFonts w:ascii="Times New Roman" w:hAnsi="Times New Roman" w:cs="Times New Roman"/>
          <w:color w:val="000000" w:themeColor="text1"/>
          <w:sz w:val="24"/>
          <w:szCs w:val="24"/>
          <w:lang w:val="en-US"/>
        </w:rPr>
        <w:t xml:space="preserve">of </w:t>
      </w:r>
      <w:r w:rsidR="007B11B3" w:rsidRPr="00DE13EE">
        <w:rPr>
          <w:rFonts w:ascii="Times New Roman" w:hAnsi="Times New Roman" w:cs="Times New Roman"/>
          <w:color w:val="000000" w:themeColor="text1"/>
          <w:sz w:val="24"/>
          <w:szCs w:val="24"/>
          <w:lang w:val="en-US"/>
        </w:rPr>
        <w:t xml:space="preserve">voluntary </w:t>
      </w:r>
      <w:r w:rsidR="00812C9C" w:rsidRPr="00DE13EE">
        <w:rPr>
          <w:rFonts w:ascii="Times New Roman" w:hAnsi="Times New Roman" w:cs="Times New Roman"/>
          <w:color w:val="000000" w:themeColor="text1"/>
          <w:sz w:val="24"/>
          <w:szCs w:val="24"/>
          <w:lang w:val="en-US"/>
        </w:rPr>
        <w:t xml:space="preserve">disclosure on a firm value is still </w:t>
      </w:r>
      <w:r w:rsidR="001B1425" w:rsidRPr="00DE13EE">
        <w:rPr>
          <w:rFonts w:ascii="Times New Roman" w:hAnsi="Times New Roman" w:cs="Times New Roman"/>
          <w:color w:val="000000" w:themeColor="text1"/>
          <w:sz w:val="24"/>
          <w:szCs w:val="24"/>
          <w:lang w:val="en-US"/>
        </w:rPr>
        <w:t>inconclusive</w:t>
      </w:r>
      <w:r w:rsidR="00812C9C" w:rsidRPr="00DE13EE">
        <w:rPr>
          <w:rFonts w:ascii="Times New Roman" w:hAnsi="Times New Roman" w:cs="Times New Roman"/>
          <w:color w:val="000000" w:themeColor="text1"/>
          <w:sz w:val="24"/>
          <w:szCs w:val="24"/>
          <w:lang w:val="en-US"/>
        </w:rPr>
        <w:t xml:space="preserve">. Some studies </w:t>
      </w:r>
      <w:r w:rsidR="00716BBB" w:rsidRPr="00DE13EE">
        <w:rPr>
          <w:rFonts w:ascii="Times New Roman" w:hAnsi="Times New Roman" w:cs="Times New Roman"/>
          <w:color w:val="000000" w:themeColor="text1"/>
          <w:sz w:val="24"/>
          <w:szCs w:val="24"/>
          <w:lang w:val="en-US"/>
        </w:rPr>
        <w:t xml:space="preserve">report </w:t>
      </w:r>
      <w:r w:rsidR="00812C9C" w:rsidRPr="00DE13EE">
        <w:rPr>
          <w:rFonts w:ascii="Times New Roman" w:hAnsi="Times New Roman" w:cs="Times New Roman"/>
          <w:color w:val="000000" w:themeColor="text1"/>
          <w:sz w:val="24"/>
          <w:szCs w:val="24"/>
          <w:lang w:val="en-US"/>
        </w:rPr>
        <w:t xml:space="preserve">that </w:t>
      </w:r>
      <w:r w:rsidR="00716BBB" w:rsidRPr="00DE13EE">
        <w:rPr>
          <w:rFonts w:ascii="Times New Roman" w:hAnsi="Times New Roman" w:cs="Times New Roman"/>
          <w:color w:val="000000" w:themeColor="text1"/>
          <w:sz w:val="24"/>
          <w:szCs w:val="24"/>
          <w:lang w:val="en-US"/>
        </w:rPr>
        <w:t xml:space="preserve">disclosure of voluntary information </w:t>
      </w:r>
      <w:r w:rsidR="00812C9C" w:rsidRPr="00DE13EE">
        <w:rPr>
          <w:rFonts w:ascii="Times New Roman" w:hAnsi="Times New Roman" w:cs="Times New Roman"/>
          <w:color w:val="000000" w:themeColor="text1"/>
          <w:sz w:val="24"/>
          <w:szCs w:val="24"/>
          <w:lang w:val="en-US"/>
        </w:rPr>
        <w:t>add</w:t>
      </w:r>
      <w:r w:rsidR="00716BBB" w:rsidRPr="00DE13EE">
        <w:rPr>
          <w:rFonts w:ascii="Times New Roman" w:hAnsi="Times New Roman" w:cs="Times New Roman"/>
          <w:color w:val="000000" w:themeColor="text1"/>
          <w:sz w:val="24"/>
          <w:szCs w:val="24"/>
          <w:lang w:val="en-US"/>
        </w:rPr>
        <w:t>s</w:t>
      </w:r>
      <w:r w:rsidR="00812C9C" w:rsidRPr="00DE13EE">
        <w:rPr>
          <w:rFonts w:ascii="Times New Roman" w:hAnsi="Times New Roman" w:cs="Times New Roman"/>
          <w:color w:val="000000" w:themeColor="text1"/>
          <w:sz w:val="24"/>
          <w:szCs w:val="24"/>
          <w:lang w:val="en-US"/>
        </w:rPr>
        <w:t xml:space="preserve"> to </w:t>
      </w:r>
      <w:r w:rsidR="00716BBB" w:rsidRPr="00DE13EE">
        <w:rPr>
          <w:rFonts w:ascii="Times New Roman" w:hAnsi="Times New Roman" w:cs="Times New Roman"/>
          <w:color w:val="000000" w:themeColor="text1"/>
          <w:sz w:val="24"/>
          <w:szCs w:val="24"/>
          <w:lang w:val="en-US"/>
        </w:rPr>
        <w:t>the value of a firm</w:t>
      </w:r>
      <w:r w:rsidR="00812C9C" w:rsidRPr="00DE13EE">
        <w:rPr>
          <w:rFonts w:ascii="Times New Roman" w:hAnsi="Times New Roman" w:cs="Times New Roman"/>
          <w:color w:val="000000" w:themeColor="text1"/>
          <w:sz w:val="24"/>
          <w:szCs w:val="24"/>
          <w:lang w:val="en-US"/>
        </w:rPr>
        <w:t xml:space="preserve"> (e.g., Elzahar et al. 2015) while others (e.g., Hassan et al. 2009) do not find evidence to support this assumption. Based on the review of the</w:t>
      </w:r>
      <w:r w:rsidR="00FB42AD" w:rsidRPr="00DE13EE">
        <w:rPr>
          <w:rFonts w:ascii="Times New Roman" w:hAnsi="Times New Roman" w:cs="Times New Roman"/>
          <w:color w:val="000000" w:themeColor="text1"/>
          <w:sz w:val="24"/>
          <w:szCs w:val="24"/>
          <w:lang w:val="en-US"/>
        </w:rPr>
        <w:t xml:space="preserve"> relevant</w:t>
      </w:r>
      <w:r w:rsidR="00812C9C" w:rsidRPr="00DE13EE">
        <w:rPr>
          <w:rFonts w:ascii="Times New Roman" w:hAnsi="Times New Roman" w:cs="Times New Roman"/>
          <w:color w:val="000000" w:themeColor="text1"/>
          <w:sz w:val="24"/>
          <w:szCs w:val="24"/>
          <w:lang w:val="en-US"/>
        </w:rPr>
        <w:t xml:space="preserve"> theories and literature, it is </w:t>
      </w:r>
      <w:r w:rsidR="00871628" w:rsidRPr="00DE13EE">
        <w:rPr>
          <w:rFonts w:ascii="Times New Roman" w:hAnsi="Times New Roman" w:cs="Times New Roman"/>
          <w:color w:val="000000" w:themeColor="text1"/>
          <w:sz w:val="24"/>
          <w:szCs w:val="24"/>
          <w:lang w:val="en-US"/>
        </w:rPr>
        <w:t>suspected</w:t>
      </w:r>
      <w:r w:rsidR="003B18E1" w:rsidRPr="00DE13EE">
        <w:rPr>
          <w:rFonts w:ascii="Times New Roman" w:hAnsi="Times New Roman" w:cs="Times New Roman"/>
          <w:color w:val="000000" w:themeColor="text1"/>
          <w:sz w:val="24"/>
          <w:szCs w:val="24"/>
          <w:lang w:val="en-US"/>
        </w:rPr>
        <w:t xml:space="preserve"> </w:t>
      </w:r>
      <w:r w:rsidR="00812C9C" w:rsidRPr="00DE13EE">
        <w:rPr>
          <w:rFonts w:ascii="Times New Roman" w:hAnsi="Times New Roman" w:cs="Times New Roman"/>
          <w:color w:val="000000" w:themeColor="text1"/>
          <w:sz w:val="24"/>
          <w:szCs w:val="24"/>
          <w:lang w:val="en-US"/>
        </w:rPr>
        <w:t>that</w:t>
      </w:r>
      <w:r w:rsidR="003B18E1" w:rsidRPr="00DE13EE">
        <w:rPr>
          <w:rFonts w:ascii="Times New Roman" w:hAnsi="Times New Roman" w:cs="Times New Roman"/>
          <w:color w:val="000000" w:themeColor="text1"/>
          <w:sz w:val="24"/>
          <w:szCs w:val="24"/>
          <w:lang w:val="en-US"/>
        </w:rPr>
        <w:t xml:space="preserve"> the</w:t>
      </w:r>
      <w:r w:rsidR="00812C9C" w:rsidRPr="00DE13EE">
        <w:rPr>
          <w:rFonts w:ascii="Times New Roman" w:hAnsi="Times New Roman" w:cs="Times New Roman"/>
          <w:color w:val="000000" w:themeColor="text1"/>
          <w:sz w:val="24"/>
          <w:szCs w:val="24"/>
          <w:lang w:val="en-US"/>
        </w:rPr>
        <w:t xml:space="preserve"> disclosure of forward-looking information has an effect the values of UK firms. Therefore, the current study </w:t>
      </w:r>
      <w:r w:rsidR="00AB708F" w:rsidRPr="00DE13EE">
        <w:rPr>
          <w:rFonts w:ascii="Times New Roman" w:hAnsi="Times New Roman" w:cs="Times New Roman"/>
          <w:color w:val="000000" w:themeColor="text1"/>
          <w:sz w:val="24"/>
          <w:szCs w:val="24"/>
          <w:lang w:val="en-US"/>
        </w:rPr>
        <w:t>hypothesizes</w:t>
      </w:r>
      <w:r w:rsidR="00812C9C" w:rsidRPr="00DE13EE">
        <w:rPr>
          <w:rFonts w:ascii="Times New Roman" w:hAnsi="Times New Roman" w:cs="Times New Roman"/>
          <w:color w:val="000000" w:themeColor="text1"/>
          <w:sz w:val="24"/>
          <w:szCs w:val="24"/>
          <w:lang w:val="en-US"/>
        </w:rPr>
        <w:t xml:space="preserve"> that:</w:t>
      </w:r>
    </w:p>
    <w:p w14:paraId="267A042B" w14:textId="2F99C548" w:rsidR="00812C9C" w:rsidRPr="00DE13EE" w:rsidRDefault="00812C9C" w:rsidP="00B93D4F">
      <w:pPr>
        <w:spacing w:line="360" w:lineRule="auto"/>
        <w:ind w:left="567" w:right="567"/>
        <w:jc w:val="both"/>
        <w:rPr>
          <w:rFonts w:ascii="Times New Roman" w:hAnsi="Times New Roman" w:cs="Times New Roman"/>
          <w:i/>
          <w:color w:val="000000" w:themeColor="text1"/>
          <w:sz w:val="24"/>
          <w:szCs w:val="24"/>
          <w:lang w:val="en-US"/>
        </w:rPr>
      </w:pPr>
      <w:r w:rsidRPr="00DE13EE">
        <w:rPr>
          <w:rFonts w:ascii="Times New Roman" w:hAnsi="Times New Roman" w:cs="Times New Roman"/>
          <w:i/>
          <w:color w:val="000000" w:themeColor="text1"/>
          <w:sz w:val="24"/>
          <w:szCs w:val="24"/>
          <w:lang w:val="en-US"/>
        </w:rPr>
        <w:t xml:space="preserve">H1: </w:t>
      </w:r>
      <w:r w:rsidR="00267560" w:rsidRPr="00DE13EE">
        <w:rPr>
          <w:rFonts w:ascii="Times New Roman" w:hAnsi="Times New Roman" w:cs="Times New Roman"/>
          <w:i/>
          <w:color w:val="000000" w:themeColor="text1"/>
          <w:sz w:val="24"/>
          <w:szCs w:val="24"/>
          <w:lang w:val="en-US"/>
        </w:rPr>
        <w:t>F</w:t>
      </w:r>
      <w:r w:rsidRPr="00DE13EE">
        <w:rPr>
          <w:rFonts w:ascii="Times New Roman" w:hAnsi="Times New Roman" w:cs="Times New Roman"/>
          <w:i/>
          <w:color w:val="000000" w:themeColor="text1"/>
          <w:sz w:val="24"/>
          <w:szCs w:val="24"/>
          <w:lang w:val="en-US"/>
        </w:rPr>
        <w:t xml:space="preserve">orward-looking </w:t>
      </w:r>
      <w:r w:rsidR="00267560" w:rsidRPr="00DE13EE">
        <w:rPr>
          <w:rFonts w:ascii="Times New Roman" w:hAnsi="Times New Roman" w:cs="Times New Roman"/>
          <w:i/>
          <w:color w:val="000000" w:themeColor="text1"/>
          <w:sz w:val="24"/>
          <w:szCs w:val="24"/>
          <w:lang w:val="en-US"/>
        </w:rPr>
        <w:t xml:space="preserve">disclosures affect </w:t>
      </w:r>
      <w:r w:rsidR="00EE4DF4" w:rsidRPr="00DE13EE">
        <w:rPr>
          <w:rFonts w:ascii="Times New Roman" w:hAnsi="Times New Roman" w:cs="Times New Roman"/>
          <w:i/>
          <w:color w:val="000000" w:themeColor="text1"/>
          <w:sz w:val="24"/>
          <w:szCs w:val="24"/>
          <w:lang w:val="en-US"/>
        </w:rPr>
        <w:t xml:space="preserve">the </w:t>
      </w:r>
      <w:r w:rsidRPr="00DE13EE">
        <w:rPr>
          <w:rFonts w:ascii="Times New Roman" w:hAnsi="Times New Roman" w:cs="Times New Roman"/>
          <w:i/>
          <w:color w:val="000000" w:themeColor="text1"/>
          <w:sz w:val="24"/>
          <w:szCs w:val="24"/>
          <w:lang w:val="en-US"/>
        </w:rPr>
        <w:t>value</w:t>
      </w:r>
      <w:r w:rsidR="00267560" w:rsidRPr="00DE13EE">
        <w:rPr>
          <w:rFonts w:ascii="Times New Roman" w:hAnsi="Times New Roman" w:cs="Times New Roman"/>
          <w:i/>
          <w:color w:val="000000" w:themeColor="text1"/>
          <w:sz w:val="24"/>
          <w:szCs w:val="24"/>
          <w:lang w:val="en-US"/>
        </w:rPr>
        <w:t>s</w:t>
      </w:r>
      <w:r w:rsidRPr="00DE13EE">
        <w:rPr>
          <w:rFonts w:ascii="Times New Roman" w:hAnsi="Times New Roman" w:cs="Times New Roman"/>
          <w:i/>
          <w:color w:val="000000" w:themeColor="text1"/>
          <w:sz w:val="24"/>
          <w:szCs w:val="24"/>
          <w:lang w:val="en-US"/>
        </w:rPr>
        <w:t xml:space="preserve"> of UK firms</w:t>
      </w:r>
    </w:p>
    <w:p w14:paraId="3C668E23" w14:textId="774B1485" w:rsidR="00D60C57" w:rsidRPr="00DE13EE" w:rsidRDefault="00E01E19" w:rsidP="00B93D4F">
      <w:pPr>
        <w:pStyle w:val="Heading2"/>
        <w:rPr>
          <w:color w:val="000000" w:themeColor="text1"/>
        </w:rPr>
      </w:pPr>
      <w:r w:rsidRPr="00DE13EE">
        <w:rPr>
          <w:color w:val="000000" w:themeColor="text1"/>
        </w:rPr>
        <w:lastRenderedPageBreak/>
        <w:t xml:space="preserve">2.2 High </w:t>
      </w:r>
      <w:r w:rsidR="00D60C57" w:rsidRPr="00DE13EE">
        <w:rPr>
          <w:color w:val="000000" w:themeColor="text1"/>
        </w:rPr>
        <w:t xml:space="preserve">and low-performing firms </w:t>
      </w:r>
    </w:p>
    <w:p w14:paraId="0311498B" w14:textId="151137D0" w:rsidR="001D2477" w:rsidRPr="00DE13EE" w:rsidRDefault="00E158E9" w:rsidP="00B93D4F">
      <w:pPr>
        <w:spacing w:line="360" w:lineRule="auto"/>
        <w:jc w:val="both"/>
        <w:rPr>
          <w:rFonts w:ascii="Times New Roman" w:hAnsi="Times New Roman" w:cs="Times New Roman"/>
          <w:color w:val="000000" w:themeColor="text1"/>
          <w:sz w:val="24"/>
          <w:szCs w:val="24"/>
          <w:lang w:val="en-US"/>
        </w:rPr>
      </w:pPr>
      <w:r w:rsidRPr="00DE13EE">
        <w:rPr>
          <w:rFonts w:ascii="Times New Roman" w:hAnsi="Times New Roman" w:cs="Times New Roman"/>
          <w:color w:val="000000" w:themeColor="text1"/>
          <w:sz w:val="24"/>
          <w:szCs w:val="24"/>
          <w:lang w:val="en-US"/>
        </w:rPr>
        <w:t>Earning</w:t>
      </w:r>
      <w:r w:rsidR="0023126A" w:rsidRPr="00DE13EE">
        <w:rPr>
          <w:rFonts w:ascii="Times New Roman" w:hAnsi="Times New Roman" w:cs="Times New Roman"/>
          <w:color w:val="000000" w:themeColor="text1"/>
          <w:sz w:val="24"/>
          <w:szCs w:val="24"/>
          <w:lang w:val="en-US"/>
        </w:rPr>
        <w:t>s</w:t>
      </w:r>
      <w:r w:rsidRPr="00DE13EE">
        <w:rPr>
          <w:rFonts w:ascii="Times New Roman" w:hAnsi="Times New Roman" w:cs="Times New Roman"/>
          <w:color w:val="000000" w:themeColor="text1"/>
          <w:sz w:val="24"/>
          <w:szCs w:val="24"/>
          <w:lang w:val="en-US"/>
        </w:rPr>
        <w:t xml:space="preserve"> is a visible performance measure and receives considerable attention from investors</w:t>
      </w:r>
      <w:r w:rsidR="00B07AD5" w:rsidRPr="00DE13EE">
        <w:rPr>
          <w:rFonts w:ascii="Times New Roman" w:hAnsi="Times New Roman" w:cs="Times New Roman"/>
          <w:color w:val="000000" w:themeColor="text1"/>
          <w:sz w:val="24"/>
          <w:szCs w:val="24"/>
          <w:lang w:val="en-US"/>
        </w:rPr>
        <w:t xml:space="preserve"> </w:t>
      </w:r>
      <w:r w:rsidR="009B33B2" w:rsidRPr="00DE13EE">
        <w:rPr>
          <w:rFonts w:ascii="Times New Roman" w:hAnsi="Times New Roman" w:cs="Times New Roman"/>
          <w:color w:val="000000" w:themeColor="text1"/>
          <w:sz w:val="24"/>
          <w:szCs w:val="24"/>
          <w:lang w:val="en-US"/>
        </w:rPr>
        <w:t>due to its</w:t>
      </w:r>
      <w:r w:rsidR="00B07AD5" w:rsidRPr="00DE13EE">
        <w:rPr>
          <w:rFonts w:ascii="Times New Roman" w:hAnsi="Times New Roman" w:cs="Times New Roman"/>
          <w:color w:val="000000" w:themeColor="text1"/>
          <w:sz w:val="24"/>
          <w:szCs w:val="24"/>
          <w:lang w:val="en-US"/>
        </w:rPr>
        <w:t xml:space="preserve"> impact </w:t>
      </w:r>
      <w:r w:rsidR="00432CFA" w:rsidRPr="00DE13EE">
        <w:rPr>
          <w:rFonts w:ascii="Times New Roman" w:hAnsi="Times New Roman" w:cs="Times New Roman"/>
          <w:color w:val="000000" w:themeColor="text1"/>
          <w:sz w:val="24"/>
          <w:szCs w:val="24"/>
          <w:lang w:val="en-US"/>
        </w:rPr>
        <w:t xml:space="preserve">on </w:t>
      </w:r>
      <w:r w:rsidR="00B07AD5" w:rsidRPr="00DE13EE">
        <w:rPr>
          <w:rFonts w:ascii="Times New Roman" w:hAnsi="Times New Roman" w:cs="Times New Roman"/>
          <w:color w:val="000000" w:themeColor="text1"/>
          <w:sz w:val="24"/>
          <w:szCs w:val="24"/>
          <w:lang w:val="en-US"/>
        </w:rPr>
        <w:t>firm growth process (</w:t>
      </w:r>
      <w:r w:rsidR="0001377A" w:rsidRPr="00DE13EE">
        <w:rPr>
          <w:rFonts w:ascii="Times New Roman" w:hAnsi="Times New Roman" w:cs="Times New Roman"/>
          <w:color w:val="000000" w:themeColor="text1"/>
          <w:sz w:val="24"/>
          <w:szCs w:val="24"/>
          <w:lang w:val="en-US"/>
        </w:rPr>
        <w:t>Rasiah et al.</w:t>
      </w:r>
      <w:r w:rsidR="009B33B2" w:rsidRPr="00DE13EE">
        <w:rPr>
          <w:rFonts w:ascii="Times New Roman" w:hAnsi="Times New Roman" w:cs="Times New Roman"/>
          <w:color w:val="000000" w:themeColor="text1"/>
          <w:sz w:val="24"/>
          <w:szCs w:val="24"/>
          <w:lang w:val="en-US"/>
        </w:rPr>
        <w:t xml:space="preserve"> 2014)</w:t>
      </w:r>
      <w:r w:rsidRPr="00DE13EE">
        <w:rPr>
          <w:rFonts w:ascii="Times New Roman" w:hAnsi="Times New Roman" w:cs="Times New Roman"/>
          <w:color w:val="000000" w:themeColor="text1"/>
          <w:sz w:val="24"/>
          <w:szCs w:val="24"/>
          <w:lang w:val="en-US"/>
        </w:rPr>
        <w:t xml:space="preserve">. </w:t>
      </w:r>
      <w:r w:rsidR="00073484" w:rsidRPr="00DE13EE">
        <w:rPr>
          <w:rFonts w:ascii="Times New Roman" w:hAnsi="Times New Roman" w:cs="Times New Roman"/>
          <w:color w:val="000000" w:themeColor="text1"/>
          <w:sz w:val="24"/>
          <w:szCs w:val="24"/>
          <w:lang w:val="en-US"/>
        </w:rPr>
        <w:t>T</w:t>
      </w:r>
      <w:r w:rsidRPr="00DE13EE">
        <w:rPr>
          <w:rFonts w:ascii="Times New Roman" w:hAnsi="Times New Roman" w:cs="Times New Roman"/>
          <w:color w:val="000000" w:themeColor="text1"/>
          <w:sz w:val="24"/>
          <w:szCs w:val="24"/>
          <w:lang w:val="en-US"/>
        </w:rPr>
        <w:t xml:space="preserve">he reporting earnings performance influence the investors’ demand for different types of disclosures and firms are willing to </w:t>
      </w:r>
      <w:r w:rsidR="00EC4B18" w:rsidRPr="00DE13EE">
        <w:rPr>
          <w:rFonts w:ascii="Times New Roman" w:hAnsi="Times New Roman" w:cs="Times New Roman"/>
          <w:color w:val="000000" w:themeColor="text1"/>
          <w:sz w:val="24"/>
          <w:szCs w:val="24"/>
          <w:lang w:val="en-US"/>
        </w:rPr>
        <w:t>disclose different types of information</w:t>
      </w:r>
      <w:r w:rsidRPr="00DE13EE">
        <w:rPr>
          <w:rFonts w:ascii="Times New Roman" w:hAnsi="Times New Roman" w:cs="Times New Roman"/>
          <w:color w:val="000000" w:themeColor="text1"/>
          <w:sz w:val="24"/>
          <w:szCs w:val="24"/>
          <w:lang w:val="en-US"/>
        </w:rPr>
        <w:t xml:space="preserve"> (</w:t>
      </w:r>
      <w:r w:rsidR="001D2477" w:rsidRPr="00DE13EE">
        <w:rPr>
          <w:rFonts w:ascii="Times New Roman" w:hAnsi="Times New Roman" w:cs="Times New Roman"/>
          <w:color w:val="000000" w:themeColor="text1"/>
          <w:sz w:val="24"/>
          <w:szCs w:val="24"/>
          <w:lang w:val="en-US"/>
        </w:rPr>
        <w:t>Merk</w:t>
      </w:r>
      <w:r w:rsidRPr="00DE13EE">
        <w:rPr>
          <w:rFonts w:ascii="Times New Roman" w:hAnsi="Times New Roman" w:cs="Times New Roman"/>
          <w:color w:val="000000" w:themeColor="text1"/>
          <w:sz w:val="24"/>
          <w:szCs w:val="24"/>
          <w:lang w:val="en-US"/>
        </w:rPr>
        <w:t>l</w:t>
      </w:r>
      <w:r w:rsidR="001D2477" w:rsidRPr="00DE13EE">
        <w:rPr>
          <w:rFonts w:ascii="Times New Roman" w:hAnsi="Times New Roman" w:cs="Times New Roman"/>
          <w:color w:val="000000" w:themeColor="text1"/>
          <w:sz w:val="24"/>
          <w:szCs w:val="24"/>
          <w:lang w:val="en-US"/>
        </w:rPr>
        <w:t>ey 2014</w:t>
      </w:r>
      <w:r w:rsidRPr="00DE13EE">
        <w:rPr>
          <w:rFonts w:ascii="Times New Roman" w:hAnsi="Times New Roman" w:cs="Times New Roman"/>
          <w:color w:val="000000" w:themeColor="text1"/>
          <w:sz w:val="24"/>
          <w:szCs w:val="24"/>
          <w:lang w:val="en-US"/>
        </w:rPr>
        <w:t xml:space="preserve">). </w:t>
      </w:r>
      <w:r w:rsidR="00EC4B18" w:rsidRPr="00DE13EE">
        <w:rPr>
          <w:rFonts w:ascii="Times New Roman" w:hAnsi="Times New Roman" w:cs="Times New Roman"/>
          <w:color w:val="000000" w:themeColor="text1"/>
          <w:sz w:val="24"/>
          <w:szCs w:val="24"/>
          <w:lang w:val="en-US"/>
        </w:rPr>
        <w:t xml:space="preserve">Consequently, </w:t>
      </w:r>
      <w:r w:rsidR="009639BF" w:rsidRPr="00DE13EE">
        <w:rPr>
          <w:rFonts w:ascii="Times New Roman" w:hAnsi="Times New Roman" w:cs="Times New Roman"/>
          <w:color w:val="000000" w:themeColor="text1"/>
          <w:sz w:val="24"/>
          <w:szCs w:val="24"/>
          <w:lang w:val="en-US"/>
        </w:rPr>
        <w:t>changes in earnings performance</w:t>
      </w:r>
      <w:r w:rsidR="00EC4B18" w:rsidRPr="00DE13EE">
        <w:rPr>
          <w:rFonts w:ascii="Times New Roman" w:hAnsi="Times New Roman" w:cs="Times New Roman"/>
          <w:color w:val="000000" w:themeColor="text1"/>
          <w:sz w:val="24"/>
          <w:szCs w:val="24"/>
          <w:lang w:val="en-US"/>
        </w:rPr>
        <w:t xml:space="preserve"> may affect the frequency of a firm disclosure. </w:t>
      </w:r>
      <w:r w:rsidR="001D2477" w:rsidRPr="00DE13EE">
        <w:rPr>
          <w:rFonts w:ascii="Times New Roman" w:hAnsi="Times New Roman" w:cs="Times New Roman"/>
          <w:color w:val="000000" w:themeColor="text1"/>
          <w:sz w:val="24"/>
          <w:szCs w:val="24"/>
          <w:lang w:val="en-US"/>
        </w:rPr>
        <w:t xml:space="preserve">However, </w:t>
      </w:r>
      <w:r w:rsidR="00EC4B18" w:rsidRPr="00DE13EE">
        <w:rPr>
          <w:rFonts w:ascii="Times New Roman" w:hAnsi="Times New Roman" w:cs="Times New Roman"/>
          <w:color w:val="000000" w:themeColor="text1"/>
          <w:sz w:val="24"/>
          <w:szCs w:val="24"/>
          <w:lang w:val="en-US"/>
        </w:rPr>
        <w:t xml:space="preserve">this </w:t>
      </w:r>
      <w:r w:rsidR="00F5313D" w:rsidRPr="00DE13EE">
        <w:rPr>
          <w:rFonts w:ascii="Times New Roman" w:hAnsi="Times New Roman" w:cs="Times New Roman"/>
          <w:color w:val="000000" w:themeColor="text1"/>
          <w:sz w:val="24"/>
          <w:szCs w:val="24"/>
          <w:lang w:val="en-US"/>
        </w:rPr>
        <w:t xml:space="preserve">association between a firm earnings performance and its disclosure is unclear. </w:t>
      </w:r>
      <w:r w:rsidR="00923A8D" w:rsidRPr="00DE13EE">
        <w:rPr>
          <w:rFonts w:ascii="Times New Roman" w:hAnsi="Times New Roman" w:cs="Times New Roman"/>
          <w:color w:val="000000" w:themeColor="text1"/>
          <w:sz w:val="24"/>
          <w:szCs w:val="24"/>
          <w:lang w:val="en-US"/>
        </w:rPr>
        <w:t>Number of papers</w:t>
      </w:r>
      <w:r w:rsidR="00F5313D" w:rsidRPr="00DE13EE">
        <w:rPr>
          <w:rFonts w:ascii="Times New Roman" w:hAnsi="Times New Roman" w:cs="Times New Roman"/>
          <w:color w:val="000000" w:themeColor="text1"/>
          <w:sz w:val="24"/>
          <w:szCs w:val="24"/>
          <w:lang w:val="en-US"/>
        </w:rPr>
        <w:t xml:space="preserve"> report a positive association between earnings performance and frequency of disclosure (e.g., Miller 2002). While others report </w:t>
      </w:r>
      <w:r w:rsidR="00EC4B18" w:rsidRPr="00DE13EE">
        <w:rPr>
          <w:rFonts w:ascii="Times New Roman" w:hAnsi="Times New Roman" w:cs="Times New Roman"/>
          <w:color w:val="000000" w:themeColor="text1"/>
          <w:sz w:val="24"/>
          <w:szCs w:val="24"/>
          <w:lang w:val="en-US"/>
        </w:rPr>
        <w:t xml:space="preserve">a </w:t>
      </w:r>
      <w:r w:rsidR="00F5313D" w:rsidRPr="00DE13EE">
        <w:rPr>
          <w:rFonts w:ascii="Times New Roman" w:hAnsi="Times New Roman" w:cs="Times New Roman"/>
          <w:color w:val="000000" w:themeColor="text1"/>
          <w:sz w:val="24"/>
          <w:szCs w:val="24"/>
          <w:lang w:val="en-US"/>
        </w:rPr>
        <w:t xml:space="preserve">negative association between the two variables (e.g., </w:t>
      </w:r>
      <w:r w:rsidR="001D2477" w:rsidRPr="00DE13EE">
        <w:rPr>
          <w:rFonts w:ascii="Times New Roman" w:hAnsi="Times New Roman" w:cs="Times New Roman"/>
          <w:color w:val="000000" w:themeColor="text1"/>
          <w:sz w:val="24"/>
          <w:szCs w:val="24"/>
          <w:lang w:val="en-US"/>
        </w:rPr>
        <w:t>Merkle</w:t>
      </w:r>
      <w:r w:rsidR="00F5313D" w:rsidRPr="00DE13EE">
        <w:rPr>
          <w:rFonts w:ascii="Times New Roman" w:hAnsi="Times New Roman" w:cs="Times New Roman"/>
          <w:color w:val="000000" w:themeColor="text1"/>
          <w:sz w:val="24"/>
          <w:szCs w:val="24"/>
          <w:lang w:val="en-US"/>
        </w:rPr>
        <w:t xml:space="preserve">y </w:t>
      </w:r>
      <w:r w:rsidR="001D2477" w:rsidRPr="00DE13EE">
        <w:rPr>
          <w:rFonts w:ascii="Times New Roman" w:hAnsi="Times New Roman" w:cs="Times New Roman"/>
          <w:color w:val="000000" w:themeColor="text1"/>
          <w:sz w:val="24"/>
          <w:szCs w:val="24"/>
          <w:lang w:val="en-US"/>
        </w:rPr>
        <w:t>2014</w:t>
      </w:r>
      <w:r w:rsidR="00F5313D" w:rsidRPr="00DE13EE">
        <w:rPr>
          <w:rFonts w:ascii="Times New Roman" w:hAnsi="Times New Roman" w:cs="Times New Roman"/>
          <w:color w:val="000000" w:themeColor="text1"/>
          <w:sz w:val="24"/>
          <w:szCs w:val="24"/>
          <w:lang w:val="en-US"/>
        </w:rPr>
        <w:t>). Given that</w:t>
      </w:r>
      <w:r w:rsidR="007820C6" w:rsidRPr="00DE13EE">
        <w:rPr>
          <w:rFonts w:ascii="Times New Roman" w:hAnsi="Times New Roman" w:cs="Times New Roman"/>
          <w:color w:val="000000" w:themeColor="text1"/>
          <w:sz w:val="24"/>
          <w:szCs w:val="24"/>
          <w:lang w:val="en-US"/>
        </w:rPr>
        <w:t xml:space="preserve"> </w:t>
      </w:r>
      <w:r w:rsidR="001D2477" w:rsidRPr="00DE13EE">
        <w:rPr>
          <w:rFonts w:ascii="Times New Roman" w:hAnsi="Times New Roman" w:cs="Times New Roman"/>
          <w:color w:val="000000" w:themeColor="text1"/>
          <w:sz w:val="24"/>
          <w:szCs w:val="24"/>
          <w:lang w:val="en-US"/>
        </w:rPr>
        <w:t>f</w:t>
      </w:r>
      <w:r w:rsidR="00073484" w:rsidRPr="00DE13EE">
        <w:rPr>
          <w:rFonts w:ascii="Times New Roman" w:hAnsi="Times New Roman" w:cs="Times New Roman"/>
          <w:color w:val="000000" w:themeColor="text1"/>
          <w:sz w:val="24"/>
          <w:szCs w:val="24"/>
          <w:lang w:val="en-US"/>
        </w:rPr>
        <w:t xml:space="preserve">irm </w:t>
      </w:r>
      <w:r w:rsidR="006E4451" w:rsidRPr="00DE13EE">
        <w:rPr>
          <w:rFonts w:ascii="Times New Roman" w:hAnsi="Times New Roman" w:cs="Times New Roman"/>
          <w:color w:val="000000" w:themeColor="text1"/>
          <w:sz w:val="24"/>
          <w:szCs w:val="24"/>
          <w:lang w:val="en-US"/>
        </w:rPr>
        <w:t>disclosure</w:t>
      </w:r>
      <w:r w:rsidR="00073484" w:rsidRPr="00DE13EE">
        <w:rPr>
          <w:rFonts w:ascii="Times New Roman" w:hAnsi="Times New Roman" w:cs="Times New Roman"/>
          <w:color w:val="000000" w:themeColor="text1"/>
          <w:sz w:val="24"/>
          <w:szCs w:val="24"/>
          <w:lang w:val="en-US"/>
        </w:rPr>
        <w:t xml:space="preserve"> is critical to an investor decision-making process and have immediate pricing effect on stocks </w:t>
      </w:r>
      <w:r w:rsidR="00ED283B" w:rsidRPr="00DE13EE">
        <w:rPr>
          <w:rFonts w:ascii="Times New Roman" w:hAnsi="Times New Roman" w:cs="Times New Roman"/>
          <w:color w:val="000000" w:themeColor="text1"/>
          <w:sz w:val="24"/>
          <w:szCs w:val="24"/>
          <w:lang w:val="en-US"/>
        </w:rPr>
        <w:t>and investors assess the value of the company based on its disclosed information (</w:t>
      </w:r>
      <w:r w:rsidR="002B4810" w:rsidRPr="00DE13EE">
        <w:rPr>
          <w:rFonts w:ascii="Times New Roman" w:hAnsi="Times New Roman" w:cs="Times New Roman"/>
          <w:color w:val="000000" w:themeColor="text1"/>
          <w:sz w:val="24"/>
          <w:szCs w:val="24"/>
          <w:lang w:val="en-US"/>
        </w:rPr>
        <w:t>Miller 2010)</w:t>
      </w:r>
      <w:r w:rsidR="00680D89" w:rsidRPr="00DE13EE">
        <w:rPr>
          <w:rFonts w:ascii="Times New Roman" w:hAnsi="Times New Roman" w:cs="Times New Roman"/>
          <w:color w:val="000000" w:themeColor="text1"/>
          <w:sz w:val="24"/>
          <w:szCs w:val="24"/>
          <w:lang w:val="en-US"/>
        </w:rPr>
        <w:t>. Together</w:t>
      </w:r>
      <w:r w:rsidR="00881791" w:rsidRPr="00DE13EE">
        <w:rPr>
          <w:rFonts w:ascii="Times New Roman" w:hAnsi="Times New Roman" w:cs="Times New Roman"/>
          <w:color w:val="000000" w:themeColor="text1"/>
          <w:sz w:val="24"/>
          <w:szCs w:val="24"/>
          <w:lang w:val="en-US"/>
        </w:rPr>
        <w:t xml:space="preserve"> these issues create the </w:t>
      </w:r>
      <w:r w:rsidR="001D2477" w:rsidRPr="00DE13EE">
        <w:rPr>
          <w:rFonts w:ascii="Times New Roman" w:hAnsi="Times New Roman" w:cs="Times New Roman"/>
          <w:color w:val="000000" w:themeColor="text1"/>
          <w:sz w:val="24"/>
          <w:szCs w:val="24"/>
          <w:lang w:val="en-US"/>
        </w:rPr>
        <w:t xml:space="preserve">possibility that </w:t>
      </w:r>
      <w:r w:rsidR="002B4810" w:rsidRPr="00DE13EE">
        <w:rPr>
          <w:rFonts w:ascii="Times New Roman" w:hAnsi="Times New Roman" w:cs="Times New Roman"/>
          <w:color w:val="000000" w:themeColor="text1"/>
          <w:sz w:val="24"/>
          <w:szCs w:val="24"/>
          <w:lang w:val="en-US"/>
        </w:rPr>
        <w:t>a firm</w:t>
      </w:r>
      <w:r w:rsidR="001D2477" w:rsidRPr="00DE13EE">
        <w:rPr>
          <w:rFonts w:ascii="Times New Roman" w:hAnsi="Times New Roman" w:cs="Times New Roman"/>
          <w:color w:val="000000" w:themeColor="text1"/>
          <w:sz w:val="24"/>
          <w:szCs w:val="24"/>
          <w:lang w:val="en-US"/>
        </w:rPr>
        <w:t xml:space="preserve"> value may </w:t>
      </w:r>
      <w:r w:rsidR="00881791" w:rsidRPr="00DE13EE">
        <w:rPr>
          <w:rFonts w:ascii="Times New Roman" w:hAnsi="Times New Roman" w:cs="Times New Roman"/>
          <w:color w:val="000000" w:themeColor="text1"/>
          <w:sz w:val="24"/>
          <w:szCs w:val="24"/>
          <w:lang w:val="en-US"/>
        </w:rPr>
        <w:t xml:space="preserve">be affected by the </w:t>
      </w:r>
      <w:r w:rsidR="00F5313D" w:rsidRPr="00DE13EE">
        <w:rPr>
          <w:rFonts w:ascii="Times New Roman" w:hAnsi="Times New Roman" w:cs="Times New Roman"/>
          <w:color w:val="000000" w:themeColor="text1"/>
          <w:sz w:val="24"/>
          <w:szCs w:val="24"/>
          <w:lang w:val="en-US"/>
        </w:rPr>
        <w:t xml:space="preserve">frequency </w:t>
      </w:r>
      <w:r w:rsidR="00881791" w:rsidRPr="00DE13EE">
        <w:rPr>
          <w:rFonts w:ascii="Times New Roman" w:hAnsi="Times New Roman" w:cs="Times New Roman"/>
          <w:color w:val="000000" w:themeColor="text1"/>
          <w:sz w:val="24"/>
          <w:szCs w:val="24"/>
          <w:lang w:val="en-US"/>
        </w:rPr>
        <w:t xml:space="preserve">disclosure behavior </w:t>
      </w:r>
      <w:r w:rsidR="001D2477" w:rsidRPr="00DE13EE">
        <w:rPr>
          <w:rFonts w:ascii="Times New Roman" w:hAnsi="Times New Roman" w:cs="Times New Roman"/>
          <w:color w:val="000000" w:themeColor="text1"/>
          <w:sz w:val="24"/>
          <w:szCs w:val="24"/>
          <w:lang w:val="en-US"/>
        </w:rPr>
        <w:t>derived</w:t>
      </w:r>
      <w:r w:rsidR="00881791" w:rsidRPr="00DE13EE">
        <w:rPr>
          <w:rFonts w:ascii="Times New Roman" w:hAnsi="Times New Roman" w:cs="Times New Roman"/>
          <w:color w:val="000000" w:themeColor="text1"/>
          <w:sz w:val="24"/>
          <w:szCs w:val="24"/>
          <w:lang w:val="en-US"/>
        </w:rPr>
        <w:t xml:space="preserve"> by </w:t>
      </w:r>
      <w:r w:rsidR="002B4810" w:rsidRPr="00DE13EE">
        <w:rPr>
          <w:rFonts w:ascii="Times New Roman" w:hAnsi="Times New Roman" w:cs="Times New Roman"/>
          <w:color w:val="000000" w:themeColor="text1"/>
          <w:sz w:val="24"/>
          <w:szCs w:val="24"/>
          <w:lang w:val="en-US"/>
        </w:rPr>
        <w:t xml:space="preserve">changes in </w:t>
      </w:r>
      <w:r w:rsidR="00881791" w:rsidRPr="00DE13EE">
        <w:rPr>
          <w:rFonts w:ascii="Times New Roman" w:hAnsi="Times New Roman" w:cs="Times New Roman"/>
          <w:color w:val="000000" w:themeColor="text1"/>
          <w:sz w:val="24"/>
          <w:szCs w:val="24"/>
          <w:lang w:val="en-US"/>
        </w:rPr>
        <w:t>firm earnings performance.</w:t>
      </w:r>
      <w:r w:rsidR="001D2477" w:rsidRPr="00DE13EE">
        <w:rPr>
          <w:rFonts w:ascii="Times New Roman" w:hAnsi="Times New Roman" w:cs="Times New Roman"/>
          <w:color w:val="000000" w:themeColor="text1"/>
          <w:sz w:val="24"/>
          <w:szCs w:val="24"/>
          <w:lang w:val="en-US"/>
        </w:rPr>
        <w:t xml:space="preserve"> Therefore, in this section we aim to examine whether the association between forward-looking disclosure and firm value differ based on changes in a firm earnings performance.</w:t>
      </w:r>
    </w:p>
    <w:p w14:paraId="4567B60C" w14:textId="3405F64C" w:rsidR="00D60C57" w:rsidRPr="00DE13EE" w:rsidRDefault="00D60C57" w:rsidP="00B93D4F">
      <w:pPr>
        <w:spacing w:line="360" w:lineRule="auto"/>
        <w:jc w:val="both"/>
        <w:rPr>
          <w:rFonts w:ascii="Times New Roman" w:hAnsi="Times New Roman" w:cs="Times New Roman"/>
          <w:color w:val="000000" w:themeColor="text1"/>
          <w:sz w:val="24"/>
          <w:szCs w:val="24"/>
          <w:lang w:val="en-US"/>
        </w:rPr>
      </w:pPr>
      <w:r w:rsidRPr="00DE13EE">
        <w:rPr>
          <w:rFonts w:ascii="Times New Roman" w:hAnsi="Times New Roman" w:cs="Times New Roman"/>
          <w:color w:val="000000" w:themeColor="text1"/>
          <w:sz w:val="24"/>
          <w:szCs w:val="24"/>
          <w:lang w:val="en-US"/>
        </w:rPr>
        <w:t>The association between change</w:t>
      </w:r>
      <w:r w:rsidR="005F40D2" w:rsidRPr="00DE13EE">
        <w:rPr>
          <w:rFonts w:ascii="Times New Roman" w:hAnsi="Times New Roman" w:cs="Times New Roman"/>
          <w:color w:val="000000" w:themeColor="text1"/>
          <w:sz w:val="24"/>
          <w:szCs w:val="24"/>
          <w:lang w:val="en-US"/>
        </w:rPr>
        <w:t>s</w:t>
      </w:r>
      <w:r w:rsidRPr="00DE13EE">
        <w:rPr>
          <w:rFonts w:ascii="Times New Roman" w:hAnsi="Times New Roman" w:cs="Times New Roman"/>
          <w:color w:val="000000" w:themeColor="text1"/>
          <w:sz w:val="24"/>
          <w:szCs w:val="24"/>
          <w:lang w:val="en-US"/>
        </w:rPr>
        <w:t xml:space="preserve"> in earnings performance and narrative disclosure could be </w:t>
      </w:r>
      <w:r w:rsidR="0023126A" w:rsidRPr="00DE13EE">
        <w:rPr>
          <w:rFonts w:ascii="Times New Roman" w:hAnsi="Times New Roman" w:cs="Times New Roman"/>
          <w:color w:val="000000" w:themeColor="text1"/>
          <w:sz w:val="24"/>
          <w:szCs w:val="24"/>
          <w:lang w:val="en-US"/>
        </w:rPr>
        <w:t>hypothesized</w:t>
      </w:r>
      <w:r w:rsidRPr="00DE13EE">
        <w:rPr>
          <w:rFonts w:ascii="Times New Roman" w:hAnsi="Times New Roman" w:cs="Times New Roman"/>
          <w:color w:val="000000" w:themeColor="text1"/>
          <w:sz w:val="24"/>
          <w:szCs w:val="24"/>
          <w:lang w:val="en-US"/>
        </w:rPr>
        <w:t xml:space="preserve"> either positively or negatively. </w:t>
      </w:r>
      <w:r w:rsidR="0023126A" w:rsidRPr="00DE13EE">
        <w:rPr>
          <w:rFonts w:ascii="Times New Roman" w:hAnsi="Times New Roman" w:cs="Times New Roman"/>
          <w:color w:val="000000" w:themeColor="text1"/>
          <w:sz w:val="24"/>
          <w:szCs w:val="24"/>
          <w:lang w:val="en-US"/>
        </w:rPr>
        <w:t>A p</w:t>
      </w:r>
      <w:r w:rsidRPr="00DE13EE">
        <w:rPr>
          <w:rFonts w:ascii="Times New Roman" w:hAnsi="Times New Roman" w:cs="Times New Roman"/>
          <w:color w:val="000000" w:themeColor="text1"/>
          <w:sz w:val="24"/>
          <w:szCs w:val="24"/>
          <w:lang w:val="en-US"/>
        </w:rPr>
        <w:t xml:space="preserve">ositive association may be explained on the basis that managers in firms with earnings increase are likely to provide more discussion and analysis about their performance in order to signal their </w:t>
      </w:r>
      <w:r w:rsidR="0023126A" w:rsidRPr="00DE13EE">
        <w:rPr>
          <w:rFonts w:ascii="Times New Roman" w:hAnsi="Times New Roman" w:cs="Times New Roman"/>
          <w:color w:val="000000" w:themeColor="text1"/>
          <w:sz w:val="24"/>
          <w:szCs w:val="24"/>
          <w:lang w:val="en-US"/>
        </w:rPr>
        <w:t>favorable</w:t>
      </w:r>
      <w:r w:rsidRPr="00DE13EE">
        <w:rPr>
          <w:rFonts w:ascii="Times New Roman" w:hAnsi="Times New Roman" w:cs="Times New Roman"/>
          <w:color w:val="000000" w:themeColor="text1"/>
          <w:sz w:val="24"/>
          <w:szCs w:val="24"/>
          <w:lang w:val="en-US"/>
        </w:rPr>
        <w:t xml:space="preserve"> results to their investors. Consistently, Miller (2002) finds that firms experiencing an increase in their earnings tend to increase their disclosure, and as earnings performance returns to previous levels, their disclosure level decreases. On the other hand, a negative association may be </w:t>
      </w:r>
      <w:r w:rsidR="0023126A" w:rsidRPr="00DE13EE">
        <w:rPr>
          <w:rFonts w:ascii="Times New Roman" w:hAnsi="Times New Roman" w:cs="Times New Roman"/>
          <w:color w:val="000000" w:themeColor="text1"/>
          <w:sz w:val="24"/>
          <w:szCs w:val="24"/>
          <w:lang w:val="en-US"/>
        </w:rPr>
        <w:t>hypothesized</w:t>
      </w:r>
      <w:r w:rsidRPr="00DE13EE">
        <w:rPr>
          <w:rFonts w:ascii="Times New Roman" w:hAnsi="Times New Roman" w:cs="Times New Roman"/>
          <w:color w:val="000000" w:themeColor="text1"/>
          <w:sz w:val="24"/>
          <w:szCs w:val="24"/>
          <w:lang w:val="en-US"/>
        </w:rPr>
        <w:t xml:space="preserve"> on the basis that information asymmetry increases as earnings performance decreases (Brown</w:t>
      </w:r>
      <w:r w:rsidR="0001377A" w:rsidRPr="00DE13EE">
        <w:rPr>
          <w:rFonts w:ascii="Times New Roman" w:hAnsi="Times New Roman" w:cs="Times New Roman"/>
          <w:color w:val="000000" w:themeColor="text1"/>
          <w:sz w:val="24"/>
          <w:szCs w:val="24"/>
          <w:lang w:val="en-US"/>
        </w:rPr>
        <w:t xml:space="preserve"> et al.</w:t>
      </w:r>
      <w:r w:rsidR="00D74FD0" w:rsidRPr="00DE13EE">
        <w:rPr>
          <w:rFonts w:ascii="Times New Roman" w:hAnsi="Times New Roman" w:cs="Times New Roman"/>
          <w:color w:val="000000" w:themeColor="text1"/>
          <w:sz w:val="24"/>
          <w:szCs w:val="24"/>
          <w:lang w:val="en-US"/>
        </w:rPr>
        <w:t xml:space="preserve"> 2009</w:t>
      </w:r>
      <w:r w:rsidRPr="00DE13EE">
        <w:rPr>
          <w:rFonts w:ascii="Times New Roman" w:hAnsi="Times New Roman" w:cs="Times New Roman"/>
          <w:color w:val="000000" w:themeColor="text1"/>
          <w:sz w:val="24"/>
          <w:szCs w:val="24"/>
          <w:lang w:val="en-US"/>
        </w:rPr>
        <w:t xml:space="preserve">). Hayn (1995) argues that as earnings performance decreases the earnings signal becomes noisier and reported disclosure becomes less predictive of future performance. </w:t>
      </w:r>
      <w:r w:rsidR="00E933B7" w:rsidRPr="00DE13EE">
        <w:rPr>
          <w:rFonts w:ascii="Times New Roman" w:hAnsi="Times New Roman" w:cs="Times New Roman"/>
          <w:color w:val="000000" w:themeColor="text1"/>
          <w:sz w:val="24"/>
          <w:szCs w:val="24"/>
          <w:lang w:val="en-US"/>
        </w:rPr>
        <w:t>Therefore</w:t>
      </w:r>
      <w:r w:rsidRPr="00DE13EE">
        <w:rPr>
          <w:rFonts w:ascii="Times New Roman" w:hAnsi="Times New Roman" w:cs="Times New Roman"/>
          <w:color w:val="000000" w:themeColor="text1"/>
          <w:sz w:val="24"/>
          <w:szCs w:val="24"/>
          <w:lang w:val="en-US"/>
        </w:rPr>
        <w:t>, investors demand more information to better assess the uncertainty of future cash flows and, in turn, managers provide more discussion</w:t>
      </w:r>
      <w:r w:rsidR="00E933B7" w:rsidRPr="00DE13EE">
        <w:rPr>
          <w:rFonts w:ascii="Times New Roman" w:hAnsi="Times New Roman" w:cs="Times New Roman"/>
          <w:color w:val="000000" w:themeColor="text1"/>
          <w:sz w:val="24"/>
          <w:szCs w:val="24"/>
          <w:lang w:val="en-US"/>
        </w:rPr>
        <w:t>s</w:t>
      </w:r>
      <w:r w:rsidRPr="00DE13EE">
        <w:rPr>
          <w:rFonts w:ascii="Times New Roman" w:hAnsi="Times New Roman" w:cs="Times New Roman"/>
          <w:color w:val="000000" w:themeColor="text1"/>
          <w:sz w:val="24"/>
          <w:szCs w:val="24"/>
          <w:lang w:val="en-US"/>
        </w:rPr>
        <w:t xml:space="preserve"> and analys</w:t>
      </w:r>
      <w:r w:rsidR="00E933B7" w:rsidRPr="00DE13EE">
        <w:rPr>
          <w:rFonts w:ascii="Times New Roman" w:hAnsi="Times New Roman" w:cs="Times New Roman"/>
          <w:color w:val="000000" w:themeColor="text1"/>
          <w:sz w:val="24"/>
          <w:szCs w:val="24"/>
          <w:lang w:val="en-US"/>
        </w:rPr>
        <w:t>e</w:t>
      </w:r>
      <w:r w:rsidRPr="00DE13EE">
        <w:rPr>
          <w:rFonts w:ascii="Times New Roman" w:hAnsi="Times New Roman" w:cs="Times New Roman"/>
          <w:color w:val="000000" w:themeColor="text1"/>
          <w:sz w:val="24"/>
          <w:szCs w:val="24"/>
          <w:lang w:val="en-US"/>
        </w:rPr>
        <w:t>s.</w:t>
      </w:r>
      <w:r w:rsidRPr="00DE13EE">
        <w:rPr>
          <w:rFonts w:ascii="Times New Roman" w:hAnsi="Times New Roman" w:cs="Times New Roman"/>
          <w:color w:val="000000" w:themeColor="text1"/>
          <w:sz w:val="24"/>
          <w:szCs w:val="24"/>
        </w:rPr>
        <w:t xml:space="preserve"> In addition, </w:t>
      </w:r>
      <w:r w:rsidR="0023126A" w:rsidRPr="00DE13EE">
        <w:rPr>
          <w:rFonts w:ascii="Times New Roman" w:hAnsi="Times New Roman" w:cs="Times New Roman"/>
          <w:color w:val="000000" w:themeColor="text1"/>
          <w:sz w:val="24"/>
          <w:szCs w:val="24"/>
        </w:rPr>
        <w:t xml:space="preserve">signalling </w:t>
      </w:r>
      <w:r w:rsidRPr="00DE13EE">
        <w:rPr>
          <w:rFonts w:ascii="Times New Roman" w:hAnsi="Times New Roman" w:cs="Times New Roman"/>
          <w:color w:val="000000" w:themeColor="text1"/>
          <w:sz w:val="24"/>
          <w:szCs w:val="24"/>
        </w:rPr>
        <w:t>theory suggest</w:t>
      </w:r>
      <w:r w:rsidR="00B368DC" w:rsidRPr="00DE13EE">
        <w:rPr>
          <w:rFonts w:ascii="Times New Roman" w:hAnsi="Times New Roman" w:cs="Times New Roman"/>
          <w:color w:val="000000" w:themeColor="text1"/>
          <w:sz w:val="24"/>
          <w:szCs w:val="24"/>
        </w:rPr>
        <w:t>s</w:t>
      </w:r>
      <w:r w:rsidRPr="00DE13EE">
        <w:rPr>
          <w:rFonts w:ascii="Times New Roman" w:hAnsi="Times New Roman" w:cs="Times New Roman"/>
          <w:color w:val="000000" w:themeColor="text1"/>
          <w:sz w:val="24"/>
          <w:szCs w:val="24"/>
        </w:rPr>
        <w:t xml:space="preserve"> that firms with poor performance (e.g., losses) may provide more informative disclosure to explain losses to their investors and to signal their ability to eliminate such losses in the future. </w:t>
      </w:r>
      <w:r w:rsidRPr="00DE13EE">
        <w:rPr>
          <w:rFonts w:ascii="Times New Roman" w:hAnsi="Times New Roman" w:cs="Times New Roman"/>
          <w:color w:val="000000" w:themeColor="text1"/>
          <w:sz w:val="24"/>
          <w:szCs w:val="24"/>
          <w:lang w:val="en-US"/>
        </w:rPr>
        <w:t>Recently, Merkley (2014) predicts that firms react to bad earnings performance by increasing discussion on activities with a potential</w:t>
      </w:r>
      <w:r w:rsidR="0023126A" w:rsidRPr="00DE13EE">
        <w:rPr>
          <w:rFonts w:ascii="Times New Roman" w:hAnsi="Times New Roman" w:cs="Times New Roman"/>
          <w:color w:val="000000" w:themeColor="text1"/>
          <w:sz w:val="24"/>
          <w:szCs w:val="24"/>
          <w:lang w:val="en-US"/>
        </w:rPr>
        <w:t>ly</w:t>
      </w:r>
      <w:r w:rsidRPr="00DE13EE">
        <w:rPr>
          <w:rFonts w:ascii="Times New Roman" w:hAnsi="Times New Roman" w:cs="Times New Roman"/>
          <w:color w:val="000000" w:themeColor="text1"/>
          <w:sz w:val="24"/>
          <w:szCs w:val="24"/>
          <w:lang w:val="en-US"/>
        </w:rPr>
        <w:t xml:space="preserve"> positive effect on future performance. </w:t>
      </w:r>
      <w:r w:rsidRPr="00DE13EE">
        <w:rPr>
          <w:rFonts w:ascii="Times New Roman" w:hAnsi="Times New Roman" w:cs="Times New Roman"/>
          <w:color w:val="000000" w:themeColor="text1"/>
          <w:sz w:val="24"/>
          <w:szCs w:val="24"/>
          <w:lang w:val="en-US"/>
        </w:rPr>
        <w:lastRenderedPageBreak/>
        <w:t>Empirically, he confirms his prediction and finds that firms increase their research and development (R&amp;D) disclosure when earnings decrease. Thus, this suggests that change in earrings performance encourage man</w:t>
      </w:r>
      <w:r w:rsidR="0023126A" w:rsidRPr="00DE13EE">
        <w:rPr>
          <w:rFonts w:ascii="Times New Roman" w:hAnsi="Times New Roman" w:cs="Times New Roman"/>
          <w:color w:val="000000" w:themeColor="text1"/>
          <w:sz w:val="24"/>
          <w:szCs w:val="24"/>
          <w:lang w:val="en-US"/>
        </w:rPr>
        <w:t>a</w:t>
      </w:r>
      <w:r w:rsidRPr="00DE13EE">
        <w:rPr>
          <w:rFonts w:ascii="Times New Roman" w:hAnsi="Times New Roman" w:cs="Times New Roman"/>
          <w:color w:val="000000" w:themeColor="text1"/>
          <w:sz w:val="24"/>
          <w:szCs w:val="24"/>
          <w:lang w:val="en-US"/>
        </w:rPr>
        <w:t>gers to provide more discussions and analysis in their annual reports.</w:t>
      </w:r>
    </w:p>
    <w:p w14:paraId="36BFC253" w14:textId="095EED35" w:rsidR="00D60C57" w:rsidRPr="00DE13EE" w:rsidRDefault="00D60C57" w:rsidP="00B93D4F">
      <w:pPr>
        <w:spacing w:line="360" w:lineRule="auto"/>
        <w:jc w:val="both"/>
        <w:rPr>
          <w:rFonts w:ascii="Times New Roman" w:hAnsi="Times New Roman" w:cs="Times New Roman"/>
          <w:color w:val="000000" w:themeColor="text1"/>
          <w:sz w:val="24"/>
          <w:szCs w:val="24"/>
          <w:lang w:val="en-US"/>
        </w:rPr>
      </w:pPr>
      <w:r w:rsidRPr="00DE13EE">
        <w:rPr>
          <w:rFonts w:ascii="Times New Roman" w:hAnsi="Times New Roman" w:cs="Times New Roman"/>
          <w:color w:val="000000" w:themeColor="text1"/>
          <w:sz w:val="24"/>
          <w:szCs w:val="24"/>
          <w:lang w:val="en-US"/>
        </w:rPr>
        <w:t>Empirically,</w:t>
      </w:r>
      <w:r w:rsidRPr="00DE13EE">
        <w:rPr>
          <w:rFonts w:ascii="Times New Roman" w:hAnsi="Times New Roman" w:cs="Times New Roman"/>
          <w:color w:val="000000" w:themeColor="text1"/>
          <w:sz w:val="24"/>
          <w:szCs w:val="24"/>
        </w:rPr>
        <w:t xml:space="preserve"> </w:t>
      </w:r>
      <w:r w:rsidRPr="00DE13EE">
        <w:rPr>
          <w:rFonts w:ascii="Times New Roman" w:hAnsi="Times New Roman" w:cs="Times New Roman"/>
          <w:color w:val="000000" w:themeColor="text1"/>
          <w:sz w:val="24"/>
          <w:szCs w:val="24"/>
          <w:lang w:val="en-US"/>
        </w:rPr>
        <w:t>Smith and Taffler (2000) examine the ability of annual report narratives to predict a firm’s future financial status. They explore the association between discretionary narrative disclosures in the chairman’s statement and subsequent corporate failure. Employing linear discriminant analysis their study is able to correctly classify 65 out of 66 failed and non-failed firms with seven</w:t>
      </w:r>
      <w:r w:rsidR="0023126A" w:rsidRPr="00DE13EE">
        <w:rPr>
          <w:rFonts w:ascii="Times New Roman" w:hAnsi="Times New Roman" w:cs="Times New Roman"/>
          <w:color w:val="000000" w:themeColor="text1"/>
          <w:sz w:val="24"/>
          <w:szCs w:val="24"/>
          <w:lang w:val="en-US"/>
        </w:rPr>
        <w:t>-</w:t>
      </w:r>
      <w:r w:rsidRPr="00DE13EE">
        <w:rPr>
          <w:rFonts w:ascii="Times New Roman" w:hAnsi="Times New Roman" w:cs="Times New Roman"/>
          <w:color w:val="000000" w:themeColor="text1"/>
          <w:sz w:val="24"/>
          <w:szCs w:val="24"/>
          <w:lang w:val="en-US"/>
        </w:rPr>
        <w:t xml:space="preserve">variable word-based model. Thus, they provide evidence that unaudited managerial disclosures in the chairman’s statement contain important information which is highly associated with a firm’s future financial status. Furthermore, </w:t>
      </w:r>
      <w:r w:rsidR="0023126A" w:rsidRPr="00DE13EE">
        <w:rPr>
          <w:rFonts w:ascii="Times New Roman" w:hAnsi="Times New Roman" w:cs="Times New Roman"/>
          <w:color w:val="000000" w:themeColor="text1"/>
          <w:sz w:val="24"/>
          <w:szCs w:val="24"/>
          <w:lang w:val="en-US"/>
        </w:rPr>
        <w:t xml:space="preserve">a </w:t>
      </w:r>
      <w:r w:rsidRPr="00DE13EE">
        <w:rPr>
          <w:rFonts w:ascii="Times New Roman" w:hAnsi="Times New Roman" w:cs="Times New Roman"/>
          <w:color w:val="000000" w:themeColor="text1"/>
          <w:sz w:val="24"/>
          <w:szCs w:val="24"/>
          <w:lang w:val="en-US"/>
        </w:rPr>
        <w:t>number of prior studies focus on the effect of disclosure on the association between current earnings performance and future earni</w:t>
      </w:r>
      <w:r w:rsidR="00D74FD0" w:rsidRPr="00DE13EE">
        <w:rPr>
          <w:rFonts w:ascii="Times New Roman" w:hAnsi="Times New Roman" w:cs="Times New Roman"/>
          <w:color w:val="000000" w:themeColor="text1"/>
          <w:sz w:val="24"/>
          <w:szCs w:val="24"/>
          <w:lang w:val="en-US"/>
        </w:rPr>
        <w:t xml:space="preserve">ngs.  For instance, </w:t>
      </w:r>
      <w:r w:rsidRPr="00DE13EE">
        <w:rPr>
          <w:rFonts w:ascii="Times New Roman" w:hAnsi="Times New Roman" w:cs="Times New Roman"/>
          <w:color w:val="000000" w:themeColor="text1"/>
          <w:sz w:val="24"/>
          <w:szCs w:val="24"/>
          <w:lang w:val="en-US"/>
        </w:rPr>
        <w:t>Gelb and Zarowin (2002) use AIMR-FAF ratings to measure the quality of a firm’s information environment. They find evidence that higher levels of corporate disclosure are associated with a stronger relation</w:t>
      </w:r>
      <w:r w:rsidR="0023126A" w:rsidRPr="00DE13EE">
        <w:rPr>
          <w:rFonts w:ascii="Times New Roman" w:hAnsi="Times New Roman" w:cs="Times New Roman"/>
          <w:color w:val="000000" w:themeColor="text1"/>
          <w:sz w:val="24"/>
          <w:szCs w:val="24"/>
          <w:lang w:val="en-US"/>
        </w:rPr>
        <w:t>ship</w:t>
      </w:r>
      <w:r w:rsidRPr="00DE13EE">
        <w:rPr>
          <w:rFonts w:ascii="Times New Roman" w:hAnsi="Times New Roman" w:cs="Times New Roman"/>
          <w:color w:val="000000" w:themeColor="text1"/>
          <w:sz w:val="24"/>
          <w:szCs w:val="24"/>
          <w:lang w:val="en-US"/>
        </w:rPr>
        <w:t xml:space="preserve"> between current share price movements and future earnings changes. </w:t>
      </w:r>
      <w:r w:rsidR="00DC3163" w:rsidRPr="00DE13EE">
        <w:rPr>
          <w:rFonts w:ascii="Times New Roman" w:hAnsi="Times New Roman" w:cs="Times New Roman"/>
          <w:color w:val="000000" w:themeColor="text1"/>
          <w:sz w:val="24"/>
          <w:szCs w:val="24"/>
          <w:lang w:val="en-US"/>
        </w:rPr>
        <w:t>Similar</w:t>
      </w:r>
      <w:r w:rsidRPr="00DE13EE">
        <w:rPr>
          <w:rFonts w:ascii="Times New Roman" w:hAnsi="Times New Roman" w:cs="Times New Roman"/>
          <w:color w:val="000000" w:themeColor="text1"/>
          <w:sz w:val="24"/>
          <w:szCs w:val="24"/>
          <w:lang w:val="en-US"/>
        </w:rPr>
        <w:t xml:space="preserve"> findings </w:t>
      </w:r>
      <w:r w:rsidR="00E01DAE" w:rsidRPr="00DE13EE">
        <w:rPr>
          <w:rFonts w:ascii="Times New Roman" w:hAnsi="Times New Roman" w:cs="Times New Roman"/>
          <w:color w:val="000000" w:themeColor="text1"/>
          <w:sz w:val="24"/>
          <w:szCs w:val="24"/>
          <w:lang w:val="en-US"/>
        </w:rPr>
        <w:t>are</w:t>
      </w:r>
      <w:r w:rsidRPr="00DE13EE">
        <w:rPr>
          <w:rFonts w:ascii="Times New Roman" w:hAnsi="Times New Roman" w:cs="Times New Roman"/>
          <w:color w:val="000000" w:themeColor="text1"/>
          <w:sz w:val="24"/>
          <w:szCs w:val="24"/>
          <w:lang w:val="en-US"/>
        </w:rPr>
        <w:t xml:space="preserve"> documented by in Hussainey et al. (2003) with a disclosure metric based on annual report narratives.</w:t>
      </w:r>
      <w:r w:rsidRPr="00DE13EE">
        <w:rPr>
          <w:rFonts w:ascii="Times New Roman" w:hAnsi="Times New Roman" w:cs="Times New Roman"/>
          <w:color w:val="000000" w:themeColor="text1"/>
          <w:sz w:val="24"/>
          <w:szCs w:val="24"/>
        </w:rPr>
        <w:t xml:space="preserve"> </w:t>
      </w:r>
      <w:r w:rsidRPr="00DE13EE">
        <w:rPr>
          <w:rFonts w:ascii="Times New Roman" w:hAnsi="Times New Roman" w:cs="Times New Roman"/>
          <w:color w:val="000000" w:themeColor="text1"/>
          <w:sz w:val="24"/>
          <w:szCs w:val="24"/>
          <w:lang w:val="en-US"/>
        </w:rPr>
        <w:t>However, none of the above research attempts at discriminating between fir</w:t>
      </w:r>
      <w:r w:rsidR="00605393" w:rsidRPr="00DE13EE">
        <w:rPr>
          <w:rFonts w:ascii="Times New Roman" w:hAnsi="Times New Roman" w:cs="Times New Roman"/>
          <w:color w:val="000000" w:themeColor="text1"/>
          <w:sz w:val="24"/>
          <w:szCs w:val="24"/>
          <w:lang w:val="en-US"/>
        </w:rPr>
        <w:t>ms with earnings increase (high-</w:t>
      </w:r>
      <w:r w:rsidRPr="00DE13EE">
        <w:rPr>
          <w:rFonts w:ascii="Times New Roman" w:hAnsi="Times New Roman" w:cs="Times New Roman"/>
          <w:color w:val="000000" w:themeColor="text1"/>
          <w:sz w:val="24"/>
          <w:szCs w:val="24"/>
          <w:lang w:val="en-US"/>
        </w:rPr>
        <w:t xml:space="preserve">performing) and firms with </w:t>
      </w:r>
      <w:r w:rsidR="00605393" w:rsidRPr="00DE13EE">
        <w:rPr>
          <w:rFonts w:ascii="Times New Roman" w:hAnsi="Times New Roman" w:cs="Times New Roman"/>
          <w:color w:val="000000" w:themeColor="text1"/>
          <w:sz w:val="24"/>
          <w:szCs w:val="24"/>
          <w:lang w:val="en-US"/>
        </w:rPr>
        <w:t>earnings decrease (low-</w:t>
      </w:r>
      <w:r w:rsidRPr="00DE13EE">
        <w:rPr>
          <w:rFonts w:ascii="Times New Roman" w:hAnsi="Times New Roman" w:cs="Times New Roman"/>
          <w:color w:val="000000" w:themeColor="text1"/>
          <w:sz w:val="24"/>
          <w:szCs w:val="24"/>
          <w:lang w:val="en-US"/>
        </w:rPr>
        <w:t xml:space="preserve">performing). Therefore, in the current study seeks </w:t>
      </w:r>
      <w:r w:rsidR="00DC3163" w:rsidRPr="00DE13EE">
        <w:rPr>
          <w:rFonts w:ascii="Times New Roman" w:hAnsi="Times New Roman" w:cs="Times New Roman"/>
          <w:color w:val="000000" w:themeColor="text1"/>
          <w:sz w:val="24"/>
          <w:szCs w:val="24"/>
          <w:lang w:val="en-US"/>
        </w:rPr>
        <w:t>to</w:t>
      </w:r>
      <w:r w:rsidRPr="00DE13EE">
        <w:rPr>
          <w:rFonts w:ascii="Times New Roman" w:hAnsi="Times New Roman" w:cs="Times New Roman"/>
          <w:color w:val="000000" w:themeColor="text1"/>
          <w:sz w:val="24"/>
          <w:szCs w:val="24"/>
          <w:lang w:val="en-US"/>
        </w:rPr>
        <w:t xml:space="preserve"> </w:t>
      </w:r>
      <w:r w:rsidR="00DC3163" w:rsidRPr="00DE13EE">
        <w:rPr>
          <w:rFonts w:ascii="Times New Roman" w:hAnsi="Times New Roman" w:cs="Times New Roman"/>
          <w:color w:val="000000" w:themeColor="text1"/>
          <w:sz w:val="24"/>
          <w:szCs w:val="24"/>
          <w:lang w:val="en-US"/>
        </w:rPr>
        <w:t>examine</w:t>
      </w:r>
      <w:r w:rsidRPr="00DE13EE">
        <w:rPr>
          <w:rFonts w:ascii="Times New Roman" w:hAnsi="Times New Roman" w:cs="Times New Roman"/>
          <w:color w:val="000000" w:themeColor="text1"/>
          <w:sz w:val="24"/>
          <w:szCs w:val="24"/>
          <w:lang w:val="en-US"/>
        </w:rPr>
        <w:t xml:space="preserve"> whether the association between </w:t>
      </w:r>
      <w:r w:rsidR="00DC3163" w:rsidRPr="00DE13EE">
        <w:rPr>
          <w:rFonts w:ascii="Times New Roman" w:hAnsi="Times New Roman" w:cs="Times New Roman"/>
          <w:color w:val="000000" w:themeColor="text1"/>
          <w:sz w:val="24"/>
          <w:szCs w:val="24"/>
          <w:lang w:val="en-US"/>
        </w:rPr>
        <w:t>forward</w:t>
      </w:r>
      <w:r w:rsidRPr="00DE13EE">
        <w:rPr>
          <w:rFonts w:ascii="Times New Roman" w:hAnsi="Times New Roman" w:cs="Times New Roman"/>
          <w:color w:val="000000" w:themeColor="text1"/>
          <w:sz w:val="24"/>
          <w:szCs w:val="24"/>
          <w:lang w:val="en-US"/>
        </w:rPr>
        <w:t xml:space="preserve">-looking disclosure and firm value differs </w:t>
      </w:r>
      <w:r w:rsidR="00605393" w:rsidRPr="00DE13EE">
        <w:rPr>
          <w:rFonts w:ascii="Times New Roman" w:hAnsi="Times New Roman" w:cs="Times New Roman"/>
          <w:color w:val="000000" w:themeColor="text1"/>
          <w:sz w:val="24"/>
          <w:szCs w:val="24"/>
          <w:lang w:val="en-US"/>
        </w:rPr>
        <w:t>between high-performing and low-</w:t>
      </w:r>
      <w:r w:rsidRPr="00DE13EE">
        <w:rPr>
          <w:rFonts w:ascii="Times New Roman" w:hAnsi="Times New Roman" w:cs="Times New Roman"/>
          <w:color w:val="000000" w:themeColor="text1"/>
          <w:sz w:val="24"/>
          <w:szCs w:val="24"/>
          <w:lang w:val="en-US"/>
        </w:rPr>
        <w:t xml:space="preserve">performing firms. </w:t>
      </w:r>
      <w:r w:rsidR="002B4810" w:rsidRPr="00DE13EE">
        <w:rPr>
          <w:rFonts w:ascii="Times New Roman" w:hAnsi="Times New Roman" w:cs="Times New Roman"/>
          <w:color w:val="000000" w:themeColor="text1"/>
          <w:sz w:val="24"/>
          <w:szCs w:val="24"/>
          <w:lang w:val="en-US"/>
        </w:rPr>
        <w:t>We argue that changes in earnings performance affect the freq</w:t>
      </w:r>
      <w:r w:rsidR="00B368DC" w:rsidRPr="00DE13EE">
        <w:rPr>
          <w:rFonts w:ascii="Times New Roman" w:hAnsi="Times New Roman" w:cs="Times New Roman"/>
          <w:color w:val="000000" w:themeColor="text1"/>
          <w:sz w:val="24"/>
          <w:szCs w:val="24"/>
          <w:lang w:val="en-US"/>
        </w:rPr>
        <w:t xml:space="preserve">uency </w:t>
      </w:r>
      <w:r w:rsidR="002B4810" w:rsidRPr="00DE13EE">
        <w:rPr>
          <w:rFonts w:ascii="Times New Roman" w:hAnsi="Times New Roman" w:cs="Times New Roman"/>
          <w:color w:val="000000" w:themeColor="text1"/>
          <w:sz w:val="24"/>
          <w:szCs w:val="24"/>
          <w:lang w:val="en-US"/>
        </w:rPr>
        <w:t xml:space="preserve">of forward-looking disclosure which in turn influences the value of a firm. </w:t>
      </w:r>
      <w:r w:rsidRPr="00DE13EE">
        <w:rPr>
          <w:rFonts w:ascii="Times New Roman" w:hAnsi="Times New Roman" w:cs="Times New Roman"/>
          <w:color w:val="000000" w:themeColor="text1"/>
          <w:sz w:val="24"/>
          <w:szCs w:val="24"/>
          <w:lang w:val="en-US"/>
        </w:rPr>
        <w:t>Therefor</w:t>
      </w:r>
      <w:r w:rsidR="00267560" w:rsidRPr="00DE13EE">
        <w:rPr>
          <w:rFonts w:ascii="Times New Roman" w:hAnsi="Times New Roman" w:cs="Times New Roman"/>
          <w:color w:val="000000" w:themeColor="text1"/>
          <w:sz w:val="24"/>
          <w:szCs w:val="24"/>
          <w:lang w:val="en-US"/>
        </w:rPr>
        <w:t xml:space="preserve">e, </w:t>
      </w:r>
      <w:r w:rsidRPr="00DE13EE">
        <w:rPr>
          <w:rFonts w:ascii="Times New Roman" w:hAnsi="Times New Roman" w:cs="Times New Roman"/>
          <w:color w:val="000000" w:themeColor="text1"/>
          <w:sz w:val="24"/>
          <w:szCs w:val="24"/>
          <w:lang w:val="en-US"/>
        </w:rPr>
        <w:t xml:space="preserve">based on the above discussion, </w:t>
      </w:r>
      <w:r w:rsidR="00267560" w:rsidRPr="00DE13EE">
        <w:rPr>
          <w:rFonts w:ascii="Times New Roman" w:hAnsi="Times New Roman" w:cs="Times New Roman"/>
          <w:color w:val="000000" w:themeColor="text1"/>
          <w:sz w:val="24"/>
          <w:szCs w:val="24"/>
          <w:lang w:val="en-US"/>
        </w:rPr>
        <w:t>we formulate the following hypothesis</w:t>
      </w:r>
      <w:r w:rsidRPr="00DE13EE">
        <w:rPr>
          <w:rFonts w:ascii="Times New Roman" w:hAnsi="Times New Roman" w:cs="Times New Roman"/>
          <w:color w:val="000000" w:themeColor="text1"/>
          <w:sz w:val="24"/>
          <w:szCs w:val="24"/>
          <w:lang w:val="en-US"/>
        </w:rPr>
        <w:t>:</w:t>
      </w:r>
    </w:p>
    <w:p w14:paraId="758ECD6E" w14:textId="3F3A915A" w:rsidR="00D60C57" w:rsidRPr="00DE13EE" w:rsidRDefault="00D60C57" w:rsidP="00B93D4F">
      <w:pPr>
        <w:spacing w:line="360" w:lineRule="auto"/>
        <w:ind w:left="567" w:right="567"/>
        <w:jc w:val="both"/>
        <w:rPr>
          <w:rFonts w:ascii="Times New Roman" w:hAnsi="Times New Roman" w:cs="Times New Roman"/>
          <w:i/>
          <w:color w:val="000000" w:themeColor="text1"/>
          <w:sz w:val="24"/>
          <w:szCs w:val="24"/>
          <w:lang w:val="en-US"/>
        </w:rPr>
      </w:pPr>
      <w:r w:rsidRPr="00DE13EE">
        <w:rPr>
          <w:rFonts w:ascii="Times New Roman" w:hAnsi="Times New Roman" w:cs="Times New Roman"/>
          <w:i/>
          <w:color w:val="000000" w:themeColor="text1"/>
          <w:sz w:val="24"/>
          <w:szCs w:val="24"/>
          <w:lang w:val="en-US"/>
        </w:rPr>
        <w:t>H</w:t>
      </w:r>
      <w:r w:rsidR="00267560" w:rsidRPr="00DE13EE">
        <w:rPr>
          <w:rFonts w:ascii="Times New Roman" w:hAnsi="Times New Roman" w:cs="Times New Roman"/>
          <w:i/>
          <w:color w:val="000000" w:themeColor="text1"/>
          <w:sz w:val="24"/>
          <w:szCs w:val="24"/>
          <w:lang w:val="en-US"/>
        </w:rPr>
        <w:t>2</w:t>
      </w:r>
      <w:r w:rsidRPr="00DE13EE">
        <w:rPr>
          <w:rFonts w:ascii="Times New Roman" w:hAnsi="Times New Roman" w:cs="Times New Roman"/>
          <w:i/>
          <w:color w:val="000000" w:themeColor="text1"/>
          <w:sz w:val="24"/>
          <w:szCs w:val="24"/>
          <w:lang w:val="en-US"/>
        </w:rPr>
        <w:t>: Forward-looking disclosure</w:t>
      </w:r>
      <w:r w:rsidR="00267560" w:rsidRPr="00DE13EE">
        <w:rPr>
          <w:rFonts w:ascii="Times New Roman" w:hAnsi="Times New Roman" w:cs="Times New Roman"/>
          <w:i/>
          <w:color w:val="000000" w:themeColor="text1"/>
          <w:sz w:val="24"/>
          <w:szCs w:val="24"/>
          <w:lang w:val="en-US"/>
        </w:rPr>
        <w:t>s</w:t>
      </w:r>
      <w:r w:rsidRPr="00DE13EE">
        <w:rPr>
          <w:rFonts w:ascii="Times New Roman" w:hAnsi="Times New Roman" w:cs="Times New Roman"/>
          <w:i/>
          <w:color w:val="000000" w:themeColor="text1"/>
          <w:sz w:val="24"/>
          <w:szCs w:val="24"/>
          <w:lang w:val="en-US"/>
        </w:rPr>
        <w:t xml:space="preserve"> of high-performing and low-performing firms </w:t>
      </w:r>
      <w:r w:rsidR="00267560" w:rsidRPr="00DE13EE">
        <w:rPr>
          <w:rFonts w:ascii="Times New Roman" w:hAnsi="Times New Roman" w:cs="Times New Roman"/>
          <w:i/>
          <w:color w:val="000000" w:themeColor="text1"/>
          <w:sz w:val="24"/>
          <w:szCs w:val="24"/>
          <w:lang w:val="en-US"/>
        </w:rPr>
        <w:t>affect the values of UK firms</w:t>
      </w:r>
    </w:p>
    <w:p w14:paraId="13D971F6" w14:textId="1CA79A8F" w:rsidR="00D921D5" w:rsidRPr="00DE13EE" w:rsidRDefault="002B32CE" w:rsidP="00B93D4F">
      <w:pPr>
        <w:pStyle w:val="Heading2"/>
        <w:rPr>
          <w:rFonts w:cs="Times New Roman"/>
          <w:color w:val="000000" w:themeColor="text1"/>
          <w:lang w:val="en-US"/>
        </w:rPr>
      </w:pPr>
      <w:r w:rsidRPr="00DE13EE">
        <w:rPr>
          <w:rFonts w:cs="Times New Roman"/>
          <w:color w:val="000000" w:themeColor="text1"/>
          <w:lang w:val="en-US"/>
        </w:rPr>
        <w:t>2.</w:t>
      </w:r>
      <w:r w:rsidR="00D60C57" w:rsidRPr="00DE13EE">
        <w:rPr>
          <w:rFonts w:cs="Times New Roman"/>
          <w:color w:val="000000" w:themeColor="text1"/>
          <w:lang w:val="en-US"/>
        </w:rPr>
        <w:t>3</w:t>
      </w:r>
      <w:r w:rsidRPr="00DE13EE">
        <w:rPr>
          <w:rFonts w:cs="Times New Roman"/>
          <w:color w:val="000000" w:themeColor="text1"/>
          <w:lang w:val="en-US"/>
        </w:rPr>
        <w:t xml:space="preserve"> </w:t>
      </w:r>
      <w:r w:rsidR="00D921D5" w:rsidRPr="00DE13EE">
        <w:rPr>
          <w:rFonts w:cs="Times New Roman"/>
          <w:color w:val="000000" w:themeColor="text1"/>
          <w:lang w:val="en-US"/>
        </w:rPr>
        <w:t xml:space="preserve">Audit firm size </w:t>
      </w:r>
    </w:p>
    <w:p w14:paraId="23CAC364" w14:textId="7248F21F" w:rsidR="004E7157" w:rsidRPr="00DE13EE" w:rsidRDefault="00D921D5" w:rsidP="00B93D4F">
      <w:pPr>
        <w:spacing w:line="360" w:lineRule="auto"/>
        <w:jc w:val="both"/>
        <w:rPr>
          <w:rFonts w:ascii="Times New Roman" w:hAnsi="Times New Roman" w:cs="Times New Roman"/>
          <w:color w:val="000000" w:themeColor="text1"/>
          <w:sz w:val="24"/>
          <w:szCs w:val="24"/>
          <w:lang w:val="en-US"/>
        </w:rPr>
      </w:pPr>
      <w:r w:rsidRPr="00DE13EE">
        <w:rPr>
          <w:rFonts w:ascii="Times New Roman" w:hAnsi="Times New Roman" w:cs="Times New Roman"/>
          <w:color w:val="000000" w:themeColor="text1"/>
          <w:sz w:val="24"/>
          <w:szCs w:val="24"/>
          <w:lang w:val="en-US"/>
        </w:rPr>
        <w:t>Forward-looking information is disclosed outside the audited financial statements and therefore remains unverified. The absence of a mechanism to verify forward-looking information can lead invest</w:t>
      </w:r>
      <w:r w:rsidR="001E4788" w:rsidRPr="00DE13EE">
        <w:rPr>
          <w:rFonts w:ascii="Times New Roman" w:hAnsi="Times New Roman" w:cs="Times New Roman"/>
          <w:color w:val="000000" w:themeColor="text1"/>
          <w:sz w:val="24"/>
          <w:szCs w:val="24"/>
          <w:lang w:val="en-US"/>
        </w:rPr>
        <w:t>ors to ignore it (</w:t>
      </w:r>
      <w:r w:rsidR="00CD7497" w:rsidRPr="00DE13EE">
        <w:rPr>
          <w:rFonts w:ascii="Times New Roman" w:hAnsi="Times New Roman" w:cs="Times New Roman"/>
          <w:color w:val="000000" w:themeColor="text1"/>
          <w:sz w:val="24"/>
          <w:szCs w:val="24"/>
          <w:lang w:val="en-US"/>
        </w:rPr>
        <w:t xml:space="preserve">Li </w:t>
      </w:r>
      <w:r w:rsidR="0001377A" w:rsidRPr="00DE13EE">
        <w:rPr>
          <w:rFonts w:ascii="Times New Roman" w:hAnsi="Times New Roman" w:cs="Times New Roman"/>
          <w:color w:val="000000" w:themeColor="text1"/>
          <w:sz w:val="24"/>
          <w:szCs w:val="24"/>
          <w:lang w:val="en-US"/>
        </w:rPr>
        <w:t xml:space="preserve">and </w:t>
      </w:r>
      <w:r w:rsidR="00CD7497" w:rsidRPr="00DE13EE">
        <w:rPr>
          <w:rFonts w:ascii="Times New Roman" w:hAnsi="Times New Roman" w:cs="Times New Roman"/>
          <w:color w:val="000000" w:themeColor="text1"/>
          <w:sz w:val="24"/>
          <w:szCs w:val="24"/>
          <w:lang w:val="en-US"/>
        </w:rPr>
        <w:t>Yang 2016</w:t>
      </w:r>
      <w:r w:rsidRPr="00DE13EE">
        <w:rPr>
          <w:rFonts w:ascii="Times New Roman" w:hAnsi="Times New Roman" w:cs="Times New Roman"/>
          <w:color w:val="000000" w:themeColor="text1"/>
          <w:sz w:val="24"/>
          <w:szCs w:val="24"/>
          <w:lang w:val="en-US"/>
        </w:rPr>
        <w:t xml:space="preserve">). </w:t>
      </w:r>
      <w:r w:rsidR="004E7157" w:rsidRPr="00DE13EE">
        <w:rPr>
          <w:rFonts w:ascii="Times New Roman" w:hAnsi="Times New Roman" w:cs="Times New Roman"/>
          <w:color w:val="000000" w:themeColor="text1"/>
          <w:sz w:val="24"/>
          <w:szCs w:val="24"/>
          <w:lang w:val="en-US"/>
        </w:rPr>
        <w:t xml:space="preserve">Agency theory suggests that external auditor may act as an independent third party that may help to resolve the agency conflicts between </w:t>
      </w:r>
      <w:r w:rsidR="004E7157" w:rsidRPr="00DE13EE">
        <w:rPr>
          <w:rFonts w:ascii="Times New Roman" w:hAnsi="Times New Roman" w:cs="Times New Roman"/>
          <w:color w:val="000000" w:themeColor="text1"/>
          <w:sz w:val="24"/>
          <w:szCs w:val="24"/>
          <w:lang w:val="en-US"/>
        </w:rPr>
        <w:lastRenderedPageBreak/>
        <w:t xml:space="preserve">managers and investors. This may be because external auditors assure investors of the reliability of the accounting information and, therefore, reduce agency conflicts. External auditors assure investors on the credibility of accounting information (Fan </w:t>
      </w:r>
      <w:r w:rsidR="0001377A" w:rsidRPr="00DE13EE">
        <w:rPr>
          <w:rFonts w:ascii="Times New Roman" w:hAnsi="Times New Roman" w:cs="Times New Roman"/>
          <w:color w:val="000000" w:themeColor="text1"/>
          <w:sz w:val="24"/>
          <w:szCs w:val="24"/>
          <w:lang w:val="en-US"/>
        </w:rPr>
        <w:t xml:space="preserve">and </w:t>
      </w:r>
      <w:r w:rsidR="004E7157" w:rsidRPr="00DE13EE">
        <w:rPr>
          <w:rFonts w:ascii="Times New Roman" w:hAnsi="Times New Roman" w:cs="Times New Roman"/>
          <w:color w:val="000000" w:themeColor="text1"/>
          <w:sz w:val="24"/>
          <w:szCs w:val="24"/>
          <w:lang w:val="en-US"/>
        </w:rPr>
        <w:t>Wong 2005) and high</w:t>
      </w:r>
      <w:r w:rsidR="00DD172E" w:rsidRPr="00DE13EE">
        <w:rPr>
          <w:rFonts w:ascii="Times New Roman" w:hAnsi="Times New Roman" w:cs="Times New Roman"/>
          <w:color w:val="000000" w:themeColor="text1"/>
          <w:sz w:val="24"/>
          <w:szCs w:val="24"/>
          <w:lang w:val="en-US"/>
        </w:rPr>
        <w:t>-</w:t>
      </w:r>
      <w:r w:rsidR="004E7157" w:rsidRPr="00DE13EE">
        <w:rPr>
          <w:rFonts w:ascii="Times New Roman" w:hAnsi="Times New Roman" w:cs="Times New Roman"/>
          <w:color w:val="000000" w:themeColor="text1"/>
          <w:sz w:val="24"/>
          <w:szCs w:val="24"/>
          <w:lang w:val="en-US"/>
        </w:rPr>
        <w:t>quality auditors encourage managers to disclose highly accurate in</w:t>
      </w:r>
      <w:r w:rsidR="00432CFA" w:rsidRPr="00DE13EE">
        <w:rPr>
          <w:rFonts w:ascii="Times New Roman" w:hAnsi="Times New Roman" w:cs="Times New Roman"/>
          <w:color w:val="000000" w:themeColor="text1"/>
          <w:sz w:val="24"/>
          <w:szCs w:val="24"/>
          <w:lang w:val="en-US"/>
        </w:rPr>
        <w:t xml:space="preserve">formation. Ball et al. </w:t>
      </w:r>
      <w:r w:rsidR="004E7157" w:rsidRPr="00DE13EE">
        <w:rPr>
          <w:rFonts w:ascii="Times New Roman" w:hAnsi="Times New Roman" w:cs="Times New Roman"/>
          <w:color w:val="000000" w:themeColor="text1"/>
          <w:sz w:val="24"/>
          <w:szCs w:val="24"/>
          <w:lang w:val="en-US"/>
        </w:rPr>
        <w:t>(2012) find that management forecasts issued by firms committing to high</w:t>
      </w:r>
      <w:r w:rsidR="00DD172E" w:rsidRPr="00DE13EE">
        <w:rPr>
          <w:rFonts w:ascii="Times New Roman" w:hAnsi="Times New Roman" w:cs="Times New Roman"/>
          <w:color w:val="000000" w:themeColor="text1"/>
          <w:sz w:val="24"/>
          <w:szCs w:val="24"/>
          <w:lang w:val="en-US"/>
        </w:rPr>
        <w:t>-</w:t>
      </w:r>
      <w:r w:rsidR="004E7157" w:rsidRPr="00DE13EE">
        <w:rPr>
          <w:rFonts w:ascii="Times New Roman" w:hAnsi="Times New Roman" w:cs="Times New Roman"/>
          <w:color w:val="000000" w:themeColor="text1"/>
          <w:sz w:val="24"/>
          <w:szCs w:val="24"/>
          <w:lang w:val="en-US"/>
        </w:rPr>
        <w:t>quality auditing firms are more frequent, specific, timely, and accurate.</w:t>
      </w:r>
    </w:p>
    <w:p w14:paraId="71DE5729" w14:textId="2CA23251" w:rsidR="00D921D5" w:rsidRPr="00DE13EE" w:rsidRDefault="004E7157" w:rsidP="00B3155D">
      <w:pPr>
        <w:spacing w:line="360" w:lineRule="auto"/>
        <w:jc w:val="both"/>
        <w:rPr>
          <w:rFonts w:ascii="Times New Roman" w:hAnsi="Times New Roman" w:cs="Times New Roman"/>
          <w:color w:val="000000" w:themeColor="text1"/>
          <w:sz w:val="24"/>
          <w:szCs w:val="24"/>
        </w:rPr>
      </w:pPr>
      <w:r w:rsidRPr="00DE13EE">
        <w:rPr>
          <w:rFonts w:ascii="Times New Roman" w:hAnsi="Times New Roman" w:cs="Times New Roman"/>
          <w:color w:val="000000" w:themeColor="text1"/>
          <w:sz w:val="24"/>
          <w:szCs w:val="24"/>
        </w:rPr>
        <w:t>Investors consider big audit firms as providing ultimate auditing quality (</w:t>
      </w:r>
      <w:r w:rsidR="00316762" w:rsidRPr="00DE13EE">
        <w:rPr>
          <w:rFonts w:ascii="Times New Roman" w:hAnsi="Times New Roman" w:cs="Times New Roman"/>
          <w:color w:val="000000" w:themeColor="text1"/>
          <w:sz w:val="24"/>
          <w:szCs w:val="24"/>
        </w:rPr>
        <w:t xml:space="preserve">Leung </w:t>
      </w:r>
      <w:r w:rsidR="00A0518A" w:rsidRPr="00DE13EE">
        <w:rPr>
          <w:rFonts w:ascii="Times New Roman" w:hAnsi="Times New Roman" w:cs="Times New Roman"/>
          <w:color w:val="000000" w:themeColor="text1"/>
          <w:sz w:val="24"/>
          <w:szCs w:val="24"/>
        </w:rPr>
        <w:t xml:space="preserve">and </w:t>
      </w:r>
      <w:r w:rsidR="00316762" w:rsidRPr="00DE13EE">
        <w:rPr>
          <w:rFonts w:ascii="Times New Roman" w:hAnsi="Times New Roman" w:cs="Times New Roman"/>
          <w:color w:val="000000" w:themeColor="text1"/>
          <w:sz w:val="24"/>
          <w:szCs w:val="24"/>
        </w:rPr>
        <w:t xml:space="preserve">Horwitz 2010; </w:t>
      </w:r>
      <w:r w:rsidRPr="00DE13EE">
        <w:rPr>
          <w:rFonts w:ascii="Times New Roman" w:hAnsi="Times New Roman" w:cs="Times New Roman"/>
          <w:color w:val="000000" w:themeColor="text1"/>
          <w:sz w:val="24"/>
          <w:szCs w:val="24"/>
        </w:rPr>
        <w:t>Lawrence</w:t>
      </w:r>
      <w:r w:rsidR="0001377A" w:rsidRPr="00DE13EE">
        <w:rPr>
          <w:rFonts w:ascii="Times New Roman" w:hAnsi="Times New Roman" w:cs="Times New Roman"/>
          <w:color w:val="000000" w:themeColor="text1"/>
          <w:sz w:val="24"/>
          <w:szCs w:val="24"/>
        </w:rPr>
        <w:t xml:space="preserve"> et al.</w:t>
      </w:r>
      <w:r w:rsidR="00B3155D" w:rsidRPr="00DE13EE">
        <w:rPr>
          <w:rFonts w:ascii="Times New Roman" w:hAnsi="Times New Roman" w:cs="Times New Roman"/>
          <w:color w:val="000000" w:themeColor="text1"/>
          <w:sz w:val="24"/>
          <w:szCs w:val="24"/>
        </w:rPr>
        <w:t xml:space="preserve"> </w:t>
      </w:r>
      <w:r w:rsidRPr="00DE13EE">
        <w:rPr>
          <w:rFonts w:ascii="Times New Roman" w:hAnsi="Times New Roman" w:cs="Times New Roman"/>
          <w:color w:val="000000" w:themeColor="text1"/>
          <w:sz w:val="24"/>
          <w:szCs w:val="24"/>
        </w:rPr>
        <w:t>2011</w:t>
      </w:r>
      <w:r w:rsidR="00A46C94" w:rsidRPr="00DE13EE">
        <w:rPr>
          <w:rFonts w:ascii="Times New Roman" w:hAnsi="Times New Roman" w:cs="Times New Roman"/>
          <w:color w:val="000000" w:themeColor="text1"/>
          <w:sz w:val="24"/>
          <w:szCs w:val="24"/>
        </w:rPr>
        <w:t xml:space="preserve">). This is because </w:t>
      </w:r>
      <w:r w:rsidR="00DD172E" w:rsidRPr="00DE13EE">
        <w:rPr>
          <w:rFonts w:ascii="Times New Roman" w:hAnsi="Times New Roman" w:cs="Times New Roman"/>
          <w:color w:val="000000" w:themeColor="text1"/>
          <w:sz w:val="24"/>
          <w:szCs w:val="24"/>
        </w:rPr>
        <w:t xml:space="preserve">the </w:t>
      </w:r>
      <w:r w:rsidR="00A46C94" w:rsidRPr="00DE13EE">
        <w:rPr>
          <w:rFonts w:ascii="Times New Roman" w:hAnsi="Times New Roman" w:cs="Times New Roman"/>
          <w:color w:val="000000" w:themeColor="text1"/>
          <w:sz w:val="24"/>
          <w:szCs w:val="24"/>
        </w:rPr>
        <w:t>big audit</w:t>
      </w:r>
      <w:r w:rsidRPr="00DE13EE">
        <w:rPr>
          <w:rFonts w:ascii="Times New Roman" w:hAnsi="Times New Roman" w:cs="Times New Roman"/>
          <w:color w:val="000000" w:themeColor="text1"/>
          <w:sz w:val="24"/>
          <w:szCs w:val="24"/>
        </w:rPr>
        <w:t xml:space="preserve"> firms are more likely to have highly experienced, trained, and qualified auditors </w:t>
      </w:r>
      <w:r w:rsidR="0076255A" w:rsidRPr="00DE13EE">
        <w:rPr>
          <w:rFonts w:ascii="Times New Roman" w:hAnsi="Times New Roman" w:cs="Times New Roman"/>
          <w:color w:val="000000" w:themeColor="text1"/>
          <w:sz w:val="24"/>
          <w:szCs w:val="24"/>
        </w:rPr>
        <w:t xml:space="preserve">and, consequently, they are better in auditing performance compared to smaller audit firms </w:t>
      </w:r>
      <w:r w:rsidRPr="00DE13EE">
        <w:rPr>
          <w:rFonts w:ascii="Times New Roman" w:hAnsi="Times New Roman" w:cs="Times New Roman"/>
          <w:color w:val="000000" w:themeColor="text1"/>
          <w:sz w:val="24"/>
          <w:szCs w:val="24"/>
        </w:rPr>
        <w:t>(Barako</w:t>
      </w:r>
      <w:r w:rsidR="0001377A" w:rsidRPr="00DE13EE">
        <w:rPr>
          <w:rFonts w:ascii="Times New Roman" w:hAnsi="Times New Roman" w:cs="Times New Roman"/>
          <w:color w:val="000000" w:themeColor="text1"/>
          <w:sz w:val="24"/>
          <w:szCs w:val="24"/>
        </w:rPr>
        <w:t xml:space="preserve"> et al.</w:t>
      </w:r>
      <w:r w:rsidR="00B3155D" w:rsidRPr="00DE13EE">
        <w:rPr>
          <w:rFonts w:ascii="Times New Roman" w:hAnsi="Times New Roman" w:cs="Times New Roman"/>
          <w:color w:val="000000" w:themeColor="text1"/>
          <w:sz w:val="24"/>
          <w:szCs w:val="24"/>
        </w:rPr>
        <w:t xml:space="preserve"> </w:t>
      </w:r>
      <w:r w:rsidRPr="00DE13EE">
        <w:rPr>
          <w:rFonts w:ascii="Times New Roman" w:hAnsi="Times New Roman" w:cs="Times New Roman"/>
          <w:color w:val="000000" w:themeColor="text1"/>
          <w:sz w:val="24"/>
          <w:szCs w:val="24"/>
        </w:rPr>
        <w:t>2006</w:t>
      </w:r>
      <w:r w:rsidR="0076255A" w:rsidRPr="00DE13EE">
        <w:rPr>
          <w:rFonts w:ascii="Times New Roman" w:hAnsi="Times New Roman" w:cs="Times New Roman"/>
          <w:color w:val="000000" w:themeColor="text1"/>
          <w:sz w:val="24"/>
          <w:szCs w:val="24"/>
        </w:rPr>
        <w:t>)</w:t>
      </w:r>
      <w:r w:rsidRPr="00DE13EE">
        <w:rPr>
          <w:rFonts w:ascii="Times New Roman" w:hAnsi="Times New Roman" w:cs="Times New Roman"/>
          <w:color w:val="000000" w:themeColor="text1"/>
          <w:sz w:val="24"/>
          <w:szCs w:val="24"/>
        </w:rPr>
        <w:t>.</w:t>
      </w:r>
      <w:r w:rsidR="00160E96" w:rsidRPr="00DE13EE">
        <w:rPr>
          <w:rFonts w:ascii="Times New Roman" w:hAnsi="Times New Roman" w:cs="Times New Roman"/>
          <w:color w:val="000000" w:themeColor="text1"/>
          <w:sz w:val="24"/>
          <w:szCs w:val="24"/>
        </w:rPr>
        <w:t xml:space="preserve"> Firms </w:t>
      </w:r>
      <w:r w:rsidR="00A46C94" w:rsidRPr="00DE13EE">
        <w:rPr>
          <w:rFonts w:ascii="Times New Roman" w:hAnsi="Times New Roman" w:cs="Times New Roman"/>
          <w:color w:val="000000" w:themeColor="text1"/>
          <w:sz w:val="24"/>
          <w:szCs w:val="24"/>
        </w:rPr>
        <w:t>with one of big audit</w:t>
      </w:r>
      <w:r w:rsidR="00160E96" w:rsidRPr="00DE13EE">
        <w:rPr>
          <w:rFonts w:ascii="Times New Roman" w:hAnsi="Times New Roman" w:cs="Times New Roman"/>
          <w:color w:val="000000" w:themeColor="text1"/>
          <w:sz w:val="24"/>
          <w:szCs w:val="24"/>
        </w:rPr>
        <w:t xml:space="preserve"> firms are more likely to have higher relevant information than other firms. </w:t>
      </w:r>
      <w:r w:rsidR="0076255A" w:rsidRPr="00DE13EE">
        <w:rPr>
          <w:rFonts w:ascii="Times New Roman" w:hAnsi="Times New Roman" w:cs="Times New Roman"/>
          <w:color w:val="000000" w:themeColor="text1"/>
          <w:sz w:val="24"/>
          <w:szCs w:val="24"/>
        </w:rPr>
        <w:t>Clatworthy</w:t>
      </w:r>
      <w:r w:rsidR="0001377A" w:rsidRPr="00DE13EE">
        <w:rPr>
          <w:rFonts w:ascii="Times New Roman" w:hAnsi="Times New Roman" w:cs="Times New Roman"/>
          <w:color w:val="000000" w:themeColor="text1"/>
          <w:sz w:val="24"/>
          <w:szCs w:val="24"/>
        </w:rPr>
        <w:t xml:space="preserve"> et al.</w:t>
      </w:r>
      <w:r w:rsidR="00160E96" w:rsidRPr="00DE13EE">
        <w:rPr>
          <w:rFonts w:ascii="Times New Roman" w:hAnsi="Times New Roman" w:cs="Times New Roman"/>
          <w:color w:val="000000" w:themeColor="text1"/>
          <w:sz w:val="24"/>
          <w:szCs w:val="24"/>
        </w:rPr>
        <w:t xml:space="preserve"> (201</w:t>
      </w:r>
      <w:r w:rsidR="0023598B" w:rsidRPr="00DE13EE">
        <w:rPr>
          <w:rFonts w:ascii="Times New Roman" w:hAnsi="Times New Roman" w:cs="Times New Roman"/>
          <w:color w:val="000000" w:themeColor="text1"/>
          <w:sz w:val="24"/>
          <w:szCs w:val="24"/>
        </w:rPr>
        <w:t>2</w:t>
      </w:r>
      <w:r w:rsidR="00160E96" w:rsidRPr="00DE13EE">
        <w:rPr>
          <w:rFonts w:ascii="Times New Roman" w:hAnsi="Times New Roman" w:cs="Times New Roman"/>
          <w:color w:val="000000" w:themeColor="text1"/>
          <w:sz w:val="24"/>
          <w:szCs w:val="24"/>
        </w:rPr>
        <w:t>) investigate whether auditor quality moderates the role of accruals and cash flows, as components of earnings, in driving stock returns. Their empirical results indicate that both accruals and cash flows are important drivers of stock returns and suggest that the significance of both accruals and cash flows varies conditional on auditor quality.</w:t>
      </w:r>
      <w:r w:rsidR="000367C2" w:rsidRPr="00DE13EE">
        <w:rPr>
          <w:rFonts w:ascii="Times New Roman" w:hAnsi="Times New Roman" w:cs="Times New Roman"/>
          <w:color w:val="000000" w:themeColor="text1"/>
          <w:sz w:val="24"/>
          <w:szCs w:val="24"/>
        </w:rPr>
        <w:t xml:space="preserve"> </w:t>
      </w:r>
      <w:r w:rsidR="00160E96" w:rsidRPr="00DE13EE">
        <w:rPr>
          <w:rFonts w:ascii="Times New Roman" w:hAnsi="Times New Roman" w:cs="Times New Roman"/>
          <w:color w:val="000000" w:themeColor="text1"/>
          <w:sz w:val="24"/>
          <w:szCs w:val="24"/>
        </w:rPr>
        <w:t xml:space="preserve">Brown and Tucker (2011) focus on narrative disclosure in management discussion and analysis </w:t>
      </w:r>
      <w:r w:rsidR="001A7B78" w:rsidRPr="00DE13EE">
        <w:rPr>
          <w:rFonts w:ascii="Times New Roman" w:hAnsi="Times New Roman" w:cs="Times New Roman"/>
          <w:color w:val="000000" w:themeColor="text1"/>
          <w:sz w:val="24"/>
          <w:szCs w:val="24"/>
        </w:rPr>
        <w:t xml:space="preserve">(MD&amp;A) </w:t>
      </w:r>
      <w:r w:rsidR="00160E96" w:rsidRPr="00DE13EE">
        <w:rPr>
          <w:rFonts w:ascii="Times New Roman" w:hAnsi="Times New Roman" w:cs="Times New Roman"/>
          <w:color w:val="000000" w:themeColor="text1"/>
          <w:sz w:val="24"/>
          <w:szCs w:val="24"/>
        </w:rPr>
        <w:t xml:space="preserve">section of the annual report and </w:t>
      </w:r>
      <w:r w:rsidR="00D74FD0" w:rsidRPr="00DE13EE">
        <w:rPr>
          <w:rFonts w:ascii="Times New Roman" w:hAnsi="Times New Roman" w:cs="Times New Roman"/>
          <w:color w:val="000000" w:themeColor="text1"/>
          <w:sz w:val="24"/>
          <w:szCs w:val="24"/>
        </w:rPr>
        <w:t xml:space="preserve">hypothesize </w:t>
      </w:r>
      <w:r w:rsidR="00160E96" w:rsidRPr="00DE13EE">
        <w:rPr>
          <w:rFonts w:ascii="Times New Roman" w:hAnsi="Times New Roman" w:cs="Times New Roman"/>
          <w:color w:val="000000" w:themeColor="text1"/>
          <w:sz w:val="24"/>
          <w:szCs w:val="24"/>
        </w:rPr>
        <w:t xml:space="preserve">that disclosure is potentially uninformative if it does not change from the previous year, especially after a significant change in firm performance. They measure the degree to which the narratives in the MD&amp;A differ from the previous year. They find that firms audited by big auditors are more likely to change their narrative disclosure from period to period and the stock price responses significantly to change in the MD&amp;A. This suggests </w:t>
      </w:r>
      <w:r w:rsidR="00923A8D" w:rsidRPr="00DE13EE">
        <w:rPr>
          <w:rFonts w:ascii="Times New Roman" w:hAnsi="Times New Roman" w:cs="Times New Roman"/>
          <w:color w:val="000000" w:themeColor="text1"/>
          <w:sz w:val="24"/>
          <w:szCs w:val="24"/>
        </w:rPr>
        <w:t xml:space="preserve">that </w:t>
      </w:r>
      <w:r w:rsidR="00160E96" w:rsidRPr="00DE13EE">
        <w:rPr>
          <w:rFonts w:ascii="Times New Roman" w:hAnsi="Times New Roman" w:cs="Times New Roman"/>
          <w:color w:val="000000" w:themeColor="text1"/>
          <w:sz w:val="24"/>
          <w:szCs w:val="24"/>
        </w:rPr>
        <w:t xml:space="preserve">big auditors encourage managers to provide an informative narrative disclosure to investors. </w:t>
      </w:r>
      <w:r w:rsidR="00C341F1" w:rsidRPr="00DE13EE">
        <w:rPr>
          <w:rFonts w:ascii="Times New Roman" w:hAnsi="Times New Roman" w:cs="Times New Roman"/>
          <w:color w:val="000000" w:themeColor="text1"/>
          <w:sz w:val="24"/>
          <w:szCs w:val="24"/>
        </w:rPr>
        <w:t>This knowledge leads us to formulate the following hypothesis</w:t>
      </w:r>
      <w:r w:rsidR="000367C2" w:rsidRPr="00DE13EE">
        <w:rPr>
          <w:rFonts w:ascii="Times New Roman" w:hAnsi="Times New Roman" w:cs="Times New Roman"/>
          <w:color w:val="000000" w:themeColor="text1"/>
          <w:sz w:val="24"/>
          <w:szCs w:val="24"/>
        </w:rPr>
        <w:t>:</w:t>
      </w:r>
    </w:p>
    <w:p w14:paraId="619D7E21" w14:textId="58D43DB6" w:rsidR="00160E96" w:rsidRPr="00DE13EE" w:rsidRDefault="00267560" w:rsidP="00B93D4F">
      <w:pPr>
        <w:tabs>
          <w:tab w:val="center" w:pos="4513"/>
          <w:tab w:val="right" w:pos="9026"/>
        </w:tabs>
        <w:spacing w:after="0" w:line="360" w:lineRule="auto"/>
        <w:jc w:val="both"/>
        <w:rPr>
          <w:rFonts w:ascii="Times New Roman" w:hAnsi="Times New Roman" w:cs="Times New Roman"/>
          <w:i/>
          <w:color w:val="000000" w:themeColor="text1"/>
          <w:sz w:val="24"/>
          <w:szCs w:val="24"/>
          <w:lang w:val="en-US"/>
        </w:rPr>
      </w:pPr>
      <w:r w:rsidRPr="00DE13EE">
        <w:rPr>
          <w:rFonts w:ascii="Times New Roman" w:hAnsi="Times New Roman" w:cs="Times New Roman"/>
          <w:i/>
          <w:color w:val="000000" w:themeColor="text1"/>
          <w:sz w:val="24"/>
          <w:szCs w:val="24"/>
          <w:lang w:val="en-US"/>
        </w:rPr>
        <w:t>H3</w:t>
      </w:r>
      <w:r w:rsidR="00E61656" w:rsidRPr="00DE13EE">
        <w:rPr>
          <w:rFonts w:ascii="Times New Roman" w:hAnsi="Times New Roman" w:cs="Times New Roman"/>
          <w:i/>
          <w:color w:val="000000" w:themeColor="text1"/>
          <w:sz w:val="24"/>
          <w:szCs w:val="24"/>
          <w:lang w:val="en-US"/>
        </w:rPr>
        <w:t xml:space="preserve">: </w:t>
      </w:r>
      <w:r w:rsidR="008A013B" w:rsidRPr="00DE13EE">
        <w:rPr>
          <w:rFonts w:ascii="Times New Roman" w:hAnsi="Times New Roman" w:cs="Times New Roman"/>
          <w:i/>
          <w:color w:val="000000" w:themeColor="text1"/>
          <w:sz w:val="24"/>
          <w:szCs w:val="24"/>
          <w:lang w:val="en-US"/>
        </w:rPr>
        <w:t>Forward-looking disclosure</w:t>
      </w:r>
      <w:r w:rsidR="00E00675" w:rsidRPr="00DE13EE">
        <w:rPr>
          <w:rFonts w:ascii="Times New Roman" w:hAnsi="Times New Roman" w:cs="Times New Roman"/>
          <w:i/>
          <w:color w:val="000000" w:themeColor="text1"/>
          <w:sz w:val="24"/>
          <w:szCs w:val="24"/>
          <w:lang w:val="en-US"/>
        </w:rPr>
        <w:t>s</w:t>
      </w:r>
      <w:r w:rsidR="008A013B" w:rsidRPr="00DE13EE">
        <w:rPr>
          <w:rFonts w:ascii="Times New Roman" w:hAnsi="Times New Roman" w:cs="Times New Roman"/>
          <w:i/>
          <w:color w:val="000000" w:themeColor="text1"/>
          <w:sz w:val="24"/>
          <w:szCs w:val="24"/>
          <w:lang w:val="en-US"/>
        </w:rPr>
        <w:t xml:space="preserve"> </w:t>
      </w:r>
      <w:r w:rsidR="00C341F1" w:rsidRPr="00DE13EE">
        <w:rPr>
          <w:rFonts w:ascii="Times New Roman" w:hAnsi="Times New Roman" w:cs="Times New Roman"/>
          <w:i/>
          <w:color w:val="000000" w:themeColor="text1"/>
          <w:sz w:val="24"/>
          <w:szCs w:val="24"/>
          <w:lang w:val="en-US"/>
        </w:rPr>
        <w:t xml:space="preserve">of firms with high audit quality </w:t>
      </w:r>
      <w:r w:rsidRPr="00DE13EE">
        <w:rPr>
          <w:rFonts w:ascii="Times New Roman" w:hAnsi="Times New Roman" w:cs="Times New Roman"/>
          <w:i/>
          <w:color w:val="000000" w:themeColor="text1"/>
          <w:sz w:val="24"/>
          <w:szCs w:val="24"/>
          <w:lang w:val="en-US"/>
        </w:rPr>
        <w:t xml:space="preserve">affect the values of UK firms </w:t>
      </w:r>
      <w:r w:rsidR="00536F03" w:rsidRPr="00DE13EE">
        <w:rPr>
          <w:rFonts w:ascii="Times New Roman" w:hAnsi="Times New Roman" w:cs="Times New Roman"/>
          <w:i/>
          <w:color w:val="000000" w:themeColor="text1"/>
          <w:sz w:val="24"/>
          <w:szCs w:val="24"/>
          <w:lang w:val="en-US"/>
        </w:rPr>
        <w:t xml:space="preserve">as compared </w:t>
      </w:r>
      <w:r w:rsidRPr="00DE13EE">
        <w:rPr>
          <w:rFonts w:ascii="Times New Roman" w:hAnsi="Times New Roman" w:cs="Times New Roman"/>
          <w:i/>
          <w:color w:val="000000" w:themeColor="text1"/>
          <w:sz w:val="24"/>
          <w:szCs w:val="24"/>
          <w:lang w:val="en-US"/>
        </w:rPr>
        <w:t xml:space="preserve">to </w:t>
      </w:r>
      <w:r w:rsidR="00536F03" w:rsidRPr="00DE13EE">
        <w:rPr>
          <w:rFonts w:ascii="Times New Roman" w:hAnsi="Times New Roman" w:cs="Times New Roman"/>
          <w:i/>
          <w:color w:val="000000" w:themeColor="text1"/>
          <w:sz w:val="24"/>
          <w:szCs w:val="24"/>
          <w:lang w:val="en-US"/>
        </w:rPr>
        <w:t xml:space="preserve">firms </w:t>
      </w:r>
      <w:r w:rsidR="00C341F1" w:rsidRPr="00DE13EE">
        <w:rPr>
          <w:rFonts w:ascii="Times New Roman" w:hAnsi="Times New Roman" w:cs="Times New Roman"/>
          <w:i/>
          <w:color w:val="000000" w:themeColor="text1"/>
          <w:sz w:val="24"/>
          <w:szCs w:val="24"/>
          <w:lang w:val="en-US"/>
        </w:rPr>
        <w:t>with low audit quality</w:t>
      </w:r>
    </w:p>
    <w:p w14:paraId="48B129B9" w14:textId="77777777" w:rsidR="00E01DAE" w:rsidRPr="00DE13EE" w:rsidRDefault="00E01DAE" w:rsidP="00B93D4F">
      <w:pPr>
        <w:tabs>
          <w:tab w:val="center" w:pos="4513"/>
          <w:tab w:val="right" w:pos="9026"/>
        </w:tabs>
        <w:spacing w:after="0" w:line="360" w:lineRule="auto"/>
        <w:jc w:val="both"/>
        <w:rPr>
          <w:rFonts w:ascii="Times New Roman" w:hAnsi="Times New Roman" w:cs="Times New Roman"/>
          <w:i/>
          <w:color w:val="000000" w:themeColor="text1"/>
          <w:sz w:val="24"/>
          <w:szCs w:val="24"/>
          <w:lang w:val="en-US"/>
        </w:rPr>
      </w:pPr>
    </w:p>
    <w:p w14:paraId="1DA3D20B" w14:textId="77777777" w:rsidR="00812C9C" w:rsidRPr="00DE13EE" w:rsidRDefault="00812C9C" w:rsidP="00B93D4F">
      <w:pPr>
        <w:pStyle w:val="Heading1"/>
        <w:rPr>
          <w:color w:val="000000" w:themeColor="text1"/>
        </w:rPr>
      </w:pPr>
      <w:r w:rsidRPr="00DE13EE">
        <w:rPr>
          <w:color w:val="000000" w:themeColor="text1"/>
        </w:rPr>
        <w:lastRenderedPageBreak/>
        <w:t xml:space="preserve">RESEARCH DESIGN </w:t>
      </w:r>
    </w:p>
    <w:p w14:paraId="57F76277" w14:textId="77777777" w:rsidR="00595DB9" w:rsidRPr="00DE13EE" w:rsidRDefault="00812C9C" w:rsidP="00B93D4F">
      <w:pPr>
        <w:pStyle w:val="Heading2"/>
        <w:rPr>
          <w:color w:val="000000" w:themeColor="text1"/>
        </w:rPr>
      </w:pPr>
      <w:r w:rsidRPr="00DE13EE">
        <w:rPr>
          <w:color w:val="000000" w:themeColor="text1"/>
        </w:rPr>
        <w:t xml:space="preserve">3.1 </w:t>
      </w:r>
      <w:r w:rsidR="00595DB9" w:rsidRPr="00DE13EE">
        <w:rPr>
          <w:color w:val="000000" w:themeColor="text1"/>
        </w:rPr>
        <w:t>Sample selection and data collection</w:t>
      </w:r>
    </w:p>
    <w:p w14:paraId="48894985" w14:textId="38549225" w:rsidR="00595DB9" w:rsidRPr="00DE13EE" w:rsidRDefault="00595DB9" w:rsidP="00B93D4F">
      <w:pPr>
        <w:spacing w:line="360" w:lineRule="auto"/>
        <w:jc w:val="both"/>
        <w:rPr>
          <w:rFonts w:ascii="Times New Roman" w:eastAsia="Calibri" w:hAnsi="Times New Roman" w:cs="Times New Roman"/>
          <w:color w:val="000000" w:themeColor="text1"/>
          <w:sz w:val="24"/>
          <w:szCs w:val="24"/>
          <w:lang w:val="en-US" w:eastAsia="en-US"/>
        </w:rPr>
      </w:pPr>
      <w:r w:rsidRPr="00DE13EE">
        <w:rPr>
          <w:rFonts w:ascii="Times New Roman" w:eastAsia="Calibri" w:hAnsi="Times New Roman" w:cs="Times New Roman"/>
          <w:color w:val="000000" w:themeColor="text1"/>
          <w:sz w:val="24"/>
          <w:szCs w:val="24"/>
          <w:lang w:val="en-US" w:eastAsia="en-US"/>
        </w:rPr>
        <w:t xml:space="preserve">Our investigation focuses on FTSE all-shares non-financial firms listed </w:t>
      </w:r>
      <w:r w:rsidR="00DD172E" w:rsidRPr="00DE13EE">
        <w:rPr>
          <w:rFonts w:ascii="Times New Roman" w:eastAsia="Calibri" w:hAnsi="Times New Roman" w:cs="Times New Roman"/>
          <w:color w:val="000000" w:themeColor="text1"/>
          <w:sz w:val="24"/>
          <w:szCs w:val="24"/>
          <w:lang w:val="en-US" w:eastAsia="en-US"/>
        </w:rPr>
        <w:t xml:space="preserve">on </w:t>
      </w:r>
      <w:r w:rsidRPr="00DE13EE">
        <w:rPr>
          <w:rFonts w:ascii="Times New Roman" w:eastAsia="Calibri" w:hAnsi="Times New Roman" w:cs="Times New Roman"/>
          <w:color w:val="000000" w:themeColor="text1"/>
          <w:sz w:val="24"/>
          <w:szCs w:val="24"/>
          <w:lang w:val="en-US" w:eastAsia="en-US"/>
        </w:rPr>
        <w:t>the London Stock Exchange. The sample period covers annual reports for fiscal years 2005-2014</w:t>
      </w:r>
      <w:r w:rsidR="00F961FA" w:rsidRPr="00DE13EE">
        <w:rPr>
          <w:rStyle w:val="FootnoteReference"/>
          <w:rFonts w:ascii="Times New Roman" w:eastAsia="Calibri" w:hAnsi="Times New Roman" w:cs="Times New Roman"/>
          <w:color w:val="000000" w:themeColor="text1"/>
          <w:sz w:val="24"/>
          <w:szCs w:val="24"/>
          <w:lang w:val="en-US" w:eastAsia="en-US"/>
        </w:rPr>
        <w:footnoteReference w:id="2"/>
      </w:r>
      <w:r w:rsidRPr="00DE13EE">
        <w:rPr>
          <w:rFonts w:ascii="Times New Roman" w:eastAsia="Calibri" w:hAnsi="Times New Roman" w:cs="Times New Roman"/>
          <w:color w:val="000000" w:themeColor="text1"/>
          <w:sz w:val="24"/>
          <w:szCs w:val="24"/>
          <w:lang w:val="en-US" w:eastAsia="en-US"/>
        </w:rPr>
        <w:t>. The study begins with 2005 because the reporting standard RS1 on OFR narrative reporting was issued in 2005 (28 November 2005). The study ends in 2014, the year of the most recent</w:t>
      </w:r>
      <w:r w:rsidR="00DD172E" w:rsidRPr="00DE13EE">
        <w:rPr>
          <w:rFonts w:ascii="Times New Roman" w:eastAsia="Calibri" w:hAnsi="Times New Roman" w:cs="Times New Roman"/>
          <w:color w:val="000000" w:themeColor="text1"/>
          <w:sz w:val="24"/>
          <w:szCs w:val="24"/>
          <w:lang w:val="en-US" w:eastAsia="en-US"/>
        </w:rPr>
        <w:t>ly</w:t>
      </w:r>
      <w:r w:rsidRPr="00DE13EE">
        <w:rPr>
          <w:rFonts w:ascii="Times New Roman" w:eastAsia="Calibri" w:hAnsi="Times New Roman" w:cs="Times New Roman"/>
          <w:color w:val="000000" w:themeColor="text1"/>
          <w:sz w:val="24"/>
          <w:szCs w:val="24"/>
          <w:lang w:val="en-US" w:eastAsia="en-US"/>
        </w:rPr>
        <w:t xml:space="preserve"> available annual reports at the time of analysis. Consistent with prior research (e.g., </w:t>
      </w:r>
      <w:r w:rsidR="00D74FD0" w:rsidRPr="00DE13EE">
        <w:rPr>
          <w:rFonts w:ascii="Times New Roman" w:eastAsia="Calibri" w:hAnsi="Times New Roman" w:cs="Times New Roman"/>
          <w:color w:val="000000" w:themeColor="text1"/>
          <w:sz w:val="24"/>
          <w:szCs w:val="24"/>
          <w:lang w:val="en-US" w:eastAsia="en-US"/>
        </w:rPr>
        <w:t xml:space="preserve">Athanasakou </w:t>
      </w:r>
      <w:r w:rsidR="0001377A" w:rsidRPr="00DE13EE">
        <w:rPr>
          <w:rFonts w:ascii="Times New Roman" w:eastAsia="Calibri" w:hAnsi="Times New Roman" w:cs="Times New Roman"/>
          <w:color w:val="000000" w:themeColor="text1"/>
          <w:sz w:val="24"/>
          <w:szCs w:val="24"/>
          <w:lang w:val="en-US" w:eastAsia="en-US"/>
        </w:rPr>
        <w:t xml:space="preserve">and </w:t>
      </w:r>
      <w:r w:rsidR="00D74FD0" w:rsidRPr="00DE13EE">
        <w:rPr>
          <w:rFonts w:ascii="Times New Roman" w:eastAsia="Calibri" w:hAnsi="Times New Roman" w:cs="Times New Roman"/>
          <w:color w:val="000000" w:themeColor="text1"/>
          <w:sz w:val="24"/>
          <w:szCs w:val="24"/>
          <w:lang w:val="en-US" w:eastAsia="en-US"/>
        </w:rPr>
        <w:t>Hussainey 2014</w:t>
      </w:r>
      <w:r w:rsidRPr="00DE13EE">
        <w:rPr>
          <w:rFonts w:ascii="Times New Roman" w:eastAsia="Calibri" w:hAnsi="Times New Roman" w:cs="Times New Roman"/>
          <w:color w:val="000000" w:themeColor="text1"/>
          <w:sz w:val="24"/>
          <w:szCs w:val="24"/>
          <w:lang w:val="en-US" w:eastAsia="en-US"/>
        </w:rPr>
        <w:t>), financial firms are excluded from the analysis</w:t>
      </w:r>
      <w:r w:rsidR="00621D0F" w:rsidRPr="00DE13EE">
        <w:rPr>
          <w:rFonts w:ascii="Times New Roman" w:eastAsia="Calibri" w:hAnsi="Times New Roman" w:cs="Times New Roman"/>
          <w:color w:val="000000" w:themeColor="text1"/>
          <w:sz w:val="24"/>
          <w:szCs w:val="24"/>
          <w:lang w:val="en-US" w:eastAsia="en-US"/>
        </w:rPr>
        <w:t xml:space="preserve"> due to their special nature</w:t>
      </w:r>
      <w:r w:rsidRPr="00DE13EE">
        <w:rPr>
          <w:rFonts w:ascii="Times New Roman" w:eastAsia="Calibri" w:hAnsi="Times New Roman" w:cs="Times New Roman"/>
          <w:color w:val="000000" w:themeColor="text1"/>
          <w:sz w:val="24"/>
          <w:szCs w:val="24"/>
          <w:lang w:val="en-US" w:eastAsia="en-US"/>
        </w:rPr>
        <w:t>. In addition, we exclude observations: 1) with missing annual reports</w:t>
      </w:r>
      <w:r w:rsidR="00621D0F" w:rsidRPr="00DE13EE">
        <w:rPr>
          <w:rFonts w:ascii="Times New Roman" w:eastAsia="Calibri" w:hAnsi="Times New Roman" w:cs="Times New Roman"/>
          <w:color w:val="000000" w:themeColor="text1"/>
          <w:sz w:val="24"/>
          <w:szCs w:val="24"/>
          <w:lang w:val="en-US" w:eastAsia="en-US"/>
        </w:rPr>
        <w:t>, as this study relies on the texts of annual reports</w:t>
      </w:r>
      <w:r w:rsidRPr="00DE13EE">
        <w:rPr>
          <w:rFonts w:ascii="Times New Roman" w:eastAsia="Calibri" w:hAnsi="Times New Roman" w:cs="Times New Roman"/>
          <w:color w:val="000000" w:themeColor="text1"/>
          <w:sz w:val="24"/>
          <w:szCs w:val="24"/>
          <w:lang w:val="en-US" w:eastAsia="en-US"/>
        </w:rPr>
        <w:t xml:space="preserve">; 2) whose annual reports cannot be converted to text file to be readable by QSR N6 software; 3) with missing financial data; and 4) that changed the month of the year-end during the period. </w:t>
      </w:r>
      <w:r w:rsidR="00621D0F" w:rsidRPr="00DE13EE">
        <w:rPr>
          <w:rFonts w:ascii="Times New Roman" w:eastAsia="Calibri" w:hAnsi="Times New Roman" w:cs="Times New Roman"/>
          <w:color w:val="000000" w:themeColor="text1"/>
          <w:sz w:val="24"/>
          <w:szCs w:val="24"/>
          <w:lang w:val="en-US" w:eastAsia="en-US"/>
        </w:rPr>
        <w:t xml:space="preserve">The screening leaves us with 2,932 firm-year observations. </w:t>
      </w:r>
      <w:r w:rsidR="00AB24EF" w:rsidRPr="00DE13EE">
        <w:rPr>
          <w:rFonts w:ascii="Times New Roman" w:eastAsia="Calibri" w:hAnsi="Times New Roman" w:cs="Times New Roman"/>
          <w:color w:val="000000" w:themeColor="text1"/>
          <w:sz w:val="24"/>
          <w:szCs w:val="24"/>
          <w:lang w:val="en-US" w:eastAsia="en-US"/>
        </w:rPr>
        <w:t xml:space="preserve">Panel A of </w:t>
      </w:r>
      <w:r w:rsidRPr="00DE13EE">
        <w:rPr>
          <w:rFonts w:ascii="Times New Roman" w:eastAsia="Calibri" w:hAnsi="Times New Roman" w:cs="Times New Roman"/>
          <w:color w:val="000000" w:themeColor="text1"/>
          <w:sz w:val="24"/>
          <w:szCs w:val="24"/>
          <w:lang w:val="en-US" w:eastAsia="en-US"/>
        </w:rPr>
        <w:t>Table (1</w:t>
      </w:r>
      <w:r w:rsidR="00AB24EF" w:rsidRPr="00DE13EE">
        <w:rPr>
          <w:rFonts w:ascii="Times New Roman" w:eastAsia="Calibri" w:hAnsi="Times New Roman" w:cs="Times New Roman"/>
          <w:color w:val="000000" w:themeColor="text1"/>
          <w:sz w:val="24"/>
          <w:szCs w:val="24"/>
          <w:lang w:val="en-US" w:eastAsia="en-US"/>
        </w:rPr>
        <w:t>) shows</w:t>
      </w:r>
      <w:r w:rsidRPr="00DE13EE">
        <w:rPr>
          <w:rFonts w:ascii="Times New Roman" w:eastAsia="Calibri" w:hAnsi="Times New Roman" w:cs="Times New Roman"/>
          <w:color w:val="000000" w:themeColor="text1"/>
          <w:sz w:val="24"/>
          <w:szCs w:val="24"/>
          <w:lang w:val="en-US" w:eastAsia="en-US"/>
        </w:rPr>
        <w:t xml:space="preserve"> the final sample sorted by years. However, Panel B shows the distribution of the 2932 firm</w:t>
      </w:r>
      <w:r w:rsidR="00621D0F" w:rsidRPr="00DE13EE">
        <w:rPr>
          <w:rFonts w:ascii="Times New Roman" w:eastAsia="Calibri" w:hAnsi="Times New Roman" w:cs="Times New Roman"/>
          <w:color w:val="000000" w:themeColor="text1"/>
          <w:sz w:val="24"/>
          <w:szCs w:val="24"/>
          <w:lang w:val="en-US" w:eastAsia="en-US"/>
        </w:rPr>
        <w:t>-</w:t>
      </w:r>
      <w:r w:rsidRPr="00DE13EE">
        <w:rPr>
          <w:rFonts w:ascii="Times New Roman" w:eastAsia="Calibri" w:hAnsi="Times New Roman" w:cs="Times New Roman"/>
          <w:color w:val="000000" w:themeColor="text1"/>
          <w:sz w:val="24"/>
          <w:szCs w:val="24"/>
          <w:lang w:val="en-US" w:eastAsia="en-US"/>
        </w:rPr>
        <w:t>year observation</w:t>
      </w:r>
      <w:r w:rsidR="00621D0F" w:rsidRPr="00DE13EE">
        <w:rPr>
          <w:rFonts w:ascii="Times New Roman" w:eastAsia="Calibri" w:hAnsi="Times New Roman" w:cs="Times New Roman"/>
          <w:color w:val="000000" w:themeColor="text1"/>
          <w:sz w:val="24"/>
          <w:szCs w:val="24"/>
          <w:lang w:val="en-US" w:eastAsia="en-US"/>
        </w:rPr>
        <w:t>s</w:t>
      </w:r>
      <w:r w:rsidRPr="00DE13EE">
        <w:rPr>
          <w:rFonts w:ascii="Times New Roman" w:eastAsia="Calibri" w:hAnsi="Times New Roman" w:cs="Times New Roman"/>
          <w:color w:val="000000" w:themeColor="text1"/>
          <w:sz w:val="24"/>
          <w:szCs w:val="24"/>
          <w:lang w:val="en-US" w:eastAsia="en-US"/>
        </w:rPr>
        <w:t xml:space="preserve"> over nine main industries as follows: oil and gas 147 (5%), basic material 234 (8%), industrial 1026 (35%), consumer goods 323 (11%), health care 176 (6%), consumer services 645 (22%), telecommunication 29 (1%), utilities 59 (2%), and technology 293 (10 %).</w:t>
      </w:r>
    </w:p>
    <w:p w14:paraId="55D6486F" w14:textId="128E7041" w:rsidR="00595DB9" w:rsidRPr="00DE13EE" w:rsidRDefault="00595DB9" w:rsidP="00B93D4F">
      <w:pPr>
        <w:spacing w:line="360" w:lineRule="auto"/>
        <w:jc w:val="center"/>
        <w:rPr>
          <w:rFonts w:ascii="Times New Roman" w:eastAsia="Calibri" w:hAnsi="Times New Roman" w:cs="Times New Roman"/>
          <w:i/>
          <w:iCs/>
          <w:color w:val="000000" w:themeColor="text1"/>
          <w:sz w:val="24"/>
          <w:szCs w:val="24"/>
          <w:lang w:val="en-US" w:eastAsia="en-US"/>
        </w:rPr>
      </w:pPr>
      <w:r w:rsidRPr="00DE13EE">
        <w:rPr>
          <w:rFonts w:ascii="Times New Roman" w:eastAsia="Calibri" w:hAnsi="Times New Roman" w:cs="Times New Roman"/>
          <w:i/>
          <w:iCs/>
          <w:color w:val="000000" w:themeColor="text1"/>
          <w:sz w:val="24"/>
          <w:szCs w:val="24"/>
          <w:lang w:val="en-US" w:eastAsia="en-US"/>
        </w:rPr>
        <w:t>Insert Table (1) here</w:t>
      </w:r>
    </w:p>
    <w:p w14:paraId="7D751E2A" w14:textId="77777777" w:rsidR="00E01DAE" w:rsidRPr="00DE13EE" w:rsidRDefault="00E01DAE" w:rsidP="00B93D4F">
      <w:pPr>
        <w:spacing w:line="360" w:lineRule="auto"/>
        <w:jc w:val="center"/>
        <w:rPr>
          <w:rFonts w:ascii="Times New Roman" w:eastAsia="Calibri" w:hAnsi="Times New Roman" w:cs="Times New Roman"/>
          <w:i/>
          <w:iCs/>
          <w:color w:val="000000" w:themeColor="text1"/>
          <w:sz w:val="24"/>
          <w:szCs w:val="24"/>
          <w:lang w:val="en-US" w:eastAsia="en-US"/>
        </w:rPr>
      </w:pPr>
    </w:p>
    <w:p w14:paraId="18A5B15A" w14:textId="38E44239" w:rsidR="00595DB9" w:rsidRPr="00DE13EE" w:rsidRDefault="00595DB9" w:rsidP="00B93D4F">
      <w:pPr>
        <w:spacing w:line="360" w:lineRule="auto"/>
        <w:jc w:val="both"/>
        <w:rPr>
          <w:rFonts w:ascii="Times New Roman" w:eastAsia="Calibri" w:hAnsi="Times New Roman" w:cs="Times New Roman"/>
          <w:color w:val="000000" w:themeColor="text1"/>
          <w:sz w:val="24"/>
          <w:szCs w:val="24"/>
          <w:lang w:val="en-US" w:eastAsia="en-US"/>
        </w:rPr>
      </w:pPr>
      <w:r w:rsidRPr="00DE13EE">
        <w:rPr>
          <w:rFonts w:ascii="Times New Roman" w:eastAsia="Calibri" w:hAnsi="Times New Roman" w:cs="Times New Roman"/>
          <w:color w:val="000000" w:themeColor="text1"/>
          <w:sz w:val="24"/>
          <w:szCs w:val="24"/>
          <w:lang w:val="en-US" w:eastAsia="en-US"/>
        </w:rPr>
        <w:t xml:space="preserve">The study focuses on the narrative statements included in annual reports, as they are more likely to contain forward-looking disclosures (Athanasakou </w:t>
      </w:r>
      <w:r w:rsidR="0001377A" w:rsidRPr="00DE13EE">
        <w:rPr>
          <w:rFonts w:ascii="Times New Roman" w:eastAsia="Calibri" w:hAnsi="Times New Roman" w:cs="Times New Roman"/>
          <w:color w:val="000000" w:themeColor="text1"/>
          <w:sz w:val="24"/>
          <w:szCs w:val="24"/>
          <w:lang w:val="en-US" w:eastAsia="en-US"/>
        </w:rPr>
        <w:t xml:space="preserve">and </w:t>
      </w:r>
      <w:r w:rsidRPr="00DE13EE">
        <w:rPr>
          <w:rFonts w:ascii="Times New Roman" w:eastAsia="Calibri" w:hAnsi="Times New Roman" w:cs="Times New Roman"/>
          <w:color w:val="000000" w:themeColor="text1"/>
          <w:sz w:val="24"/>
          <w:szCs w:val="24"/>
          <w:lang w:val="en-US" w:eastAsia="en-US"/>
        </w:rPr>
        <w:t xml:space="preserve">Hussainey 2014). When reading the annual report, we find that narrative statements are included under different headings. Firms report narrative statements under the title of “OFR” (381 firms); or report in the two separate sections “Operating Review” and “Financial Review” (469 firms); or produce the same OFR contents under the title “Business Review” (1143 firms); or under the title “Chief Executive Review” (792 firms). These instances total 2,785 firms, representing 95% of the sample. The </w:t>
      </w:r>
      <w:r w:rsidRPr="00DE13EE">
        <w:rPr>
          <w:rFonts w:ascii="Times New Roman" w:eastAsia="Calibri" w:hAnsi="Times New Roman" w:cs="Times New Roman"/>
          <w:color w:val="000000" w:themeColor="text1"/>
          <w:sz w:val="24"/>
          <w:szCs w:val="24"/>
          <w:lang w:val="en-US" w:eastAsia="en-US"/>
        </w:rPr>
        <w:lastRenderedPageBreak/>
        <w:t xml:space="preserve">remaining 5% produce either only an “Operating Review” (88 firms) or a “Financial Review” (59 firms). </w:t>
      </w:r>
    </w:p>
    <w:p w14:paraId="27919A2C" w14:textId="6FF40AD7" w:rsidR="00595DB9" w:rsidRPr="00DE13EE" w:rsidRDefault="00595DB9" w:rsidP="00B93D4F">
      <w:pPr>
        <w:spacing w:line="360" w:lineRule="auto"/>
        <w:jc w:val="both"/>
        <w:rPr>
          <w:rFonts w:ascii="Times New Roman" w:eastAsia="Calibri" w:hAnsi="Times New Roman" w:cs="Times New Roman"/>
          <w:color w:val="000000" w:themeColor="text1"/>
          <w:sz w:val="24"/>
          <w:szCs w:val="24"/>
          <w:lang w:val="en-US" w:eastAsia="en-US"/>
        </w:rPr>
      </w:pPr>
      <w:r w:rsidRPr="00DE13EE">
        <w:rPr>
          <w:rFonts w:ascii="Times New Roman" w:eastAsia="Calibri" w:hAnsi="Times New Roman" w:cs="Times New Roman"/>
          <w:color w:val="000000" w:themeColor="text1"/>
          <w:sz w:val="24"/>
          <w:szCs w:val="24"/>
          <w:lang w:val="en-US" w:eastAsia="en-US"/>
        </w:rPr>
        <w:t>Annual reports are collected from companies’ official websites, the Thomson One Banker database and the Northcote website (</w:t>
      </w:r>
      <w:hyperlink r:id="rId8" w:history="1">
        <w:r w:rsidRPr="00DE13EE">
          <w:rPr>
            <w:rStyle w:val="Hyperlink"/>
            <w:rFonts w:ascii="Times New Roman" w:eastAsia="Calibri" w:hAnsi="Times New Roman" w:cs="Times New Roman"/>
            <w:color w:val="000000" w:themeColor="text1"/>
            <w:sz w:val="24"/>
            <w:szCs w:val="24"/>
            <w:lang w:val="en-US" w:eastAsia="en-US"/>
          </w:rPr>
          <w:t>www.northcote.co.uk</w:t>
        </w:r>
      </w:hyperlink>
      <w:r w:rsidRPr="00DE13EE">
        <w:rPr>
          <w:rFonts w:ascii="Times New Roman" w:eastAsia="Calibri" w:hAnsi="Times New Roman" w:cs="Times New Roman"/>
          <w:color w:val="000000" w:themeColor="text1"/>
          <w:sz w:val="24"/>
          <w:szCs w:val="24"/>
          <w:lang w:val="en-US" w:eastAsia="en-US"/>
        </w:rPr>
        <w:t>). All financial data comes from DataStream. Auditor type data is manually collected from the companies’ annual reports.</w:t>
      </w:r>
    </w:p>
    <w:p w14:paraId="30BDAF3D" w14:textId="39F1ADFC" w:rsidR="00812C9C" w:rsidRPr="00DE13EE" w:rsidRDefault="00595DB9" w:rsidP="00B93D4F">
      <w:pPr>
        <w:pStyle w:val="Heading2"/>
        <w:rPr>
          <w:color w:val="000000" w:themeColor="text1"/>
        </w:rPr>
      </w:pPr>
      <w:r w:rsidRPr="00DE13EE">
        <w:rPr>
          <w:color w:val="000000" w:themeColor="text1"/>
        </w:rPr>
        <w:t xml:space="preserve">3.2 </w:t>
      </w:r>
      <w:r w:rsidR="00812C9C" w:rsidRPr="00DE13EE">
        <w:rPr>
          <w:color w:val="000000" w:themeColor="text1"/>
        </w:rPr>
        <w:t xml:space="preserve">Measurements of variables </w:t>
      </w:r>
    </w:p>
    <w:p w14:paraId="77F87652" w14:textId="133B82FD" w:rsidR="00812C9C" w:rsidRPr="00DE13EE" w:rsidRDefault="00812C9C" w:rsidP="00B93D4F">
      <w:pPr>
        <w:spacing w:line="360" w:lineRule="auto"/>
        <w:jc w:val="both"/>
        <w:rPr>
          <w:rFonts w:ascii="Times New Roman" w:eastAsia="SimHei" w:hAnsi="Times New Roman" w:cs="Times New Roman"/>
          <w:color w:val="000000" w:themeColor="text1"/>
          <w:sz w:val="24"/>
          <w:lang w:val="en-US"/>
        </w:rPr>
      </w:pPr>
      <w:r w:rsidRPr="00DE13EE">
        <w:rPr>
          <w:rStyle w:val="Heading3Char"/>
          <w:rFonts w:cs="Times New Roman"/>
          <w:color w:val="000000" w:themeColor="text1"/>
          <w:lang w:val="en-US"/>
        </w:rPr>
        <w:t>3.</w:t>
      </w:r>
      <w:r w:rsidR="00267560" w:rsidRPr="00DE13EE">
        <w:rPr>
          <w:rStyle w:val="Heading3Char"/>
          <w:rFonts w:cs="Times New Roman"/>
          <w:color w:val="000000" w:themeColor="text1"/>
          <w:lang w:val="en-US"/>
        </w:rPr>
        <w:t>2</w:t>
      </w:r>
      <w:r w:rsidRPr="00DE13EE">
        <w:rPr>
          <w:rStyle w:val="Heading3Char"/>
          <w:rFonts w:cs="Times New Roman"/>
          <w:color w:val="000000" w:themeColor="text1"/>
          <w:lang w:val="en-US"/>
        </w:rPr>
        <w:t>.1 Forward-Looking Disclosure</w:t>
      </w:r>
      <w:r w:rsidRPr="00DE13EE">
        <w:rPr>
          <w:rFonts w:ascii="Times New Roman" w:eastAsiaTheme="majorEastAsia" w:hAnsi="Times New Roman" w:cs="Times New Roman"/>
          <w:b/>
          <w:bCs/>
          <w:i/>
          <w:color w:val="000000" w:themeColor="text1"/>
          <w:sz w:val="24"/>
          <w:lang w:val="en-US" w:eastAsia="en-US"/>
        </w:rPr>
        <w:t xml:space="preserve">. </w:t>
      </w:r>
      <w:r w:rsidRPr="00DE13EE">
        <w:rPr>
          <w:rFonts w:ascii="Times New Roman" w:eastAsia="SimHei" w:hAnsi="Times New Roman" w:cs="Times New Roman"/>
          <w:color w:val="000000" w:themeColor="text1"/>
          <w:sz w:val="24"/>
          <w:szCs w:val="24"/>
          <w:lang w:val="en-US"/>
        </w:rPr>
        <w:t>The automated content analysis technique</w:t>
      </w:r>
      <w:r w:rsidR="00C67C58" w:rsidRPr="00DE13EE">
        <w:rPr>
          <w:rFonts w:ascii="Times New Roman" w:eastAsia="SimHei" w:hAnsi="Times New Roman" w:cs="Times New Roman"/>
          <w:color w:val="000000" w:themeColor="text1"/>
          <w:sz w:val="24"/>
          <w:szCs w:val="24"/>
          <w:lang w:val="en-US"/>
        </w:rPr>
        <w:t xml:space="preserve"> (e.g., Li 2010) </w:t>
      </w:r>
      <w:r w:rsidR="00AE0494" w:rsidRPr="00DE13EE">
        <w:rPr>
          <w:rFonts w:ascii="Times New Roman" w:eastAsia="SimHei" w:hAnsi="Times New Roman" w:cs="Times New Roman"/>
          <w:color w:val="000000" w:themeColor="text1"/>
          <w:sz w:val="24"/>
          <w:szCs w:val="24"/>
          <w:lang w:val="en-US"/>
        </w:rPr>
        <w:t xml:space="preserve">using QSR N6 software </w:t>
      </w:r>
      <w:r w:rsidRPr="00DE13EE">
        <w:rPr>
          <w:rFonts w:ascii="Times New Roman" w:eastAsia="SimHei" w:hAnsi="Times New Roman" w:cs="Times New Roman"/>
          <w:color w:val="000000" w:themeColor="text1"/>
          <w:sz w:val="24"/>
          <w:szCs w:val="24"/>
          <w:lang w:val="en-US"/>
        </w:rPr>
        <w:t xml:space="preserve">is used to capture the level of forward-looking disclosure. </w:t>
      </w:r>
      <w:r w:rsidR="00C67C58" w:rsidRPr="00DE13EE">
        <w:rPr>
          <w:rFonts w:ascii="Times New Roman" w:eastAsia="SimHei" w:hAnsi="Times New Roman" w:cs="Times New Roman"/>
          <w:color w:val="000000" w:themeColor="text1"/>
          <w:sz w:val="24"/>
          <w:szCs w:val="24"/>
          <w:lang w:val="en-US"/>
        </w:rPr>
        <w:t xml:space="preserve">Based on prior research (Hussainey et al. 2003; </w:t>
      </w:r>
      <w:r w:rsidR="00D90549" w:rsidRPr="00DE13EE">
        <w:rPr>
          <w:rFonts w:ascii="Times New Roman" w:eastAsia="SimHei" w:hAnsi="Times New Roman" w:cs="Times New Roman"/>
          <w:color w:val="000000" w:themeColor="text1"/>
          <w:sz w:val="24"/>
          <w:szCs w:val="24"/>
          <w:lang w:val="en-US"/>
        </w:rPr>
        <w:t>Muslu</w:t>
      </w:r>
      <w:r w:rsidR="0001377A" w:rsidRPr="00DE13EE">
        <w:rPr>
          <w:rFonts w:ascii="Times New Roman" w:eastAsia="SimHei" w:hAnsi="Times New Roman" w:cs="Times New Roman"/>
          <w:color w:val="000000" w:themeColor="text1"/>
          <w:sz w:val="24"/>
          <w:szCs w:val="24"/>
          <w:lang w:val="en-US"/>
        </w:rPr>
        <w:t xml:space="preserve"> et al.</w:t>
      </w:r>
      <w:r w:rsidR="00D90549" w:rsidRPr="00DE13EE">
        <w:rPr>
          <w:rFonts w:ascii="Times New Roman" w:eastAsia="SimHei" w:hAnsi="Times New Roman" w:cs="Times New Roman"/>
          <w:color w:val="000000" w:themeColor="text1"/>
          <w:sz w:val="24"/>
          <w:szCs w:val="24"/>
          <w:lang w:val="en-US"/>
        </w:rPr>
        <w:t xml:space="preserve"> 2015</w:t>
      </w:r>
      <w:r w:rsidR="00C67C58" w:rsidRPr="00DE13EE">
        <w:rPr>
          <w:rFonts w:ascii="Times New Roman" w:eastAsia="SimHei" w:hAnsi="Times New Roman" w:cs="Times New Roman"/>
          <w:color w:val="000000" w:themeColor="text1"/>
          <w:sz w:val="24"/>
          <w:szCs w:val="24"/>
          <w:lang w:val="en-US"/>
        </w:rPr>
        <w:t xml:space="preserve">) and by reading and examining </w:t>
      </w:r>
      <w:r w:rsidR="00F21039" w:rsidRPr="00DE13EE">
        <w:rPr>
          <w:rFonts w:ascii="Times New Roman" w:eastAsia="SimHei" w:hAnsi="Times New Roman" w:cs="Times New Roman"/>
          <w:color w:val="000000" w:themeColor="text1"/>
          <w:sz w:val="24"/>
          <w:szCs w:val="24"/>
          <w:lang w:val="en-US"/>
        </w:rPr>
        <w:t>30</w:t>
      </w:r>
      <w:r w:rsidR="00C67C58" w:rsidRPr="00DE13EE">
        <w:rPr>
          <w:rFonts w:ascii="Times New Roman" w:eastAsia="SimHei" w:hAnsi="Times New Roman" w:cs="Times New Roman"/>
          <w:color w:val="000000" w:themeColor="text1"/>
          <w:sz w:val="24"/>
          <w:szCs w:val="24"/>
          <w:lang w:val="en-US"/>
        </w:rPr>
        <w:t xml:space="preserve"> randomly selected </w:t>
      </w:r>
      <w:r w:rsidR="00F21039" w:rsidRPr="00DE13EE">
        <w:rPr>
          <w:rFonts w:ascii="Times New Roman" w:eastAsia="SimHei" w:hAnsi="Times New Roman" w:cs="Times New Roman"/>
          <w:color w:val="000000" w:themeColor="text1"/>
          <w:sz w:val="24"/>
          <w:szCs w:val="24"/>
          <w:lang w:val="en-US"/>
        </w:rPr>
        <w:t xml:space="preserve">narrative sections from annual reports, we develop </w:t>
      </w:r>
      <w:r w:rsidR="00F21039" w:rsidRPr="00DE13EE">
        <w:rPr>
          <w:rFonts w:ascii="Times New Roman" w:eastAsia="SimHei" w:hAnsi="Times New Roman" w:cs="Times New Roman"/>
          <w:color w:val="000000" w:themeColor="text1"/>
          <w:sz w:val="24"/>
          <w:lang w:val="en-US"/>
        </w:rPr>
        <w:t>a list of 33 forward-looking keywords such as “looking ahead” and “expect”. Appendix (1) provides the list of keywords. In addition, c</w:t>
      </w:r>
      <w:r w:rsidRPr="00DE13EE">
        <w:rPr>
          <w:rFonts w:ascii="Times New Roman" w:eastAsia="SimHei" w:hAnsi="Times New Roman" w:cs="Times New Roman"/>
          <w:color w:val="000000" w:themeColor="text1"/>
          <w:sz w:val="24"/>
          <w:lang w:val="en-US"/>
        </w:rPr>
        <w:t xml:space="preserve">onjugations are used with verbs that imply </w:t>
      </w:r>
      <w:r w:rsidR="00E17648" w:rsidRPr="00DE13EE">
        <w:rPr>
          <w:rFonts w:ascii="Times New Roman" w:eastAsia="SimHei" w:hAnsi="Times New Roman" w:cs="Times New Roman"/>
          <w:color w:val="000000" w:themeColor="text1"/>
          <w:sz w:val="24"/>
          <w:lang w:val="en-US"/>
        </w:rPr>
        <w:t xml:space="preserve">the </w:t>
      </w:r>
      <w:r w:rsidRPr="00DE13EE">
        <w:rPr>
          <w:rFonts w:ascii="Times New Roman" w:eastAsia="SimHei" w:hAnsi="Times New Roman" w:cs="Times New Roman"/>
          <w:color w:val="000000" w:themeColor="text1"/>
          <w:sz w:val="24"/>
          <w:lang w:val="en-US"/>
        </w:rPr>
        <w:t xml:space="preserve">future to reduce the likelihood of capturing noun forms of some verbs (such as </w:t>
      </w:r>
      <w:r w:rsidRPr="00DE13EE">
        <w:rPr>
          <w:rFonts w:ascii="Times New Roman" w:eastAsia="SimHei" w:hAnsi="Times New Roman" w:cs="Times New Roman"/>
          <w:i/>
          <w:color w:val="000000" w:themeColor="text1"/>
          <w:sz w:val="24"/>
          <w:lang w:val="en-US"/>
        </w:rPr>
        <w:t>“the company plans to ….”</w:t>
      </w:r>
      <w:r w:rsidRPr="00DE13EE">
        <w:rPr>
          <w:rFonts w:ascii="Times New Roman" w:eastAsia="SimHei" w:hAnsi="Times New Roman" w:cs="Times New Roman"/>
          <w:color w:val="000000" w:themeColor="text1"/>
          <w:sz w:val="24"/>
          <w:lang w:val="en-US"/>
        </w:rPr>
        <w:t xml:space="preserve">). Furthermore, </w:t>
      </w:r>
      <w:r w:rsidR="00DD172E" w:rsidRPr="00DE13EE">
        <w:rPr>
          <w:rFonts w:ascii="Times New Roman" w:eastAsia="SimHei" w:hAnsi="Times New Roman" w:cs="Times New Roman"/>
          <w:color w:val="000000" w:themeColor="text1"/>
          <w:sz w:val="24"/>
          <w:lang w:val="en-US"/>
        </w:rPr>
        <w:t xml:space="preserve">the </w:t>
      </w:r>
      <w:r w:rsidRPr="00DE13EE">
        <w:rPr>
          <w:rFonts w:ascii="Times New Roman" w:eastAsia="SimHei" w:hAnsi="Times New Roman" w:cs="Times New Roman"/>
          <w:color w:val="000000" w:themeColor="text1"/>
          <w:sz w:val="24"/>
          <w:lang w:val="en-US"/>
        </w:rPr>
        <w:t xml:space="preserve">numerical reference to future years is added </w:t>
      </w:r>
      <w:r w:rsidR="00DD172E" w:rsidRPr="00DE13EE">
        <w:rPr>
          <w:rFonts w:ascii="Times New Roman" w:eastAsia="SimHei" w:hAnsi="Times New Roman" w:cs="Times New Roman"/>
          <w:color w:val="000000" w:themeColor="text1"/>
          <w:sz w:val="24"/>
          <w:lang w:val="en-US"/>
        </w:rPr>
        <w:t xml:space="preserve">to the list of keywords </w:t>
      </w:r>
      <w:r w:rsidRPr="00DE13EE">
        <w:rPr>
          <w:rFonts w:ascii="Times New Roman" w:eastAsia="SimHei" w:hAnsi="Times New Roman" w:cs="Times New Roman"/>
          <w:color w:val="000000" w:themeColor="text1"/>
          <w:sz w:val="24"/>
          <w:lang w:val="en-US"/>
        </w:rPr>
        <w:t xml:space="preserve">(e.g., </w:t>
      </w:r>
      <w:r w:rsidR="0078763A" w:rsidRPr="00DE13EE">
        <w:rPr>
          <w:rFonts w:ascii="Times New Roman" w:eastAsia="SimHei" w:hAnsi="Times New Roman" w:cs="Times New Roman"/>
          <w:i/>
          <w:color w:val="000000" w:themeColor="text1"/>
          <w:sz w:val="24"/>
          <w:lang w:val="en-US"/>
        </w:rPr>
        <w:t>2013</w:t>
      </w:r>
      <w:r w:rsidRPr="00DE13EE">
        <w:rPr>
          <w:rFonts w:ascii="Times New Roman" w:eastAsia="SimHei" w:hAnsi="Times New Roman" w:cs="Times New Roman"/>
          <w:i/>
          <w:color w:val="000000" w:themeColor="text1"/>
          <w:sz w:val="24"/>
          <w:lang w:val="en-US"/>
        </w:rPr>
        <w:t>/</w:t>
      </w:r>
      <w:r w:rsidR="0078763A" w:rsidRPr="00DE13EE">
        <w:rPr>
          <w:rFonts w:ascii="Times New Roman" w:eastAsia="SimHei" w:hAnsi="Times New Roman" w:cs="Times New Roman"/>
          <w:i/>
          <w:color w:val="000000" w:themeColor="text1"/>
          <w:sz w:val="24"/>
          <w:lang w:val="en-US"/>
        </w:rPr>
        <w:t xml:space="preserve">2014 </w:t>
      </w:r>
      <w:r w:rsidRPr="00DE13EE">
        <w:rPr>
          <w:rFonts w:ascii="Times New Roman" w:eastAsia="SimHei" w:hAnsi="Times New Roman" w:cs="Times New Roman"/>
          <w:i/>
          <w:color w:val="000000" w:themeColor="text1"/>
          <w:sz w:val="24"/>
          <w:lang w:val="en-US"/>
        </w:rPr>
        <w:t xml:space="preserve">is </w:t>
      </w:r>
      <w:r w:rsidR="00DB750B" w:rsidRPr="00DE13EE">
        <w:rPr>
          <w:rFonts w:ascii="Times New Roman" w:eastAsia="SimHei" w:hAnsi="Times New Roman" w:cs="Times New Roman"/>
          <w:i/>
          <w:color w:val="000000" w:themeColor="text1"/>
          <w:sz w:val="24"/>
          <w:lang w:val="en-US"/>
        </w:rPr>
        <w:t xml:space="preserve">used </w:t>
      </w:r>
      <w:r w:rsidRPr="00DE13EE">
        <w:rPr>
          <w:rFonts w:ascii="Times New Roman" w:eastAsia="SimHei" w:hAnsi="Times New Roman" w:cs="Times New Roman"/>
          <w:i/>
          <w:color w:val="000000" w:themeColor="text1"/>
          <w:sz w:val="24"/>
          <w:lang w:val="en-US"/>
        </w:rPr>
        <w:t xml:space="preserve">when </w:t>
      </w:r>
      <w:r w:rsidR="00DD172E" w:rsidRPr="00DE13EE">
        <w:rPr>
          <w:rFonts w:ascii="Times New Roman" w:eastAsia="SimHei" w:hAnsi="Times New Roman" w:cs="Times New Roman"/>
          <w:i/>
          <w:color w:val="000000" w:themeColor="text1"/>
          <w:sz w:val="24"/>
          <w:lang w:val="en-US"/>
        </w:rPr>
        <w:t>text-</w:t>
      </w:r>
      <w:r w:rsidRPr="00DE13EE">
        <w:rPr>
          <w:rFonts w:ascii="Times New Roman" w:eastAsia="SimHei" w:hAnsi="Times New Roman" w:cs="Times New Roman"/>
          <w:i/>
          <w:color w:val="000000" w:themeColor="text1"/>
          <w:sz w:val="24"/>
          <w:lang w:val="en-US"/>
        </w:rPr>
        <w:t xml:space="preserve">searching </w:t>
      </w:r>
      <w:r w:rsidR="00DD172E" w:rsidRPr="00DE13EE">
        <w:rPr>
          <w:rFonts w:ascii="Times New Roman" w:eastAsia="SimHei" w:hAnsi="Times New Roman" w:cs="Times New Roman"/>
          <w:i/>
          <w:color w:val="000000" w:themeColor="text1"/>
          <w:sz w:val="24"/>
          <w:lang w:val="en-US"/>
        </w:rPr>
        <w:t>annual report narratives</w:t>
      </w:r>
      <w:r w:rsidRPr="00DE13EE">
        <w:rPr>
          <w:rFonts w:ascii="Times New Roman" w:eastAsia="SimHei" w:hAnsi="Times New Roman" w:cs="Times New Roman"/>
          <w:i/>
          <w:color w:val="000000" w:themeColor="text1"/>
          <w:sz w:val="24"/>
          <w:lang w:val="en-US"/>
        </w:rPr>
        <w:t xml:space="preserve"> of </w:t>
      </w:r>
      <w:r w:rsidR="0078763A" w:rsidRPr="00DE13EE">
        <w:rPr>
          <w:rFonts w:ascii="Times New Roman" w:eastAsia="SimHei" w:hAnsi="Times New Roman" w:cs="Times New Roman"/>
          <w:i/>
          <w:color w:val="000000" w:themeColor="text1"/>
          <w:sz w:val="24"/>
          <w:lang w:val="en-US"/>
        </w:rPr>
        <w:t>2012</w:t>
      </w:r>
      <w:r w:rsidRPr="00DE13EE">
        <w:rPr>
          <w:rFonts w:ascii="Times New Roman" w:eastAsia="SimHei" w:hAnsi="Times New Roman" w:cs="Times New Roman"/>
          <w:color w:val="000000" w:themeColor="text1"/>
          <w:sz w:val="24"/>
          <w:lang w:val="en-US"/>
        </w:rPr>
        <w:t xml:space="preserve">). </w:t>
      </w:r>
      <w:r w:rsidR="00F21039" w:rsidRPr="00DE13EE">
        <w:rPr>
          <w:rFonts w:ascii="Times New Roman" w:eastAsia="SimHei" w:hAnsi="Times New Roman" w:cs="Times New Roman"/>
          <w:color w:val="000000" w:themeColor="text1"/>
          <w:sz w:val="24"/>
          <w:lang w:val="en-US"/>
        </w:rPr>
        <w:t xml:space="preserve">The forward-looking disclosure score (FLD score) is generated by counting the frequencies of sentences containing at least one of the 33 forward-looking keywords </w:t>
      </w:r>
      <w:r w:rsidRPr="00DE13EE">
        <w:rPr>
          <w:rFonts w:ascii="Times New Roman" w:eastAsia="SimHei" w:hAnsi="Times New Roman" w:cs="Times New Roman"/>
          <w:color w:val="000000" w:themeColor="text1"/>
          <w:sz w:val="24"/>
          <w:lang w:val="en-US"/>
        </w:rPr>
        <w:t>divided by the total number of sentences in the narrative section.</w:t>
      </w:r>
      <w:r w:rsidR="00F65672" w:rsidRPr="00DE13EE">
        <w:rPr>
          <w:rFonts w:ascii="Times New Roman" w:eastAsia="SimHei" w:hAnsi="Times New Roman" w:cs="Times New Roman"/>
          <w:color w:val="000000" w:themeColor="text1"/>
          <w:sz w:val="24"/>
          <w:lang w:val="en-US"/>
        </w:rPr>
        <w:t xml:space="preserve"> As recommended in seminal research (e.g., Bowman 1984), sentences rather than words are used as </w:t>
      </w:r>
      <w:r w:rsidR="00DD172E" w:rsidRPr="00DE13EE">
        <w:rPr>
          <w:rFonts w:ascii="Times New Roman" w:eastAsia="SimHei" w:hAnsi="Times New Roman" w:cs="Times New Roman"/>
          <w:color w:val="000000" w:themeColor="text1"/>
          <w:sz w:val="24"/>
          <w:lang w:val="en-US"/>
        </w:rPr>
        <w:t xml:space="preserve">the </w:t>
      </w:r>
      <w:r w:rsidR="00F65672" w:rsidRPr="00DE13EE">
        <w:rPr>
          <w:rFonts w:ascii="Times New Roman" w:eastAsia="SimHei" w:hAnsi="Times New Roman" w:cs="Times New Roman"/>
          <w:color w:val="000000" w:themeColor="text1"/>
          <w:sz w:val="24"/>
          <w:lang w:val="en-US"/>
        </w:rPr>
        <w:t xml:space="preserve">coding unit in the content analysis. This is because </w:t>
      </w:r>
      <w:r w:rsidR="00DD172E" w:rsidRPr="00DE13EE">
        <w:rPr>
          <w:rFonts w:ascii="Times New Roman" w:eastAsia="SimHei" w:hAnsi="Times New Roman" w:cs="Times New Roman"/>
          <w:color w:val="000000" w:themeColor="text1"/>
          <w:sz w:val="24"/>
          <w:lang w:val="en-US"/>
        </w:rPr>
        <w:t xml:space="preserve">the </w:t>
      </w:r>
      <w:r w:rsidR="00D90549" w:rsidRPr="00DE13EE">
        <w:rPr>
          <w:rFonts w:ascii="Times New Roman" w:eastAsia="SimHei" w:hAnsi="Times New Roman" w:cs="Times New Roman"/>
          <w:color w:val="000000" w:themeColor="text1"/>
          <w:sz w:val="24"/>
          <w:lang w:val="en-US"/>
        </w:rPr>
        <w:t xml:space="preserve">word itself has no meaning </w:t>
      </w:r>
      <w:r w:rsidR="00F65672" w:rsidRPr="00DE13EE">
        <w:rPr>
          <w:rFonts w:ascii="Times New Roman" w:eastAsia="SimHei" w:hAnsi="Times New Roman" w:cs="Times New Roman"/>
          <w:color w:val="000000" w:themeColor="text1"/>
          <w:sz w:val="24"/>
          <w:lang w:val="en-US"/>
        </w:rPr>
        <w:t xml:space="preserve">if </w:t>
      </w:r>
      <w:r w:rsidR="00D90549" w:rsidRPr="00DE13EE">
        <w:rPr>
          <w:rFonts w:ascii="Times New Roman" w:eastAsia="SimHei" w:hAnsi="Times New Roman" w:cs="Times New Roman"/>
          <w:color w:val="000000" w:themeColor="text1"/>
          <w:sz w:val="24"/>
          <w:lang w:val="en-US"/>
        </w:rPr>
        <w:t>it is</w:t>
      </w:r>
      <w:r w:rsidR="00F65672" w:rsidRPr="00DE13EE">
        <w:rPr>
          <w:rFonts w:ascii="Times New Roman" w:eastAsia="SimHei" w:hAnsi="Times New Roman" w:cs="Times New Roman"/>
          <w:color w:val="000000" w:themeColor="text1"/>
          <w:sz w:val="24"/>
          <w:lang w:val="en-US"/>
        </w:rPr>
        <w:t xml:space="preserve"> used in isolation of the meaning of the whole sentence</w:t>
      </w:r>
      <w:r w:rsidR="00D90549" w:rsidRPr="00DE13EE">
        <w:rPr>
          <w:rFonts w:ascii="Times New Roman" w:eastAsia="SimHei" w:hAnsi="Times New Roman" w:cs="Times New Roman"/>
          <w:color w:val="000000" w:themeColor="text1"/>
          <w:sz w:val="24"/>
          <w:lang w:val="en-US"/>
        </w:rPr>
        <w:t xml:space="preserve"> </w:t>
      </w:r>
      <w:r w:rsidR="00F65672" w:rsidRPr="00DE13EE">
        <w:rPr>
          <w:rFonts w:ascii="Times New Roman" w:eastAsia="SimHei" w:hAnsi="Times New Roman" w:cs="Times New Roman"/>
          <w:color w:val="000000" w:themeColor="text1"/>
          <w:sz w:val="24"/>
          <w:lang w:val="en-US"/>
        </w:rPr>
        <w:t>(</w:t>
      </w:r>
      <w:r w:rsidR="00D74FD0" w:rsidRPr="00DE13EE">
        <w:rPr>
          <w:rFonts w:ascii="Times New Roman" w:eastAsia="SimHei" w:hAnsi="Times New Roman" w:cs="Times New Roman"/>
          <w:color w:val="000000" w:themeColor="text1"/>
          <w:sz w:val="24"/>
          <w:lang w:val="en-US"/>
        </w:rPr>
        <w:t>Beattie et al. 2004</w:t>
      </w:r>
      <w:r w:rsidR="00F65672" w:rsidRPr="00DE13EE">
        <w:rPr>
          <w:rFonts w:ascii="Times New Roman" w:eastAsia="SimHei" w:hAnsi="Times New Roman" w:cs="Times New Roman"/>
          <w:color w:val="000000" w:themeColor="text1"/>
          <w:sz w:val="24"/>
          <w:lang w:val="en-US"/>
        </w:rPr>
        <w:t xml:space="preserve">). </w:t>
      </w:r>
    </w:p>
    <w:p w14:paraId="11E02CB7" w14:textId="3E77FE49" w:rsidR="00812C9C" w:rsidRPr="00DE13EE" w:rsidRDefault="00812C9C" w:rsidP="00B93D4F">
      <w:pPr>
        <w:spacing w:line="360" w:lineRule="auto"/>
        <w:jc w:val="both"/>
        <w:rPr>
          <w:rFonts w:ascii="Times New Roman" w:eastAsia="SimHei" w:hAnsi="Times New Roman" w:cs="Times New Roman"/>
          <w:color w:val="000000" w:themeColor="text1"/>
          <w:sz w:val="24"/>
          <w:lang w:val="en-US"/>
        </w:rPr>
      </w:pPr>
      <w:r w:rsidRPr="00DE13EE">
        <w:rPr>
          <w:rFonts w:ascii="Times New Roman" w:eastAsia="SimHei" w:hAnsi="Times New Roman" w:cs="Times New Roman"/>
          <w:color w:val="000000" w:themeColor="text1"/>
          <w:sz w:val="24"/>
          <w:lang w:val="en-US"/>
        </w:rPr>
        <w:t xml:space="preserve">To assess the reliability of the FLD score, a randomly selected sample from narrative statements is manually coded, and FLD score is calculated based on the manual coding. Following Hussianey et al. (2003), the Pearson correlation is used to compare the FLD score </w:t>
      </w:r>
      <w:r w:rsidR="005950CA" w:rsidRPr="00DE13EE">
        <w:rPr>
          <w:rFonts w:ascii="Times New Roman" w:eastAsia="SimHei" w:hAnsi="Times New Roman" w:cs="Times New Roman"/>
          <w:color w:val="000000" w:themeColor="text1"/>
          <w:sz w:val="24"/>
          <w:lang w:val="en-US"/>
        </w:rPr>
        <w:t xml:space="preserve">with </w:t>
      </w:r>
      <w:r w:rsidRPr="00DE13EE">
        <w:rPr>
          <w:rFonts w:ascii="Times New Roman" w:eastAsia="SimHei" w:hAnsi="Times New Roman" w:cs="Times New Roman"/>
          <w:color w:val="000000" w:themeColor="text1"/>
          <w:sz w:val="24"/>
          <w:lang w:val="en-US"/>
        </w:rPr>
        <w:t xml:space="preserve">manual coding and the FLD score </w:t>
      </w:r>
      <w:r w:rsidR="00E01D9B" w:rsidRPr="00DE13EE">
        <w:rPr>
          <w:rFonts w:ascii="Times New Roman" w:eastAsia="SimHei" w:hAnsi="Times New Roman" w:cs="Times New Roman"/>
          <w:color w:val="000000" w:themeColor="text1"/>
          <w:sz w:val="24"/>
          <w:lang w:val="en-US"/>
        </w:rPr>
        <w:t xml:space="preserve">with </w:t>
      </w:r>
      <w:r w:rsidRPr="00DE13EE">
        <w:rPr>
          <w:rFonts w:ascii="Times New Roman" w:eastAsia="SimHei" w:hAnsi="Times New Roman" w:cs="Times New Roman"/>
          <w:color w:val="000000" w:themeColor="text1"/>
          <w:sz w:val="24"/>
          <w:lang w:val="en-US"/>
        </w:rPr>
        <w:t>automated coding.</w:t>
      </w:r>
      <w:r w:rsidRPr="00DE13EE">
        <w:rPr>
          <w:rFonts w:ascii="Times New Roman" w:eastAsia="SimHei" w:hAnsi="Times New Roman" w:cs="Times New Roman"/>
          <w:b/>
          <w:bCs/>
          <w:color w:val="000000" w:themeColor="text1"/>
          <w:sz w:val="24"/>
          <w:lang w:val="en-US"/>
        </w:rPr>
        <w:t xml:space="preserve"> </w:t>
      </w:r>
      <w:r w:rsidRPr="00DE13EE">
        <w:rPr>
          <w:rFonts w:ascii="Times New Roman" w:eastAsia="SimHei" w:hAnsi="Times New Roman" w:cs="Times New Roman"/>
          <w:color w:val="000000" w:themeColor="text1"/>
          <w:sz w:val="24"/>
          <w:lang w:val="en-US"/>
        </w:rPr>
        <w:t xml:space="preserve">A Pearson correlation </w:t>
      </w:r>
      <w:r w:rsidR="00D66BF5" w:rsidRPr="00DE13EE">
        <w:rPr>
          <w:rFonts w:ascii="Times New Roman" w:eastAsia="SimHei" w:hAnsi="Times New Roman" w:cs="Times New Roman"/>
          <w:color w:val="000000" w:themeColor="text1"/>
          <w:sz w:val="24"/>
          <w:lang w:val="en-US"/>
        </w:rPr>
        <w:t xml:space="preserve">coefficient of .926 </w:t>
      </w:r>
      <w:r w:rsidRPr="00DE13EE">
        <w:rPr>
          <w:rFonts w:ascii="Times New Roman" w:eastAsia="SimHei" w:hAnsi="Times New Roman" w:cs="Times New Roman"/>
          <w:color w:val="000000" w:themeColor="text1"/>
          <w:sz w:val="24"/>
          <w:lang w:val="en-US"/>
        </w:rPr>
        <w:t xml:space="preserve">shows that the FLD score based on manual coding is statistically correlated with the FLD score from automated coding at </w:t>
      </w:r>
      <w:r w:rsidR="0016019C" w:rsidRPr="00DE13EE">
        <w:rPr>
          <w:rFonts w:ascii="Times New Roman" w:eastAsia="SimHei" w:hAnsi="Times New Roman" w:cs="Times New Roman"/>
          <w:color w:val="000000" w:themeColor="text1"/>
          <w:sz w:val="24"/>
          <w:lang w:val="en-US"/>
        </w:rPr>
        <w:t xml:space="preserve">a </w:t>
      </w:r>
      <w:r w:rsidRPr="00DE13EE">
        <w:rPr>
          <w:rFonts w:ascii="Times New Roman" w:eastAsia="SimHei" w:hAnsi="Times New Roman" w:cs="Times New Roman"/>
          <w:color w:val="000000" w:themeColor="text1"/>
          <w:sz w:val="24"/>
          <w:lang w:val="en-US"/>
        </w:rPr>
        <w:t xml:space="preserve">.01 level of significance. This suggests that the FLD score calculated </w:t>
      </w:r>
      <w:r w:rsidR="0016019C" w:rsidRPr="00DE13EE">
        <w:rPr>
          <w:rFonts w:ascii="Times New Roman" w:eastAsia="SimHei" w:hAnsi="Times New Roman" w:cs="Times New Roman"/>
          <w:color w:val="000000" w:themeColor="text1"/>
          <w:sz w:val="24"/>
          <w:lang w:val="en-US"/>
        </w:rPr>
        <w:t xml:space="preserve">using </w:t>
      </w:r>
      <w:r w:rsidRPr="00DE13EE">
        <w:rPr>
          <w:rFonts w:ascii="Times New Roman" w:eastAsia="SimHei" w:hAnsi="Times New Roman" w:cs="Times New Roman"/>
          <w:color w:val="000000" w:themeColor="text1"/>
          <w:sz w:val="24"/>
          <w:lang w:val="en-US"/>
        </w:rPr>
        <w:t xml:space="preserve">computer software is reliable. </w:t>
      </w:r>
    </w:p>
    <w:p w14:paraId="602024F2" w14:textId="12414678" w:rsidR="00812C9C" w:rsidRPr="00DE13EE" w:rsidRDefault="00812C9C" w:rsidP="00B93D4F">
      <w:pPr>
        <w:spacing w:line="360" w:lineRule="auto"/>
        <w:jc w:val="both"/>
        <w:rPr>
          <w:rFonts w:ascii="Times New Roman" w:hAnsi="Times New Roman" w:cs="Times New Roman"/>
          <w:color w:val="000000" w:themeColor="text1"/>
          <w:sz w:val="24"/>
          <w:szCs w:val="24"/>
          <w:lang w:val="en-US"/>
        </w:rPr>
      </w:pPr>
      <w:r w:rsidRPr="00DE13EE">
        <w:rPr>
          <w:rStyle w:val="Heading3Char"/>
          <w:rFonts w:cs="Times New Roman"/>
          <w:color w:val="000000" w:themeColor="text1"/>
          <w:lang w:val="en-US"/>
        </w:rPr>
        <w:t>3.</w:t>
      </w:r>
      <w:r w:rsidR="00267560" w:rsidRPr="00DE13EE">
        <w:rPr>
          <w:rStyle w:val="Heading3Char"/>
          <w:rFonts w:cs="Times New Roman"/>
          <w:color w:val="000000" w:themeColor="text1"/>
          <w:lang w:val="en-US"/>
        </w:rPr>
        <w:t>2</w:t>
      </w:r>
      <w:r w:rsidRPr="00DE13EE">
        <w:rPr>
          <w:rStyle w:val="Heading3Char"/>
          <w:rFonts w:cs="Times New Roman"/>
          <w:color w:val="000000" w:themeColor="text1"/>
          <w:lang w:val="en-US"/>
        </w:rPr>
        <w:t>.2 Firm value.</w:t>
      </w:r>
      <w:r w:rsidRPr="00DE13EE">
        <w:rPr>
          <w:rFonts w:ascii="Times New Roman" w:eastAsiaTheme="majorEastAsia" w:hAnsi="Times New Roman" w:cs="Times New Roman"/>
          <w:b/>
          <w:bCs/>
          <w:i/>
          <w:color w:val="000000" w:themeColor="text1"/>
          <w:sz w:val="24"/>
          <w:szCs w:val="24"/>
          <w:lang w:val="en-US" w:eastAsia="en-US"/>
        </w:rPr>
        <w:t xml:space="preserve"> </w:t>
      </w:r>
      <w:r w:rsidRPr="00DE13EE">
        <w:rPr>
          <w:rFonts w:ascii="Times New Roman" w:hAnsi="Times New Roman" w:cs="Times New Roman"/>
          <w:color w:val="000000" w:themeColor="text1"/>
          <w:sz w:val="24"/>
          <w:szCs w:val="24"/>
          <w:lang w:val="en-US"/>
        </w:rPr>
        <w:t xml:space="preserve">The value of the firm is measured </w:t>
      </w:r>
      <w:r w:rsidR="00D74FD0" w:rsidRPr="00DE13EE">
        <w:rPr>
          <w:rFonts w:ascii="Times New Roman" w:hAnsi="Times New Roman" w:cs="Times New Roman"/>
          <w:color w:val="000000" w:themeColor="text1"/>
          <w:sz w:val="24"/>
          <w:szCs w:val="24"/>
          <w:lang w:val="en-US"/>
        </w:rPr>
        <w:t xml:space="preserve">at </w:t>
      </w:r>
      <w:r w:rsidRPr="00DE13EE">
        <w:rPr>
          <w:rFonts w:ascii="Times New Roman" w:hAnsi="Times New Roman" w:cs="Times New Roman"/>
          <w:color w:val="000000" w:themeColor="text1"/>
          <w:sz w:val="24"/>
          <w:szCs w:val="24"/>
          <w:lang w:val="en-US"/>
        </w:rPr>
        <w:t xml:space="preserve">three months </w:t>
      </w:r>
      <w:r w:rsidR="0016019C" w:rsidRPr="00DE13EE">
        <w:rPr>
          <w:rFonts w:ascii="Times New Roman" w:hAnsi="Times New Roman" w:cs="Times New Roman"/>
          <w:color w:val="000000" w:themeColor="text1"/>
          <w:sz w:val="24"/>
          <w:szCs w:val="24"/>
          <w:lang w:val="en-US"/>
        </w:rPr>
        <w:t xml:space="preserve">after </w:t>
      </w:r>
      <w:r w:rsidRPr="00DE13EE">
        <w:rPr>
          <w:rFonts w:ascii="Times New Roman" w:hAnsi="Times New Roman" w:cs="Times New Roman"/>
          <w:color w:val="000000" w:themeColor="text1"/>
          <w:sz w:val="24"/>
          <w:szCs w:val="24"/>
          <w:lang w:val="en-US"/>
        </w:rPr>
        <w:t>the</w:t>
      </w:r>
      <w:r w:rsidR="0091737B" w:rsidRPr="00DE13EE">
        <w:rPr>
          <w:rFonts w:ascii="Times New Roman" w:hAnsi="Times New Roman" w:cs="Times New Roman"/>
          <w:color w:val="000000" w:themeColor="text1"/>
          <w:sz w:val="24"/>
          <w:szCs w:val="24"/>
          <w:lang w:val="en-US"/>
        </w:rPr>
        <w:t xml:space="preserve"> publication </w:t>
      </w:r>
      <w:r w:rsidR="00E874C0" w:rsidRPr="00DE13EE">
        <w:rPr>
          <w:rFonts w:ascii="Times New Roman" w:hAnsi="Times New Roman" w:cs="Times New Roman"/>
          <w:color w:val="000000" w:themeColor="text1"/>
          <w:sz w:val="24"/>
          <w:szCs w:val="24"/>
          <w:lang w:val="en-US"/>
        </w:rPr>
        <w:t xml:space="preserve">date </w:t>
      </w:r>
      <w:r w:rsidR="0091737B" w:rsidRPr="00DE13EE">
        <w:rPr>
          <w:rFonts w:ascii="Times New Roman" w:hAnsi="Times New Roman" w:cs="Times New Roman"/>
          <w:color w:val="000000" w:themeColor="text1"/>
          <w:sz w:val="24"/>
          <w:szCs w:val="24"/>
          <w:lang w:val="en-US"/>
        </w:rPr>
        <w:t>of the</w:t>
      </w:r>
      <w:r w:rsidRPr="00DE13EE">
        <w:rPr>
          <w:rFonts w:ascii="Times New Roman" w:hAnsi="Times New Roman" w:cs="Times New Roman"/>
          <w:color w:val="000000" w:themeColor="text1"/>
          <w:sz w:val="24"/>
          <w:szCs w:val="24"/>
          <w:lang w:val="en-US"/>
        </w:rPr>
        <w:t xml:space="preserve"> annual report. This procedure ensures that financial reporting would be publicly available to users and</w:t>
      </w:r>
      <w:r w:rsidR="00E62F1C" w:rsidRPr="00DE13EE">
        <w:rPr>
          <w:rFonts w:ascii="Times New Roman" w:hAnsi="Times New Roman" w:cs="Times New Roman"/>
          <w:color w:val="000000" w:themeColor="text1"/>
          <w:sz w:val="24"/>
          <w:szCs w:val="24"/>
          <w:lang w:val="en-US"/>
        </w:rPr>
        <w:t xml:space="preserve"> that</w:t>
      </w:r>
      <w:r w:rsidRPr="00DE13EE">
        <w:rPr>
          <w:rFonts w:ascii="Times New Roman" w:hAnsi="Times New Roman" w:cs="Times New Roman"/>
          <w:color w:val="000000" w:themeColor="text1"/>
          <w:sz w:val="24"/>
          <w:szCs w:val="24"/>
          <w:lang w:val="en-US"/>
        </w:rPr>
        <w:t xml:space="preserve"> stock prices </w:t>
      </w:r>
      <w:r w:rsidR="00E62F1C" w:rsidRPr="00DE13EE">
        <w:rPr>
          <w:rFonts w:ascii="Times New Roman" w:hAnsi="Times New Roman" w:cs="Times New Roman"/>
          <w:color w:val="000000" w:themeColor="text1"/>
          <w:sz w:val="24"/>
          <w:szCs w:val="24"/>
          <w:lang w:val="en-US"/>
        </w:rPr>
        <w:t>would reflect</w:t>
      </w:r>
      <w:r w:rsidRPr="00DE13EE">
        <w:rPr>
          <w:rFonts w:ascii="Times New Roman" w:hAnsi="Times New Roman" w:cs="Times New Roman"/>
          <w:color w:val="000000" w:themeColor="text1"/>
          <w:sz w:val="24"/>
          <w:szCs w:val="24"/>
          <w:lang w:val="en-US"/>
        </w:rPr>
        <w:t xml:space="preserve"> the FLD (Hassanein </w:t>
      </w:r>
      <w:r w:rsidR="0001377A" w:rsidRPr="00DE13EE">
        <w:rPr>
          <w:rFonts w:ascii="Times New Roman" w:hAnsi="Times New Roman" w:cs="Times New Roman"/>
          <w:color w:val="000000" w:themeColor="text1"/>
          <w:sz w:val="24"/>
          <w:szCs w:val="24"/>
          <w:lang w:val="en-US"/>
        </w:rPr>
        <w:t xml:space="preserve">and </w:t>
      </w:r>
      <w:r w:rsidRPr="00DE13EE">
        <w:rPr>
          <w:rFonts w:ascii="Times New Roman" w:hAnsi="Times New Roman" w:cs="Times New Roman"/>
          <w:color w:val="000000" w:themeColor="text1"/>
          <w:sz w:val="24"/>
          <w:szCs w:val="24"/>
          <w:lang w:val="en-US"/>
        </w:rPr>
        <w:t xml:space="preserve">Hussaieny 2015). </w:t>
      </w:r>
      <w:r w:rsidR="003817CB" w:rsidRPr="00DE13EE">
        <w:rPr>
          <w:rFonts w:ascii="Times New Roman" w:hAnsi="Times New Roman" w:cs="Times New Roman"/>
          <w:color w:val="000000" w:themeColor="text1"/>
          <w:sz w:val="24"/>
          <w:szCs w:val="24"/>
          <w:lang w:val="en-US"/>
        </w:rPr>
        <w:t xml:space="preserve"> </w:t>
      </w:r>
      <w:r w:rsidR="003817CB" w:rsidRPr="00DE13EE">
        <w:rPr>
          <w:rFonts w:ascii="Times New Roman" w:hAnsi="Times New Roman" w:cs="Times New Roman"/>
          <w:color w:val="000000" w:themeColor="text1"/>
          <w:sz w:val="24"/>
          <w:szCs w:val="24"/>
          <w:lang w:val="en-US"/>
        </w:rPr>
        <w:lastRenderedPageBreak/>
        <w:t xml:space="preserve">Following prior research (e.g., </w:t>
      </w:r>
      <w:r w:rsidR="0076255A" w:rsidRPr="00DE13EE">
        <w:rPr>
          <w:rFonts w:ascii="Times New Roman" w:hAnsi="Times New Roman" w:cs="Times New Roman"/>
          <w:color w:val="000000" w:themeColor="text1"/>
          <w:sz w:val="24"/>
          <w:szCs w:val="24"/>
          <w:lang w:val="en-US"/>
        </w:rPr>
        <w:t>Ntim</w:t>
      </w:r>
      <w:r w:rsidR="0001377A" w:rsidRPr="00DE13EE">
        <w:rPr>
          <w:rFonts w:ascii="Times New Roman" w:hAnsi="Times New Roman" w:cs="Times New Roman"/>
          <w:color w:val="000000" w:themeColor="text1"/>
          <w:sz w:val="24"/>
          <w:szCs w:val="24"/>
          <w:lang w:val="en-US"/>
        </w:rPr>
        <w:t xml:space="preserve"> et al.</w:t>
      </w:r>
      <w:r w:rsidR="0076255A" w:rsidRPr="00DE13EE">
        <w:rPr>
          <w:rFonts w:ascii="Times New Roman" w:hAnsi="Times New Roman" w:cs="Times New Roman"/>
          <w:color w:val="000000" w:themeColor="text1"/>
          <w:sz w:val="24"/>
          <w:szCs w:val="24"/>
          <w:lang w:val="en-US"/>
        </w:rPr>
        <w:t xml:space="preserve"> 2012</w:t>
      </w:r>
      <w:r w:rsidR="009F5372" w:rsidRPr="00DE13EE">
        <w:rPr>
          <w:rFonts w:ascii="Times New Roman" w:hAnsi="Times New Roman" w:cs="Times New Roman"/>
          <w:color w:val="000000" w:themeColor="text1"/>
          <w:sz w:val="24"/>
          <w:szCs w:val="24"/>
          <w:lang w:val="en-US"/>
        </w:rPr>
        <w:t>; Chin</w:t>
      </w:r>
      <w:r w:rsidR="0001377A" w:rsidRPr="00DE13EE">
        <w:rPr>
          <w:rFonts w:ascii="Times New Roman" w:hAnsi="Times New Roman" w:cs="Times New Roman"/>
          <w:color w:val="000000" w:themeColor="text1"/>
          <w:sz w:val="24"/>
          <w:szCs w:val="24"/>
        </w:rPr>
        <w:t xml:space="preserve"> et al.</w:t>
      </w:r>
      <w:r w:rsidR="009F5372" w:rsidRPr="00DE13EE">
        <w:rPr>
          <w:rFonts w:ascii="Times New Roman" w:hAnsi="Times New Roman" w:cs="Times New Roman"/>
          <w:color w:val="000000" w:themeColor="text1"/>
          <w:sz w:val="24"/>
          <w:szCs w:val="24"/>
          <w:lang w:val="en-US"/>
        </w:rPr>
        <w:t xml:space="preserve"> 2006</w:t>
      </w:r>
      <w:r w:rsidR="003817CB" w:rsidRPr="00DE13EE">
        <w:rPr>
          <w:rFonts w:ascii="Times New Roman" w:hAnsi="Times New Roman" w:cs="Times New Roman"/>
          <w:color w:val="000000" w:themeColor="text1"/>
          <w:sz w:val="24"/>
          <w:szCs w:val="24"/>
          <w:lang w:val="en-US"/>
        </w:rPr>
        <w:t xml:space="preserve">), the </w:t>
      </w:r>
      <w:r w:rsidRPr="00DE13EE">
        <w:rPr>
          <w:rFonts w:ascii="Times New Roman" w:hAnsi="Times New Roman" w:cs="Times New Roman"/>
          <w:color w:val="000000" w:themeColor="text1"/>
          <w:sz w:val="24"/>
          <w:szCs w:val="24"/>
          <w:lang w:val="en-US"/>
        </w:rPr>
        <w:t xml:space="preserve">value of the firm is measured using </w:t>
      </w:r>
      <w:r w:rsidR="002C3C70" w:rsidRPr="00DE13EE">
        <w:rPr>
          <w:rFonts w:ascii="Times New Roman" w:hAnsi="Times New Roman" w:cs="Times New Roman"/>
          <w:color w:val="000000" w:themeColor="text1"/>
          <w:sz w:val="24"/>
          <w:szCs w:val="24"/>
          <w:lang w:val="en-US"/>
        </w:rPr>
        <w:t xml:space="preserve">Tobin’s Q ratio. However, we develop </w:t>
      </w:r>
      <w:r w:rsidRPr="00DE13EE">
        <w:rPr>
          <w:rFonts w:ascii="Times New Roman" w:hAnsi="Times New Roman" w:cs="Times New Roman"/>
          <w:color w:val="000000" w:themeColor="text1"/>
          <w:sz w:val="24"/>
          <w:szCs w:val="24"/>
          <w:lang w:val="en-US"/>
        </w:rPr>
        <w:t>an industry median adjusted Tobin’s Q ratio and refers to this variable as IMadj.TQ</w:t>
      </w:r>
      <w:r w:rsidRPr="00DE13EE">
        <w:rPr>
          <w:rFonts w:ascii="Times New Roman" w:hAnsi="Times New Roman" w:cs="Times New Roman"/>
          <w:color w:val="000000" w:themeColor="text1"/>
          <w:sz w:val="24"/>
          <w:szCs w:val="24"/>
          <w:vertAlign w:val="subscript"/>
          <w:lang w:val="en-US"/>
        </w:rPr>
        <w:t>+3</w:t>
      </w:r>
      <w:r w:rsidRPr="00DE13EE">
        <w:rPr>
          <w:rFonts w:ascii="Times New Roman" w:hAnsi="Times New Roman" w:cs="Times New Roman"/>
          <w:color w:val="000000" w:themeColor="text1"/>
          <w:sz w:val="24"/>
          <w:szCs w:val="24"/>
          <w:lang w:val="en-US"/>
        </w:rPr>
        <w:t xml:space="preserve">. </w:t>
      </w:r>
      <w:r w:rsidRPr="00DE13EE">
        <w:rPr>
          <w:rFonts w:ascii="Times New Roman" w:eastAsia="MS Mincho" w:hAnsi="Times New Roman" w:cs="Times New Roman"/>
          <w:bCs/>
          <w:iCs/>
          <w:color w:val="000000" w:themeColor="text1"/>
          <w:sz w:val="24"/>
          <w:szCs w:val="24"/>
          <w:lang w:val="en-US" w:eastAsia="ja-JP"/>
        </w:rPr>
        <w:t xml:space="preserve">This Tobin’s Q controls for potential bias </w:t>
      </w:r>
      <w:r w:rsidR="001E4788" w:rsidRPr="00DE13EE">
        <w:rPr>
          <w:rFonts w:ascii="Times New Roman" w:eastAsia="MS Mincho" w:hAnsi="Times New Roman" w:cs="Times New Roman"/>
          <w:bCs/>
          <w:iCs/>
          <w:color w:val="000000" w:themeColor="text1"/>
          <w:sz w:val="24"/>
          <w:szCs w:val="24"/>
          <w:lang w:val="en-US" w:eastAsia="ja-JP"/>
        </w:rPr>
        <w:t xml:space="preserve">arising from industry (Bebchuk et al. </w:t>
      </w:r>
      <w:r w:rsidRPr="00DE13EE">
        <w:rPr>
          <w:rFonts w:ascii="Times New Roman" w:eastAsia="MS Mincho" w:hAnsi="Times New Roman" w:cs="Times New Roman"/>
          <w:bCs/>
          <w:iCs/>
          <w:color w:val="000000" w:themeColor="text1"/>
          <w:sz w:val="24"/>
          <w:szCs w:val="24"/>
          <w:lang w:val="en-US" w:eastAsia="ja-JP"/>
        </w:rPr>
        <w:t>2009), rules out the potential for simultaneity</w:t>
      </w:r>
      <w:r w:rsidR="00CB3C09" w:rsidRPr="00DE13EE">
        <w:rPr>
          <w:rFonts w:ascii="Times New Roman" w:eastAsia="MS Mincho" w:hAnsi="Times New Roman" w:cs="Times New Roman"/>
          <w:bCs/>
          <w:iCs/>
          <w:color w:val="000000" w:themeColor="text1"/>
          <w:sz w:val="24"/>
          <w:szCs w:val="24"/>
          <w:lang w:val="en-US" w:eastAsia="ja-JP"/>
        </w:rPr>
        <w:t>,</w:t>
      </w:r>
      <w:r w:rsidRPr="00DE13EE">
        <w:rPr>
          <w:rFonts w:ascii="Times New Roman" w:eastAsia="MS Mincho" w:hAnsi="Times New Roman" w:cs="Times New Roman"/>
          <w:bCs/>
          <w:iCs/>
          <w:color w:val="000000" w:themeColor="text1"/>
          <w:sz w:val="24"/>
          <w:szCs w:val="24"/>
          <w:lang w:val="en-US" w:eastAsia="ja-JP"/>
        </w:rPr>
        <w:t xml:space="preserve"> and helps to mitigate endogeneity (Brown </w:t>
      </w:r>
      <w:r w:rsidR="0001377A" w:rsidRPr="00DE13EE">
        <w:rPr>
          <w:rFonts w:ascii="Times New Roman" w:eastAsia="MS Mincho" w:hAnsi="Times New Roman" w:cs="Times New Roman"/>
          <w:bCs/>
          <w:iCs/>
          <w:color w:val="000000" w:themeColor="text1"/>
          <w:sz w:val="24"/>
          <w:szCs w:val="24"/>
          <w:lang w:val="en-US" w:eastAsia="ja-JP"/>
        </w:rPr>
        <w:t xml:space="preserve">and </w:t>
      </w:r>
      <w:r w:rsidRPr="00DE13EE">
        <w:rPr>
          <w:rFonts w:ascii="Times New Roman" w:eastAsia="MS Mincho" w:hAnsi="Times New Roman" w:cs="Times New Roman"/>
          <w:bCs/>
          <w:iCs/>
          <w:color w:val="000000" w:themeColor="text1"/>
          <w:sz w:val="24"/>
          <w:szCs w:val="24"/>
          <w:lang w:val="en-US" w:eastAsia="ja-JP"/>
        </w:rPr>
        <w:t>Caylor 2006)</w:t>
      </w:r>
      <w:r w:rsidR="0021683D" w:rsidRPr="00DE13EE">
        <w:rPr>
          <w:rStyle w:val="FootnoteReference"/>
          <w:rFonts w:ascii="Times New Roman" w:eastAsia="MS Mincho" w:hAnsi="Times New Roman" w:cs="Times New Roman"/>
          <w:bCs/>
          <w:iCs/>
          <w:color w:val="000000" w:themeColor="text1"/>
          <w:sz w:val="24"/>
          <w:szCs w:val="24"/>
          <w:lang w:val="en-US" w:eastAsia="ja-JP"/>
        </w:rPr>
        <w:footnoteReference w:id="3"/>
      </w:r>
      <w:r w:rsidRPr="00DE13EE">
        <w:rPr>
          <w:rFonts w:ascii="Times New Roman" w:eastAsia="MS Mincho" w:hAnsi="Times New Roman" w:cs="Times New Roman"/>
          <w:bCs/>
          <w:iCs/>
          <w:color w:val="000000" w:themeColor="text1"/>
          <w:sz w:val="24"/>
          <w:szCs w:val="24"/>
          <w:lang w:val="en-US" w:eastAsia="ja-JP"/>
        </w:rPr>
        <w:t>. The IMadj.TQ</w:t>
      </w:r>
      <w:r w:rsidRPr="00DE13EE">
        <w:rPr>
          <w:rFonts w:ascii="Times New Roman" w:eastAsia="MS Mincho" w:hAnsi="Times New Roman" w:cs="Times New Roman"/>
          <w:bCs/>
          <w:iCs/>
          <w:color w:val="000000" w:themeColor="text1"/>
          <w:sz w:val="24"/>
          <w:szCs w:val="24"/>
          <w:vertAlign w:val="subscript"/>
          <w:lang w:val="en-US" w:eastAsia="ja-JP"/>
        </w:rPr>
        <w:t>+3</w:t>
      </w:r>
      <w:r w:rsidRPr="00DE13EE">
        <w:rPr>
          <w:rFonts w:ascii="Times New Roman" w:eastAsia="MS Mincho" w:hAnsi="Times New Roman" w:cs="Times New Roman"/>
          <w:bCs/>
          <w:iCs/>
          <w:color w:val="000000" w:themeColor="text1"/>
          <w:sz w:val="24"/>
          <w:szCs w:val="24"/>
          <w:lang w:val="en-US" w:eastAsia="ja-JP"/>
        </w:rPr>
        <w:t xml:space="preserve"> is computed as a firm’s Tobin’s Q minus the median Tobin’s Q in the firm’s industry in the observation year. The Tobin’s Q </w:t>
      </w:r>
      <w:r w:rsidR="00A81469" w:rsidRPr="00DE13EE">
        <w:rPr>
          <w:rFonts w:ascii="Times New Roman" w:eastAsia="MS Mincho" w:hAnsi="Times New Roman" w:cs="Times New Roman"/>
          <w:bCs/>
          <w:iCs/>
          <w:color w:val="000000" w:themeColor="text1"/>
          <w:sz w:val="24"/>
          <w:szCs w:val="24"/>
          <w:lang w:val="en-US" w:eastAsia="ja-JP"/>
        </w:rPr>
        <w:t xml:space="preserve">is calculated as </w:t>
      </w:r>
      <w:r w:rsidR="00DD172E" w:rsidRPr="00DE13EE">
        <w:rPr>
          <w:rFonts w:ascii="Times New Roman" w:eastAsia="MS Mincho" w:hAnsi="Times New Roman" w:cs="Times New Roman"/>
          <w:bCs/>
          <w:iCs/>
          <w:color w:val="000000" w:themeColor="text1"/>
          <w:sz w:val="24"/>
          <w:szCs w:val="24"/>
          <w:lang w:val="en-US" w:eastAsia="ja-JP"/>
        </w:rPr>
        <w:t xml:space="preserve">the </w:t>
      </w:r>
      <w:r w:rsidR="00A81469" w:rsidRPr="00DE13EE">
        <w:rPr>
          <w:rFonts w:ascii="Times New Roman" w:eastAsia="MS Mincho" w:hAnsi="Times New Roman" w:cs="Times New Roman"/>
          <w:bCs/>
          <w:iCs/>
          <w:color w:val="000000" w:themeColor="text1"/>
          <w:sz w:val="24"/>
          <w:szCs w:val="24"/>
          <w:lang w:val="en-US" w:eastAsia="ja-JP"/>
        </w:rPr>
        <w:t xml:space="preserve">summation of a firm total debt plus </w:t>
      </w:r>
      <w:r w:rsidR="00DD172E" w:rsidRPr="00DE13EE">
        <w:rPr>
          <w:rFonts w:ascii="Times New Roman" w:eastAsia="MS Mincho" w:hAnsi="Times New Roman" w:cs="Times New Roman"/>
          <w:bCs/>
          <w:iCs/>
          <w:color w:val="000000" w:themeColor="text1"/>
          <w:sz w:val="24"/>
          <w:szCs w:val="24"/>
          <w:lang w:val="en-US" w:eastAsia="ja-JP"/>
        </w:rPr>
        <w:t xml:space="preserve">the </w:t>
      </w:r>
      <w:r w:rsidR="00A81469" w:rsidRPr="00DE13EE">
        <w:rPr>
          <w:rFonts w:ascii="Times New Roman" w:eastAsia="MS Mincho" w:hAnsi="Times New Roman" w:cs="Times New Roman"/>
          <w:bCs/>
          <w:iCs/>
          <w:color w:val="000000" w:themeColor="text1"/>
          <w:sz w:val="24"/>
          <w:szCs w:val="24"/>
          <w:lang w:val="en-US" w:eastAsia="ja-JP"/>
        </w:rPr>
        <w:t xml:space="preserve">market value of equity divided by its book value of total assets. </w:t>
      </w:r>
      <w:r w:rsidRPr="00DE13EE">
        <w:rPr>
          <w:rFonts w:ascii="Times New Roman" w:eastAsia="MS Mincho" w:hAnsi="Times New Roman" w:cs="Times New Roman"/>
          <w:bCs/>
          <w:iCs/>
          <w:color w:val="000000" w:themeColor="text1"/>
          <w:sz w:val="24"/>
          <w:szCs w:val="24"/>
          <w:lang w:val="en-US" w:eastAsia="ja-JP"/>
        </w:rPr>
        <w:t xml:space="preserve">The market value of equity is calculated as the number of outstanding shares at year-end multiplied by the </w:t>
      </w:r>
      <w:r w:rsidR="003817CB" w:rsidRPr="00DE13EE">
        <w:rPr>
          <w:rFonts w:ascii="Times New Roman" w:eastAsia="MS Mincho" w:hAnsi="Times New Roman" w:cs="Times New Roman"/>
          <w:bCs/>
          <w:iCs/>
          <w:color w:val="000000" w:themeColor="text1"/>
          <w:sz w:val="24"/>
          <w:szCs w:val="24"/>
          <w:lang w:val="en-US" w:eastAsia="ja-JP"/>
        </w:rPr>
        <w:t>mean of the stock prices</w:t>
      </w:r>
      <w:r w:rsidRPr="00DE13EE">
        <w:rPr>
          <w:rFonts w:ascii="Times New Roman" w:eastAsia="MS Mincho" w:hAnsi="Times New Roman" w:cs="Times New Roman"/>
          <w:bCs/>
          <w:iCs/>
          <w:color w:val="000000" w:themeColor="text1"/>
          <w:sz w:val="24"/>
          <w:szCs w:val="24"/>
          <w:lang w:val="en-US" w:eastAsia="ja-JP"/>
        </w:rPr>
        <w:t xml:space="preserve"> at three months </w:t>
      </w:r>
      <w:r w:rsidR="00CB3C09" w:rsidRPr="00DE13EE">
        <w:rPr>
          <w:rFonts w:ascii="Times New Roman" w:eastAsia="MS Mincho" w:hAnsi="Times New Roman" w:cs="Times New Roman"/>
          <w:bCs/>
          <w:iCs/>
          <w:color w:val="000000" w:themeColor="text1"/>
          <w:sz w:val="24"/>
          <w:szCs w:val="24"/>
          <w:lang w:val="en-US" w:eastAsia="ja-JP"/>
        </w:rPr>
        <w:t xml:space="preserve">after </w:t>
      </w:r>
      <w:r w:rsidRPr="00DE13EE">
        <w:rPr>
          <w:rFonts w:ascii="Times New Roman" w:eastAsia="MS Mincho" w:hAnsi="Times New Roman" w:cs="Times New Roman"/>
          <w:bCs/>
          <w:iCs/>
          <w:color w:val="000000" w:themeColor="text1"/>
          <w:sz w:val="24"/>
          <w:szCs w:val="24"/>
          <w:lang w:val="en-US" w:eastAsia="ja-JP"/>
        </w:rPr>
        <w:t>the annual report date.</w:t>
      </w:r>
    </w:p>
    <w:p w14:paraId="597B041E" w14:textId="19BE971C" w:rsidR="00812C9C" w:rsidRPr="00DE13EE" w:rsidRDefault="00812C9C" w:rsidP="00B93D4F">
      <w:pPr>
        <w:pStyle w:val="Heading2"/>
        <w:rPr>
          <w:rFonts w:cs="Times New Roman"/>
          <w:color w:val="000000" w:themeColor="text1"/>
          <w:lang w:val="en-US"/>
        </w:rPr>
      </w:pPr>
      <w:r w:rsidRPr="00DE13EE">
        <w:rPr>
          <w:rFonts w:cs="Times New Roman"/>
          <w:color w:val="000000" w:themeColor="text1"/>
          <w:lang w:val="en-US"/>
        </w:rPr>
        <w:t>3.</w:t>
      </w:r>
      <w:r w:rsidR="00595DB9" w:rsidRPr="00DE13EE">
        <w:rPr>
          <w:rFonts w:cs="Times New Roman"/>
          <w:color w:val="000000" w:themeColor="text1"/>
          <w:lang w:val="en-US"/>
        </w:rPr>
        <w:t xml:space="preserve">3 </w:t>
      </w:r>
      <w:r w:rsidRPr="00DE13EE">
        <w:rPr>
          <w:rFonts w:cs="Times New Roman"/>
          <w:color w:val="000000" w:themeColor="text1"/>
          <w:lang w:val="en-US"/>
        </w:rPr>
        <w:t xml:space="preserve">Empirical Model </w:t>
      </w:r>
    </w:p>
    <w:p w14:paraId="55D4A9EE" w14:textId="740C1612" w:rsidR="00B551C2" w:rsidRPr="00DE13EE" w:rsidRDefault="00E874C0" w:rsidP="00B93D4F">
      <w:pPr>
        <w:spacing w:line="360" w:lineRule="auto"/>
        <w:jc w:val="both"/>
        <w:rPr>
          <w:rFonts w:ascii="Times New Roman" w:hAnsi="Times New Roman" w:cs="Times New Roman"/>
          <w:color w:val="000000" w:themeColor="text1"/>
          <w:sz w:val="24"/>
          <w:szCs w:val="24"/>
          <w:lang w:val="en-US"/>
        </w:rPr>
      </w:pPr>
      <w:r w:rsidRPr="00DE13EE">
        <w:rPr>
          <w:rFonts w:ascii="Times New Roman" w:hAnsi="Times New Roman" w:cs="Times New Roman"/>
          <w:color w:val="000000" w:themeColor="text1"/>
          <w:sz w:val="24"/>
          <w:szCs w:val="24"/>
          <w:lang w:val="en-US"/>
        </w:rPr>
        <w:t xml:space="preserve">In the empirical models, we control for some economic environment </w:t>
      </w:r>
      <w:r w:rsidR="004A4E74" w:rsidRPr="00DE13EE">
        <w:rPr>
          <w:rFonts w:ascii="Times New Roman" w:hAnsi="Times New Roman" w:cs="Times New Roman"/>
          <w:color w:val="000000" w:themeColor="text1"/>
          <w:sz w:val="24"/>
          <w:szCs w:val="24"/>
          <w:lang w:val="en-US"/>
        </w:rPr>
        <w:t>factors to account for alternative determinants of fir</w:t>
      </w:r>
      <w:r w:rsidR="00432F0F" w:rsidRPr="00DE13EE">
        <w:rPr>
          <w:rFonts w:ascii="Times New Roman" w:hAnsi="Times New Roman" w:cs="Times New Roman"/>
          <w:color w:val="000000" w:themeColor="text1"/>
          <w:sz w:val="24"/>
          <w:szCs w:val="24"/>
          <w:lang w:val="en-US"/>
        </w:rPr>
        <w:t>m</w:t>
      </w:r>
      <w:r w:rsidR="000C344B" w:rsidRPr="00DE13EE">
        <w:rPr>
          <w:rFonts w:ascii="Times New Roman" w:hAnsi="Times New Roman" w:cs="Times New Roman"/>
          <w:color w:val="000000" w:themeColor="text1"/>
          <w:sz w:val="24"/>
          <w:szCs w:val="24"/>
          <w:lang w:val="en-US"/>
        </w:rPr>
        <w:t xml:space="preserve"> value in prior research (e.g., Elzahar et al. 2015</w:t>
      </w:r>
      <w:r w:rsidR="004A4E74" w:rsidRPr="00DE13EE">
        <w:rPr>
          <w:rFonts w:ascii="Times New Roman" w:hAnsi="Times New Roman" w:cs="Times New Roman"/>
          <w:color w:val="000000" w:themeColor="text1"/>
          <w:sz w:val="24"/>
          <w:szCs w:val="24"/>
          <w:lang w:val="en-US"/>
        </w:rPr>
        <w:t xml:space="preserve">). These include </w:t>
      </w:r>
      <w:r w:rsidR="00DD172E" w:rsidRPr="00DE13EE">
        <w:rPr>
          <w:rFonts w:ascii="Times New Roman" w:hAnsi="Times New Roman" w:cs="Times New Roman"/>
          <w:color w:val="000000" w:themeColor="text1"/>
          <w:sz w:val="24"/>
          <w:szCs w:val="24"/>
          <w:lang w:val="en-US"/>
        </w:rPr>
        <w:t xml:space="preserve">firm </w:t>
      </w:r>
      <w:r w:rsidR="004A4E74" w:rsidRPr="00DE13EE">
        <w:rPr>
          <w:rFonts w:ascii="Times New Roman" w:hAnsi="Times New Roman" w:cs="Times New Roman"/>
          <w:color w:val="000000" w:themeColor="text1"/>
          <w:sz w:val="24"/>
          <w:szCs w:val="24"/>
          <w:lang w:val="en-US"/>
        </w:rPr>
        <w:t xml:space="preserve">size, dividends, current earnings, liquidity, </w:t>
      </w:r>
      <w:r w:rsidR="00DD172E" w:rsidRPr="00DE13EE">
        <w:rPr>
          <w:rFonts w:ascii="Times New Roman" w:hAnsi="Times New Roman" w:cs="Times New Roman"/>
          <w:color w:val="000000" w:themeColor="text1"/>
          <w:sz w:val="24"/>
          <w:szCs w:val="24"/>
          <w:lang w:val="en-US"/>
        </w:rPr>
        <w:t xml:space="preserve">earnings </w:t>
      </w:r>
      <w:r w:rsidR="0047242A" w:rsidRPr="00DE13EE">
        <w:rPr>
          <w:rFonts w:ascii="Times New Roman" w:hAnsi="Times New Roman" w:cs="Times New Roman"/>
          <w:color w:val="000000" w:themeColor="text1"/>
          <w:sz w:val="24"/>
          <w:szCs w:val="24"/>
          <w:lang w:val="en-US"/>
        </w:rPr>
        <w:t>v</w:t>
      </w:r>
      <w:r w:rsidR="004A4E74" w:rsidRPr="00DE13EE">
        <w:rPr>
          <w:rFonts w:ascii="Times New Roman" w:hAnsi="Times New Roman" w:cs="Times New Roman"/>
          <w:color w:val="000000" w:themeColor="text1"/>
          <w:sz w:val="24"/>
          <w:szCs w:val="24"/>
          <w:lang w:val="en-US"/>
        </w:rPr>
        <w:t xml:space="preserve">olatility, </w:t>
      </w:r>
      <w:r w:rsidR="0047242A" w:rsidRPr="00DE13EE">
        <w:rPr>
          <w:rFonts w:ascii="Times New Roman" w:hAnsi="Times New Roman" w:cs="Times New Roman"/>
          <w:color w:val="000000" w:themeColor="text1"/>
          <w:sz w:val="24"/>
          <w:szCs w:val="24"/>
          <w:lang w:val="en-US"/>
        </w:rPr>
        <w:t>m</w:t>
      </w:r>
      <w:r w:rsidR="004A4E74" w:rsidRPr="00DE13EE">
        <w:rPr>
          <w:rFonts w:ascii="Times New Roman" w:hAnsi="Times New Roman" w:cs="Times New Roman"/>
          <w:color w:val="000000" w:themeColor="text1"/>
          <w:sz w:val="24"/>
          <w:szCs w:val="24"/>
          <w:lang w:val="en-US"/>
        </w:rPr>
        <w:t xml:space="preserve">anagerial ownership, growth, and capital expenditure. </w:t>
      </w:r>
      <w:r w:rsidR="00E46130" w:rsidRPr="00DE13EE">
        <w:rPr>
          <w:rFonts w:ascii="Times New Roman" w:hAnsi="Times New Roman" w:cs="Times New Roman"/>
          <w:color w:val="000000" w:themeColor="text1"/>
          <w:sz w:val="24"/>
          <w:szCs w:val="24"/>
          <w:lang w:val="en-US"/>
        </w:rPr>
        <w:t>Besides,</w:t>
      </w:r>
      <w:r w:rsidR="00C84C6D" w:rsidRPr="00DE13EE">
        <w:rPr>
          <w:rFonts w:ascii="Times New Roman" w:hAnsi="Times New Roman" w:cs="Times New Roman"/>
          <w:color w:val="000000" w:themeColor="text1"/>
          <w:sz w:val="24"/>
          <w:szCs w:val="24"/>
          <w:lang w:val="en-US"/>
        </w:rPr>
        <w:t xml:space="preserve"> a firm value may be affected by other types of voluntary narrative disclosures such as</w:t>
      </w:r>
      <w:r w:rsidR="000C344B" w:rsidRPr="00DE13EE">
        <w:rPr>
          <w:rFonts w:ascii="Times New Roman" w:hAnsi="Times New Roman" w:cs="Times New Roman"/>
          <w:color w:val="000000" w:themeColor="text1"/>
          <w:sz w:val="24"/>
          <w:szCs w:val="24"/>
          <w:lang w:val="en-US"/>
        </w:rPr>
        <w:t xml:space="preserve"> risk</w:t>
      </w:r>
      <w:r w:rsidR="00C84C6D" w:rsidRPr="00DE13EE">
        <w:rPr>
          <w:rFonts w:ascii="Times New Roman" w:hAnsi="Times New Roman" w:cs="Times New Roman"/>
          <w:color w:val="000000" w:themeColor="text1"/>
          <w:sz w:val="24"/>
          <w:szCs w:val="24"/>
          <w:lang w:val="en-US"/>
        </w:rPr>
        <w:t xml:space="preserve"> and e</w:t>
      </w:r>
      <w:r w:rsidR="000C344B" w:rsidRPr="00DE13EE">
        <w:rPr>
          <w:rFonts w:ascii="Times New Roman" w:hAnsi="Times New Roman" w:cs="Times New Roman"/>
          <w:color w:val="000000" w:themeColor="text1"/>
          <w:sz w:val="24"/>
          <w:szCs w:val="24"/>
          <w:lang w:val="en-US"/>
        </w:rPr>
        <w:t>nvironmental disclosure</w:t>
      </w:r>
      <w:r w:rsidR="00C84C6D" w:rsidRPr="00DE13EE">
        <w:rPr>
          <w:rFonts w:ascii="Times New Roman" w:hAnsi="Times New Roman" w:cs="Times New Roman"/>
          <w:color w:val="000000" w:themeColor="text1"/>
          <w:sz w:val="24"/>
          <w:szCs w:val="24"/>
          <w:lang w:val="en-US"/>
        </w:rPr>
        <w:t xml:space="preserve">. Therefore, </w:t>
      </w:r>
      <w:r w:rsidR="0047242A" w:rsidRPr="00DE13EE">
        <w:rPr>
          <w:rFonts w:ascii="Times New Roman" w:hAnsi="Times New Roman" w:cs="Times New Roman"/>
          <w:color w:val="000000" w:themeColor="text1"/>
          <w:sz w:val="24"/>
          <w:szCs w:val="24"/>
          <w:lang w:val="en-US"/>
        </w:rPr>
        <w:t xml:space="preserve">following prior research (e.g., </w:t>
      </w:r>
      <w:r w:rsidR="00D74FD0" w:rsidRPr="00DE13EE">
        <w:rPr>
          <w:rFonts w:ascii="Times New Roman" w:hAnsi="Times New Roman" w:cs="Times New Roman"/>
          <w:color w:val="000000" w:themeColor="text1"/>
          <w:sz w:val="24"/>
          <w:szCs w:val="24"/>
          <w:lang w:val="en-US"/>
        </w:rPr>
        <w:t>Li 2010</w:t>
      </w:r>
      <w:r w:rsidR="0047242A" w:rsidRPr="00DE13EE">
        <w:rPr>
          <w:rFonts w:ascii="Times New Roman" w:hAnsi="Times New Roman" w:cs="Times New Roman"/>
          <w:color w:val="000000" w:themeColor="text1"/>
          <w:sz w:val="24"/>
          <w:szCs w:val="24"/>
          <w:lang w:val="en-US"/>
        </w:rPr>
        <w:t xml:space="preserve">), </w:t>
      </w:r>
      <w:r w:rsidR="00E46130" w:rsidRPr="00DE13EE">
        <w:rPr>
          <w:rFonts w:ascii="Times New Roman" w:hAnsi="Times New Roman" w:cs="Times New Roman"/>
          <w:color w:val="000000" w:themeColor="text1"/>
          <w:sz w:val="24"/>
          <w:szCs w:val="24"/>
          <w:lang w:val="en-US"/>
        </w:rPr>
        <w:t xml:space="preserve">we use </w:t>
      </w:r>
      <w:r w:rsidR="00DD172E" w:rsidRPr="00DE13EE">
        <w:rPr>
          <w:rFonts w:ascii="Times New Roman" w:hAnsi="Times New Roman" w:cs="Times New Roman"/>
          <w:color w:val="000000" w:themeColor="text1"/>
          <w:sz w:val="24"/>
          <w:szCs w:val="24"/>
          <w:lang w:val="en-US"/>
        </w:rPr>
        <w:t xml:space="preserve">the </w:t>
      </w:r>
      <w:r w:rsidR="00E46130" w:rsidRPr="00DE13EE">
        <w:rPr>
          <w:rFonts w:ascii="Times New Roman" w:hAnsi="Times New Roman" w:cs="Times New Roman"/>
          <w:color w:val="000000" w:themeColor="text1"/>
          <w:sz w:val="24"/>
          <w:szCs w:val="24"/>
          <w:lang w:val="en-US"/>
        </w:rPr>
        <w:t>length of narrative reporting document to control for other types of disclosures that may affect firm value</w:t>
      </w:r>
      <w:r w:rsidR="00702A98" w:rsidRPr="00DE13EE">
        <w:rPr>
          <w:rFonts w:ascii="Times New Roman" w:hAnsi="Times New Roman" w:cs="Times New Roman"/>
          <w:color w:val="000000" w:themeColor="text1"/>
          <w:sz w:val="24"/>
          <w:szCs w:val="24"/>
          <w:lang w:val="en-US"/>
        </w:rPr>
        <w:t>.</w:t>
      </w:r>
      <w:r w:rsidR="0047242A" w:rsidRPr="00DE13EE">
        <w:rPr>
          <w:color w:val="000000" w:themeColor="text1"/>
        </w:rPr>
        <w:t xml:space="preserve"> </w:t>
      </w:r>
      <w:r w:rsidR="0047242A" w:rsidRPr="00DE13EE">
        <w:rPr>
          <w:rFonts w:ascii="Times New Roman" w:hAnsi="Times New Roman" w:cs="Times New Roman"/>
          <w:color w:val="000000" w:themeColor="text1"/>
          <w:sz w:val="24"/>
          <w:szCs w:val="24"/>
          <w:lang w:val="en-US"/>
        </w:rPr>
        <w:t xml:space="preserve">Appendix (2) </w:t>
      </w:r>
      <w:r w:rsidR="00FD6566" w:rsidRPr="00DE13EE">
        <w:rPr>
          <w:rFonts w:ascii="Times New Roman" w:hAnsi="Times New Roman" w:cs="Times New Roman"/>
          <w:bCs/>
          <w:iCs/>
          <w:color w:val="000000" w:themeColor="text1"/>
          <w:sz w:val="24"/>
          <w:szCs w:val="24"/>
        </w:rPr>
        <w:t xml:space="preserve">elaborates </w:t>
      </w:r>
      <w:r w:rsidR="0047242A" w:rsidRPr="00DE13EE">
        <w:rPr>
          <w:rFonts w:ascii="Times New Roman" w:hAnsi="Times New Roman" w:cs="Times New Roman"/>
          <w:color w:val="000000" w:themeColor="text1"/>
          <w:sz w:val="24"/>
          <w:szCs w:val="24"/>
          <w:lang w:val="en-US"/>
        </w:rPr>
        <w:t>the definitions and measurements of all variables</w:t>
      </w:r>
      <w:r w:rsidR="00FA5283" w:rsidRPr="00DE13EE">
        <w:rPr>
          <w:rFonts w:ascii="Times New Roman" w:hAnsi="Times New Roman" w:cs="Times New Roman"/>
          <w:color w:val="000000" w:themeColor="text1"/>
          <w:sz w:val="24"/>
          <w:szCs w:val="24"/>
          <w:lang w:val="en-US"/>
        </w:rPr>
        <w:t>.</w:t>
      </w:r>
      <w:r w:rsidR="00432F0F" w:rsidRPr="00DE13EE">
        <w:rPr>
          <w:rFonts w:ascii="Times New Roman" w:hAnsi="Times New Roman" w:cs="Times New Roman"/>
          <w:color w:val="000000" w:themeColor="text1"/>
          <w:sz w:val="24"/>
          <w:szCs w:val="24"/>
          <w:lang w:val="en-US"/>
        </w:rPr>
        <w:t xml:space="preserve"> </w:t>
      </w:r>
      <w:r w:rsidR="00C6766E" w:rsidRPr="00DE13EE">
        <w:rPr>
          <w:rFonts w:ascii="Times New Roman" w:hAnsi="Times New Roman" w:cs="Times New Roman"/>
          <w:color w:val="000000" w:themeColor="text1"/>
          <w:sz w:val="24"/>
          <w:szCs w:val="24"/>
          <w:lang w:val="en-US"/>
        </w:rPr>
        <w:t xml:space="preserve">To test our hypotheses, the study employed the fixed (Eq. 1) and random (Eq. 2) effects models to regress forward-looking </w:t>
      </w:r>
      <w:r w:rsidR="00B551C2" w:rsidRPr="00DE13EE">
        <w:rPr>
          <w:rFonts w:ascii="Times New Roman" w:hAnsi="Times New Roman" w:cs="Times New Roman"/>
          <w:color w:val="000000" w:themeColor="text1"/>
          <w:sz w:val="24"/>
          <w:szCs w:val="24"/>
          <w:lang w:val="en-US"/>
        </w:rPr>
        <w:t>disclosure and control variables on firm value.</w:t>
      </w:r>
      <w:r w:rsidR="00C6766E" w:rsidRPr="00DE13EE">
        <w:rPr>
          <w:rFonts w:ascii="Times New Roman" w:hAnsi="Times New Roman" w:cs="Times New Roman"/>
          <w:color w:val="000000" w:themeColor="text1"/>
          <w:sz w:val="24"/>
          <w:szCs w:val="24"/>
          <w:lang w:val="en-US"/>
        </w:rPr>
        <w:t xml:space="preserve"> </w:t>
      </w:r>
      <w:r w:rsidR="00FA5283" w:rsidRPr="00DE13EE">
        <w:rPr>
          <w:rFonts w:ascii="Times New Roman" w:hAnsi="Times New Roman" w:cs="Times New Roman"/>
          <w:color w:val="000000" w:themeColor="text1"/>
          <w:sz w:val="24"/>
          <w:szCs w:val="24"/>
          <w:lang w:val="en-US"/>
        </w:rPr>
        <w:t>These</w:t>
      </w:r>
      <w:r w:rsidR="00702A98" w:rsidRPr="00DE13EE">
        <w:rPr>
          <w:rFonts w:ascii="Times New Roman" w:hAnsi="Times New Roman" w:cs="Times New Roman"/>
          <w:color w:val="000000" w:themeColor="text1"/>
          <w:sz w:val="24"/>
          <w:szCs w:val="24"/>
          <w:lang w:val="en-US"/>
        </w:rPr>
        <w:t xml:space="preserve"> estimation models mitigate the problems of heteroscedasticity and auto-correlation (Gow et al. 2010).</w:t>
      </w:r>
    </w:p>
    <w:p w14:paraId="124FA900" w14:textId="62EDB888" w:rsidR="009A6CB4" w:rsidRPr="00DE13EE" w:rsidRDefault="00812C9C" w:rsidP="00B93D4F">
      <w:pPr>
        <w:spacing w:line="360" w:lineRule="auto"/>
        <w:jc w:val="both"/>
        <w:rPr>
          <w:rFonts w:ascii="Times New Roman" w:hAnsi="Times New Roman" w:cs="Times New Roman"/>
          <w:bCs/>
          <w:iCs/>
          <w:color w:val="000000" w:themeColor="text1"/>
          <w:sz w:val="24"/>
          <w:szCs w:val="24"/>
          <w:lang w:val="en-US"/>
        </w:rPr>
      </w:pPr>
      <w:r w:rsidRPr="00DE13EE">
        <w:rPr>
          <w:rFonts w:ascii="Times New Roman" w:hAnsi="Times New Roman" w:cs="Times New Roman"/>
          <w:bCs/>
          <w:iCs/>
          <w:color w:val="000000" w:themeColor="text1"/>
          <w:sz w:val="24"/>
          <w:szCs w:val="24"/>
          <w:lang w:val="en-US"/>
        </w:rPr>
        <w:t>Equation (1) shows the</w:t>
      </w:r>
      <w:r w:rsidR="00B551C2" w:rsidRPr="00DE13EE">
        <w:rPr>
          <w:rFonts w:ascii="Times New Roman" w:hAnsi="Times New Roman" w:cs="Times New Roman"/>
          <w:bCs/>
          <w:iCs/>
          <w:color w:val="000000" w:themeColor="text1"/>
          <w:sz w:val="24"/>
          <w:szCs w:val="24"/>
          <w:lang w:val="en-US"/>
        </w:rPr>
        <w:t xml:space="preserve"> fixed effect model that accounts for changes in firm value as a result of change</w:t>
      </w:r>
      <w:r w:rsidR="00702A98" w:rsidRPr="00DE13EE">
        <w:rPr>
          <w:rFonts w:ascii="Times New Roman" w:hAnsi="Times New Roman" w:cs="Times New Roman"/>
          <w:bCs/>
          <w:iCs/>
          <w:color w:val="000000" w:themeColor="text1"/>
          <w:sz w:val="24"/>
          <w:szCs w:val="24"/>
          <w:lang w:val="en-US"/>
        </w:rPr>
        <w:t>s</w:t>
      </w:r>
      <w:r w:rsidR="00B551C2" w:rsidRPr="00DE13EE">
        <w:rPr>
          <w:rFonts w:ascii="Times New Roman" w:hAnsi="Times New Roman" w:cs="Times New Roman"/>
          <w:bCs/>
          <w:iCs/>
          <w:color w:val="000000" w:themeColor="text1"/>
          <w:sz w:val="24"/>
          <w:szCs w:val="24"/>
          <w:lang w:val="en-US"/>
        </w:rPr>
        <w:t xml:space="preserve"> in forward-looking disclosure over the 10-years period under analysis</w:t>
      </w:r>
      <w:r w:rsidR="00702A98" w:rsidRPr="00DE13EE">
        <w:rPr>
          <w:rFonts w:ascii="Times New Roman" w:hAnsi="Times New Roman" w:cs="Times New Roman"/>
          <w:bCs/>
          <w:iCs/>
          <w:color w:val="000000" w:themeColor="text1"/>
          <w:sz w:val="24"/>
          <w:szCs w:val="24"/>
          <w:lang w:val="en-US"/>
        </w:rPr>
        <w:t>. In addition, it account</w:t>
      </w:r>
      <w:r w:rsidR="00095FE1" w:rsidRPr="00DE13EE">
        <w:rPr>
          <w:rFonts w:ascii="Times New Roman" w:hAnsi="Times New Roman" w:cs="Times New Roman"/>
          <w:bCs/>
          <w:iCs/>
          <w:color w:val="000000" w:themeColor="text1"/>
          <w:sz w:val="24"/>
          <w:szCs w:val="24"/>
          <w:lang w:val="en-US"/>
        </w:rPr>
        <w:t>s</w:t>
      </w:r>
      <w:r w:rsidR="00702A98" w:rsidRPr="00DE13EE">
        <w:rPr>
          <w:rFonts w:ascii="Times New Roman" w:hAnsi="Times New Roman" w:cs="Times New Roman"/>
          <w:bCs/>
          <w:iCs/>
          <w:color w:val="000000" w:themeColor="text1"/>
          <w:sz w:val="24"/>
          <w:szCs w:val="24"/>
          <w:lang w:val="en-US"/>
        </w:rPr>
        <w:t xml:space="preserve"> for</w:t>
      </w:r>
      <w:r w:rsidRPr="00DE13EE">
        <w:rPr>
          <w:rFonts w:ascii="Times New Roman" w:hAnsi="Times New Roman" w:cs="Times New Roman"/>
          <w:bCs/>
          <w:iCs/>
          <w:color w:val="000000" w:themeColor="text1"/>
          <w:sz w:val="24"/>
          <w:szCs w:val="24"/>
          <w:lang w:val="en-US"/>
        </w:rPr>
        <w:t xml:space="preserve"> </w:t>
      </w:r>
      <w:r w:rsidR="00702A98" w:rsidRPr="00DE13EE">
        <w:rPr>
          <w:rFonts w:ascii="Times New Roman" w:hAnsi="Times New Roman" w:cs="Times New Roman"/>
          <w:bCs/>
          <w:iCs/>
          <w:color w:val="000000" w:themeColor="text1"/>
          <w:sz w:val="24"/>
          <w:szCs w:val="24"/>
          <w:lang w:val="en-US"/>
        </w:rPr>
        <w:t xml:space="preserve">any bias in firm values caused by ﬁrm and/or industry-speciﬁc effects. This </w:t>
      </w:r>
      <w:r w:rsidR="00936DE9" w:rsidRPr="00DE13EE">
        <w:rPr>
          <w:rFonts w:ascii="Times New Roman" w:hAnsi="Times New Roman" w:cs="Times New Roman"/>
          <w:bCs/>
          <w:iCs/>
          <w:color w:val="000000" w:themeColor="text1"/>
          <w:sz w:val="24"/>
          <w:szCs w:val="24"/>
          <w:lang w:val="en-US"/>
        </w:rPr>
        <w:t xml:space="preserve">model helps in </w:t>
      </w:r>
      <w:r w:rsidRPr="00DE13EE">
        <w:rPr>
          <w:rFonts w:ascii="Times New Roman" w:hAnsi="Times New Roman" w:cs="Times New Roman"/>
          <w:bCs/>
          <w:iCs/>
          <w:color w:val="000000" w:themeColor="text1"/>
          <w:sz w:val="24"/>
          <w:szCs w:val="24"/>
          <w:lang w:val="en-US"/>
        </w:rPr>
        <w:t>correcting the standard error for any heteroskedastic bias</w:t>
      </w:r>
      <w:r w:rsidR="00936DE9" w:rsidRPr="00DE13EE">
        <w:rPr>
          <w:rFonts w:ascii="Times New Roman" w:hAnsi="Times New Roman" w:cs="Times New Roman"/>
          <w:bCs/>
          <w:iCs/>
          <w:color w:val="000000" w:themeColor="text1"/>
          <w:sz w:val="24"/>
          <w:szCs w:val="24"/>
          <w:lang w:val="en-US"/>
        </w:rPr>
        <w:t xml:space="preserve"> (</w:t>
      </w:r>
      <w:r w:rsidR="00936DE9" w:rsidRPr="00DE13EE">
        <w:rPr>
          <w:rFonts w:ascii="Times New Roman" w:eastAsia="Calibri" w:hAnsi="Times New Roman" w:cs="Times New Roman"/>
          <w:bCs/>
          <w:color w:val="000000" w:themeColor="text1"/>
          <w:sz w:val="24"/>
          <w:szCs w:val="24"/>
          <w:lang w:val="en-US" w:eastAsia="en-US"/>
        </w:rPr>
        <w:t xml:space="preserve">time effect from repressor </w:t>
      </w:r>
      <w:r w:rsidR="00936DE9" w:rsidRPr="00DE13EE">
        <w:rPr>
          <w:rFonts w:ascii="Times New Roman" w:eastAsia="Calibri" w:hAnsi="Times New Roman" w:cs="Times New Roman"/>
          <w:bCs/>
          <w:color w:val="000000" w:themeColor="text1"/>
          <w:sz w:val="24"/>
          <w:szCs w:val="24"/>
          <w:lang w:val="en-US" w:eastAsia="en-US"/>
        </w:rPr>
        <w:lastRenderedPageBreak/>
        <w:t>variables)</w:t>
      </w:r>
      <w:r w:rsidRPr="00DE13EE">
        <w:rPr>
          <w:rFonts w:ascii="Times New Roman" w:hAnsi="Times New Roman" w:cs="Times New Roman"/>
          <w:bCs/>
          <w:iCs/>
          <w:color w:val="000000" w:themeColor="text1"/>
          <w:sz w:val="24"/>
          <w:szCs w:val="24"/>
          <w:lang w:val="en-US"/>
        </w:rPr>
        <w:t>. β</w:t>
      </w:r>
      <w:r w:rsidRPr="00DE13EE">
        <w:rPr>
          <w:rFonts w:ascii="Times New Roman" w:hAnsi="Times New Roman" w:cs="Times New Roman"/>
          <w:bCs/>
          <w:iCs/>
          <w:color w:val="000000" w:themeColor="text1"/>
          <w:sz w:val="24"/>
          <w:szCs w:val="24"/>
          <w:vertAlign w:val="subscript"/>
          <w:lang w:val="en-US"/>
        </w:rPr>
        <w:t>1</w:t>
      </w:r>
      <w:r w:rsidRPr="00DE13EE">
        <w:rPr>
          <w:rFonts w:ascii="Times New Roman" w:hAnsi="Times New Roman" w:cs="Times New Roman"/>
          <w:bCs/>
          <w:iCs/>
          <w:color w:val="000000" w:themeColor="text1"/>
          <w:sz w:val="24"/>
          <w:szCs w:val="24"/>
          <w:lang w:val="en-US"/>
        </w:rPr>
        <w:t xml:space="preserve"> and β</w:t>
      </w:r>
      <w:r w:rsidRPr="00DE13EE">
        <w:rPr>
          <w:rFonts w:ascii="Times New Roman" w:hAnsi="Times New Roman" w:cs="Times New Roman"/>
          <w:bCs/>
          <w:iCs/>
          <w:color w:val="000000" w:themeColor="text1"/>
          <w:sz w:val="24"/>
          <w:szCs w:val="24"/>
          <w:vertAlign w:val="subscript"/>
          <w:lang w:val="en-US"/>
        </w:rPr>
        <w:t>2</w:t>
      </w:r>
      <w:r w:rsidRPr="00DE13EE">
        <w:rPr>
          <w:rFonts w:ascii="Times New Roman" w:hAnsi="Times New Roman" w:cs="Times New Roman"/>
          <w:bCs/>
          <w:iCs/>
          <w:color w:val="000000" w:themeColor="text1"/>
          <w:sz w:val="24"/>
          <w:szCs w:val="24"/>
          <w:lang w:val="en-US"/>
        </w:rPr>
        <w:t xml:space="preserve"> are the slopes for forward-looking disclosure</w:t>
      </w:r>
      <w:r w:rsidR="00936DE9" w:rsidRPr="00DE13EE">
        <w:rPr>
          <w:rFonts w:ascii="Times New Roman" w:hAnsi="Times New Roman" w:cs="Times New Roman"/>
          <w:bCs/>
          <w:iCs/>
          <w:color w:val="000000" w:themeColor="text1"/>
          <w:sz w:val="24"/>
          <w:szCs w:val="24"/>
          <w:lang w:val="en-US"/>
        </w:rPr>
        <w:t xml:space="preserve"> score</w:t>
      </w:r>
      <w:r w:rsidRPr="00DE13EE">
        <w:rPr>
          <w:rFonts w:ascii="Times New Roman" w:hAnsi="Times New Roman" w:cs="Times New Roman"/>
          <w:bCs/>
          <w:iCs/>
          <w:color w:val="000000" w:themeColor="text1"/>
          <w:sz w:val="24"/>
          <w:szCs w:val="24"/>
          <w:lang w:val="en-US"/>
        </w:rPr>
        <w:t xml:space="preserve"> and </w:t>
      </w:r>
      <w:r w:rsidR="00702A98" w:rsidRPr="00DE13EE">
        <w:rPr>
          <w:rFonts w:ascii="Times New Roman" w:hAnsi="Times New Roman" w:cs="Times New Roman"/>
          <w:bCs/>
          <w:iCs/>
          <w:color w:val="000000" w:themeColor="text1"/>
          <w:sz w:val="24"/>
          <w:szCs w:val="24"/>
          <w:lang w:val="en-US"/>
        </w:rPr>
        <w:t>control variables</w:t>
      </w:r>
      <w:r w:rsidRPr="00DE13EE">
        <w:rPr>
          <w:rFonts w:ascii="Times New Roman" w:hAnsi="Times New Roman" w:cs="Times New Roman"/>
          <w:bCs/>
          <w:iCs/>
          <w:color w:val="000000" w:themeColor="text1"/>
          <w:sz w:val="24"/>
          <w:szCs w:val="24"/>
          <w:lang w:val="en-US"/>
        </w:rPr>
        <w:t xml:space="preserve">, respectively. </w:t>
      </w:r>
      <w:r w:rsidR="00A732B5" w:rsidRPr="00DE13EE">
        <w:rPr>
          <w:rFonts w:ascii="Times New Roman" w:hAnsi="Times New Roman" w:cs="Times New Roman"/>
          <w:bCs/>
          <w:iCs/>
          <w:color w:val="000000" w:themeColor="text1"/>
          <w:sz w:val="24"/>
          <w:szCs w:val="24"/>
          <w:lang w:val="en-US"/>
        </w:rPr>
        <w:t>α</w:t>
      </w:r>
      <w:r w:rsidR="00A732B5" w:rsidRPr="00DE13EE">
        <w:rPr>
          <w:rFonts w:ascii="Times New Roman" w:hAnsi="Times New Roman" w:cs="Times New Roman"/>
          <w:bCs/>
          <w:i/>
          <w:iCs/>
          <w:color w:val="000000" w:themeColor="text1"/>
          <w:sz w:val="24"/>
          <w:szCs w:val="24"/>
          <w:vertAlign w:val="subscript"/>
          <w:lang w:val="en-US"/>
        </w:rPr>
        <w:t>i</w:t>
      </w:r>
      <w:r w:rsidR="00A732B5" w:rsidRPr="00DE13EE">
        <w:rPr>
          <w:rFonts w:ascii="Times New Roman" w:hAnsi="Times New Roman" w:cs="Times New Roman"/>
          <w:bCs/>
          <w:iCs/>
          <w:color w:val="000000" w:themeColor="text1"/>
          <w:sz w:val="24"/>
          <w:szCs w:val="24"/>
          <w:lang w:val="en-US"/>
        </w:rPr>
        <w:t xml:space="preserve"> is the intercept for firm </w:t>
      </w:r>
      <w:r w:rsidR="00A732B5" w:rsidRPr="00DE13EE">
        <w:rPr>
          <w:rFonts w:ascii="Times New Roman" w:hAnsi="Times New Roman" w:cs="Times New Roman"/>
          <w:bCs/>
          <w:i/>
          <w:iCs/>
          <w:color w:val="000000" w:themeColor="text1"/>
          <w:sz w:val="24"/>
          <w:szCs w:val="24"/>
          <w:lang w:val="en-US"/>
        </w:rPr>
        <w:t>i</w:t>
      </w:r>
      <w:r w:rsidR="00A732B5" w:rsidRPr="00DE13EE">
        <w:rPr>
          <w:rFonts w:ascii="Times New Roman" w:hAnsi="Times New Roman" w:cs="Times New Roman"/>
          <w:bCs/>
          <w:iCs/>
          <w:color w:val="000000" w:themeColor="text1"/>
          <w:sz w:val="24"/>
          <w:szCs w:val="24"/>
          <w:lang w:val="en-US"/>
        </w:rPr>
        <w:t>, while µ</w:t>
      </w:r>
      <w:r w:rsidR="00A732B5" w:rsidRPr="00DE13EE">
        <w:rPr>
          <w:rFonts w:ascii="Times New Roman" w:hAnsi="Times New Roman" w:cs="Times New Roman"/>
          <w:bCs/>
          <w:i/>
          <w:iCs/>
          <w:color w:val="000000" w:themeColor="text1"/>
          <w:sz w:val="24"/>
          <w:szCs w:val="24"/>
          <w:vertAlign w:val="subscript"/>
          <w:lang w:val="en-US"/>
        </w:rPr>
        <w:t>it</w:t>
      </w:r>
      <w:r w:rsidR="00A732B5" w:rsidRPr="00DE13EE">
        <w:rPr>
          <w:rFonts w:ascii="Times New Roman" w:hAnsi="Times New Roman" w:cs="Times New Roman"/>
          <w:bCs/>
          <w:iCs/>
          <w:color w:val="000000" w:themeColor="text1"/>
          <w:sz w:val="24"/>
          <w:szCs w:val="24"/>
          <w:lang w:val="en-US"/>
        </w:rPr>
        <w:t xml:space="preserve"> is the error term for firm </w:t>
      </w:r>
      <w:r w:rsidR="00A732B5" w:rsidRPr="00DE13EE">
        <w:rPr>
          <w:rFonts w:ascii="Times New Roman" w:hAnsi="Times New Roman" w:cs="Times New Roman"/>
          <w:bCs/>
          <w:i/>
          <w:iCs/>
          <w:color w:val="000000" w:themeColor="text1"/>
          <w:sz w:val="24"/>
          <w:szCs w:val="24"/>
          <w:lang w:val="en-US"/>
        </w:rPr>
        <w:t>i</w:t>
      </w:r>
      <w:r w:rsidR="0047242A" w:rsidRPr="00DE13EE">
        <w:rPr>
          <w:rFonts w:ascii="Times New Roman" w:hAnsi="Times New Roman" w:cs="Times New Roman"/>
          <w:bCs/>
          <w:iCs/>
          <w:color w:val="000000" w:themeColor="text1"/>
          <w:sz w:val="24"/>
          <w:szCs w:val="24"/>
          <w:lang w:val="en-US"/>
        </w:rPr>
        <w:t xml:space="preserve"> in year </w:t>
      </w:r>
      <w:r w:rsidR="00A732B5" w:rsidRPr="00DE13EE">
        <w:rPr>
          <w:rFonts w:ascii="Times New Roman" w:hAnsi="Times New Roman" w:cs="Times New Roman"/>
          <w:bCs/>
          <w:i/>
          <w:iCs/>
          <w:color w:val="000000" w:themeColor="text1"/>
          <w:sz w:val="24"/>
          <w:szCs w:val="24"/>
          <w:lang w:val="en-US"/>
        </w:rPr>
        <w:t>t</w:t>
      </w:r>
      <w:r w:rsidR="00A732B5" w:rsidRPr="00DE13EE">
        <w:rPr>
          <w:rFonts w:ascii="Times New Roman" w:hAnsi="Times New Roman" w:cs="Times New Roman"/>
          <w:bCs/>
          <w:iCs/>
          <w:color w:val="000000" w:themeColor="text1"/>
          <w:sz w:val="24"/>
          <w:szCs w:val="24"/>
          <w:lang w:val="en-US"/>
        </w:rPr>
        <w:t>.</w:t>
      </w:r>
    </w:p>
    <w:p w14:paraId="54CD1A36" w14:textId="77777777" w:rsidR="00E01DAE" w:rsidRPr="00DE13EE" w:rsidRDefault="00E01DAE" w:rsidP="00B93D4F">
      <w:pPr>
        <w:spacing w:line="360" w:lineRule="auto"/>
        <w:jc w:val="both"/>
        <w:rPr>
          <w:rFonts w:ascii="Times New Roman" w:hAnsi="Times New Roman" w:cs="Times New Roman"/>
          <w:bCs/>
          <w:iCs/>
          <w:color w:val="000000" w:themeColor="text1"/>
          <w:sz w:val="24"/>
          <w:szCs w:val="24"/>
          <w:lang w:val="en-US"/>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66"/>
        <w:gridCol w:w="1048"/>
      </w:tblGrid>
      <w:tr w:rsidR="006B7B8C" w:rsidRPr="00DE13EE" w14:paraId="04E6C463" w14:textId="77777777" w:rsidTr="00936DE9">
        <w:trPr>
          <w:trHeight w:val="2552"/>
        </w:trPr>
        <w:tc>
          <w:tcPr>
            <w:tcW w:w="8166" w:type="dxa"/>
          </w:tcPr>
          <w:p w14:paraId="24D57FE3" w14:textId="77777777" w:rsidR="006B7B8C" w:rsidRPr="00DE13EE" w:rsidRDefault="006B7B8C" w:rsidP="00B93D4F">
            <w:pPr>
              <w:spacing w:line="360" w:lineRule="auto"/>
              <w:jc w:val="both"/>
              <w:rPr>
                <w:rFonts w:ascii="Times New Roman" w:hAnsi="Times New Roman" w:cs="Times New Roman"/>
                <w:bCs/>
                <w:iCs/>
                <w:color w:val="000000" w:themeColor="text1"/>
                <w:sz w:val="24"/>
                <w:szCs w:val="24"/>
                <w:lang w:val="en-US"/>
              </w:rPr>
            </w:pPr>
            <w:r w:rsidRPr="00DE13EE">
              <w:rPr>
                <w:rFonts w:ascii="Times New Roman" w:hAnsi="Times New Roman" w:cs="Times New Roman"/>
                <w:color w:val="000000" w:themeColor="text1"/>
                <w:position w:val="-6"/>
                <w:sz w:val="24"/>
                <w:szCs w:val="24"/>
                <w:lang w:val="en-US" w:bidi="ar-EG"/>
              </w:rPr>
              <w:object w:dxaOrig="9760" w:dyaOrig="3879" w14:anchorId="660690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4pt;height:138pt" o:ole="">
                  <v:imagedata r:id="rId9" o:title=""/>
                </v:shape>
                <o:OLEObject Type="Embed" ProgID="Equation.3" ShapeID="_x0000_i1025" DrawAspect="Content" ObjectID="_1581231006" r:id="rId10"/>
              </w:object>
            </w:r>
          </w:p>
        </w:tc>
        <w:tc>
          <w:tcPr>
            <w:tcW w:w="1048" w:type="dxa"/>
          </w:tcPr>
          <w:p w14:paraId="2D97FF22" w14:textId="77777777" w:rsidR="006B7B8C" w:rsidRPr="00DE13EE" w:rsidRDefault="006B7B8C" w:rsidP="00B93D4F">
            <w:pPr>
              <w:spacing w:line="360" w:lineRule="auto"/>
              <w:jc w:val="both"/>
              <w:rPr>
                <w:rFonts w:ascii="Times New Roman" w:hAnsi="Times New Roman" w:cs="Times New Roman"/>
                <w:b/>
                <w:bCs/>
                <w:iCs/>
                <w:color w:val="000000" w:themeColor="text1"/>
                <w:sz w:val="24"/>
                <w:szCs w:val="24"/>
                <w:lang w:val="en-US"/>
              </w:rPr>
            </w:pPr>
          </w:p>
          <w:p w14:paraId="3B2382C2" w14:textId="77777777" w:rsidR="006B7B8C" w:rsidRPr="00DE13EE" w:rsidRDefault="006B7B8C" w:rsidP="00B93D4F">
            <w:pPr>
              <w:spacing w:line="360" w:lineRule="auto"/>
              <w:jc w:val="both"/>
              <w:rPr>
                <w:rFonts w:ascii="Times New Roman" w:hAnsi="Times New Roman" w:cs="Times New Roman"/>
                <w:b/>
                <w:bCs/>
                <w:iCs/>
                <w:color w:val="000000" w:themeColor="text1"/>
                <w:sz w:val="24"/>
                <w:szCs w:val="24"/>
                <w:lang w:val="en-US"/>
              </w:rPr>
            </w:pPr>
          </w:p>
          <w:p w14:paraId="5C5C2A49" w14:textId="77777777" w:rsidR="006B7B8C" w:rsidRPr="00DE13EE" w:rsidRDefault="006B7B8C" w:rsidP="00B93D4F">
            <w:pPr>
              <w:spacing w:line="360" w:lineRule="auto"/>
              <w:jc w:val="both"/>
              <w:rPr>
                <w:rFonts w:ascii="Times New Roman" w:hAnsi="Times New Roman" w:cs="Times New Roman"/>
                <w:b/>
                <w:bCs/>
                <w:iCs/>
                <w:color w:val="000000" w:themeColor="text1"/>
                <w:sz w:val="24"/>
                <w:szCs w:val="24"/>
                <w:lang w:val="en-US"/>
              </w:rPr>
            </w:pPr>
          </w:p>
          <w:p w14:paraId="56CF1C3E" w14:textId="77777777" w:rsidR="006B7B8C" w:rsidRPr="00DE13EE" w:rsidRDefault="006B7B8C" w:rsidP="00B93D4F">
            <w:pPr>
              <w:spacing w:line="360" w:lineRule="auto"/>
              <w:jc w:val="both"/>
              <w:rPr>
                <w:rFonts w:ascii="Times New Roman" w:hAnsi="Times New Roman" w:cs="Times New Roman"/>
                <w:b/>
                <w:bCs/>
                <w:iCs/>
                <w:color w:val="000000" w:themeColor="text1"/>
                <w:sz w:val="24"/>
                <w:szCs w:val="24"/>
                <w:lang w:val="en-US"/>
              </w:rPr>
            </w:pPr>
          </w:p>
          <w:p w14:paraId="627B5BAD" w14:textId="77777777" w:rsidR="006B7B8C" w:rsidRPr="00DE13EE" w:rsidRDefault="006B7B8C" w:rsidP="00B93D4F">
            <w:pPr>
              <w:spacing w:line="360" w:lineRule="auto"/>
              <w:jc w:val="both"/>
              <w:rPr>
                <w:rFonts w:ascii="Times New Roman" w:hAnsi="Times New Roman" w:cs="Times New Roman"/>
                <w:b/>
                <w:bCs/>
                <w:iCs/>
                <w:color w:val="000000" w:themeColor="text1"/>
                <w:sz w:val="24"/>
                <w:szCs w:val="24"/>
                <w:lang w:val="en-US"/>
              </w:rPr>
            </w:pPr>
          </w:p>
          <w:p w14:paraId="3178DDEE" w14:textId="77777777" w:rsidR="006B7B8C" w:rsidRPr="00DE13EE" w:rsidRDefault="006B7B8C" w:rsidP="00B93D4F">
            <w:pPr>
              <w:spacing w:line="360" w:lineRule="auto"/>
              <w:jc w:val="both"/>
              <w:rPr>
                <w:rFonts w:ascii="Times New Roman" w:hAnsi="Times New Roman" w:cs="Times New Roman"/>
                <w:b/>
                <w:bCs/>
                <w:iCs/>
                <w:color w:val="000000" w:themeColor="text1"/>
                <w:sz w:val="24"/>
                <w:szCs w:val="24"/>
                <w:lang w:val="en-US"/>
              </w:rPr>
            </w:pPr>
            <w:r w:rsidRPr="00DE13EE">
              <w:rPr>
                <w:rFonts w:ascii="Times New Roman" w:hAnsi="Times New Roman" w:cs="Times New Roman"/>
                <w:b/>
                <w:bCs/>
                <w:iCs/>
                <w:color w:val="000000" w:themeColor="text1"/>
                <w:sz w:val="24"/>
                <w:szCs w:val="24"/>
                <w:lang w:val="en-US"/>
              </w:rPr>
              <w:t>Eq. (1)</w:t>
            </w:r>
          </w:p>
        </w:tc>
      </w:tr>
    </w:tbl>
    <w:p w14:paraId="05942243" w14:textId="77777777" w:rsidR="009A6CB4" w:rsidRPr="00DE13EE" w:rsidRDefault="009A6CB4" w:rsidP="00B93D4F">
      <w:pPr>
        <w:spacing w:line="360" w:lineRule="auto"/>
        <w:jc w:val="both"/>
        <w:rPr>
          <w:rFonts w:ascii="Times New Roman" w:hAnsi="Times New Roman" w:cs="Times New Roman"/>
          <w:bCs/>
          <w:iCs/>
          <w:color w:val="000000" w:themeColor="text1"/>
          <w:sz w:val="24"/>
          <w:szCs w:val="24"/>
          <w:lang w:val="en-US"/>
        </w:rPr>
      </w:pPr>
    </w:p>
    <w:p w14:paraId="15131F99" w14:textId="533EA614" w:rsidR="00812C9C" w:rsidRPr="00DE13EE" w:rsidRDefault="00812C9C" w:rsidP="00B93D4F">
      <w:pPr>
        <w:spacing w:line="360" w:lineRule="auto"/>
        <w:jc w:val="both"/>
        <w:rPr>
          <w:rFonts w:ascii="Times New Roman" w:hAnsi="Times New Roman" w:cs="Times New Roman"/>
          <w:color w:val="000000" w:themeColor="text1"/>
          <w:sz w:val="24"/>
          <w:szCs w:val="24"/>
          <w:lang w:val="en-US"/>
        </w:rPr>
      </w:pPr>
      <w:r w:rsidRPr="00DE13EE">
        <w:rPr>
          <w:rFonts w:ascii="Times New Roman" w:hAnsi="Times New Roman" w:cs="Times New Roman"/>
          <w:bCs/>
          <w:iCs/>
          <w:color w:val="000000" w:themeColor="text1"/>
          <w:sz w:val="24"/>
          <w:szCs w:val="24"/>
          <w:lang w:val="en-US"/>
        </w:rPr>
        <w:t>Equation (2) shows the random effects model that accounts for the bias in firm value caused by random variations across firms in the UK and across industries over the 10-year period under analysis.</w:t>
      </w:r>
      <w:r w:rsidRPr="00DE13EE">
        <w:rPr>
          <w:rFonts w:ascii="Times New Roman" w:hAnsi="Times New Roman" w:cs="Times New Roman"/>
          <w:color w:val="000000" w:themeColor="text1"/>
          <w:sz w:val="24"/>
          <w:szCs w:val="24"/>
          <w:lang w:val="en-US"/>
        </w:rPr>
        <w:t xml:space="preserve"> </w:t>
      </w:r>
      <w:r w:rsidRPr="00DE13EE">
        <w:rPr>
          <w:rFonts w:ascii="Times New Roman" w:hAnsi="Times New Roman" w:cs="Times New Roman"/>
          <w:bCs/>
          <w:iCs/>
          <w:color w:val="000000" w:themeColor="text1"/>
          <w:sz w:val="24"/>
          <w:szCs w:val="24"/>
          <w:lang w:val="en-US"/>
        </w:rPr>
        <w:t xml:space="preserve">All variables are the same as in equation (1). Additionally, the error term is broadened from </w:t>
      </w:r>
      <w:r w:rsidR="00C74685" w:rsidRPr="00DE13EE">
        <w:rPr>
          <w:rFonts w:ascii="Times New Roman" w:hAnsi="Times New Roman" w:cs="Times New Roman"/>
          <w:bCs/>
          <w:iCs/>
          <w:color w:val="000000" w:themeColor="text1"/>
          <w:sz w:val="24"/>
          <w:szCs w:val="24"/>
          <w:lang w:val="en-US"/>
        </w:rPr>
        <w:t>µ</w:t>
      </w:r>
      <w:r w:rsidRPr="00DE13EE">
        <w:rPr>
          <w:rFonts w:ascii="Times New Roman" w:hAnsi="Times New Roman" w:cs="Times New Roman"/>
          <w:bCs/>
          <w:i/>
          <w:iCs/>
          <w:color w:val="000000" w:themeColor="text1"/>
          <w:sz w:val="24"/>
          <w:szCs w:val="24"/>
          <w:vertAlign w:val="subscript"/>
          <w:lang w:val="en-US"/>
        </w:rPr>
        <w:t>it</w:t>
      </w:r>
      <w:r w:rsidRPr="00DE13EE">
        <w:rPr>
          <w:rFonts w:ascii="Times New Roman" w:hAnsi="Times New Roman" w:cs="Times New Roman"/>
          <w:bCs/>
          <w:iCs/>
          <w:color w:val="000000" w:themeColor="text1"/>
          <w:sz w:val="24"/>
          <w:szCs w:val="24"/>
          <w:lang w:val="en-US"/>
        </w:rPr>
        <w:t>, which captures the between-firm error, to include Ɛ</w:t>
      </w:r>
      <w:r w:rsidRPr="00DE13EE">
        <w:rPr>
          <w:rFonts w:ascii="Times New Roman" w:hAnsi="Times New Roman" w:cs="Times New Roman"/>
          <w:bCs/>
          <w:i/>
          <w:iCs/>
          <w:color w:val="000000" w:themeColor="text1"/>
          <w:sz w:val="24"/>
          <w:szCs w:val="24"/>
          <w:vertAlign w:val="subscript"/>
          <w:lang w:val="en-US"/>
        </w:rPr>
        <w:t>it</w:t>
      </w:r>
      <w:r w:rsidRPr="00DE13EE">
        <w:rPr>
          <w:rFonts w:ascii="Times New Roman" w:hAnsi="Times New Roman" w:cs="Times New Roman"/>
          <w:bCs/>
          <w:iCs/>
          <w:color w:val="000000" w:themeColor="text1"/>
          <w:sz w:val="24"/>
          <w:szCs w:val="24"/>
          <w:lang w:val="en-US"/>
        </w:rPr>
        <w:t>, which captures the within-firm error.</w:t>
      </w:r>
      <w:r w:rsidRPr="00DE13EE">
        <w:rPr>
          <w:rFonts w:ascii="Times New Roman" w:hAnsi="Times New Roman" w:cs="Times New Roman"/>
          <w:color w:val="000000" w:themeColor="text1"/>
          <w:sz w:val="24"/>
          <w:szCs w:val="24"/>
          <w:lang w:val="en-US"/>
        </w:rPr>
        <w:t xml:space="preserve"> This yields unbiased standard errors </w:t>
      </w:r>
      <w:r w:rsidR="00CA3BC9" w:rsidRPr="00DE13EE">
        <w:rPr>
          <w:rFonts w:ascii="Times New Roman" w:hAnsi="Times New Roman" w:cs="Times New Roman"/>
          <w:color w:val="000000" w:themeColor="text1"/>
          <w:sz w:val="24"/>
          <w:szCs w:val="24"/>
          <w:lang w:val="en-US"/>
        </w:rPr>
        <w:t xml:space="preserve">which </w:t>
      </w:r>
      <w:r w:rsidRPr="00DE13EE">
        <w:rPr>
          <w:rFonts w:ascii="Times New Roman" w:hAnsi="Times New Roman" w:cs="Times New Roman"/>
          <w:color w:val="000000" w:themeColor="text1"/>
          <w:sz w:val="24"/>
          <w:szCs w:val="24"/>
          <w:lang w:val="en-US"/>
        </w:rPr>
        <w:t>would improve the accuracy of the analyses (Petersen, 2009).</w:t>
      </w:r>
    </w:p>
    <w:p w14:paraId="257628AE" w14:textId="77777777" w:rsidR="00E01DAE" w:rsidRPr="00DE13EE" w:rsidRDefault="00E01DAE" w:rsidP="00B93D4F">
      <w:pPr>
        <w:spacing w:line="360" w:lineRule="auto"/>
        <w:jc w:val="both"/>
        <w:rPr>
          <w:rFonts w:ascii="Times New Roman" w:hAnsi="Times New Roman" w:cs="Times New Roman"/>
          <w:color w:val="000000" w:themeColor="text1"/>
          <w:sz w:val="24"/>
          <w:szCs w:val="24"/>
          <w:lang w:val="en-US"/>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92"/>
        <w:gridCol w:w="1022"/>
      </w:tblGrid>
      <w:tr w:rsidR="006B7B8C" w:rsidRPr="00DE13EE" w14:paraId="2D691885" w14:textId="77777777" w:rsidTr="006B7B8C">
        <w:tc>
          <w:tcPr>
            <w:tcW w:w="8192" w:type="dxa"/>
          </w:tcPr>
          <w:p w14:paraId="120F6167" w14:textId="77777777" w:rsidR="006B7B8C" w:rsidRPr="00DE13EE" w:rsidRDefault="006B7B8C" w:rsidP="00B93D4F">
            <w:pPr>
              <w:spacing w:line="360" w:lineRule="auto"/>
              <w:jc w:val="both"/>
              <w:rPr>
                <w:rFonts w:ascii="Times New Roman" w:hAnsi="Times New Roman" w:cs="Times New Roman"/>
                <w:bCs/>
                <w:iCs/>
                <w:color w:val="000000" w:themeColor="text1"/>
                <w:sz w:val="24"/>
                <w:szCs w:val="24"/>
                <w:lang w:val="en-US"/>
              </w:rPr>
            </w:pPr>
            <w:r w:rsidRPr="00DE13EE">
              <w:rPr>
                <w:rFonts w:ascii="Times New Roman" w:hAnsi="Times New Roman" w:cs="Times New Roman"/>
                <w:color w:val="000000" w:themeColor="text1"/>
                <w:position w:val="-6"/>
                <w:sz w:val="24"/>
                <w:szCs w:val="24"/>
                <w:lang w:val="en-US" w:bidi="ar-EG"/>
              </w:rPr>
              <w:object w:dxaOrig="10440" w:dyaOrig="3879" w14:anchorId="76D986A5">
                <v:shape id="_x0000_i1026" type="#_x0000_t75" style="width:377.25pt;height:138pt" o:ole="">
                  <v:imagedata r:id="rId11" o:title=""/>
                </v:shape>
                <o:OLEObject Type="Embed" ProgID="Equation.3" ShapeID="_x0000_i1026" DrawAspect="Content" ObjectID="_1581231007" r:id="rId12"/>
              </w:object>
            </w:r>
          </w:p>
        </w:tc>
        <w:tc>
          <w:tcPr>
            <w:tcW w:w="1022" w:type="dxa"/>
          </w:tcPr>
          <w:p w14:paraId="731870D3" w14:textId="77777777" w:rsidR="006B7B8C" w:rsidRPr="00DE13EE" w:rsidRDefault="006B7B8C" w:rsidP="00B93D4F">
            <w:pPr>
              <w:spacing w:line="360" w:lineRule="auto"/>
              <w:jc w:val="both"/>
              <w:rPr>
                <w:rFonts w:ascii="Times New Roman" w:hAnsi="Times New Roman" w:cs="Times New Roman"/>
                <w:b/>
                <w:bCs/>
                <w:iCs/>
                <w:color w:val="000000" w:themeColor="text1"/>
                <w:sz w:val="24"/>
                <w:szCs w:val="24"/>
                <w:lang w:val="en-US"/>
              </w:rPr>
            </w:pPr>
          </w:p>
          <w:p w14:paraId="0BAD48A4" w14:textId="77777777" w:rsidR="006B7B8C" w:rsidRPr="00DE13EE" w:rsidRDefault="006B7B8C" w:rsidP="00B93D4F">
            <w:pPr>
              <w:spacing w:line="360" w:lineRule="auto"/>
              <w:jc w:val="both"/>
              <w:rPr>
                <w:rFonts w:ascii="Times New Roman" w:hAnsi="Times New Roman" w:cs="Times New Roman"/>
                <w:b/>
                <w:bCs/>
                <w:iCs/>
                <w:color w:val="000000" w:themeColor="text1"/>
                <w:sz w:val="24"/>
                <w:szCs w:val="24"/>
                <w:lang w:val="en-US"/>
              </w:rPr>
            </w:pPr>
          </w:p>
          <w:p w14:paraId="11C863F8" w14:textId="77777777" w:rsidR="006B7B8C" w:rsidRPr="00DE13EE" w:rsidRDefault="006B7B8C" w:rsidP="00B93D4F">
            <w:pPr>
              <w:spacing w:line="360" w:lineRule="auto"/>
              <w:jc w:val="both"/>
              <w:rPr>
                <w:rFonts w:ascii="Times New Roman" w:hAnsi="Times New Roman" w:cs="Times New Roman"/>
                <w:b/>
                <w:bCs/>
                <w:iCs/>
                <w:color w:val="000000" w:themeColor="text1"/>
                <w:sz w:val="24"/>
                <w:szCs w:val="24"/>
                <w:lang w:val="en-US"/>
              </w:rPr>
            </w:pPr>
          </w:p>
          <w:p w14:paraId="4FAFD0E6" w14:textId="77777777" w:rsidR="006B7B8C" w:rsidRPr="00DE13EE" w:rsidRDefault="006B7B8C" w:rsidP="00B93D4F">
            <w:pPr>
              <w:spacing w:line="360" w:lineRule="auto"/>
              <w:jc w:val="both"/>
              <w:rPr>
                <w:rFonts w:ascii="Times New Roman" w:hAnsi="Times New Roman" w:cs="Times New Roman"/>
                <w:b/>
                <w:bCs/>
                <w:iCs/>
                <w:color w:val="000000" w:themeColor="text1"/>
                <w:sz w:val="24"/>
                <w:szCs w:val="24"/>
                <w:lang w:val="en-US"/>
              </w:rPr>
            </w:pPr>
          </w:p>
          <w:p w14:paraId="26EDDD0D" w14:textId="77777777" w:rsidR="006B7B8C" w:rsidRPr="00DE13EE" w:rsidRDefault="006B7B8C" w:rsidP="00B93D4F">
            <w:pPr>
              <w:spacing w:line="360" w:lineRule="auto"/>
              <w:jc w:val="both"/>
              <w:rPr>
                <w:rFonts w:ascii="Times New Roman" w:hAnsi="Times New Roman" w:cs="Times New Roman"/>
                <w:b/>
                <w:bCs/>
                <w:iCs/>
                <w:color w:val="000000" w:themeColor="text1"/>
                <w:sz w:val="24"/>
                <w:szCs w:val="24"/>
                <w:lang w:val="en-US"/>
              </w:rPr>
            </w:pPr>
          </w:p>
          <w:p w14:paraId="0E45F8DE" w14:textId="77777777" w:rsidR="006B7B8C" w:rsidRPr="00DE13EE" w:rsidRDefault="006B7B8C" w:rsidP="00B93D4F">
            <w:pPr>
              <w:spacing w:line="360" w:lineRule="auto"/>
              <w:jc w:val="both"/>
              <w:rPr>
                <w:rFonts w:ascii="Times New Roman" w:hAnsi="Times New Roman" w:cs="Times New Roman"/>
                <w:b/>
                <w:bCs/>
                <w:iCs/>
                <w:color w:val="000000" w:themeColor="text1"/>
                <w:sz w:val="24"/>
                <w:szCs w:val="24"/>
                <w:lang w:val="en-US"/>
              </w:rPr>
            </w:pPr>
            <w:r w:rsidRPr="00DE13EE">
              <w:rPr>
                <w:rFonts w:ascii="Times New Roman" w:hAnsi="Times New Roman" w:cs="Times New Roman"/>
                <w:b/>
                <w:bCs/>
                <w:iCs/>
                <w:color w:val="000000" w:themeColor="text1"/>
                <w:sz w:val="24"/>
                <w:szCs w:val="24"/>
                <w:lang w:val="en-US"/>
              </w:rPr>
              <w:t>Eq. (2)</w:t>
            </w:r>
          </w:p>
        </w:tc>
      </w:tr>
    </w:tbl>
    <w:p w14:paraId="2408C409" w14:textId="77777777" w:rsidR="006B7B8C" w:rsidRPr="00DE13EE" w:rsidRDefault="006B7B8C" w:rsidP="00B93D4F">
      <w:pPr>
        <w:spacing w:line="360" w:lineRule="auto"/>
        <w:jc w:val="both"/>
        <w:rPr>
          <w:rFonts w:ascii="Times New Roman" w:hAnsi="Times New Roman" w:cs="Times New Roman"/>
          <w:color w:val="000000" w:themeColor="text1"/>
          <w:sz w:val="24"/>
          <w:szCs w:val="24"/>
          <w:lang w:val="en-US"/>
        </w:rPr>
      </w:pPr>
    </w:p>
    <w:p w14:paraId="19AFE5B5" w14:textId="71C75F57" w:rsidR="00812C9C" w:rsidRPr="00DE13EE" w:rsidRDefault="007B1A96" w:rsidP="00B93D4F">
      <w:pPr>
        <w:spacing w:line="360" w:lineRule="auto"/>
        <w:jc w:val="both"/>
        <w:rPr>
          <w:rFonts w:ascii="Times New Roman" w:hAnsi="Times New Roman" w:cs="Times New Roman"/>
          <w:color w:val="000000" w:themeColor="text1"/>
          <w:sz w:val="24"/>
          <w:szCs w:val="24"/>
          <w:lang w:val="en-US"/>
        </w:rPr>
      </w:pPr>
      <w:r w:rsidRPr="00DE13EE">
        <w:rPr>
          <w:rFonts w:ascii="Times New Roman" w:hAnsi="Times New Roman" w:cs="Times New Roman"/>
          <w:color w:val="000000" w:themeColor="text1"/>
          <w:sz w:val="24"/>
          <w:szCs w:val="24"/>
          <w:lang w:val="en-US"/>
        </w:rPr>
        <w:t xml:space="preserve">To test </w:t>
      </w:r>
      <w:r w:rsidR="006D240E" w:rsidRPr="00DE13EE">
        <w:rPr>
          <w:rFonts w:ascii="Times New Roman" w:hAnsi="Times New Roman" w:cs="Times New Roman"/>
          <w:color w:val="000000" w:themeColor="text1"/>
          <w:sz w:val="24"/>
          <w:szCs w:val="24"/>
          <w:lang w:val="en-US"/>
        </w:rPr>
        <w:t>H1</w:t>
      </w:r>
      <w:r w:rsidRPr="00DE13EE">
        <w:rPr>
          <w:rFonts w:ascii="Times New Roman" w:hAnsi="Times New Roman" w:cs="Times New Roman"/>
          <w:color w:val="000000" w:themeColor="text1"/>
          <w:sz w:val="24"/>
          <w:szCs w:val="24"/>
          <w:lang w:val="en-US"/>
        </w:rPr>
        <w:t xml:space="preserve">, both models </w:t>
      </w:r>
      <w:r w:rsidR="006D240E" w:rsidRPr="00DE13EE">
        <w:rPr>
          <w:rFonts w:ascii="Times New Roman" w:hAnsi="Times New Roman" w:cs="Times New Roman"/>
          <w:color w:val="000000" w:themeColor="text1"/>
          <w:sz w:val="24"/>
          <w:szCs w:val="24"/>
          <w:lang w:val="en-US"/>
        </w:rPr>
        <w:t>(</w:t>
      </w:r>
      <w:r w:rsidRPr="00DE13EE">
        <w:rPr>
          <w:rFonts w:ascii="Times New Roman" w:hAnsi="Times New Roman" w:cs="Times New Roman"/>
          <w:color w:val="000000" w:themeColor="text1"/>
          <w:sz w:val="24"/>
          <w:szCs w:val="24"/>
          <w:lang w:val="en-US"/>
        </w:rPr>
        <w:t>1</w:t>
      </w:r>
      <w:r w:rsidR="006D240E" w:rsidRPr="00DE13EE">
        <w:rPr>
          <w:rFonts w:ascii="Times New Roman" w:hAnsi="Times New Roman" w:cs="Times New Roman"/>
          <w:color w:val="000000" w:themeColor="text1"/>
          <w:sz w:val="24"/>
          <w:szCs w:val="24"/>
          <w:lang w:val="en-US"/>
        </w:rPr>
        <w:t>)</w:t>
      </w:r>
      <w:r w:rsidRPr="00DE13EE">
        <w:rPr>
          <w:rFonts w:ascii="Times New Roman" w:hAnsi="Times New Roman" w:cs="Times New Roman"/>
          <w:color w:val="000000" w:themeColor="text1"/>
          <w:sz w:val="24"/>
          <w:szCs w:val="24"/>
          <w:lang w:val="en-US"/>
        </w:rPr>
        <w:t xml:space="preserve"> </w:t>
      </w:r>
      <w:r w:rsidR="006D240E" w:rsidRPr="00DE13EE">
        <w:rPr>
          <w:rFonts w:ascii="Times New Roman" w:hAnsi="Times New Roman" w:cs="Times New Roman"/>
          <w:color w:val="000000" w:themeColor="text1"/>
          <w:sz w:val="24"/>
          <w:szCs w:val="24"/>
          <w:lang w:val="en-US"/>
        </w:rPr>
        <w:t>&amp; (</w:t>
      </w:r>
      <w:r w:rsidRPr="00DE13EE">
        <w:rPr>
          <w:rFonts w:ascii="Times New Roman" w:hAnsi="Times New Roman" w:cs="Times New Roman"/>
          <w:color w:val="000000" w:themeColor="text1"/>
          <w:sz w:val="24"/>
          <w:szCs w:val="24"/>
          <w:lang w:val="en-US"/>
        </w:rPr>
        <w:t>2</w:t>
      </w:r>
      <w:r w:rsidR="006D240E" w:rsidRPr="00DE13EE">
        <w:rPr>
          <w:rFonts w:ascii="Times New Roman" w:hAnsi="Times New Roman" w:cs="Times New Roman"/>
          <w:color w:val="000000" w:themeColor="text1"/>
          <w:sz w:val="24"/>
          <w:szCs w:val="24"/>
          <w:lang w:val="en-US"/>
        </w:rPr>
        <w:t>)</w:t>
      </w:r>
      <w:r w:rsidRPr="00DE13EE">
        <w:rPr>
          <w:rFonts w:ascii="Times New Roman" w:hAnsi="Times New Roman" w:cs="Times New Roman"/>
          <w:color w:val="000000" w:themeColor="text1"/>
          <w:sz w:val="24"/>
          <w:szCs w:val="24"/>
          <w:lang w:val="en-US"/>
        </w:rPr>
        <w:t xml:space="preserve"> are run separately for the whole sample</w:t>
      </w:r>
      <w:r w:rsidR="006D240E" w:rsidRPr="00DE13EE">
        <w:rPr>
          <w:rFonts w:ascii="Times New Roman" w:hAnsi="Times New Roman" w:cs="Times New Roman"/>
          <w:color w:val="000000" w:themeColor="text1"/>
          <w:sz w:val="24"/>
          <w:szCs w:val="24"/>
          <w:lang w:val="en-US"/>
        </w:rPr>
        <w:t xml:space="preserve"> firms</w:t>
      </w:r>
      <w:r w:rsidRPr="00DE13EE">
        <w:rPr>
          <w:rFonts w:ascii="Times New Roman" w:hAnsi="Times New Roman" w:cs="Times New Roman"/>
          <w:color w:val="000000" w:themeColor="text1"/>
          <w:sz w:val="24"/>
          <w:szCs w:val="24"/>
          <w:lang w:val="en-US"/>
        </w:rPr>
        <w:t xml:space="preserve">. To test H2, </w:t>
      </w:r>
      <w:r w:rsidR="00CD396D" w:rsidRPr="00DE13EE">
        <w:rPr>
          <w:rFonts w:ascii="Times New Roman" w:hAnsi="Times New Roman" w:cs="Times New Roman"/>
          <w:color w:val="000000" w:themeColor="text1"/>
          <w:sz w:val="24"/>
          <w:szCs w:val="24"/>
          <w:lang w:val="en-US"/>
        </w:rPr>
        <w:t xml:space="preserve">the sample is divided into two subsamples: high-performing and low-performing firms, based on the direction of change in the ROA ratio. Firms that have positive changes in ROA from the previous year (ΔROA&gt;0) are regarded as high-performing firms, while firms with negative changes in ROA (ΔROA&lt;0) are regarded as low-performing firms. Models (1) &amp; (2) are run </w:t>
      </w:r>
      <w:r w:rsidR="00CD396D" w:rsidRPr="00DE13EE">
        <w:rPr>
          <w:rFonts w:ascii="Times New Roman" w:hAnsi="Times New Roman" w:cs="Times New Roman"/>
          <w:color w:val="000000" w:themeColor="text1"/>
          <w:sz w:val="24"/>
          <w:szCs w:val="24"/>
          <w:lang w:val="en-US"/>
        </w:rPr>
        <w:lastRenderedPageBreak/>
        <w:t>s</w:t>
      </w:r>
      <w:r w:rsidR="000C344B" w:rsidRPr="00DE13EE">
        <w:rPr>
          <w:rFonts w:ascii="Times New Roman" w:hAnsi="Times New Roman" w:cs="Times New Roman"/>
          <w:color w:val="000000" w:themeColor="text1"/>
          <w:sz w:val="24"/>
          <w:szCs w:val="24"/>
          <w:lang w:val="en-US"/>
        </w:rPr>
        <w:t>eparately for both high and low-</w:t>
      </w:r>
      <w:r w:rsidR="00CD396D" w:rsidRPr="00DE13EE">
        <w:rPr>
          <w:rFonts w:ascii="Times New Roman" w:hAnsi="Times New Roman" w:cs="Times New Roman"/>
          <w:color w:val="000000" w:themeColor="text1"/>
          <w:sz w:val="24"/>
          <w:szCs w:val="24"/>
          <w:lang w:val="en-US"/>
        </w:rPr>
        <w:t xml:space="preserve">performing firms. </w:t>
      </w:r>
      <w:r w:rsidR="007E4F59" w:rsidRPr="00DE13EE">
        <w:rPr>
          <w:rFonts w:ascii="Times New Roman" w:hAnsi="Times New Roman" w:cs="Times New Roman"/>
          <w:color w:val="000000" w:themeColor="text1"/>
          <w:sz w:val="24"/>
          <w:szCs w:val="24"/>
          <w:lang w:val="en-US"/>
        </w:rPr>
        <w:t xml:space="preserve">It should be noted that when calculating change in </w:t>
      </w:r>
      <w:r w:rsidR="00DD172E" w:rsidRPr="00DE13EE">
        <w:rPr>
          <w:rFonts w:ascii="Times New Roman" w:hAnsi="Times New Roman" w:cs="Times New Roman"/>
          <w:color w:val="000000" w:themeColor="text1"/>
          <w:sz w:val="24"/>
          <w:szCs w:val="24"/>
          <w:lang w:val="en-US"/>
        </w:rPr>
        <w:t xml:space="preserve">the </w:t>
      </w:r>
      <w:r w:rsidR="007E4F59" w:rsidRPr="00DE13EE">
        <w:rPr>
          <w:rFonts w:ascii="Times New Roman" w:hAnsi="Times New Roman" w:cs="Times New Roman"/>
          <w:color w:val="000000" w:themeColor="text1"/>
          <w:sz w:val="24"/>
          <w:szCs w:val="24"/>
          <w:lang w:val="en-US"/>
        </w:rPr>
        <w:t xml:space="preserve">ROA ratio from the previous year, the current study loses one year of observations for each firm. This suggests that there are no observations for the year 2005. </w:t>
      </w:r>
      <w:r w:rsidR="00CD396D" w:rsidRPr="00DE13EE">
        <w:rPr>
          <w:rFonts w:ascii="Times New Roman" w:hAnsi="Times New Roman" w:cs="Times New Roman"/>
          <w:color w:val="000000" w:themeColor="text1"/>
          <w:sz w:val="24"/>
          <w:szCs w:val="24"/>
          <w:lang w:val="en-US"/>
        </w:rPr>
        <w:t>To tes</w:t>
      </w:r>
      <w:r w:rsidR="000C344B" w:rsidRPr="00DE13EE">
        <w:rPr>
          <w:rFonts w:ascii="Times New Roman" w:hAnsi="Times New Roman" w:cs="Times New Roman"/>
          <w:color w:val="000000" w:themeColor="text1"/>
          <w:sz w:val="24"/>
          <w:szCs w:val="24"/>
          <w:lang w:val="en-US"/>
        </w:rPr>
        <w:t>t H3,</w:t>
      </w:r>
      <w:r w:rsidR="00CD396D" w:rsidRPr="00DE13EE">
        <w:rPr>
          <w:rFonts w:ascii="Times New Roman" w:hAnsi="Times New Roman" w:cs="Times New Roman"/>
          <w:color w:val="000000" w:themeColor="text1"/>
          <w:sz w:val="24"/>
          <w:szCs w:val="24"/>
          <w:lang w:val="en-US"/>
        </w:rPr>
        <w:t xml:space="preserve"> the sample is divided into two sub-samples b</w:t>
      </w:r>
      <w:r w:rsidR="000C344B" w:rsidRPr="00DE13EE">
        <w:rPr>
          <w:rFonts w:ascii="Times New Roman" w:hAnsi="Times New Roman" w:cs="Times New Roman"/>
          <w:color w:val="000000" w:themeColor="text1"/>
          <w:sz w:val="24"/>
          <w:szCs w:val="24"/>
          <w:lang w:val="en-US"/>
        </w:rPr>
        <w:t>ased on the size of the audit</w:t>
      </w:r>
      <w:r w:rsidR="00CD396D" w:rsidRPr="00DE13EE">
        <w:rPr>
          <w:rFonts w:ascii="Times New Roman" w:hAnsi="Times New Roman" w:cs="Times New Roman"/>
          <w:color w:val="000000" w:themeColor="text1"/>
          <w:sz w:val="24"/>
          <w:szCs w:val="24"/>
          <w:lang w:val="en-US"/>
        </w:rPr>
        <w:t xml:space="preserve"> firm: firms audited by one of the Big 4 auditing firms (Big-N) and firms audited by a</w:t>
      </w:r>
      <w:r w:rsidR="003C420D" w:rsidRPr="00DE13EE">
        <w:rPr>
          <w:rFonts w:ascii="Times New Roman" w:hAnsi="Times New Roman" w:cs="Times New Roman"/>
          <w:color w:val="000000" w:themeColor="text1"/>
          <w:sz w:val="24"/>
          <w:szCs w:val="24"/>
          <w:lang w:val="en-US"/>
        </w:rPr>
        <w:t xml:space="preserve"> non-Big 4 auditor (Non</w:t>
      </w:r>
      <w:r w:rsidR="00DD172E" w:rsidRPr="00DE13EE">
        <w:rPr>
          <w:rFonts w:ascii="Times New Roman" w:hAnsi="Times New Roman" w:cs="Times New Roman"/>
          <w:color w:val="000000" w:themeColor="text1"/>
          <w:sz w:val="24"/>
          <w:szCs w:val="24"/>
          <w:lang w:val="en-US"/>
        </w:rPr>
        <w:t>-</w:t>
      </w:r>
      <w:r w:rsidR="00CD396D" w:rsidRPr="00DE13EE">
        <w:rPr>
          <w:rFonts w:ascii="Times New Roman" w:hAnsi="Times New Roman" w:cs="Times New Roman"/>
          <w:color w:val="000000" w:themeColor="text1"/>
          <w:sz w:val="24"/>
          <w:szCs w:val="24"/>
          <w:lang w:val="en-US"/>
        </w:rPr>
        <w:t xml:space="preserve">Big-N). Models (1) &amp; (2) are run separately for </w:t>
      </w:r>
      <w:r w:rsidR="003C420D" w:rsidRPr="00DE13EE">
        <w:rPr>
          <w:rFonts w:ascii="Times New Roman" w:hAnsi="Times New Roman" w:cs="Times New Roman"/>
          <w:color w:val="000000" w:themeColor="text1"/>
          <w:sz w:val="24"/>
          <w:szCs w:val="24"/>
          <w:lang w:val="en-US"/>
        </w:rPr>
        <w:t>both Big-N and Non</w:t>
      </w:r>
      <w:r w:rsidR="00DD172E" w:rsidRPr="00DE13EE">
        <w:rPr>
          <w:rFonts w:ascii="Times New Roman" w:hAnsi="Times New Roman" w:cs="Times New Roman"/>
          <w:color w:val="000000" w:themeColor="text1"/>
          <w:sz w:val="24"/>
          <w:szCs w:val="24"/>
          <w:lang w:val="en-US"/>
        </w:rPr>
        <w:t>-</w:t>
      </w:r>
      <w:r w:rsidR="00CD396D" w:rsidRPr="00DE13EE">
        <w:rPr>
          <w:rFonts w:ascii="Times New Roman" w:hAnsi="Times New Roman" w:cs="Times New Roman"/>
          <w:color w:val="000000" w:themeColor="text1"/>
          <w:sz w:val="24"/>
          <w:szCs w:val="24"/>
          <w:lang w:val="en-US"/>
        </w:rPr>
        <w:t xml:space="preserve">Big-N samples. </w:t>
      </w:r>
      <w:r w:rsidR="00812C9C" w:rsidRPr="00DE13EE">
        <w:rPr>
          <w:rFonts w:ascii="Times New Roman" w:hAnsi="Times New Roman" w:cs="Times New Roman"/>
          <w:color w:val="000000" w:themeColor="text1"/>
          <w:sz w:val="24"/>
          <w:szCs w:val="24"/>
          <w:lang w:val="en-US"/>
        </w:rPr>
        <w:t>To mitigate the effect of outliers, all continuous variables are winsori</w:t>
      </w:r>
      <w:r w:rsidR="00B830A0" w:rsidRPr="00DE13EE">
        <w:rPr>
          <w:rFonts w:ascii="Times New Roman" w:hAnsi="Times New Roman" w:cs="Times New Roman"/>
          <w:color w:val="000000" w:themeColor="text1"/>
          <w:sz w:val="24"/>
          <w:szCs w:val="24"/>
          <w:lang w:val="en-US"/>
        </w:rPr>
        <w:t>z</w:t>
      </w:r>
      <w:r w:rsidR="00812C9C" w:rsidRPr="00DE13EE">
        <w:rPr>
          <w:rFonts w:ascii="Times New Roman" w:hAnsi="Times New Roman" w:cs="Times New Roman"/>
          <w:color w:val="000000" w:themeColor="text1"/>
          <w:sz w:val="24"/>
          <w:szCs w:val="24"/>
          <w:lang w:val="en-US"/>
        </w:rPr>
        <w:t>ed at the 1</w:t>
      </w:r>
      <w:r w:rsidR="00812C9C" w:rsidRPr="00DE13EE">
        <w:rPr>
          <w:rFonts w:ascii="Times New Roman" w:hAnsi="Times New Roman" w:cs="Times New Roman"/>
          <w:color w:val="000000" w:themeColor="text1"/>
          <w:sz w:val="24"/>
          <w:szCs w:val="24"/>
          <w:vertAlign w:val="superscript"/>
          <w:lang w:val="en-US"/>
        </w:rPr>
        <w:t>st</w:t>
      </w:r>
      <w:r w:rsidR="00812C9C" w:rsidRPr="00DE13EE">
        <w:rPr>
          <w:rFonts w:ascii="Times New Roman" w:hAnsi="Times New Roman" w:cs="Times New Roman"/>
          <w:color w:val="000000" w:themeColor="text1"/>
          <w:sz w:val="24"/>
          <w:szCs w:val="24"/>
          <w:lang w:val="en-US"/>
        </w:rPr>
        <w:t xml:space="preserve"> and 99</w:t>
      </w:r>
      <w:r w:rsidR="00812C9C" w:rsidRPr="00DE13EE">
        <w:rPr>
          <w:rFonts w:ascii="Times New Roman" w:hAnsi="Times New Roman" w:cs="Times New Roman"/>
          <w:color w:val="000000" w:themeColor="text1"/>
          <w:sz w:val="24"/>
          <w:szCs w:val="24"/>
          <w:vertAlign w:val="superscript"/>
          <w:lang w:val="en-US"/>
        </w:rPr>
        <w:t>th</w:t>
      </w:r>
      <w:r w:rsidR="00812C9C" w:rsidRPr="00DE13EE">
        <w:rPr>
          <w:rFonts w:ascii="Times New Roman" w:hAnsi="Times New Roman" w:cs="Times New Roman"/>
          <w:color w:val="000000" w:themeColor="text1"/>
          <w:sz w:val="24"/>
          <w:szCs w:val="24"/>
          <w:lang w:val="en-US"/>
        </w:rPr>
        <w:t xml:space="preserve"> percentile. </w:t>
      </w:r>
    </w:p>
    <w:p w14:paraId="6FE68EAB" w14:textId="11DE713A" w:rsidR="00812C9C" w:rsidRPr="00DE13EE" w:rsidRDefault="00812C9C" w:rsidP="00B93D4F">
      <w:pPr>
        <w:pStyle w:val="Heading1"/>
        <w:rPr>
          <w:color w:val="000000" w:themeColor="text1"/>
          <w:lang w:val="en-US"/>
        </w:rPr>
      </w:pPr>
      <w:r w:rsidRPr="00DE13EE">
        <w:rPr>
          <w:color w:val="000000" w:themeColor="text1"/>
          <w:lang w:val="en-US"/>
        </w:rPr>
        <w:t xml:space="preserve">RESULTS </w:t>
      </w:r>
    </w:p>
    <w:p w14:paraId="7AFC192C" w14:textId="77777777" w:rsidR="00812C9C" w:rsidRPr="00DE13EE" w:rsidRDefault="00812C9C" w:rsidP="00B93D4F">
      <w:pPr>
        <w:pStyle w:val="Heading2"/>
        <w:rPr>
          <w:rFonts w:cs="Times New Roman"/>
          <w:color w:val="000000" w:themeColor="text1"/>
          <w:lang w:val="en-US"/>
        </w:rPr>
      </w:pPr>
      <w:r w:rsidRPr="00DE13EE">
        <w:rPr>
          <w:rFonts w:cs="Times New Roman"/>
          <w:color w:val="000000" w:themeColor="text1"/>
          <w:lang w:val="en-US"/>
        </w:rPr>
        <w:t>4.1 Descriptive statistics and correlation analysis</w:t>
      </w:r>
    </w:p>
    <w:p w14:paraId="345EB248" w14:textId="77DB755D" w:rsidR="00812C9C" w:rsidRPr="00DE13EE" w:rsidRDefault="00336A28" w:rsidP="00B93D4F">
      <w:pPr>
        <w:spacing w:line="360" w:lineRule="auto"/>
        <w:jc w:val="both"/>
        <w:rPr>
          <w:rFonts w:ascii="Times New Roman" w:eastAsia="Calibri" w:hAnsi="Times New Roman" w:cs="Times New Roman"/>
          <w:color w:val="000000" w:themeColor="text1"/>
          <w:sz w:val="24"/>
          <w:szCs w:val="24"/>
          <w:lang w:val="en-US" w:eastAsia="en-US"/>
        </w:rPr>
      </w:pPr>
      <w:r w:rsidRPr="00DE13EE">
        <w:rPr>
          <w:rFonts w:ascii="Times New Roman" w:eastAsia="Calibri" w:hAnsi="Times New Roman" w:cs="Times New Roman"/>
          <w:color w:val="000000" w:themeColor="text1"/>
          <w:sz w:val="24"/>
          <w:szCs w:val="24"/>
          <w:lang w:val="en-US" w:eastAsia="en-US"/>
        </w:rPr>
        <w:t xml:space="preserve">Panel A of </w:t>
      </w:r>
      <w:r w:rsidR="00812C9C" w:rsidRPr="00DE13EE">
        <w:rPr>
          <w:rFonts w:ascii="Times New Roman" w:eastAsia="Calibri" w:hAnsi="Times New Roman" w:cs="Times New Roman"/>
          <w:color w:val="000000" w:themeColor="text1"/>
          <w:sz w:val="24"/>
          <w:szCs w:val="24"/>
          <w:lang w:val="en-US" w:eastAsia="en-US"/>
        </w:rPr>
        <w:t>Table (</w:t>
      </w:r>
      <w:r w:rsidR="009D50DC" w:rsidRPr="00DE13EE">
        <w:rPr>
          <w:rFonts w:ascii="Times New Roman" w:eastAsia="Calibri" w:hAnsi="Times New Roman" w:cs="Times New Roman"/>
          <w:color w:val="000000" w:themeColor="text1"/>
          <w:sz w:val="24"/>
          <w:szCs w:val="24"/>
          <w:lang w:val="en-US" w:eastAsia="en-US"/>
        </w:rPr>
        <w:t>2</w:t>
      </w:r>
      <w:r w:rsidR="00812C9C" w:rsidRPr="00DE13EE">
        <w:rPr>
          <w:rFonts w:ascii="Times New Roman" w:eastAsia="Calibri" w:hAnsi="Times New Roman" w:cs="Times New Roman"/>
          <w:color w:val="000000" w:themeColor="text1"/>
          <w:sz w:val="24"/>
          <w:szCs w:val="24"/>
          <w:lang w:val="en-US" w:eastAsia="en-US"/>
        </w:rPr>
        <w:t xml:space="preserve">) presents the descriptive statistics of </w:t>
      </w:r>
      <w:r w:rsidR="009D50DC" w:rsidRPr="00DE13EE">
        <w:rPr>
          <w:rFonts w:ascii="Times New Roman" w:eastAsia="Calibri" w:hAnsi="Times New Roman" w:cs="Times New Roman"/>
          <w:color w:val="000000" w:themeColor="text1"/>
          <w:sz w:val="24"/>
          <w:szCs w:val="24"/>
          <w:lang w:val="en-US" w:eastAsia="en-US"/>
        </w:rPr>
        <w:t xml:space="preserve">the continuous </w:t>
      </w:r>
      <w:r w:rsidR="00812C9C" w:rsidRPr="00DE13EE">
        <w:rPr>
          <w:rFonts w:ascii="Times New Roman" w:eastAsia="Calibri" w:hAnsi="Times New Roman" w:cs="Times New Roman"/>
          <w:color w:val="000000" w:themeColor="text1"/>
          <w:sz w:val="24"/>
          <w:szCs w:val="24"/>
          <w:lang w:val="en-US" w:eastAsia="en-US"/>
        </w:rPr>
        <w:t>variables. It shows that the UK firms have a maximum value of IMadj.TQ</w:t>
      </w:r>
      <w:r w:rsidR="00812C9C" w:rsidRPr="00DE13EE">
        <w:rPr>
          <w:rFonts w:ascii="Times New Roman" w:eastAsia="Calibri" w:hAnsi="Times New Roman" w:cs="Times New Roman"/>
          <w:color w:val="000000" w:themeColor="text1"/>
          <w:sz w:val="24"/>
          <w:szCs w:val="24"/>
          <w:vertAlign w:val="subscript"/>
          <w:lang w:val="en-US" w:eastAsia="en-US"/>
        </w:rPr>
        <w:t>+3</w:t>
      </w:r>
      <w:r w:rsidR="00812C9C" w:rsidRPr="00DE13EE">
        <w:rPr>
          <w:rFonts w:ascii="Times New Roman" w:eastAsia="Calibri" w:hAnsi="Times New Roman" w:cs="Times New Roman"/>
          <w:color w:val="000000" w:themeColor="text1"/>
          <w:sz w:val="24"/>
          <w:szCs w:val="24"/>
          <w:lang w:val="en-US" w:eastAsia="en-US"/>
        </w:rPr>
        <w:t xml:space="preserve"> (firm value) of 377.636 and </w:t>
      </w:r>
      <w:r w:rsidR="00DD172E" w:rsidRPr="00DE13EE">
        <w:rPr>
          <w:rFonts w:ascii="Times New Roman" w:eastAsia="Calibri" w:hAnsi="Times New Roman" w:cs="Times New Roman"/>
          <w:color w:val="000000" w:themeColor="text1"/>
          <w:sz w:val="24"/>
          <w:szCs w:val="24"/>
          <w:lang w:val="en-US" w:eastAsia="en-US"/>
        </w:rPr>
        <w:t xml:space="preserve">the </w:t>
      </w:r>
      <w:r w:rsidR="00812C9C" w:rsidRPr="00DE13EE">
        <w:rPr>
          <w:rFonts w:ascii="Times New Roman" w:eastAsia="Calibri" w:hAnsi="Times New Roman" w:cs="Times New Roman"/>
          <w:color w:val="000000" w:themeColor="text1"/>
          <w:sz w:val="24"/>
          <w:szCs w:val="24"/>
          <w:lang w:val="en-US" w:eastAsia="en-US"/>
        </w:rPr>
        <w:t xml:space="preserve">minimum value of -2.423. This range indicates that a variation exists between UK firms in terms of their values. The sample firms have an average value of </w:t>
      </w:r>
      <w:r w:rsidR="00B148E9" w:rsidRPr="00DE13EE">
        <w:rPr>
          <w:rFonts w:ascii="Times New Roman" w:eastAsia="Calibri" w:hAnsi="Times New Roman" w:cs="Times New Roman"/>
          <w:color w:val="000000" w:themeColor="text1"/>
          <w:sz w:val="24"/>
          <w:szCs w:val="24"/>
          <w:lang w:val="en-US" w:eastAsia="en-US"/>
        </w:rPr>
        <w:t>0</w:t>
      </w:r>
      <w:r w:rsidR="00812C9C" w:rsidRPr="00DE13EE">
        <w:rPr>
          <w:rFonts w:ascii="Times New Roman" w:eastAsia="Calibri" w:hAnsi="Times New Roman" w:cs="Times New Roman"/>
          <w:color w:val="000000" w:themeColor="text1"/>
          <w:sz w:val="24"/>
          <w:szCs w:val="24"/>
          <w:lang w:val="en-US" w:eastAsia="en-US"/>
        </w:rPr>
        <w:t xml:space="preserve">.663. In terms of the FLD score, it </w:t>
      </w:r>
      <w:r w:rsidR="003C420D" w:rsidRPr="00DE13EE">
        <w:rPr>
          <w:rFonts w:ascii="Times New Roman" w:eastAsia="Calibri" w:hAnsi="Times New Roman" w:cs="Times New Roman"/>
          <w:color w:val="000000" w:themeColor="text1"/>
          <w:sz w:val="24"/>
          <w:szCs w:val="24"/>
          <w:lang w:val="en-US" w:eastAsia="en-US"/>
        </w:rPr>
        <w:t xml:space="preserve">ranges from 0.3% of total </w:t>
      </w:r>
      <w:r w:rsidR="009B3794" w:rsidRPr="00DE13EE">
        <w:rPr>
          <w:rFonts w:ascii="Times New Roman" w:eastAsia="Calibri" w:hAnsi="Times New Roman" w:cs="Times New Roman"/>
          <w:color w:val="000000" w:themeColor="text1"/>
          <w:sz w:val="24"/>
          <w:szCs w:val="24"/>
          <w:lang w:val="en-US" w:eastAsia="en-US"/>
        </w:rPr>
        <w:t>sentences</w:t>
      </w:r>
      <w:r w:rsidR="003C420D" w:rsidRPr="00DE13EE">
        <w:rPr>
          <w:rFonts w:ascii="Times New Roman" w:eastAsia="Calibri" w:hAnsi="Times New Roman" w:cs="Times New Roman"/>
          <w:color w:val="000000" w:themeColor="text1"/>
          <w:sz w:val="24"/>
          <w:szCs w:val="24"/>
          <w:lang w:val="en-US" w:eastAsia="en-US"/>
        </w:rPr>
        <w:t xml:space="preserve"> in the </w:t>
      </w:r>
      <w:r w:rsidR="009B3794" w:rsidRPr="00DE13EE">
        <w:rPr>
          <w:rFonts w:ascii="Times New Roman" w:eastAsia="Calibri" w:hAnsi="Times New Roman" w:cs="Times New Roman"/>
          <w:color w:val="000000" w:themeColor="text1"/>
          <w:sz w:val="24"/>
          <w:szCs w:val="24"/>
          <w:lang w:val="en-US" w:eastAsia="en-US"/>
        </w:rPr>
        <w:t>narrative section</w:t>
      </w:r>
      <w:r w:rsidR="003C420D" w:rsidRPr="00DE13EE">
        <w:rPr>
          <w:rFonts w:ascii="Times New Roman" w:eastAsia="Calibri" w:hAnsi="Times New Roman" w:cs="Times New Roman"/>
          <w:color w:val="000000" w:themeColor="text1"/>
          <w:sz w:val="24"/>
          <w:szCs w:val="24"/>
          <w:lang w:val="en-US" w:eastAsia="en-US"/>
        </w:rPr>
        <w:t xml:space="preserve"> to</w:t>
      </w:r>
      <w:r w:rsidR="00812C9C" w:rsidRPr="00DE13EE">
        <w:rPr>
          <w:rFonts w:ascii="Times New Roman" w:eastAsia="Calibri" w:hAnsi="Times New Roman" w:cs="Times New Roman"/>
          <w:color w:val="000000" w:themeColor="text1"/>
          <w:sz w:val="24"/>
          <w:szCs w:val="24"/>
          <w:lang w:val="en-US" w:eastAsia="en-US"/>
        </w:rPr>
        <w:t xml:space="preserve"> 85%</w:t>
      </w:r>
      <w:r w:rsidR="003C420D" w:rsidRPr="00DE13EE">
        <w:rPr>
          <w:rFonts w:ascii="Times New Roman" w:eastAsia="Calibri" w:hAnsi="Times New Roman" w:cs="Times New Roman"/>
          <w:color w:val="000000" w:themeColor="text1"/>
          <w:sz w:val="24"/>
          <w:szCs w:val="24"/>
          <w:lang w:val="en-US" w:eastAsia="en-US"/>
        </w:rPr>
        <w:t xml:space="preserve"> of total narrative sentences.</w:t>
      </w:r>
      <w:r w:rsidR="00812C9C" w:rsidRPr="00DE13EE">
        <w:rPr>
          <w:rFonts w:ascii="Times New Roman" w:eastAsia="Calibri" w:hAnsi="Times New Roman" w:cs="Times New Roman"/>
          <w:color w:val="000000" w:themeColor="text1"/>
          <w:sz w:val="24"/>
          <w:szCs w:val="24"/>
          <w:lang w:val="en-US" w:eastAsia="en-US"/>
        </w:rPr>
        <w:t xml:space="preserve"> These values indicate that variations exist among UK firms in terms of their decisions to disclose forward-looking information. The sample firms have an average </w:t>
      </w:r>
      <w:r w:rsidR="00C63A09" w:rsidRPr="00DE13EE">
        <w:rPr>
          <w:rFonts w:ascii="Times New Roman" w:eastAsia="Calibri" w:hAnsi="Times New Roman" w:cs="Times New Roman"/>
          <w:color w:val="000000" w:themeColor="text1"/>
          <w:sz w:val="24"/>
          <w:szCs w:val="24"/>
          <w:lang w:val="en-US" w:eastAsia="en-US"/>
        </w:rPr>
        <w:t xml:space="preserve">FLD </w:t>
      </w:r>
      <w:r w:rsidR="00812C9C" w:rsidRPr="00DE13EE">
        <w:rPr>
          <w:rFonts w:ascii="Times New Roman" w:eastAsia="Calibri" w:hAnsi="Times New Roman" w:cs="Times New Roman"/>
          <w:color w:val="000000" w:themeColor="text1"/>
          <w:sz w:val="24"/>
          <w:szCs w:val="24"/>
          <w:lang w:val="en-US" w:eastAsia="en-US"/>
        </w:rPr>
        <w:t xml:space="preserve">score of 15% of the total narrative statements. </w:t>
      </w:r>
      <w:r w:rsidR="00912103" w:rsidRPr="00DE13EE">
        <w:rPr>
          <w:rFonts w:ascii="Times New Roman" w:eastAsia="Calibri" w:hAnsi="Times New Roman" w:cs="Times New Roman"/>
          <w:color w:val="000000" w:themeColor="text1"/>
          <w:sz w:val="24"/>
          <w:szCs w:val="24"/>
          <w:lang w:val="en-US" w:eastAsia="en-US"/>
        </w:rPr>
        <w:t xml:space="preserve">Panel B presents the frequencies for dummy variables. It shows that 80.01% of the UK firm </w:t>
      </w:r>
      <w:r w:rsidR="00DD172E" w:rsidRPr="00DE13EE">
        <w:rPr>
          <w:rFonts w:ascii="Times New Roman" w:eastAsia="Calibri" w:hAnsi="Times New Roman" w:cs="Times New Roman"/>
          <w:color w:val="000000" w:themeColor="text1"/>
          <w:sz w:val="24"/>
          <w:szCs w:val="24"/>
          <w:lang w:val="en-US" w:eastAsia="en-US"/>
        </w:rPr>
        <w:t xml:space="preserve">is </w:t>
      </w:r>
      <w:r w:rsidR="00912103" w:rsidRPr="00DE13EE">
        <w:rPr>
          <w:rFonts w:ascii="Times New Roman" w:eastAsia="Calibri" w:hAnsi="Times New Roman" w:cs="Times New Roman"/>
          <w:color w:val="000000" w:themeColor="text1"/>
          <w:sz w:val="24"/>
          <w:szCs w:val="24"/>
          <w:lang w:val="en-US" w:eastAsia="en-US"/>
        </w:rPr>
        <w:t>audited by one of the big audit firms</w:t>
      </w:r>
      <w:r w:rsidR="003C420D" w:rsidRPr="00DE13EE">
        <w:rPr>
          <w:rFonts w:ascii="Times New Roman" w:eastAsia="Calibri" w:hAnsi="Times New Roman" w:cs="Times New Roman"/>
          <w:color w:val="000000" w:themeColor="text1"/>
          <w:sz w:val="24"/>
          <w:szCs w:val="24"/>
          <w:lang w:val="en-US" w:eastAsia="en-US"/>
        </w:rPr>
        <w:t xml:space="preserve"> (Big-N)</w:t>
      </w:r>
      <w:r w:rsidR="00912103" w:rsidRPr="00DE13EE">
        <w:rPr>
          <w:rFonts w:ascii="Times New Roman" w:eastAsia="Calibri" w:hAnsi="Times New Roman" w:cs="Times New Roman"/>
          <w:color w:val="000000" w:themeColor="text1"/>
          <w:sz w:val="24"/>
          <w:szCs w:val="24"/>
          <w:lang w:val="en-US" w:eastAsia="en-US"/>
        </w:rPr>
        <w:t xml:space="preserve"> whilst 19.9% are audited by non-big audit firms</w:t>
      </w:r>
      <w:r w:rsidR="003C420D" w:rsidRPr="00DE13EE">
        <w:rPr>
          <w:rFonts w:ascii="Times New Roman" w:eastAsia="Calibri" w:hAnsi="Times New Roman" w:cs="Times New Roman"/>
          <w:color w:val="000000" w:themeColor="text1"/>
          <w:sz w:val="24"/>
          <w:szCs w:val="24"/>
          <w:lang w:val="en-US" w:eastAsia="en-US"/>
        </w:rPr>
        <w:t xml:space="preserve"> (Non</w:t>
      </w:r>
      <w:r w:rsidR="00DD172E" w:rsidRPr="00DE13EE">
        <w:rPr>
          <w:rFonts w:ascii="Times New Roman" w:eastAsia="Calibri" w:hAnsi="Times New Roman" w:cs="Times New Roman"/>
          <w:color w:val="000000" w:themeColor="text1"/>
          <w:sz w:val="24"/>
          <w:szCs w:val="24"/>
          <w:lang w:val="en-US" w:eastAsia="en-US"/>
        </w:rPr>
        <w:t>-</w:t>
      </w:r>
      <w:r w:rsidR="003C420D" w:rsidRPr="00DE13EE">
        <w:rPr>
          <w:rFonts w:ascii="Times New Roman" w:eastAsia="Calibri" w:hAnsi="Times New Roman" w:cs="Times New Roman"/>
          <w:color w:val="000000" w:themeColor="text1"/>
          <w:sz w:val="24"/>
          <w:szCs w:val="24"/>
          <w:lang w:val="en-US" w:eastAsia="en-US"/>
        </w:rPr>
        <w:t>Big-N)</w:t>
      </w:r>
      <w:r w:rsidR="00912103" w:rsidRPr="00DE13EE">
        <w:rPr>
          <w:rFonts w:ascii="Times New Roman" w:eastAsia="Calibri" w:hAnsi="Times New Roman" w:cs="Times New Roman"/>
          <w:color w:val="000000" w:themeColor="text1"/>
          <w:sz w:val="24"/>
          <w:szCs w:val="24"/>
          <w:lang w:val="en-US" w:eastAsia="en-US"/>
        </w:rPr>
        <w:t xml:space="preserve">. </w:t>
      </w:r>
    </w:p>
    <w:p w14:paraId="22708410" w14:textId="2992CF02" w:rsidR="00CB2C69" w:rsidRPr="00DE13EE" w:rsidRDefault="00CB2C69" w:rsidP="00B93D4F">
      <w:pPr>
        <w:spacing w:line="360" w:lineRule="auto"/>
        <w:jc w:val="both"/>
        <w:rPr>
          <w:rFonts w:ascii="Times New Roman" w:eastAsia="Calibri" w:hAnsi="Times New Roman" w:cs="Times New Roman"/>
          <w:color w:val="000000" w:themeColor="text1"/>
          <w:sz w:val="24"/>
          <w:szCs w:val="24"/>
          <w:lang w:val="en-US" w:eastAsia="en-US"/>
        </w:rPr>
      </w:pPr>
      <w:r w:rsidRPr="00DE13EE">
        <w:rPr>
          <w:rFonts w:ascii="Times New Roman" w:eastAsia="Calibri" w:hAnsi="Times New Roman" w:cs="Times New Roman"/>
          <w:color w:val="000000" w:themeColor="text1"/>
          <w:sz w:val="24"/>
          <w:szCs w:val="24"/>
          <w:lang w:val="en-US" w:eastAsia="en-US"/>
        </w:rPr>
        <w:t xml:space="preserve">Panel C </w:t>
      </w:r>
      <w:r w:rsidR="00416B28" w:rsidRPr="00DE13EE">
        <w:rPr>
          <w:rFonts w:ascii="Times New Roman" w:eastAsia="Calibri" w:hAnsi="Times New Roman" w:cs="Times New Roman"/>
          <w:color w:val="000000" w:themeColor="text1"/>
          <w:sz w:val="24"/>
          <w:szCs w:val="24"/>
          <w:lang w:val="en-US" w:eastAsia="en-US"/>
        </w:rPr>
        <w:t>of Table</w:t>
      </w:r>
      <w:r w:rsidRPr="00DE13EE">
        <w:rPr>
          <w:rFonts w:ascii="Times New Roman" w:eastAsia="Calibri" w:hAnsi="Times New Roman" w:cs="Times New Roman"/>
          <w:color w:val="000000" w:themeColor="text1"/>
          <w:sz w:val="24"/>
          <w:szCs w:val="24"/>
          <w:lang w:val="en-US" w:eastAsia="en-US"/>
        </w:rPr>
        <w:t xml:space="preserve"> (2) reports the</w:t>
      </w:r>
      <w:r w:rsidR="009B3794" w:rsidRPr="00DE13EE">
        <w:rPr>
          <w:rFonts w:ascii="Times New Roman" w:eastAsia="Calibri" w:hAnsi="Times New Roman" w:cs="Times New Roman"/>
          <w:color w:val="000000" w:themeColor="text1"/>
          <w:sz w:val="24"/>
          <w:szCs w:val="24"/>
          <w:lang w:val="en-US" w:eastAsia="en-US"/>
        </w:rPr>
        <w:t xml:space="preserve"> mean</w:t>
      </w:r>
      <w:r w:rsidRPr="00DE13EE">
        <w:rPr>
          <w:rFonts w:ascii="Times New Roman" w:eastAsia="Calibri" w:hAnsi="Times New Roman" w:cs="Times New Roman"/>
          <w:color w:val="000000" w:themeColor="text1"/>
          <w:sz w:val="24"/>
          <w:szCs w:val="24"/>
          <w:lang w:val="en-US" w:eastAsia="en-US"/>
        </w:rPr>
        <w:t xml:space="preserve"> differences in firm value</w:t>
      </w:r>
      <w:r w:rsidR="009B3794" w:rsidRPr="00DE13EE">
        <w:rPr>
          <w:rFonts w:ascii="Times New Roman" w:eastAsia="Calibri" w:hAnsi="Times New Roman" w:cs="Times New Roman"/>
          <w:color w:val="000000" w:themeColor="text1"/>
          <w:sz w:val="24"/>
          <w:szCs w:val="24"/>
          <w:lang w:val="en-US" w:eastAsia="en-US"/>
        </w:rPr>
        <w:t xml:space="preserve"> (IMadj.TQ</w:t>
      </w:r>
      <w:r w:rsidR="009B3794" w:rsidRPr="00DE13EE">
        <w:rPr>
          <w:rFonts w:ascii="Times New Roman" w:eastAsia="Calibri" w:hAnsi="Times New Roman" w:cs="Times New Roman"/>
          <w:color w:val="000000" w:themeColor="text1"/>
          <w:sz w:val="24"/>
          <w:szCs w:val="24"/>
          <w:vertAlign w:val="subscript"/>
          <w:lang w:val="en-US" w:eastAsia="en-US"/>
        </w:rPr>
        <w:t>+3</w:t>
      </w:r>
      <w:r w:rsidR="009B3794" w:rsidRPr="00DE13EE">
        <w:rPr>
          <w:rFonts w:ascii="Times New Roman" w:eastAsia="Calibri" w:hAnsi="Times New Roman" w:cs="Times New Roman"/>
          <w:color w:val="000000" w:themeColor="text1"/>
          <w:sz w:val="24"/>
          <w:szCs w:val="24"/>
          <w:lang w:val="en-US" w:eastAsia="en-US"/>
        </w:rPr>
        <w:t>)</w:t>
      </w:r>
      <w:r w:rsidRPr="00DE13EE">
        <w:rPr>
          <w:rFonts w:ascii="Times New Roman" w:eastAsia="Calibri" w:hAnsi="Times New Roman" w:cs="Times New Roman"/>
          <w:color w:val="000000" w:themeColor="text1"/>
          <w:sz w:val="24"/>
          <w:szCs w:val="24"/>
          <w:lang w:val="en-US" w:eastAsia="en-US"/>
        </w:rPr>
        <w:t xml:space="preserve"> and forward-looking disclosure</w:t>
      </w:r>
      <w:r w:rsidR="009B3794" w:rsidRPr="00DE13EE">
        <w:rPr>
          <w:rFonts w:ascii="Times New Roman" w:eastAsia="Calibri" w:hAnsi="Times New Roman" w:cs="Times New Roman"/>
          <w:color w:val="000000" w:themeColor="text1"/>
          <w:sz w:val="24"/>
          <w:szCs w:val="24"/>
          <w:lang w:val="en-US" w:eastAsia="en-US"/>
        </w:rPr>
        <w:t xml:space="preserve"> (FLD score)</w:t>
      </w:r>
      <w:r w:rsidRPr="00DE13EE">
        <w:rPr>
          <w:rFonts w:ascii="Times New Roman" w:eastAsia="Calibri" w:hAnsi="Times New Roman" w:cs="Times New Roman"/>
          <w:color w:val="000000" w:themeColor="text1"/>
          <w:sz w:val="24"/>
          <w:szCs w:val="24"/>
          <w:lang w:val="en-US" w:eastAsia="en-US"/>
        </w:rPr>
        <w:t xml:space="preserve"> based on</w:t>
      </w:r>
      <w:r w:rsidR="00F4025D" w:rsidRPr="00DE13EE">
        <w:rPr>
          <w:rFonts w:ascii="Times New Roman" w:eastAsia="Calibri" w:hAnsi="Times New Roman" w:cs="Times New Roman"/>
          <w:color w:val="000000" w:themeColor="text1"/>
          <w:sz w:val="24"/>
          <w:szCs w:val="24"/>
          <w:lang w:val="en-US" w:eastAsia="en-US"/>
        </w:rPr>
        <w:t xml:space="preserve"> changes in firm performance and the</w:t>
      </w:r>
      <w:r w:rsidRPr="00DE13EE">
        <w:rPr>
          <w:rFonts w:ascii="Times New Roman" w:eastAsia="Calibri" w:hAnsi="Times New Roman" w:cs="Times New Roman"/>
          <w:color w:val="000000" w:themeColor="text1"/>
          <w:sz w:val="24"/>
          <w:szCs w:val="24"/>
          <w:lang w:val="en-US" w:eastAsia="en-US"/>
        </w:rPr>
        <w:t xml:space="preserve"> size of the audit</w:t>
      </w:r>
      <w:r w:rsidR="00F4025D" w:rsidRPr="00DE13EE">
        <w:rPr>
          <w:rFonts w:ascii="Times New Roman" w:eastAsia="Calibri" w:hAnsi="Times New Roman" w:cs="Times New Roman"/>
          <w:color w:val="000000" w:themeColor="text1"/>
          <w:sz w:val="24"/>
          <w:szCs w:val="24"/>
          <w:lang w:val="en-US" w:eastAsia="en-US"/>
        </w:rPr>
        <w:t xml:space="preserve"> firm</w:t>
      </w:r>
      <w:r w:rsidRPr="00DE13EE">
        <w:rPr>
          <w:rFonts w:ascii="Times New Roman" w:eastAsia="Calibri" w:hAnsi="Times New Roman" w:cs="Times New Roman"/>
          <w:color w:val="000000" w:themeColor="text1"/>
          <w:sz w:val="24"/>
          <w:szCs w:val="24"/>
          <w:lang w:val="en-US" w:eastAsia="en-US"/>
        </w:rPr>
        <w:t xml:space="preserve">. </w:t>
      </w:r>
      <w:r w:rsidR="00416B28" w:rsidRPr="00DE13EE">
        <w:rPr>
          <w:rFonts w:ascii="Times New Roman" w:eastAsia="Calibri" w:hAnsi="Times New Roman" w:cs="Times New Roman"/>
          <w:color w:val="000000" w:themeColor="text1"/>
          <w:sz w:val="24"/>
          <w:szCs w:val="24"/>
          <w:lang w:val="en-US" w:eastAsia="en-US"/>
        </w:rPr>
        <w:t xml:space="preserve">The </w:t>
      </w:r>
      <w:r w:rsidR="00416B28" w:rsidRPr="00DE13EE">
        <w:rPr>
          <w:rFonts w:ascii="Times New Roman" w:eastAsia="Calibri" w:hAnsi="Times New Roman" w:cs="Times New Roman"/>
          <w:i/>
          <w:color w:val="000000" w:themeColor="text1"/>
          <w:sz w:val="24"/>
          <w:szCs w:val="24"/>
          <w:lang w:val="en-US" w:eastAsia="en-US"/>
        </w:rPr>
        <w:t>t</w:t>
      </w:r>
      <w:r w:rsidR="00416B28" w:rsidRPr="00DE13EE">
        <w:rPr>
          <w:rFonts w:ascii="Times New Roman" w:eastAsia="Calibri" w:hAnsi="Times New Roman" w:cs="Times New Roman"/>
          <w:color w:val="000000" w:themeColor="text1"/>
          <w:sz w:val="24"/>
          <w:szCs w:val="24"/>
          <w:lang w:val="en-US" w:eastAsia="en-US"/>
        </w:rPr>
        <w:t xml:space="preserve">-test results suggest that there are signiﬁcant differences in forward-looking disclosure and values of UK firms based on </w:t>
      </w:r>
      <w:r w:rsidR="00A36547" w:rsidRPr="00DE13EE">
        <w:rPr>
          <w:rFonts w:ascii="Times New Roman" w:eastAsia="Calibri" w:hAnsi="Times New Roman" w:cs="Times New Roman"/>
          <w:color w:val="000000" w:themeColor="text1"/>
          <w:sz w:val="24"/>
          <w:szCs w:val="24"/>
          <w:lang w:val="en-US" w:eastAsia="en-US"/>
        </w:rPr>
        <w:t xml:space="preserve">firm performance and </w:t>
      </w:r>
      <w:r w:rsidR="00416B28" w:rsidRPr="00DE13EE">
        <w:rPr>
          <w:rFonts w:ascii="Times New Roman" w:eastAsia="Calibri" w:hAnsi="Times New Roman" w:cs="Times New Roman"/>
          <w:color w:val="000000" w:themeColor="text1"/>
          <w:sz w:val="24"/>
          <w:szCs w:val="24"/>
          <w:lang w:val="en-US" w:eastAsia="en-US"/>
        </w:rPr>
        <w:t>the size of the audit</w:t>
      </w:r>
      <w:r w:rsidR="009B3794" w:rsidRPr="00DE13EE">
        <w:rPr>
          <w:rFonts w:ascii="Times New Roman" w:eastAsia="Calibri" w:hAnsi="Times New Roman" w:cs="Times New Roman"/>
          <w:color w:val="000000" w:themeColor="text1"/>
          <w:sz w:val="24"/>
          <w:szCs w:val="24"/>
          <w:lang w:val="en-US" w:eastAsia="en-US"/>
        </w:rPr>
        <w:t xml:space="preserve"> firm</w:t>
      </w:r>
      <w:r w:rsidR="00A36547" w:rsidRPr="00DE13EE">
        <w:rPr>
          <w:rFonts w:ascii="Times New Roman" w:eastAsia="Calibri" w:hAnsi="Times New Roman" w:cs="Times New Roman"/>
          <w:color w:val="000000" w:themeColor="text1"/>
          <w:sz w:val="24"/>
          <w:szCs w:val="24"/>
          <w:lang w:val="en-US" w:eastAsia="en-US"/>
        </w:rPr>
        <w:t xml:space="preserve">. </w:t>
      </w:r>
      <w:r w:rsidR="00416B28" w:rsidRPr="00DE13EE">
        <w:rPr>
          <w:rFonts w:ascii="Times New Roman" w:eastAsia="Calibri" w:hAnsi="Times New Roman" w:cs="Times New Roman"/>
          <w:color w:val="000000" w:themeColor="text1"/>
          <w:sz w:val="24"/>
          <w:szCs w:val="24"/>
          <w:lang w:val="en-US" w:eastAsia="en-US"/>
        </w:rPr>
        <w:t xml:space="preserve">The differences based on </w:t>
      </w:r>
      <w:r w:rsidR="00E0393A" w:rsidRPr="00DE13EE">
        <w:rPr>
          <w:rFonts w:ascii="Times New Roman" w:eastAsia="Calibri" w:hAnsi="Times New Roman" w:cs="Times New Roman"/>
          <w:color w:val="000000" w:themeColor="text1"/>
          <w:sz w:val="24"/>
          <w:szCs w:val="24"/>
          <w:lang w:val="en-US" w:eastAsia="en-US"/>
        </w:rPr>
        <w:t xml:space="preserve">firm performance suggest that high-performing firms are likely to exhibit higher (lower) values (forward-looking information) than low-performing firms. Specifically, high-performing firms are likely to provide, on average, 19 percent less forward-looking disclosure than low-performing firms. In addition, the values of high-performing firms are 34 percent higher than the values of low-performing firms.  However, based on </w:t>
      </w:r>
      <w:r w:rsidR="00DD172E" w:rsidRPr="00DE13EE">
        <w:rPr>
          <w:rFonts w:ascii="Times New Roman" w:eastAsia="Calibri" w:hAnsi="Times New Roman" w:cs="Times New Roman"/>
          <w:color w:val="000000" w:themeColor="text1"/>
          <w:sz w:val="24"/>
          <w:szCs w:val="24"/>
          <w:lang w:val="en-US" w:eastAsia="en-US"/>
        </w:rPr>
        <w:t xml:space="preserve">the </w:t>
      </w:r>
      <w:r w:rsidR="00E0393A" w:rsidRPr="00DE13EE">
        <w:rPr>
          <w:rFonts w:ascii="Times New Roman" w:eastAsia="Calibri" w:hAnsi="Times New Roman" w:cs="Times New Roman"/>
          <w:color w:val="000000" w:themeColor="text1"/>
          <w:sz w:val="24"/>
          <w:szCs w:val="24"/>
          <w:lang w:val="en-US" w:eastAsia="en-US"/>
        </w:rPr>
        <w:t xml:space="preserve">size of the audit firm, the t-test results suggest that </w:t>
      </w:r>
      <w:r w:rsidR="00416B28" w:rsidRPr="00DE13EE">
        <w:rPr>
          <w:rFonts w:ascii="Times New Roman" w:eastAsia="Calibri" w:hAnsi="Times New Roman" w:cs="Times New Roman"/>
          <w:color w:val="000000" w:themeColor="text1"/>
          <w:sz w:val="24"/>
          <w:szCs w:val="24"/>
          <w:lang w:val="en-US" w:eastAsia="en-US"/>
        </w:rPr>
        <w:t xml:space="preserve">firms </w:t>
      </w:r>
      <w:r w:rsidR="009B3794" w:rsidRPr="00DE13EE">
        <w:rPr>
          <w:rFonts w:ascii="Times New Roman" w:eastAsia="Calibri" w:hAnsi="Times New Roman" w:cs="Times New Roman"/>
          <w:color w:val="000000" w:themeColor="text1"/>
          <w:sz w:val="24"/>
          <w:szCs w:val="24"/>
          <w:lang w:val="en-US" w:eastAsia="en-US"/>
        </w:rPr>
        <w:t>with</w:t>
      </w:r>
      <w:r w:rsidR="00416B28" w:rsidRPr="00DE13EE">
        <w:rPr>
          <w:rFonts w:ascii="Times New Roman" w:eastAsia="Calibri" w:hAnsi="Times New Roman" w:cs="Times New Roman"/>
          <w:color w:val="000000" w:themeColor="text1"/>
          <w:sz w:val="24"/>
          <w:szCs w:val="24"/>
          <w:lang w:val="en-US" w:eastAsia="en-US"/>
        </w:rPr>
        <w:t xml:space="preserve"> </w:t>
      </w:r>
      <w:r w:rsidR="009B3794" w:rsidRPr="00DE13EE">
        <w:rPr>
          <w:rFonts w:ascii="Times New Roman" w:eastAsia="Calibri" w:hAnsi="Times New Roman" w:cs="Times New Roman"/>
          <w:color w:val="000000" w:themeColor="text1"/>
          <w:sz w:val="24"/>
          <w:szCs w:val="24"/>
          <w:lang w:val="en-US" w:eastAsia="en-US"/>
        </w:rPr>
        <w:t>Big-N auditor</w:t>
      </w:r>
      <w:r w:rsidR="00416B28" w:rsidRPr="00DE13EE">
        <w:rPr>
          <w:rFonts w:ascii="Times New Roman" w:eastAsia="Calibri" w:hAnsi="Times New Roman" w:cs="Times New Roman"/>
          <w:color w:val="000000" w:themeColor="text1"/>
          <w:sz w:val="24"/>
          <w:szCs w:val="24"/>
          <w:lang w:val="en-US" w:eastAsia="en-US"/>
        </w:rPr>
        <w:t xml:space="preserve"> firms </w:t>
      </w:r>
      <w:r w:rsidR="009B3794" w:rsidRPr="00DE13EE">
        <w:rPr>
          <w:rFonts w:ascii="Times New Roman" w:eastAsia="Calibri" w:hAnsi="Times New Roman" w:cs="Times New Roman"/>
          <w:color w:val="000000" w:themeColor="text1"/>
          <w:sz w:val="24"/>
          <w:szCs w:val="24"/>
          <w:lang w:val="en-US" w:eastAsia="en-US"/>
        </w:rPr>
        <w:t>are likely</w:t>
      </w:r>
      <w:r w:rsidR="00416B28" w:rsidRPr="00DE13EE">
        <w:rPr>
          <w:rFonts w:ascii="Times New Roman" w:eastAsia="Calibri" w:hAnsi="Times New Roman" w:cs="Times New Roman"/>
          <w:color w:val="000000" w:themeColor="text1"/>
          <w:sz w:val="24"/>
          <w:szCs w:val="24"/>
          <w:lang w:val="en-US" w:eastAsia="en-US"/>
        </w:rPr>
        <w:t xml:space="preserve">, on average, to exhibit less (more) forward-looking disclosure (firm value) than firms </w:t>
      </w:r>
      <w:r w:rsidR="009B3794" w:rsidRPr="00DE13EE">
        <w:rPr>
          <w:rFonts w:ascii="Times New Roman" w:eastAsia="Calibri" w:hAnsi="Times New Roman" w:cs="Times New Roman"/>
          <w:color w:val="000000" w:themeColor="text1"/>
          <w:sz w:val="24"/>
          <w:szCs w:val="24"/>
          <w:lang w:val="en-US" w:eastAsia="en-US"/>
        </w:rPr>
        <w:t>with non</w:t>
      </w:r>
      <w:r w:rsidR="00DD172E" w:rsidRPr="00DE13EE">
        <w:rPr>
          <w:rFonts w:ascii="Times New Roman" w:eastAsia="Calibri" w:hAnsi="Times New Roman" w:cs="Times New Roman"/>
          <w:color w:val="000000" w:themeColor="text1"/>
          <w:sz w:val="24"/>
          <w:szCs w:val="24"/>
          <w:lang w:val="en-US" w:eastAsia="en-US"/>
        </w:rPr>
        <w:t>-</w:t>
      </w:r>
      <w:r w:rsidR="009B3794" w:rsidRPr="00DE13EE">
        <w:rPr>
          <w:rFonts w:ascii="Times New Roman" w:eastAsia="Calibri" w:hAnsi="Times New Roman" w:cs="Times New Roman"/>
          <w:color w:val="000000" w:themeColor="text1"/>
          <w:sz w:val="24"/>
          <w:szCs w:val="24"/>
          <w:lang w:val="en-US" w:eastAsia="en-US"/>
        </w:rPr>
        <w:lastRenderedPageBreak/>
        <w:t>Big-N auditor</w:t>
      </w:r>
      <w:r w:rsidR="00416B28" w:rsidRPr="00DE13EE">
        <w:rPr>
          <w:rFonts w:ascii="Times New Roman" w:eastAsia="Calibri" w:hAnsi="Times New Roman" w:cs="Times New Roman"/>
          <w:color w:val="000000" w:themeColor="text1"/>
          <w:sz w:val="24"/>
          <w:szCs w:val="24"/>
          <w:lang w:val="en-US" w:eastAsia="en-US"/>
        </w:rPr>
        <w:t xml:space="preserve">. </w:t>
      </w:r>
      <w:r w:rsidR="009B3794" w:rsidRPr="00DE13EE">
        <w:rPr>
          <w:rFonts w:ascii="Times New Roman" w:eastAsia="Calibri" w:hAnsi="Times New Roman" w:cs="Times New Roman"/>
          <w:color w:val="000000" w:themeColor="text1"/>
          <w:sz w:val="24"/>
          <w:szCs w:val="24"/>
          <w:lang w:val="en-US" w:eastAsia="en-US"/>
        </w:rPr>
        <w:t>In particular,</w:t>
      </w:r>
      <w:r w:rsidR="004E1958" w:rsidRPr="00DE13EE">
        <w:rPr>
          <w:rFonts w:ascii="Times New Roman" w:eastAsia="Calibri" w:hAnsi="Times New Roman" w:cs="Times New Roman"/>
          <w:color w:val="000000" w:themeColor="text1"/>
          <w:sz w:val="24"/>
          <w:szCs w:val="24"/>
          <w:lang w:val="en-US" w:eastAsia="en-US"/>
        </w:rPr>
        <w:t xml:space="preserve"> the results confirm that firm audited by one of th</w:t>
      </w:r>
      <w:r w:rsidR="00AC47F8" w:rsidRPr="00DE13EE">
        <w:rPr>
          <w:rFonts w:ascii="Times New Roman" w:eastAsia="Calibri" w:hAnsi="Times New Roman" w:cs="Times New Roman"/>
          <w:color w:val="000000" w:themeColor="text1"/>
          <w:sz w:val="24"/>
          <w:szCs w:val="24"/>
          <w:lang w:val="en-US" w:eastAsia="en-US"/>
        </w:rPr>
        <w:t xml:space="preserve">e </w:t>
      </w:r>
      <w:r w:rsidR="009B3794" w:rsidRPr="00DE13EE">
        <w:rPr>
          <w:rFonts w:ascii="Times New Roman" w:eastAsia="Calibri" w:hAnsi="Times New Roman" w:cs="Times New Roman"/>
          <w:color w:val="000000" w:themeColor="text1"/>
          <w:sz w:val="24"/>
          <w:szCs w:val="24"/>
          <w:lang w:val="en-US" w:eastAsia="en-US"/>
        </w:rPr>
        <w:t>Big-N auditors</w:t>
      </w:r>
      <w:r w:rsidR="004E1958" w:rsidRPr="00DE13EE">
        <w:rPr>
          <w:rFonts w:ascii="Times New Roman" w:eastAsia="Calibri" w:hAnsi="Times New Roman" w:cs="Times New Roman"/>
          <w:color w:val="000000" w:themeColor="text1"/>
          <w:sz w:val="24"/>
          <w:szCs w:val="24"/>
          <w:lang w:val="en-US" w:eastAsia="en-US"/>
        </w:rPr>
        <w:t xml:space="preserve"> tend to provide, on average, 3</w:t>
      </w:r>
      <w:r w:rsidR="00AC47F8" w:rsidRPr="00DE13EE">
        <w:rPr>
          <w:rFonts w:ascii="Times New Roman" w:eastAsia="Calibri" w:hAnsi="Times New Roman" w:cs="Times New Roman"/>
          <w:color w:val="000000" w:themeColor="text1"/>
          <w:sz w:val="24"/>
          <w:szCs w:val="24"/>
          <w:lang w:val="en-US" w:eastAsia="en-US"/>
        </w:rPr>
        <w:t>2</w:t>
      </w:r>
      <w:r w:rsidR="004E1958" w:rsidRPr="00DE13EE">
        <w:rPr>
          <w:rFonts w:ascii="Times New Roman" w:eastAsia="Calibri" w:hAnsi="Times New Roman" w:cs="Times New Roman"/>
          <w:color w:val="000000" w:themeColor="text1"/>
          <w:sz w:val="24"/>
          <w:szCs w:val="24"/>
          <w:lang w:val="en-US" w:eastAsia="en-US"/>
        </w:rPr>
        <w:t xml:space="preserve"> percent less forward-looking information than firm audited by </w:t>
      </w:r>
      <w:r w:rsidR="00AC47F8" w:rsidRPr="00DE13EE">
        <w:rPr>
          <w:rFonts w:ascii="Times New Roman" w:eastAsia="Calibri" w:hAnsi="Times New Roman" w:cs="Times New Roman"/>
          <w:color w:val="000000" w:themeColor="text1"/>
          <w:sz w:val="24"/>
          <w:szCs w:val="24"/>
          <w:lang w:val="en-US" w:eastAsia="en-US"/>
        </w:rPr>
        <w:t>non</w:t>
      </w:r>
      <w:r w:rsidR="00DD172E" w:rsidRPr="00DE13EE">
        <w:rPr>
          <w:rFonts w:ascii="Times New Roman" w:eastAsia="Calibri" w:hAnsi="Times New Roman" w:cs="Times New Roman"/>
          <w:color w:val="000000" w:themeColor="text1"/>
          <w:sz w:val="24"/>
          <w:szCs w:val="24"/>
          <w:lang w:val="en-US" w:eastAsia="en-US"/>
        </w:rPr>
        <w:t>-</w:t>
      </w:r>
      <w:r w:rsidR="009B3794" w:rsidRPr="00DE13EE">
        <w:rPr>
          <w:rFonts w:ascii="Times New Roman" w:eastAsia="Calibri" w:hAnsi="Times New Roman" w:cs="Times New Roman"/>
          <w:color w:val="000000" w:themeColor="text1"/>
          <w:sz w:val="24"/>
          <w:szCs w:val="24"/>
          <w:lang w:val="en-US" w:eastAsia="en-US"/>
        </w:rPr>
        <w:t>B</w:t>
      </w:r>
      <w:r w:rsidR="00AC47F8" w:rsidRPr="00DE13EE">
        <w:rPr>
          <w:rFonts w:ascii="Times New Roman" w:eastAsia="Calibri" w:hAnsi="Times New Roman" w:cs="Times New Roman"/>
          <w:color w:val="000000" w:themeColor="text1"/>
          <w:sz w:val="24"/>
          <w:szCs w:val="24"/>
          <w:lang w:val="en-US" w:eastAsia="en-US"/>
        </w:rPr>
        <w:t>ig</w:t>
      </w:r>
      <w:r w:rsidR="009B3794" w:rsidRPr="00DE13EE">
        <w:rPr>
          <w:rFonts w:ascii="Times New Roman" w:eastAsia="Calibri" w:hAnsi="Times New Roman" w:cs="Times New Roman"/>
          <w:color w:val="000000" w:themeColor="text1"/>
          <w:sz w:val="24"/>
          <w:szCs w:val="24"/>
          <w:lang w:val="en-US" w:eastAsia="en-US"/>
        </w:rPr>
        <w:t>-N</w:t>
      </w:r>
      <w:r w:rsidR="004E1958" w:rsidRPr="00DE13EE">
        <w:rPr>
          <w:rFonts w:ascii="Times New Roman" w:eastAsia="Calibri" w:hAnsi="Times New Roman" w:cs="Times New Roman"/>
          <w:color w:val="000000" w:themeColor="text1"/>
          <w:sz w:val="24"/>
          <w:szCs w:val="24"/>
          <w:lang w:val="en-US" w:eastAsia="en-US"/>
        </w:rPr>
        <w:t xml:space="preserve"> auditor. In addition, the value</w:t>
      </w:r>
      <w:r w:rsidR="00AC47F8" w:rsidRPr="00DE13EE">
        <w:rPr>
          <w:rFonts w:ascii="Times New Roman" w:eastAsia="Calibri" w:hAnsi="Times New Roman" w:cs="Times New Roman"/>
          <w:color w:val="000000" w:themeColor="text1"/>
          <w:sz w:val="24"/>
          <w:szCs w:val="24"/>
          <w:lang w:val="en-US" w:eastAsia="en-US"/>
        </w:rPr>
        <w:t>s</w:t>
      </w:r>
      <w:r w:rsidR="004E1958" w:rsidRPr="00DE13EE">
        <w:rPr>
          <w:rFonts w:ascii="Times New Roman" w:eastAsia="Calibri" w:hAnsi="Times New Roman" w:cs="Times New Roman"/>
          <w:color w:val="000000" w:themeColor="text1"/>
          <w:sz w:val="24"/>
          <w:szCs w:val="24"/>
          <w:lang w:val="en-US" w:eastAsia="en-US"/>
        </w:rPr>
        <w:t xml:space="preserve"> of these firms are, on average, </w:t>
      </w:r>
      <w:r w:rsidR="008D68A5" w:rsidRPr="00DE13EE">
        <w:rPr>
          <w:rFonts w:ascii="Times New Roman" w:eastAsia="Calibri" w:hAnsi="Times New Roman" w:cs="Times New Roman"/>
          <w:color w:val="000000" w:themeColor="text1"/>
          <w:sz w:val="24"/>
          <w:szCs w:val="24"/>
          <w:lang w:val="en-US" w:eastAsia="en-US"/>
        </w:rPr>
        <w:t>39 percent</w:t>
      </w:r>
      <w:r w:rsidR="004E1958" w:rsidRPr="00DE13EE">
        <w:rPr>
          <w:rFonts w:ascii="Times New Roman" w:eastAsia="Calibri" w:hAnsi="Times New Roman" w:cs="Times New Roman"/>
          <w:color w:val="000000" w:themeColor="text1"/>
          <w:sz w:val="24"/>
          <w:szCs w:val="24"/>
          <w:lang w:val="en-US" w:eastAsia="en-US"/>
        </w:rPr>
        <w:t xml:space="preserve"> more than those </w:t>
      </w:r>
      <w:r w:rsidR="009B3794" w:rsidRPr="00DE13EE">
        <w:rPr>
          <w:rFonts w:ascii="Times New Roman" w:eastAsia="Calibri" w:hAnsi="Times New Roman" w:cs="Times New Roman"/>
          <w:color w:val="000000" w:themeColor="text1"/>
          <w:sz w:val="24"/>
          <w:szCs w:val="24"/>
          <w:lang w:val="en-US" w:eastAsia="en-US"/>
        </w:rPr>
        <w:t>with</w:t>
      </w:r>
      <w:r w:rsidR="004E1958" w:rsidRPr="00DE13EE">
        <w:rPr>
          <w:rFonts w:ascii="Times New Roman" w:eastAsia="Calibri" w:hAnsi="Times New Roman" w:cs="Times New Roman"/>
          <w:color w:val="000000" w:themeColor="text1"/>
          <w:sz w:val="24"/>
          <w:szCs w:val="24"/>
          <w:lang w:val="en-US" w:eastAsia="en-US"/>
        </w:rPr>
        <w:t xml:space="preserve"> </w:t>
      </w:r>
      <w:r w:rsidR="00AC47F8" w:rsidRPr="00DE13EE">
        <w:rPr>
          <w:rFonts w:ascii="Times New Roman" w:eastAsia="Calibri" w:hAnsi="Times New Roman" w:cs="Times New Roman"/>
          <w:color w:val="000000" w:themeColor="text1"/>
          <w:sz w:val="24"/>
          <w:szCs w:val="24"/>
          <w:lang w:val="en-US" w:eastAsia="en-US"/>
        </w:rPr>
        <w:t>non</w:t>
      </w:r>
      <w:r w:rsidR="00DD172E" w:rsidRPr="00DE13EE">
        <w:rPr>
          <w:rFonts w:ascii="Times New Roman" w:eastAsia="Calibri" w:hAnsi="Times New Roman" w:cs="Times New Roman"/>
          <w:color w:val="000000" w:themeColor="text1"/>
          <w:sz w:val="24"/>
          <w:szCs w:val="24"/>
          <w:lang w:val="en-US" w:eastAsia="en-US"/>
        </w:rPr>
        <w:t>-</w:t>
      </w:r>
      <w:r w:rsidR="009B3794" w:rsidRPr="00DE13EE">
        <w:rPr>
          <w:rFonts w:ascii="Times New Roman" w:eastAsia="Calibri" w:hAnsi="Times New Roman" w:cs="Times New Roman"/>
          <w:color w:val="000000" w:themeColor="text1"/>
          <w:sz w:val="24"/>
          <w:szCs w:val="24"/>
          <w:lang w:val="en-US" w:eastAsia="en-US"/>
        </w:rPr>
        <w:t>B</w:t>
      </w:r>
      <w:r w:rsidR="00AC47F8" w:rsidRPr="00DE13EE">
        <w:rPr>
          <w:rFonts w:ascii="Times New Roman" w:eastAsia="Calibri" w:hAnsi="Times New Roman" w:cs="Times New Roman"/>
          <w:color w:val="000000" w:themeColor="text1"/>
          <w:sz w:val="24"/>
          <w:szCs w:val="24"/>
          <w:lang w:val="en-US" w:eastAsia="en-US"/>
        </w:rPr>
        <w:t>ig</w:t>
      </w:r>
      <w:r w:rsidR="009B3794" w:rsidRPr="00DE13EE">
        <w:rPr>
          <w:rFonts w:ascii="Times New Roman" w:eastAsia="Calibri" w:hAnsi="Times New Roman" w:cs="Times New Roman"/>
          <w:color w:val="000000" w:themeColor="text1"/>
          <w:sz w:val="24"/>
          <w:szCs w:val="24"/>
          <w:lang w:val="en-US" w:eastAsia="en-US"/>
        </w:rPr>
        <w:t>-N</w:t>
      </w:r>
      <w:r w:rsidR="00AC47F8" w:rsidRPr="00DE13EE">
        <w:rPr>
          <w:rFonts w:ascii="Times New Roman" w:eastAsia="Calibri" w:hAnsi="Times New Roman" w:cs="Times New Roman"/>
          <w:color w:val="000000" w:themeColor="text1"/>
          <w:sz w:val="24"/>
          <w:szCs w:val="24"/>
          <w:lang w:val="en-US" w:eastAsia="en-US"/>
        </w:rPr>
        <w:t xml:space="preserve"> auditor. </w:t>
      </w:r>
    </w:p>
    <w:p w14:paraId="521B1A8F" w14:textId="46960178" w:rsidR="00CE5E31" w:rsidRPr="00DE13EE" w:rsidRDefault="00CE5E31" w:rsidP="00B93D4F">
      <w:pPr>
        <w:spacing w:line="360" w:lineRule="auto"/>
        <w:jc w:val="center"/>
        <w:rPr>
          <w:rFonts w:ascii="Times New Roman" w:hAnsi="Times New Roman" w:cs="Times New Roman"/>
          <w:i/>
          <w:iCs/>
          <w:color w:val="000000" w:themeColor="text1"/>
          <w:sz w:val="24"/>
          <w:szCs w:val="24"/>
          <w:lang w:val="en-US"/>
        </w:rPr>
      </w:pPr>
      <w:r w:rsidRPr="00DE13EE">
        <w:rPr>
          <w:rFonts w:ascii="Times New Roman" w:hAnsi="Times New Roman" w:cs="Times New Roman"/>
          <w:i/>
          <w:iCs/>
          <w:color w:val="000000" w:themeColor="text1"/>
          <w:sz w:val="24"/>
          <w:szCs w:val="24"/>
          <w:lang w:val="en-US"/>
        </w:rPr>
        <w:t>Insert Table (2) here</w:t>
      </w:r>
    </w:p>
    <w:p w14:paraId="03C33BE1" w14:textId="77777777" w:rsidR="00E01DAE" w:rsidRPr="00DE13EE" w:rsidRDefault="00E01DAE" w:rsidP="00B93D4F">
      <w:pPr>
        <w:spacing w:line="360" w:lineRule="auto"/>
        <w:jc w:val="center"/>
        <w:rPr>
          <w:rFonts w:ascii="Times New Roman" w:hAnsi="Times New Roman" w:cs="Times New Roman"/>
          <w:i/>
          <w:iCs/>
          <w:color w:val="000000" w:themeColor="text1"/>
          <w:sz w:val="24"/>
          <w:szCs w:val="24"/>
          <w:lang w:val="en-US"/>
        </w:rPr>
      </w:pPr>
    </w:p>
    <w:p w14:paraId="4B8DF7FF" w14:textId="27DDB78C" w:rsidR="00812C9C" w:rsidRPr="00DE13EE" w:rsidRDefault="00812C9C" w:rsidP="00B93D4F">
      <w:pPr>
        <w:spacing w:line="360" w:lineRule="auto"/>
        <w:jc w:val="both"/>
        <w:rPr>
          <w:rFonts w:ascii="Times New Roman" w:hAnsi="Times New Roman" w:cs="Times New Roman"/>
          <w:color w:val="000000" w:themeColor="text1"/>
          <w:sz w:val="24"/>
          <w:szCs w:val="24"/>
          <w:lang w:val="en-US"/>
        </w:rPr>
      </w:pPr>
      <w:r w:rsidRPr="00DE13EE">
        <w:rPr>
          <w:rFonts w:ascii="Times New Roman" w:hAnsi="Times New Roman" w:cs="Times New Roman"/>
          <w:color w:val="000000" w:themeColor="text1"/>
          <w:sz w:val="24"/>
          <w:szCs w:val="24"/>
          <w:lang w:val="en-US"/>
        </w:rPr>
        <w:t>The Pearson correlation matrix in Table (3) provides evidence that firm value (IMadj.TQ</w:t>
      </w:r>
      <w:r w:rsidRPr="00DE13EE">
        <w:rPr>
          <w:rFonts w:ascii="Times New Roman" w:hAnsi="Times New Roman" w:cs="Times New Roman"/>
          <w:color w:val="000000" w:themeColor="text1"/>
          <w:sz w:val="24"/>
          <w:szCs w:val="24"/>
          <w:vertAlign w:val="subscript"/>
          <w:lang w:val="en-US"/>
        </w:rPr>
        <w:t>+3</w:t>
      </w:r>
      <w:r w:rsidRPr="00DE13EE">
        <w:rPr>
          <w:rFonts w:ascii="Times New Roman" w:hAnsi="Times New Roman" w:cs="Times New Roman"/>
          <w:color w:val="000000" w:themeColor="text1"/>
          <w:sz w:val="24"/>
          <w:szCs w:val="24"/>
          <w:lang w:val="en-US"/>
        </w:rPr>
        <w:t xml:space="preserve">) is statistically correlated positively with FLD score (p&lt;0.01). </w:t>
      </w:r>
      <w:r w:rsidR="007D0E9D" w:rsidRPr="00DE13EE">
        <w:rPr>
          <w:rFonts w:ascii="Times New Roman" w:hAnsi="Times New Roman" w:cs="Times New Roman"/>
          <w:color w:val="000000" w:themeColor="text1"/>
          <w:sz w:val="24"/>
          <w:szCs w:val="24"/>
          <w:lang w:val="en-US"/>
        </w:rPr>
        <w:t xml:space="preserve">This suggests that firm disclosing more forward-looking information are likely to exhibit higher values. </w:t>
      </w:r>
      <w:r w:rsidR="00855CF2" w:rsidRPr="00DE13EE">
        <w:rPr>
          <w:rFonts w:ascii="Times New Roman" w:hAnsi="Times New Roman" w:cs="Times New Roman"/>
          <w:color w:val="000000" w:themeColor="text1"/>
          <w:sz w:val="24"/>
          <w:szCs w:val="24"/>
          <w:lang w:val="en-US"/>
        </w:rPr>
        <w:t>Surprising</w:t>
      </w:r>
      <w:r w:rsidRPr="00DE13EE">
        <w:rPr>
          <w:rFonts w:ascii="Times New Roman" w:hAnsi="Times New Roman" w:cs="Times New Roman"/>
          <w:color w:val="000000" w:themeColor="text1"/>
          <w:sz w:val="24"/>
          <w:szCs w:val="24"/>
          <w:lang w:val="en-US"/>
        </w:rPr>
        <w:t>,</w:t>
      </w:r>
      <w:r w:rsidR="007D0E9D" w:rsidRPr="00DE13EE">
        <w:rPr>
          <w:rFonts w:ascii="Times New Roman" w:hAnsi="Times New Roman" w:cs="Times New Roman"/>
          <w:color w:val="000000" w:themeColor="text1"/>
          <w:sz w:val="24"/>
          <w:szCs w:val="24"/>
          <w:lang w:val="en-US"/>
        </w:rPr>
        <w:t xml:space="preserve"> the correlation </w:t>
      </w:r>
      <w:r w:rsidR="00D47458" w:rsidRPr="00DE13EE">
        <w:rPr>
          <w:rFonts w:ascii="Times New Roman" w:hAnsi="Times New Roman" w:cs="Times New Roman"/>
          <w:color w:val="000000" w:themeColor="text1"/>
          <w:sz w:val="24"/>
          <w:szCs w:val="24"/>
          <w:lang w:val="en-US"/>
        </w:rPr>
        <w:t>coefficient</w:t>
      </w:r>
      <w:r w:rsidR="00855CF2" w:rsidRPr="00DE13EE">
        <w:rPr>
          <w:rFonts w:ascii="Times New Roman" w:hAnsi="Times New Roman" w:cs="Times New Roman"/>
          <w:color w:val="000000" w:themeColor="text1"/>
          <w:sz w:val="24"/>
          <w:szCs w:val="24"/>
          <w:lang w:val="en-US"/>
        </w:rPr>
        <w:t xml:space="preserve"> (-0.126)</w:t>
      </w:r>
      <w:r w:rsidR="007D0E9D" w:rsidRPr="00DE13EE">
        <w:rPr>
          <w:rFonts w:ascii="Times New Roman" w:hAnsi="Times New Roman" w:cs="Times New Roman"/>
          <w:color w:val="000000" w:themeColor="text1"/>
          <w:sz w:val="24"/>
          <w:szCs w:val="24"/>
          <w:lang w:val="en-US"/>
        </w:rPr>
        <w:t xml:space="preserve"> between </w:t>
      </w:r>
      <w:r w:rsidR="00D47458" w:rsidRPr="00DE13EE">
        <w:rPr>
          <w:rFonts w:ascii="Times New Roman" w:hAnsi="Times New Roman" w:cs="Times New Roman"/>
          <w:color w:val="000000" w:themeColor="text1"/>
          <w:sz w:val="24"/>
          <w:szCs w:val="24"/>
          <w:lang w:val="en-US"/>
        </w:rPr>
        <w:t>IMadj.TQ</w:t>
      </w:r>
      <w:r w:rsidR="00D47458" w:rsidRPr="00DE13EE">
        <w:rPr>
          <w:rFonts w:ascii="Times New Roman" w:hAnsi="Times New Roman" w:cs="Times New Roman"/>
          <w:color w:val="000000" w:themeColor="text1"/>
          <w:sz w:val="24"/>
          <w:szCs w:val="24"/>
          <w:vertAlign w:val="subscript"/>
          <w:lang w:val="en-US"/>
        </w:rPr>
        <w:t>+3</w:t>
      </w:r>
      <w:r w:rsidR="00D47458" w:rsidRPr="00DE13EE">
        <w:rPr>
          <w:rFonts w:ascii="Times New Roman" w:hAnsi="Times New Roman" w:cs="Times New Roman"/>
          <w:color w:val="000000" w:themeColor="text1"/>
          <w:sz w:val="24"/>
          <w:szCs w:val="24"/>
          <w:lang w:val="en-US"/>
        </w:rPr>
        <w:t xml:space="preserve"> and </w:t>
      </w:r>
      <w:r w:rsidR="00874D6A" w:rsidRPr="00DE13EE">
        <w:rPr>
          <w:rFonts w:ascii="Times New Roman" w:hAnsi="Times New Roman" w:cs="Times New Roman"/>
          <w:color w:val="000000" w:themeColor="text1"/>
          <w:sz w:val="24"/>
          <w:szCs w:val="24"/>
          <w:lang w:val="en-US"/>
        </w:rPr>
        <w:t xml:space="preserve">firm </w:t>
      </w:r>
      <w:r w:rsidR="00D47458" w:rsidRPr="00DE13EE">
        <w:rPr>
          <w:rFonts w:ascii="Times New Roman" w:hAnsi="Times New Roman" w:cs="Times New Roman"/>
          <w:color w:val="000000" w:themeColor="text1"/>
          <w:sz w:val="24"/>
          <w:szCs w:val="24"/>
          <w:lang w:val="en-US"/>
        </w:rPr>
        <w:t>ROA</w:t>
      </w:r>
      <w:r w:rsidRPr="00DE13EE">
        <w:rPr>
          <w:rFonts w:ascii="Times New Roman" w:hAnsi="Times New Roman" w:cs="Times New Roman"/>
          <w:color w:val="000000" w:themeColor="text1"/>
          <w:sz w:val="24"/>
          <w:szCs w:val="24"/>
          <w:lang w:val="en-US"/>
        </w:rPr>
        <w:t xml:space="preserve"> </w:t>
      </w:r>
      <w:r w:rsidR="00D47458" w:rsidRPr="00DE13EE">
        <w:rPr>
          <w:rFonts w:ascii="Times New Roman" w:hAnsi="Times New Roman" w:cs="Times New Roman"/>
          <w:color w:val="000000" w:themeColor="text1"/>
          <w:sz w:val="24"/>
          <w:szCs w:val="24"/>
          <w:lang w:val="en-US"/>
        </w:rPr>
        <w:t xml:space="preserve">indicates </w:t>
      </w:r>
      <w:r w:rsidR="00651D4D" w:rsidRPr="00DE13EE">
        <w:rPr>
          <w:rFonts w:ascii="Times New Roman" w:hAnsi="Times New Roman" w:cs="Times New Roman"/>
          <w:color w:val="000000" w:themeColor="text1"/>
          <w:sz w:val="24"/>
          <w:szCs w:val="24"/>
          <w:lang w:val="en-US"/>
        </w:rPr>
        <w:t>a negative correlation between firm performance and firm value.</w:t>
      </w:r>
      <w:r w:rsidR="00D47458" w:rsidRPr="00DE13EE">
        <w:rPr>
          <w:rFonts w:ascii="Times New Roman" w:hAnsi="Times New Roman" w:cs="Times New Roman"/>
          <w:color w:val="000000" w:themeColor="text1"/>
          <w:sz w:val="24"/>
          <w:szCs w:val="24"/>
          <w:lang w:val="en-US"/>
        </w:rPr>
        <w:t xml:space="preserve"> Furthermore, </w:t>
      </w:r>
      <w:r w:rsidR="00903453" w:rsidRPr="00DE13EE">
        <w:rPr>
          <w:rFonts w:ascii="Times New Roman" w:hAnsi="Times New Roman" w:cs="Times New Roman"/>
          <w:color w:val="000000" w:themeColor="text1"/>
          <w:sz w:val="24"/>
          <w:szCs w:val="24"/>
          <w:lang w:val="en-US"/>
        </w:rPr>
        <w:t xml:space="preserve">the </w:t>
      </w:r>
      <w:r w:rsidR="00733DD8" w:rsidRPr="00DE13EE">
        <w:rPr>
          <w:rFonts w:ascii="Times New Roman" w:hAnsi="Times New Roman" w:cs="Times New Roman"/>
          <w:color w:val="000000" w:themeColor="text1"/>
          <w:sz w:val="24"/>
          <w:szCs w:val="24"/>
          <w:lang w:val="en-US"/>
        </w:rPr>
        <w:t>correlation</w:t>
      </w:r>
      <w:r w:rsidR="00903453" w:rsidRPr="00DE13EE">
        <w:rPr>
          <w:rFonts w:ascii="Times New Roman" w:hAnsi="Times New Roman" w:cs="Times New Roman"/>
          <w:color w:val="000000" w:themeColor="text1"/>
          <w:sz w:val="24"/>
          <w:szCs w:val="24"/>
          <w:lang w:val="en-US"/>
        </w:rPr>
        <w:t xml:space="preserve"> coefficient between IMadj.TQ</w:t>
      </w:r>
      <w:r w:rsidR="00903453" w:rsidRPr="00DE13EE">
        <w:rPr>
          <w:rFonts w:ascii="Times New Roman" w:hAnsi="Times New Roman" w:cs="Times New Roman"/>
          <w:color w:val="000000" w:themeColor="text1"/>
          <w:sz w:val="24"/>
          <w:szCs w:val="24"/>
          <w:vertAlign w:val="subscript"/>
          <w:lang w:val="en-US"/>
        </w:rPr>
        <w:t>+3</w:t>
      </w:r>
      <w:r w:rsidR="00D47458" w:rsidRPr="00DE13EE">
        <w:rPr>
          <w:rFonts w:ascii="Times New Roman" w:hAnsi="Times New Roman" w:cs="Times New Roman"/>
          <w:color w:val="000000" w:themeColor="text1"/>
          <w:sz w:val="24"/>
          <w:szCs w:val="24"/>
          <w:lang w:val="en-US"/>
        </w:rPr>
        <w:t xml:space="preserve"> </w:t>
      </w:r>
      <w:r w:rsidR="00903453" w:rsidRPr="00DE13EE">
        <w:rPr>
          <w:rFonts w:ascii="Times New Roman" w:hAnsi="Times New Roman" w:cs="Times New Roman"/>
          <w:color w:val="000000" w:themeColor="text1"/>
          <w:sz w:val="24"/>
          <w:szCs w:val="24"/>
          <w:lang w:val="en-US"/>
        </w:rPr>
        <w:t xml:space="preserve">and auditor size suggest a positive correlation between </w:t>
      </w:r>
      <w:r w:rsidR="00DD172E" w:rsidRPr="00DE13EE">
        <w:rPr>
          <w:rFonts w:ascii="Times New Roman" w:hAnsi="Times New Roman" w:cs="Times New Roman"/>
          <w:color w:val="000000" w:themeColor="text1"/>
          <w:sz w:val="24"/>
          <w:szCs w:val="24"/>
          <w:lang w:val="en-US"/>
        </w:rPr>
        <w:t xml:space="preserve">auditor </w:t>
      </w:r>
      <w:r w:rsidR="00903453" w:rsidRPr="00DE13EE">
        <w:rPr>
          <w:rFonts w:ascii="Times New Roman" w:hAnsi="Times New Roman" w:cs="Times New Roman"/>
          <w:color w:val="000000" w:themeColor="text1"/>
          <w:sz w:val="24"/>
          <w:szCs w:val="24"/>
          <w:lang w:val="en-US"/>
        </w:rPr>
        <w:t xml:space="preserve">size and </w:t>
      </w:r>
      <w:r w:rsidR="00DD172E" w:rsidRPr="00DE13EE">
        <w:rPr>
          <w:rFonts w:ascii="Times New Roman" w:hAnsi="Times New Roman" w:cs="Times New Roman"/>
          <w:color w:val="000000" w:themeColor="text1"/>
          <w:sz w:val="24"/>
          <w:szCs w:val="24"/>
          <w:lang w:val="en-US"/>
        </w:rPr>
        <w:t xml:space="preserve">firm </w:t>
      </w:r>
      <w:r w:rsidR="00903453" w:rsidRPr="00DE13EE">
        <w:rPr>
          <w:rFonts w:ascii="Times New Roman" w:hAnsi="Times New Roman" w:cs="Times New Roman"/>
          <w:color w:val="000000" w:themeColor="text1"/>
          <w:sz w:val="24"/>
          <w:szCs w:val="24"/>
          <w:lang w:val="en-US"/>
        </w:rPr>
        <w:t xml:space="preserve">value at 10 percent significance. </w:t>
      </w:r>
      <w:r w:rsidR="00733DD8" w:rsidRPr="00DE13EE">
        <w:rPr>
          <w:rFonts w:ascii="Times New Roman" w:hAnsi="Times New Roman" w:cs="Times New Roman"/>
          <w:color w:val="000000" w:themeColor="text1"/>
          <w:sz w:val="24"/>
          <w:szCs w:val="24"/>
          <w:lang w:val="en-US"/>
        </w:rPr>
        <w:t>The correlation coefficients</w:t>
      </w:r>
      <w:r w:rsidR="00874D6A" w:rsidRPr="00DE13EE">
        <w:rPr>
          <w:rFonts w:ascii="Times New Roman" w:hAnsi="Times New Roman" w:cs="Times New Roman"/>
          <w:color w:val="000000" w:themeColor="text1"/>
          <w:sz w:val="24"/>
          <w:szCs w:val="24"/>
          <w:lang w:val="en-US"/>
        </w:rPr>
        <w:t>,</w:t>
      </w:r>
      <w:r w:rsidR="00733DD8" w:rsidRPr="00DE13EE">
        <w:rPr>
          <w:rFonts w:ascii="Times New Roman" w:hAnsi="Times New Roman" w:cs="Times New Roman"/>
          <w:color w:val="000000" w:themeColor="text1"/>
          <w:sz w:val="24"/>
          <w:szCs w:val="24"/>
          <w:lang w:val="en-US"/>
        </w:rPr>
        <w:t xml:space="preserve"> </w:t>
      </w:r>
      <w:r w:rsidR="00874D6A" w:rsidRPr="00DE13EE">
        <w:rPr>
          <w:rFonts w:ascii="Times New Roman" w:hAnsi="Times New Roman" w:cs="Times New Roman"/>
          <w:color w:val="000000" w:themeColor="text1"/>
          <w:sz w:val="24"/>
          <w:szCs w:val="24"/>
          <w:lang w:val="en-US"/>
        </w:rPr>
        <w:t>also, indicate</w:t>
      </w:r>
      <w:r w:rsidR="00733DD8" w:rsidRPr="00DE13EE">
        <w:rPr>
          <w:rFonts w:ascii="Times New Roman" w:hAnsi="Times New Roman" w:cs="Times New Roman"/>
          <w:color w:val="000000" w:themeColor="text1"/>
          <w:sz w:val="24"/>
          <w:szCs w:val="24"/>
          <w:lang w:val="en-US"/>
        </w:rPr>
        <w:t xml:space="preserve"> that the disclosure of forward-looking information is negatively associated with both earnings performance</w:t>
      </w:r>
      <w:r w:rsidR="00651D4D" w:rsidRPr="00DE13EE">
        <w:rPr>
          <w:rFonts w:ascii="Times New Roman" w:hAnsi="Times New Roman" w:cs="Times New Roman"/>
          <w:color w:val="000000" w:themeColor="text1"/>
          <w:sz w:val="24"/>
          <w:szCs w:val="24"/>
          <w:lang w:val="en-US"/>
        </w:rPr>
        <w:t xml:space="preserve"> (p&lt;0.01) and size of the auditing firm (p&lt;0.01)</w:t>
      </w:r>
      <w:r w:rsidR="00733DD8" w:rsidRPr="00DE13EE">
        <w:rPr>
          <w:rFonts w:ascii="Times New Roman" w:hAnsi="Times New Roman" w:cs="Times New Roman"/>
          <w:color w:val="000000" w:themeColor="text1"/>
          <w:sz w:val="24"/>
          <w:szCs w:val="24"/>
          <w:lang w:val="en-US"/>
        </w:rPr>
        <w:t xml:space="preserve">. </w:t>
      </w:r>
      <w:r w:rsidRPr="00DE13EE">
        <w:rPr>
          <w:rFonts w:ascii="Times New Roman" w:hAnsi="Times New Roman" w:cs="Times New Roman"/>
          <w:color w:val="000000" w:themeColor="text1"/>
          <w:sz w:val="24"/>
          <w:szCs w:val="24"/>
          <w:lang w:val="en-US"/>
        </w:rPr>
        <w:t>In addition, the Pearson coefficient may be used to diagnose multi</w:t>
      </w:r>
      <w:r w:rsidR="00432CFA" w:rsidRPr="00DE13EE">
        <w:rPr>
          <w:rFonts w:ascii="Times New Roman" w:hAnsi="Times New Roman" w:cs="Times New Roman"/>
          <w:color w:val="000000" w:themeColor="text1"/>
          <w:sz w:val="24"/>
          <w:szCs w:val="24"/>
          <w:lang w:val="en-US"/>
        </w:rPr>
        <w:t>-</w:t>
      </w:r>
      <w:r w:rsidRPr="00DE13EE">
        <w:rPr>
          <w:rFonts w:ascii="Times New Roman" w:hAnsi="Times New Roman" w:cs="Times New Roman"/>
          <w:color w:val="000000" w:themeColor="text1"/>
          <w:sz w:val="24"/>
          <w:szCs w:val="24"/>
          <w:lang w:val="en-US"/>
        </w:rPr>
        <w:t>collinearity</w:t>
      </w:r>
      <w:r w:rsidRPr="00DE13EE" w:rsidDel="001C48E1">
        <w:rPr>
          <w:rFonts w:ascii="Times New Roman" w:hAnsi="Times New Roman" w:cs="Times New Roman"/>
          <w:color w:val="000000" w:themeColor="text1"/>
          <w:sz w:val="24"/>
          <w:szCs w:val="24"/>
          <w:lang w:val="en-US"/>
        </w:rPr>
        <w:t xml:space="preserve"> </w:t>
      </w:r>
      <w:r w:rsidRPr="00DE13EE">
        <w:rPr>
          <w:rFonts w:ascii="Times New Roman" w:hAnsi="Times New Roman" w:cs="Times New Roman"/>
          <w:color w:val="000000" w:themeColor="text1"/>
          <w:sz w:val="24"/>
          <w:szCs w:val="24"/>
          <w:lang w:val="en-US"/>
        </w:rPr>
        <w:t xml:space="preserve">among independent variables. </w:t>
      </w:r>
      <w:r w:rsidR="00D62E4E" w:rsidRPr="00DE13EE">
        <w:rPr>
          <w:rFonts w:ascii="Times New Roman" w:hAnsi="Times New Roman" w:cs="Times New Roman"/>
          <w:color w:val="000000" w:themeColor="text1"/>
          <w:sz w:val="24"/>
          <w:szCs w:val="24"/>
          <w:lang w:val="en-US"/>
        </w:rPr>
        <w:t xml:space="preserve">Among all variables, </w:t>
      </w:r>
      <w:r w:rsidRPr="00DE13EE">
        <w:rPr>
          <w:rFonts w:ascii="Times New Roman" w:hAnsi="Times New Roman" w:cs="Times New Roman"/>
          <w:color w:val="000000" w:themeColor="text1"/>
          <w:sz w:val="24"/>
          <w:szCs w:val="24"/>
          <w:lang w:val="en-US"/>
        </w:rPr>
        <w:t xml:space="preserve">Pearson correlation </w:t>
      </w:r>
      <w:r w:rsidR="007D0E9D" w:rsidRPr="00DE13EE">
        <w:rPr>
          <w:rFonts w:ascii="Times New Roman" w:hAnsi="Times New Roman" w:cs="Times New Roman"/>
          <w:color w:val="000000" w:themeColor="text1"/>
          <w:sz w:val="24"/>
          <w:szCs w:val="24"/>
          <w:lang w:val="en-US"/>
        </w:rPr>
        <w:t>coefficients are</w:t>
      </w:r>
      <w:r w:rsidRPr="00DE13EE">
        <w:rPr>
          <w:rFonts w:ascii="Times New Roman" w:hAnsi="Times New Roman" w:cs="Times New Roman"/>
          <w:color w:val="000000" w:themeColor="text1"/>
          <w:sz w:val="24"/>
          <w:szCs w:val="24"/>
          <w:lang w:val="en-US"/>
        </w:rPr>
        <w:t xml:space="preserve"> relatively low</w:t>
      </w:r>
      <w:r w:rsidR="00D62E4E" w:rsidRPr="00DE13EE">
        <w:rPr>
          <w:rFonts w:ascii="Times New Roman" w:hAnsi="Times New Roman" w:cs="Times New Roman"/>
          <w:color w:val="000000" w:themeColor="text1"/>
          <w:sz w:val="24"/>
          <w:szCs w:val="24"/>
          <w:lang w:val="en-US"/>
        </w:rPr>
        <w:t>,</w:t>
      </w:r>
      <w:r w:rsidRPr="00DE13EE">
        <w:rPr>
          <w:rFonts w:ascii="Times New Roman" w:hAnsi="Times New Roman" w:cs="Times New Roman"/>
          <w:color w:val="000000" w:themeColor="text1"/>
          <w:sz w:val="24"/>
          <w:szCs w:val="24"/>
          <w:lang w:val="en-US"/>
        </w:rPr>
        <w:t xml:space="preserve"> </w:t>
      </w:r>
      <w:r w:rsidRPr="00DE13EE">
        <w:rPr>
          <w:rFonts w:ascii="Times New Roman" w:hAnsi="Times New Roman" w:cs="Times New Roman"/>
          <w:i/>
          <w:iCs/>
          <w:color w:val="000000" w:themeColor="text1"/>
          <w:sz w:val="24"/>
          <w:szCs w:val="24"/>
          <w:lang w:val="en-US"/>
        </w:rPr>
        <w:t>less than 0.80</w:t>
      </w:r>
      <w:r w:rsidRPr="00DE13EE">
        <w:rPr>
          <w:rFonts w:ascii="Times New Roman" w:hAnsi="Times New Roman" w:cs="Times New Roman"/>
          <w:color w:val="000000" w:themeColor="text1"/>
          <w:sz w:val="24"/>
          <w:szCs w:val="24"/>
          <w:lang w:val="en-US"/>
        </w:rPr>
        <w:t>, suggesting that there is no concern about the multi-collinearity</w:t>
      </w:r>
      <w:r w:rsidRPr="00DE13EE" w:rsidDel="001C48E1">
        <w:rPr>
          <w:rFonts w:ascii="Times New Roman" w:hAnsi="Times New Roman" w:cs="Times New Roman"/>
          <w:color w:val="000000" w:themeColor="text1"/>
          <w:sz w:val="24"/>
          <w:szCs w:val="24"/>
          <w:lang w:val="en-US"/>
        </w:rPr>
        <w:t xml:space="preserve"> </w:t>
      </w:r>
      <w:r w:rsidRPr="00DE13EE">
        <w:rPr>
          <w:rFonts w:ascii="Times New Roman" w:hAnsi="Times New Roman" w:cs="Times New Roman"/>
          <w:color w:val="000000" w:themeColor="text1"/>
          <w:sz w:val="24"/>
          <w:szCs w:val="24"/>
          <w:lang w:val="en-US"/>
        </w:rPr>
        <w:t>problem</w:t>
      </w:r>
      <w:r w:rsidR="009E54B4" w:rsidRPr="00DE13EE">
        <w:rPr>
          <w:rFonts w:ascii="Times New Roman" w:hAnsi="Times New Roman" w:cs="Times New Roman"/>
          <w:color w:val="000000" w:themeColor="text1"/>
          <w:sz w:val="24"/>
          <w:szCs w:val="24"/>
          <w:lang w:val="en-US"/>
        </w:rPr>
        <w:t xml:space="preserve"> (Tabachnick </w:t>
      </w:r>
      <w:r w:rsidR="0001377A" w:rsidRPr="00DE13EE">
        <w:rPr>
          <w:rFonts w:ascii="Times New Roman" w:hAnsi="Times New Roman" w:cs="Times New Roman"/>
          <w:color w:val="000000" w:themeColor="text1"/>
          <w:sz w:val="24"/>
          <w:szCs w:val="24"/>
          <w:lang w:val="en-US"/>
        </w:rPr>
        <w:t xml:space="preserve">and </w:t>
      </w:r>
      <w:r w:rsidR="009E54B4" w:rsidRPr="00DE13EE">
        <w:rPr>
          <w:rFonts w:ascii="Times New Roman" w:hAnsi="Times New Roman" w:cs="Times New Roman"/>
          <w:color w:val="000000" w:themeColor="text1"/>
          <w:sz w:val="24"/>
          <w:szCs w:val="24"/>
          <w:lang w:val="en-US"/>
        </w:rPr>
        <w:t xml:space="preserve">Fidell 2007; Gujarati </w:t>
      </w:r>
      <w:r w:rsidR="004D5115" w:rsidRPr="00DE13EE">
        <w:rPr>
          <w:rFonts w:ascii="Times New Roman" w:hAnsi="Times New Roman" w:cs="Times New Roman"/>
          <w:color w:val="000000" w:themeColor="text1"/>
          <w:sz w:val="24"/>
          <w:szCs w:val="24"/>
          <w:lang w:val="en-US"/>
        </w:rPr>
        <w:t xml:space="preserve">and </w:t>
      </w:r>
      <w:r w:rsidR="009E54B4" w:rsidRPr="00DE13EE">
        <w:rPr>
          <w:rFonts w:ascii="Times New Roman" w:hAnsi="Times New Roman" w:cs="Times New Roman"/>
          <w:color w:val="000000" w:themeColor="text1"/>
          <w:sz w:val="24"/>
          <w:szCs w:val="24"/>
          <w:lang w:val="en-US"/>
        </w:rPr>
        <w:t>Porter 2009)</w:t>
      </w:r>
      <w:r w:rsidRPr="00DE13EE">
        <w:rPr>
          <w:rFonts w:ascii="Times New Roman" w:hAnsi="Times New Roman" w:cs="Times New Roman"/>
          <w:color w:val="000000" w:themeColor="text1"/>
          <w:sz w:val="24"/>
          <w:szCs w:val="24"/>
          <w:lang w:val="en-US"/>
        </w:rPr>
        <w:t>.</w:t>
      </w:r>
    </w:p>
    <w:p w14:paraId="206FD538" w14:textId="7BC56F37" w:rsidR="0024014C" w:rsidRPr="00DE13EE" w:rsidRDefault="0024014C" w:rsidP="00B93D4F">
      <w:pPr>
        <w:spacing w:line="360" w:lineRule="auto"/>
        <w:jc w:val="center"/>
        <w:rPr>
          <w:rFonts w:ascii="Times New Roman" w:hAnsi="Times New Roman" w:cs="Times New Roman"/>
          <w:i/>
          <w:iCs/>
          <w:color w:val="000000" w:themeColor="text1"/>
          <w:sz w:val="24"/>
          <w:szCs w:val="24"/>
          <w:lang w:val="en-US"/>
        </w:rPr>
      </w:pPr>
      <w:r w:rsidRPr="00DE13EE">
        <w:rPr>
          <w:rFonts w:ascii="Times New Roman" w:hAnsi="Times New Roman" w:cs="Times New Roman"/>
          <w:i/>
          <w:iCs/>
          <w:color w:val="000000" w:themeColor="text1"/>
          <w:sz w:val="24"/>
          <w:szCs w:val="24"/>
          <w:lang w:val="en-US"/>
        </w:rPr>
        <w:t>Insert Table (3) here</w:t>
      </w:r>
    </w:p>
    <w:p w14:paraId="60488172" w14:textId="77777777" w:rsidR="00E01DAE" w:rsidRPr="00DE13EE" w:rsidRDefault="00E01DAE" w:rsidP="00B93D4F">
      <w:pPr>
        <w:spacing w:line="360" w:lineRule="auto"/>
        <w:jc w:val="center"/>
        <w:rPr>
          <w:rFonts w:ascii="Times New Roman" w:hAnsi="Times New Roman" w:cs="Times New Roman"/>
          <w:i/>
          <w:iCs/>
          <w:color w:val="000000" w:themeColor="text1"/>
          <w:sz w:val="24"/>
          <w:szCs w:val="24"/>
          <w:lang w:val="en-US"/>
        </w:rPr>
      </w:pPr>
    </w:p>
    <w:p w14:paraId="089C2774" w14:textId="77777777" w:rsidR="00812C9C" w:rsidRPr="00DE13EE" w:rsidRDefault="00812C9C" w:rsidP="00B93D4F">
      <w:pPr>
        <w:pStyle w:val="Heading2"/>
        <w:rPr>
          <w:color w:val="000000" w:themeColor="text1"/>
          <w:lang w:val="en-US"/>
        </w:rPr>
      </w:pPr>
      <w:r w:rsidRPr="00DE13EE">
        <w:rPr>
          <w:color w:val="000000" w:themeColor="text1"/>
          <w:lang w:val="en-US"/>
        </w:rPr>
        <w:t xml:space="preserve">4.2 Multivariate results </w:t>
      </w:r>
    </w:p>
    <w:p w14:paraId="2CECC95A" w14:textId="3F797073" w:rsidR="00B03DB5" w:rsidRPr="00DE13EE" w:rsidRDefault="00D32501" w:rsidP="00B93D4F">
      <w:pPr>
        <w:pStyle w:val="Heading3"/>
        <w:rPr>
          <w:color w:val="000000" w:themeColor="text1"/>
        </w:rPr>
      </w:pPr>
      <w:r w:rsidRPr="00DE13EE">
        <w:rPr>
          <w:color w:val="000000" w:themeColor="text1"/>
        </w:rPr>
        <w:t xml:space="preserve">Testing </w:t>
      </w:r>
      <w:r w:rsidR="00B03DB5" w:rsidRPr="00DE13EE">
        <w:rPr>
          <w:color w:val="000000" w:themeColor="text1"/>
        </w:rPr>
        <w:t xml:space="preserve">H1: Forward-looking disclosure impact on firm value </w:t>
      </w:r>
    </w:p>
    <w:p w14:paraId="1067C125" w14:textId="6105F363" w:rsidR="00812C9C" w:rsidRPr="00DE13EE" w:rsidRDefault="00812C9C" w:rsidP="00B93D4F">
      <w:pPr>
        <w:spacing w:line="360" w:lineRule="auto"/>
        <w:jc w:val="both"/>
        <w:rPr>
          <w:rFonts w:ascii="Times New Roman" w:hAnsi="Times New Roman" w:cs="Times New Roman"/>
          <w:color w:val="000000" w:themeColor="text1"/>
          <w:sz w:val="24"/>
          <w:szCs w:val="24"/>
          <w:lang w:val="en-US"/>
        </w:rPr>
      </w:pPr>
      <w:r w:rsidRPr="00DE13EE">
        <w:rPr>
          <w:rFonts w:ascii="Times New Roman" w:hAnsi="Times New Roman" w:cs="Times New Roman"/>
          <w:color w:val="000000" w:themeColor="text1"/>
          <w:sz w:val="24"/>
          <w:szCs w:val="24"/>
          <w:lang w:val="en-US"/>
        </w:rPr>
        <w:t xml:space="preserve">Table (4) reports the multivariate results from </w:t>
      </w:r>
      <w:r w:rsidR="00D87A20" w:rsidRPr="00DE13EE">
        <w:rPr>
          <w:rFonts w:ascii="Times New Roman" w:hAnsi="Times New Roman" w:cs="Times New Roman"/>
          <w:color w:val="000000" w:themeColor="text1"/>
          <w:sz w:val="24"/>
          <w:szCs w:val="24"/>
          <w:lang w:val="en-US"/>
        </w:rPr>
        <w:t>fixed effect regression</w:t>
      </w:r>
      <w:r w:rsidRPr="00DE13EE">
        <w:rPr>
          <w:rFonts w:ascii="Times New Roman" w:hAnsi="Times New Roman" w:cs="Times New Roman"/>
          <w:color w:val="000000" w:themeColor="text1"/>
          <w:sz w:val="24"/>
          <w:szCs w:val="24"/>
          <w:lang w:val="en-US"/>
        </w:rPr>
        <w:t xml:space="preserve"> (Model 1) and random effect regression (Model 2). Both models (1) &amp; (2) are statistically significant at </w:t>
      </w:r>
      <w:r w:rsidR="002C2EA4" w:rsidRPr="00DE13EE">
        <w:rPr>
          <w:rFonts w:ascii="Times New Roman" w:hAnsi="Times New Roman" w:cs="Times New Roman"/>
          <w:color w:val="000000" w:themeColor="text1"/>
          <w:sz w:val="24"/>
          <w:szCs w:val="24"/>
          <w:lang w:val="en-US"/>
        </w:rPr>
        <w:t xml:space="preserve">a </w:t>
      </w:r>
      <w:r w:rsidRPr="00DE13EE">
        <w:rPr>
          <w:rFonts w:ascii="Times New Roman" w:hAnsi="Times New Roman" w:cs="Times New Roman"/>
          <w:color w:val="000000" w:themeColor="text1"/>
          <w:sz w:val="24"/>
          <w:szCs w:val="24"/>
          <w:lang w:val="en-US"/>
        </w:rPr>
        <w:t>1% level of significance (P&lt;.01)</w:t>
      </w:r>
      <w:r w:rsidR="0020510D" w:rsidRPr="00DE13EE">
        <w:rPr>
          <w:rFonts w:ascii="Times New Roman" w:hAnsi="Times New Roman" w:cs="Times New Roman"/>
          <w:color w:val="000000" w:themeColor="text1"/>
          <w:sz w:val="24"/>
          <w:szCs w:val="24"/>
          <w:lang w:val="en-US"/>
        </w:rPr>
        <w:t xml:space="preserve">. The </w:t>
      </w:r>
      <w:r w:rsidRPr="00DE13EE">
        <w:rPr>
          <w:rFonts w:ascii="Times New Roman" w:hAnsi="Times New Roman" w:cs="Times New Roman"/>
          <w:color w:val="000000" w:themeColor="text1"/>
          <w:sz w:val="24"/>
          <w:szCs w:val="24"/>
          <w:lang w:val="en-US"/>
        </w:rPr>
        <w:t>adjusted R-squared values are 86.78% and 86.44% for models (1) &amp; (2), respectively. These values imply good overall model fit</w:t>
      </w:r>
      <w:r w:rsidR="00400E58" w:rsidRPr="00DE13EE">
        <w:rPr>
          <w:rFonts w:ascii="Times New Roman" w:hAnsi="Times New Roman" w:cs="Times New Roman"/>
          <w:color w:val="000000" w:themeColor="text1"/>
          <w:sz w:val="24"/>
          <w:szCs w:val="24"/>
          <w:lang w:val="en-US"/>
        </w:rPr>
        <w:t>,</w:t>
      </w:r>
      <w:r w:rsidRPr="00DE13EE">
        <w:rPr>
          <w:rFonts w:ascii="Times New Roman" w:hAnsi="Times New Roman" w:cs="Times New Roman"/>
          <w:color w:val="000000" w:themeColor="text1"/>
          <w:sz w:val="24"/>
          <w:szCs w:val="24"/>
          <w:lang w:val="en-US"/>
        </w:rPr>
        <w:t xml:space="preserve"> </w:t>
      </w:r>
      <w:r w:rsidR="00400E58" w:rsidRPr="00DE13EE">
        <w:rPr>
          <w:rFonts w:ascii="Times New Roman" w:hAnsi="Times New Roman" w:cs="Times New Roman"/>
          <w:color w:val="000000" w:themeColor="text1"/>
          <w:sz w:val="24"/>
          <w:szCs w:val="24"/>
          <w:lang w:val="en-US"/>
        </w:rPr>
        <w:t>indicating</w:t>
      </w:r>
      <w:r w:rsidRPr="00DE13EE">
        <w:rPr>
          <w:rFonts w:ascii="Times New Roman" w:hAnsi="Times New Roman" w:cs="Times New Roman"/>
          <w:color w:val="000000" w:themeColor="text1"/>
          <w:sz w:val="24"/>
          <w:szCs w:val="24"/>
          <w:lang w:val="en-US"/>
        </w:rPr>
        <w:t xml:space="preserve"> that both models explain some variation</w:t>
      </w:r>
      <w:r w:rsidR="00405942" w:rsidRPr="00DE13EE">
        <w:rPr>
          <w:rFonts w:ascii="Times New Roman" w:hAnsi="Times New Roman" w:cs="Times New Roman"/>
          <w:color w:val="000000" w:themeColor="text1"/>
          <w:sz w:val="24"/>
          <w:szCs w:val="24"/>
          <w:lang w:val="en-US"/>
        </w:rPr>
        <w:t>s</w:t>
      </w:r>
      <w:r w:rsidRPr="00DE13EE">
        <w:rPr>
          <w:rFonts w:ascii="Times New Roman" w:hAnsi="Times New Roman" w:cs="Times New Roman"/>
          <w:color w:val="000000" w:themeColor="text1"/>
          <w:sz w:val="24"/>
          <w:szCs w:val="24"/>
          <w:lang w:val="en-US"/>
        </w:rPr>
        <w:t xml:space="preserve"> in the values of the UK FTSE all-shares non-financial firms. The </w:t>
      </w:r>
      <w:r w:rsidRPr="00DE13EE">
        <w:rPr>
          <w:rFonts w:ascii="Times New Roman" w:hAnsi="Times New Roman" w:cs="Times New Roman"/>
          <w:i/>
          <w:color w:val="000000" w:themeColor="text1"/>
          <w:sz w:val="24"/>
          <w:szCs w:val="24"/>
          <w:lang w:val="en-US"/>
        </w:rPr>
        <w:t>t</w:t>
      </w:r>
      <w:r w:rsidRPr="00DE13EE">
        <w:rPr>
          <w:rFonts w:ascii="Times New Roman" w:hAnsi="Times New Roman" w:cs="Times New Roman"/>
          <w:color w:val="000000" w:themeColor="text1"/>
          <w:sz w:val="24"/>
          <w:szCs w:val="24"/>
          <w:lang w:val="en-US"/>
        </w:rPr>
        <w:t>-statistics</w:t>
      </w:r>
      <w:r w:rsidR="00405942" w:rsidRPr="00DE13EE">
        <w:rPr>
          <w:rFonts w:ascii="Times New Roman" w:hAnsi="Times New Roman" w:cs="Times New Roman"/>
          <w:color w:val="000000" w:themeColor="text1"/>
          <w:sz w:val="24"/>
          <w:szCs w:val="24"/>
          <w:lang w:val="en-US"/>
        </w:rPr>
        <w:t xml:space="preserve"> and</w:t>
      </w:r>
      <w:r w:rsidRPr="00DE13EE">
        <w:rPr>
          <w:rFonts w:ascii="Times New Roman" w:hAnsi="Times New Roman" w:cs="Times New Roman"/>
          <w:color w:val="000000" w:themeColor="text1"/>
          <w:sz w:val="24"/>
          <w:szCs w:val="24"/>
          <w:lang w:val="en-US"/>
        </w:rPr>
        <w:t xml:space="preserve"> </w:t>
      </w:r>
      <w:r w:rsidR="00405942" w:rsidRPr="00DE13EE">
        <w:rPr>
          <w:rFonts w:ascii="Times New Roman" w:hAnsi="Times New Roman" w:cs="Times New Roman"/>
          <w:i/>
          <w:color w:val="000000" w:themeColor="text1"/>
          <w:sz w:val="24"/>
          <w:szCs w:val="24"/>
          <w:lang w:val="en-US"/>
        </w:rPr>
        <w:t>z</w:t>
      </w:r>
      <w:r w:rsidR="00405942" w:rsidRPr="00DE13EE">
        <w:rPr>
          <w:rFonts w:ascii="Times New Roman" w:hAnsi="Times New Roman" w:cs="Times New Roman"/>
          <w:color w:val="000000" w:themeColor="text1"/>
          <w:sz w:val="24"/>
          <w:szCs w:val="24"/>
          <w:lang w:val="en-US"/>
        </w:rPr>
        <w:t xml:space="preserve">-statistics are </w:t>
      </w:r>
      <w:r w:rsidRPr="00DE13EE">
        <w:rPr>
          <w:rFonts w:ascii="Times New Roman" w:hAnsi="Times New Roman" w:cs="Times New Roman"/>
          <w:color w:val="000000" w:themeColor="text1"/>
          <w:sz w:val="24"/>
          <w:szCs w:val="24"/>
          <w:lang w:val="en-US"/>
        </w:rPr>
        <w:t xml:space="preserve">presented in parentheses </w:t>
      </w:r>
      <w:r w:rsidR="00405942" w:rsidRPr="00DE13EE">
        <w:rPr>
          <w:rFonts w:ascii="Times New Roman" w:hAnsi="Times New Roman" w:cs="Times New Roman"/>
          <w:color w:val="000000" w:themeColor="text1"/>
          <w:sz w:val="24"/>
          <w:szCs w:val="24"/>
          <w:lang w:val="en-US"/>
        </w:rPr>
        <w:t xml:space="preserve">for fixed and random effects estimates, </w:t>
      </w:r>
      <w:r w:rsidR="00405942" w:rsidRPr="00DE13EE">
        <w:rPr>
          <w:rFonts w:ascii="Times New Roman" w:hAnsi="Times New Roman" w:cs="Times New Roman"/>
          <w:color w:val="000000" w:themeColor="text1"/>
          <w:sz w:val="24"/>
          <w:szCs w:val="24"/>
          <w:lang w:val="en-US"/>
        </w:rPr>
        <w:lastRenderedPageBreak/>
        <w:t>respectively.</w:t>
      </w:r>
      <w:r w:rsidR="00345E15" w:rsidRPr="00DE13EE">
        <w:rPr>
          <w:rFonts w:ascii="Times New Roman" w:hAnsi="Times New Roman" w:cs="Times New Roman"/>
          <w:color w:val="000000" w:themeColor="text1"/>
          <w:sz w:val="24"/>
          <w:szCs w:val="24"/>
          <w:lang w:val="en-US"/>
        </w:rPr>
        <w:t xml:space="preserve"> </w:t>
      </w:r>
      <w:r w:rsidRPr="00DE13EE">
        <w:rPr>
          <w:rFonts w:ascii="Times New Roman" w:hAnsi="Times New Roman" w:cs="Times New Roman"/>
          <w:color w:val="000000" w:themeColor="text1"/>
          <w:sz w:val="24"/>
          <w:szCs w:val="24"/>
          <w:lang w:val="en-US"/>
        </w:rPr>
        <w:t>The current study finds that the coefficient for firm value (IMadj.TQ</w:t>
      </w:r>
      <w:r w:rsidRPr="00DE13EE">
        <w:rPr>
          <w:rFonts w:ascii="Times New Roman" w:hAnsi="Times New Roman" w:cs="Times New Roman"/>
          <w:color w:val="000000" w:themeColor="text1"/>
          <w:sz w:val="24"/>
          <w:szCs w:val="24"/>
          <w:vertAlign w:val="subscript"/>
          <w:lang w:val="en-US"/>
        </w:rPr>
        <w:t>+3</w:t>
      </w:r>
      <w:r w:rsidRPr="00DE13EE">
        <w:rPr>
          <w:rFonts w:ascii="Times New Roman" w:hAnsi="Times New Roman" w:cs="Times New Roman"/>
          <w:color w:val="000000" w:themeColor="text1"/>
          <w:sz w:val="24"/>
          <w:szCs w:val="24"/>
          <w:lang w:val="en-US"/>
        </w:rPr>
        <w:t>) on forward-looking disclosure score</w:t>
      </w:r>
      <w:r w:rsidR="000979A6" w:rsidRPr="00DE13EE">
        <w:rPr>
          <w:rFonts w:ascii="Times New Roman" w:hAnsi="Times New Roman" w:cs="Times New Roman"/>
          <w:color w:val="000000" w:themeColor="text1"/>
          <w:sz w:val="24"/>
          <w:szCs w:val="24"/>
          <w:lang w:val="en-US"/>
        </w:rPr>
        <w:t>s</w:t>
      </w:r>
      <w:r w:rsidRPr="00DE13EE">
        <w:rPr>
          <w:rFonts w:ascii="Times New Roman" w:hAnsi="Times New Roman" w:cs="Times New Roman"/>
          <w:color w:val="000000" w:themeColor="text1"/>
          <w:sz w:val="24"/>
          <w:szCs w:val="24"/>
          <w:lang w:val="en-US"/>
        </w:rPr>
        <w:t xml:space="preserve"> (FLD</w:t>
      </w:r>
      <w:r w:rsidR="00B03DB5" w:rsidRPr="00DE13EE">
        <w:rPr>
          <w:rFonts w:ascii="Times New Roman" w:hAnsi="Times New Roman" w:cs="Times New Roman"/>
          <w:color w:val="000000" w:themeColor="text1"/>
          <w:sz w:val="24"/>
          <w:szCs w:val="24"/>
          <w:lang w:val="en-US"/>
        </w:rPr>
        <w:t xml:space="preserve"> score</w:t>
      </w:r>
      <w:r w:rsidRPr="00DE13EE">
        <w:rPr>
          <w:rFonts w:ascii="Times New Roman" w:hAnsi="Times New Roman" w:cs="Times New Roman"/>
          <w:color w:val="000000" w:themeColor="text1"/>
          <w:sz w:val="24"/>
          <w:szCs w:val="24"/>
          <w:lang w:val="en-US"/>
        </w:rPr>
        <w:t xml:space="preserve">) is 7.907 in </w:t>
      </w:r>
      <w:r w:rsidR="000979A6" w:rsidRPr="00DE13EE">
        <w:rPr>
          <w:rFonts w:ascii="Times New Roman" w:hAnsi="Times New Roman" w:cs="Times New Roman"/>
          <w:color w:val="000000" w:themeColor="text1"/>
          <w:sz w:val="24"/>
          <w:szCs w:val="24"/>
          <w:lang w:val="en-US"/>
        </w:rPr>
        <w:t xml:space="preserve">the </w:t>
      </w:r>
      <w:r w:rsidR="00A3125A" w:rsidRPr="00DE13EE">
        <w:rPr>
          <w:rFonts w:ascii="Times New Roman" w:hAnsi="Times New Roman" w:cs="Times New Roman"/>
          <w:color w:val="000000" w:themeColor="text1"/>
          <w:sz w:val="24"/>
          <w:szCs w:val="24"/>
          <w:lang w:val="en-US"/>
        </w:rPr>
        <w:t>fixed effect</w:t>
      </w:r>
      <w:r w:rsidRPr="00DE13EE">
        <w:rPr>
          <w:rFonts w:ascii="Times New Roman" w:hAnsi="Times New Roman" w:cs="Times New Roman"/>
          <w:color w:val="000000" w:themeColor="text1"/>
          <w:sz w:val="24"/>
          <w:szCs w:val="24"/>
          <w:lang w:val="en-US"/>
        </w:rPr>
        <w:t xml:space="preserve"> model and is statistically significant at </w:t>
      </w:r>
      <w:r w:rsidR="005009F6" w:rsidRPr="00DE13EE">
        <w:rPr>
          <w:rFonts w:ascii="Times New Roman" w:hAnsi="Times New Roman" w:cs="Times New Roman"/>
          <w:color w:val="000000" w:themeColor="text1"/>
          <w:sz w:val="24"/>
          <w:szCs w:val="24"/>
          <w:lang w:val="en-US"/>
        </w:rPr>
        <w:t xml:space="preserve">a </w:t>
      </w:r>
      <w:r w:rsidRPr="00DE13EE">
        <w:rPr>
          <w:rFonts w:ascii="Times New Roman" w:hAnsi="Times New Roman" w:cs="Times New Roman"/>
          <w:color w:val="000000" w:themeColor="text1"/>
          <w:sz w:val="24"/>
          <w:szCs w:val="24"/>
          <w:lang w:val="en-US"/>
        </w:rPr>
        <w:t>1% level of significance (t = 8.42). In addition, it is 1.792 in the random effect model and is also</w:t>
      </w:r>
      <w:r w:rsidR="00A23CA3" w:rsidRPr="00DE13EE">
        <w:rPr>
          <w:rFonts w:ascii="Times New Roman" w:hAnsi="Times New Roman" w:cs="Times New Roman"/>
          <w:color w:val="000000" w:themeColor="text1"/>
          <w:sz w:val="24"/>
          <w:szCs w:val="24"/>
          <w:lang w:val="en-US"/>
        </w:rPr>
        <w:t xml:space="preserve"> </w:t>
      </w:r>
      <w:r w:rsidRPr="00DE13EE">
        <w:rPr>
          <w:rFonts w:ascii="Times New Roman" w:hAnsi="Times New Roman" w:cs="Times New Roman"/>
          <w:color w:val="000000" w:themeColor="text1"/>
          <w:sz w:val="24"/>
          <w:szCs w:val="24"/>
          <w:lang w:val="en-US"/>
        </w:rPr>
        <w:t xml:space="preserve">significant at 1% level (z = 2.78). This result indicates </w:t>
      </w:r>
      <w:r w:rsidR="00374A68" w:rsidRPr="00DE13EE">
        <w:rPr>
          <w:rFonts w:ascii="Times New Roman" w:hAnsi="Times New Roman" w:cs="Times New Roman"/>
          <w:color w:val="000000" w:themeColor="text1"/>
          <w:sz w:val="24"/>
          <w:szCs w:val="24"/>
          <w:lang w:val="en-US"/>
        </w:rPr>
        <w:t xml:space="preserve">a </w:t>
      </w:r>
      <w:r w:rsidRPr="00DE13EE">
        <w:rPr>
          <w:rFonts w:ascii="Times New Roman" w:hAnsi="Times New Roman" w:cs="Times New Roman"/>
          <w:color w:val="000000" w:themeColor="text1"/>
          <w:sz w:val="24"/>
          <w:szCs w:val="24"/>
          <w:lang w:val="en-US"/>
        </w:rPr>
        <w:t xml:space="preserve">positive association exists between firm value and disclosure of forward-looking information. In other words, the values of UK FTSE all-shares firms are more likely to </w:t>
      </w:r>
      <w:r w:rsidR="000630A8" w:rsidRPr="00DE13EE">
        <w:rPr>
          <w:rFonts w:ascii="Times New Roman" w:hAnsi="Times New Roman" w:cs="Times New Roman"/>
          <w:color w:val="000000" w:themeColor="text1"/>
          <w:sz w:val="24"/>
          <w:szCs w:val="24"/>
          <w:lang w:val="en-US"/>
        </w:rPr>
        <w:t>increase</w:t>
      </w:r>
      <w:r w:rsidRPr="00DE13EE">
        <w:rPr>
          <w:rFonts w:ascii="Times New Roman" w:hAnsi="Times New Roman" w:cs="Times New Roman"/>
          <w:color w:val="000000" w:themeColor="text1"/>
          <w:sz w:val="24"/>
          <w:szCs w:val="24"/>
          <w:lang w:val="en-US"/>
        </w:rPr>
        <w:t xml:space="preserve"> </w:t>
      </w:r>
      <w:r w:rsidR="000630A8" w:rsidRPr="00DE13EE">
        <w:rPr>
          <w:rFonts w:ascii="Times New Roman" w:hAnsi="Times New Roman" w:cs="Times New Roman"/>
          <w:color w:val="000000" w:themeColor="text1"/>
          <w:sz w:val="24"/>
          <w:szCs w:val="24"/>
          <w:lang w:val="en-US"/>
        </w:rPr>
        <w:t>if</w:t>
      </w:r>
      <w:r w:rsidRPr="00DE13EE">
        <w:rPr>
          <w:rFonts w:ascii="Times New Roman" w:hAnsi="Times New Roman" w:cs="Times New Roman"/>
          <w:color w:val="000000" w:themeColor="text1"/>
          <w:sz w:val="24"/>
          <w:szCs w:val="24"/>
          <w:lang w:val="en-US"/>
        </w:rPr>
        <w:t xml:space="preserve"> these firms disclose </w:t>
      </w:r>
      <w:r w:rsidR="00B03DB5" w:rsidRPr="00DE13EE">
        <w:rPr>
          <w:rFonts w:ascii="Times New Roman" w:hAnsi="Times New Roman" w:cs="Times New Roman"/>
          <w:color w:val="000000" w:themeColor="text1"/>
          <w:sz w:val="24"/>
          <w:szCs w:val="24"/>
          <w:lang w:val="en-US"/>
        </w:rPr>
        <w:t xml:space="preserve">more </w:t>
      </w:r>
      <w:r w:rsidRPr="00DE13EE">
        <w:rPr>
          <w:rFonts w:ascii="Times New Roman" w:hAnsi="Times New Roman" w:cs="Times New Roman"/>
          <w:color w:val="000000" w:themeColor="text1"/>
          <w:sz w:val="24"/>
          <w:szCs w:val="24"/>
          <w:lang w:val="en-US"/>
        </w:rPr>
        <w:t xml:space="preserve">forward-looking information in </w:t>
      </w:r>
      <w:r w:rsidR="000630A8" w:rsidRPr="00DE13EE">
        <w:rPr>
          <w:rFonts w:ascii="Times New Roman" w:hAnsi="Times New Roman" w:cs="Times New Roman"/>
          <w:color w:val="000000" w:themeColor="text1"/>
          <w:sz w:val="24"/>
          <w:szCs w:val="24"/>
          <w:lang w:val="en-US"/>
        </w:rPr>
        <w:t xml:space="preserve">the </w:t>
      </w:r>
      <w:r w:rsidRPr="00DE13EE">
        <w:rPr>
          <w:rFonts w:ascii="Times New Roman" w:hAnsi="Times New Roman" w:cs="Times New Roman"/>
          <w:color w:val="000000" w:themeColor="text1"/>
          <w:sz w:val="24"/>
          <w:szCs w:val="24"/>
          <w:lang w:val="en-US"/>
        </w:rPr>
        <w:t xml:space="preserve">narrative sections of </w:t>
      </w:r>
      <w:r w:rsidR="000630A8" w:rsidRPr="00DE13EE">
        <w:rPr>
          <w:rFonts w:ascii="Times New Roman" w:hAnsi="Times New Roman" w:cs="Times New Roman"/>
          <w:color w:val="000000" w:themeColor="text1"/>
          <w:sz w:val="24"/>
          <w:szCs w:val="24"/>
          <w:lang w:val="en-US"/>
        </w:rPr>
        <w:t xml:space="preserve">their </w:t>
      </w:r>
      <w:r w:rsidRPr="00DE13EE">
        <w:rPr>
          <w:rFonts w:ascii="Times New Roman" w:hAnsi="Times New Roman" w:cs="Times New Roman"/>
          <w:color w:val="000000" w:themeColor="text1"/>
          <w:sz w:val="24"/>
          <w:szCs w:val="24"/>
          <w:lang w:val="en-US"/>
        </w:rPr>
        <w:t>annual reports. Therefore, H1 is accepted.</w:t>
      </w:r>
      <w:r w:rsidR="001D1EC5" w:rsidRPr="00DE13EE">
        <w:rPr>
          <w:rFonts w:ascii="Times New Roman" w:hAnsi="Times New Roman" w:cs="Times New Roman"/>
          <w:color w:val="000000" w:themeColor="text1"/>
          <w:sz w:val="24"/>
          <w:szCs w:val="24"/>
          <w:lang w:val="en-US"/>
        </w:rPr>
        <w:t xml:space="preserve"> </w:t>
      </w:r>
      <w:r w:rsidRPr="00DE13EE">
        <w:rPr>
          <w:rFonts w:ascii="Times New Roman" w:hAnsi="Times New Roman" w:cs="Times New Roman"/>
          <w:color w:val="000000" w:themeColor="text1"/>
          <w:sz w:val="24"/>
          <w:szCs w:val="24"/>
          <w:lang w:val="en-US"/>
        </w:rPr>
        <w:t>However, the result is more</w:t>
      </w:r>
      <w:r w:rsidR="00DF7EDF" w:rsidRPr="00DE13EE">
        <w:rPr>
          <w:rFonts w:ascii="Times New Roman" w:hAnsi="Times New Roman" w:cs="Times New Roman"/>
          <w:color w:val="000000" w:themeColor="text1"/>
          <w:sz w:val="24"/>
          <w:szCs w:val="24"/>
          <w:lang w:val="en-US"/>
        </w:rPr>
        <w:t xml:space="preserve"> positive and</w:t>
      </w:r>
      <w:r w:rsidRPr="00DE13EE">
        <w:rPr>
          <w:rFonts w:ascii="Times New Roman" w:hAnsi="Times New Roman" w:cs="Times New Roman"/>
          <w:color w:val="000000" w:themeColor="text1"/>
          <w:sz w:val="24"/>
          <w:szCs w:val="24"/>
          <w:lang w:val="en-US"/>
        </w:rPr>
        <w:t xml:space="preserve"> significant under</w:t>
      </w:r>
      <w:r w:rsidR="000630A8" w:rsidRPr="00DE13EE">
        <w:rPr>
          <w:rFonts w:ascii="Times New Roman" w:hAnsi="Times New Roman" w:cs="Times New Roman"/>
          <w:color w:val="000000" w:themeColor="text1"/>
          <w:sz w:val="24"/>
          <w:szCs w:val="24"/>
          <w:lang w:val="en-US"/>
        </w:rPr>
        <w:t xml:space="preserve"> the</w:t>
      </w:r>
      <w:r w:rsidRPr="00DE13EE">
        <w:rPr>
          <w:rFonts w:ascii="Times New Roman" w:hAnsi="Times New Roman" w:cs="Times New Roman"/>
          <w:color w:val="000000" w:themeColor="text1"/>
          <w:sz w:val="24"/>
          <w:szCs w:val="24"/>
          <w:lang w:val="en-US"/>
        </w:rPr>
        <w:t xml:space="preserve"> </w:t>
      </w:r>
      <w:r w:rsidR="00B03DB5" w:rsidRPr="00DE13EE">
        <w:rPr>
          <w:rFonts w:ascii="Times New Roman" w:hAnsi="Times New Roman" w:cs="Times New Roman"/>
          <w:color w:val="000000" w:themeColor="text1"/>
          <w:sz w:val="24"/>
          <w:szCs w:val="24"/>
          <w:lang w:val="en-US"/>
        </w:rPr>
        <w:t>fixed effect</w:t>
      </w:r>
      <w:r w:rsidRPr="00DE13EE">
        <w:rPr>
          <w:rFonts w:ascii="Times New Roman" w:hAnsi="Times New Roman" w:cs="Times New Roman"/>
          <w:color w:val="000000" w:themeColor="text1"/>
          <w:sz w:val="24"/>
          <w:szCs w:val="24"/>
          <w:lang w:val="en-US"/>
        </w:rPr>
        <w:t xml:space="preserve"> model (t = 8.42) than under the random effect panel regression model (z = 2.78). This may be because panel regression model captures some </w:t>
      </w:r>
      <w:r w:rsidR="00DF7EDF" w:rsidRPr="00DE13EE">
        <w:rPr>
          <w:rFonts w:ascii="Times New Roman" w:hAnsi="Times New Roman" w:cs="Times New Roman"/>
          <w:color w:val="000000" w:themeColor="text1"/>
          <w:sz w:val="24"/>
          <w:szCs w:val="24"/>
          <w:lang w:val="en-US"/>
        </w:rPr>
        <w:t>of the within</w:t>
      </w:r>
      <w:r w:rsidR="00DD172E" w:rsidRPr="00DE13EE">
        <w:rPr>
          <w:rFonts w:ascii="Times New Roman" w:hAnsi="Times New Roman" w:cs="Times New Roman"/>
          <w:color w:val="000000" w:themeColor="text1"/>
          <w:sz w:val="24"/>
          <w:szCs w:val="24"/>
          <w:lang w:val="en-US"/>
        </w:rPr>
        <w:t>-</w:t>
      </w:r>
      <w:r w:rsidRPr="00DE13EE">
        <w:rPr>
          <w:rFonts w:ascii="Times New Roman" w:hAnsi="Times New Roman" w:cs="Times New Roman"/>
          <w:color w:val="000000" w:themeColor="text1"/>
          <w:sz w:val="24"/>
          <w:szCs w:val="24"/>
          <w:lang w:val="en-US"/>
        </w:rPr>
        <w:t xml:space="preserve">firm effects that are not explained under the </w:t>
      </w:r>
      <w:r w:rsidR="00B03DB5" w:rsidRPr="00DE13EE">
        <w:rPr>
          <w:rFonts w:ascii="Times New Roman" w:hAnsi="Times New Roman" w:cs="Times New Roman"/>
          <w:color w:val="000000" w:themeColor="text1"/>
          <w:sz w:val="24"/>
          <w:szCs w:val="24"/>
          <w:lang w:val="en-US"/>
        </w:rPr>
        <w:t xml:space="preserve">fixed effect </w:t>
      </w:r>
      <w:r w:rsidRPr="00DE13EE">
        <w:rPr>
          <w:rFonts w:ascii="Times New Roman" w:hAnsi="Times New Roman" w:cs="Times New Roman"/>
          <w:color w:val="000000" w:themeColor="text1"/>
          <w:sz w:val="24"/>
          <w:szCs w:val="24"/>
          <w:lang w:val="en-US"/>
        </w:rPr>
        <w:t>model.</w:t>
      </w:r>
      <w:r w:rsidR="001D1EC5" w:rsidRPr="00DE13EE">
        <w:rPr>
          <w:rFonts w:ascii="Times New Roman" w:hAnsi="Times New Roman" w:cs="Times New Roman"/>
          <w:color w:val="000000" w:themeColor="text1"/>
          <w:sz w:val="24"/>
          <w:szCs w:val="24"/>
          <w:lang w:val="en-US"/>
        </w:rPr>
        <w:t xml:space="preserve"> </w:t>
      </w:r>
    </w:p>
    <w:p w14:paraId="1E48EB72" w14:textId="6EB49A9E" w:rsidR="00812C9C" w:rsidRPr="00DE13EE" w:rsidRDefault="00812C9C" w:rsidP="00B93D4F">
      <w:pPr>
        <w:spacing w:line="360" w:lineRule="auto"/>
        <w:jc w:val="both"/>
        <w:rPr>
          <w:rFonts w:ascii="Times New Roman" w:hAnsi="Times New Roman" w:cs="Times New Roman"/>
          <w:color w:val="000000" w:themeColor="text1"/>
          <w:sz w:val="24"/>
          <w:szCs w:val="24"/>
          <w:lang w:val="en-US"/>
        </w:rPr>
      </w:pPr>
      <w:r w:rsidRPr="00DE13EE">
        <w:rPr>
          <w:rFonts w:ascii="Times New Roman" w:hAnsi="Times New Roman" w:cs="Times New Roman"/>
          <w:color w:val="000000" w:themeColor="text1"/>
          <w:sz w:val="24"/>
          <w:szCs w:val="24"/>
          <w:lang w:val="en-US"/>
        </w:rPr>
        <w:t xml:space="preserve">This result is consistent with the </w:t>
      </w:r>
      <w:r w:rsidR="00725A81" w:rsidRPr="00DE13EE">
        <w:rPr>
          <w:rFonts w:ascii="Times New Roman" w:hAnsi="Times New Roman" w:cs="Times New Roman"/>
          <w:color w:val="000000" w:themeColor="text1"/>
          <w:sz w:val="24"/>
          <w:szCs w:val="24"/>
          <w:lang w:val="en-US"/>
        </w:rPr>
        <w:t xml:space="preserve">theoretical expectations of the </w:t>
      </w:r>
      <w:r w:rsidRPr="00DE13EE">
        <w:rPr>
          <w:rFonts w:ascii="Times New Roman" w:hAnsi="Times New Roman" w:cs="Times New Roman"/>
          <w:color w:val="000000" w:themeColor="text1"/>
          <w:sz w:val="24"/>
          <w:szCs w:val="24"/>
          <w:lang w:val="en-US"/>
        </w:rPr>
        <w:t>current study</w:t>
      </w:r>
      <w:r w:rsidR="00241CD0" w:rsidRPr="00DE13EE">
        <w:rPr>
          <w:rFonts w:ascii="Times New Roman" w:hAnsi="Times New Roman" w:cs="Times New Roman"/>
          <w:color w:val="000000" w:themeColor="text1"/>
          <w:sz w:val="24"/>
          <w:szCs w:val="24"/>
          <w:lang w:val="en-US"/>
        </w:rPr>
        <w:t xml:space="preserve"> </w:t>
      </w:r>
      <w:r w:rsidR="00DF7EDF" w:rsidRPr="00DE13EE">
        <w:rPr>
          <w:rFonts w:ascii="Times New Roman" w:hAnsi="Times New Roman" w:cs="Times New Roman"/>
          <w:color w:val="000000" w:themeColor="text1"/>
          <w:sz w:val="24"/>
          <w:szCs w:val="24"/>
          <w:lang w:val="en-US"/>
        </w:rPr>
        <w:t xml:space="preserve">that investor’s decision to buy or hold a firm’s financial securities depends on his or her expectations regarding its future cash flows and/or its returns. These expectations are based on </w:t>
      </w:r>
      <w:r w:rsidR="00B2543F" w:rsidRPr="00DE13EE">
        <w:rPr>
          <w:rFonts w:ascii="Times New Roman" w:hAnsi="Times New Roman" w:cs="Times New Roman"/>
          <w:color w:val="000000" w:themeColor="text1"/>
          <w:sz w:val="24"/>
          <w:szCs w:val="24"/>
          <w:lang w:val="en-US"/>
        </w:rPr>
        <w:t>the use of</w:t>
      </w:r>
      <w:r w:rsidR="00DF7EDF" w:rsidRPr="00DE13EE">
        <w:rPr>
          <w:rFonts w:ascii="Times New Roman" w:hAnsi="Times New Roman" w:cs="Times New Roman"/>
          <w:color w:val="000000" w:themeColor="text1"/>
          <w:sz w:val="24"/>
          <w:szCs w:val="24"/>
          <w:lang w:val="en-US"/>
        </w:rPr>
        <w:t xml:space="preserve"> all available information. Forward-looking disclosures may help investors determine their expectations about a firm’s future cash flows and/or its returns, which affects the value of the firm. Furthermore, information reduces liquidity costs, increasing stock liquidity and therefore reducing the rate of return required by investors to invest in a firm’s shares. This too affects the value of a firm. </w:t>
      </w:r>
      <w:r w:rsidR="00345E15" w:rsidRPr="00DE13EE">
        <w:rPr>
          <w:rFonts w:ascii="Times New Roman" w:hAnsi="Times New Roman" w:cs="Times New Roman"/>
          <w:color w:val="000000" w:themeColor="text1"/>
          <w:sz w:val="24"/>
          <w:szCs w:val="24"/>
          <w:lang w:val="en-US"/>
        </w:rPr>
        <w:t>In addition, i</w:t>
      </w:r>
      <w:r w:rsidR="00DF7EDF" w:rsidRPr="00DE13EE">
        <w:rPr>
          <w:rFonts w:ascii="Times New Roman" w:hAnsi="Times New Roman" w:cs="Times New Roman"/>
          <w:color w:val="000000" w:themeColor="text1"/>
          <w:sz w:val="24"/>
          <w:szCs w:val="24"/>
          <w:lang w:val="en-US"/>
        </w:rPr>
        <w:t>t is</w:t>
      </w:r>
      <w:r w:rsidR="00345E15" w:rsidRPr="00DE13EE">
        <w:rPr>
          <w:rFonts w:ascii="Times New Roman" w:hAnsi="Times New Roman" w:cs="Times New Roman"/>
          <w:color w:val="000000" w:themeColor="text1"/>
          <w:sz w:val="24"/>
          <w:szCs w:val="24"/>
          <w:lang w:val="en-US"/>
        </w:rPr>
        <w:t xml:space="preserve"> </w:t>
      </w:r>
      <w:r w:rsidR="000A6D66" w:rsidRPr="00DE13EE">
        <w:rPr>
          <w:rFonts w:ascii="Times New Roman" w:hAnsi="Times New Roman" w:cs="Times New Roman"/>
          <w:color w:val="000000" w:themeColor="text1"/>
          <w:sz w:val="24"/>
          <w:szCs w:val="24"/>
          <w:lang w:val="en-US"/>
        </w:rPr>
        <w:t>consistent</w:t>
      </w:r>
      <w:r w:rsidR="00DF7EDF" w:rsidRPr="00DE13EE">
        <w:rPr>
          <w:rFonts w:ascii="Times New Roman" w:hAnsi="Times New Roman" w:cs="Times New Roman"/>
          <w:color w:val="000000" w:themeColor="text1"/>
          <w:sz w:val="24"/>
          <w:szCs w:val="24"/>
          <w:lang w:val="en-US"/>
        </w:rPr>
        <w:t xml:space="preserve"> with the expectation of the agency theory </w:t>
      </w:r>
      <w:r w:rsidR="000A6D66" w:rsidRPr="00DE13EE">
        <w:rPr>
          <w:rFonts w:ascii="Times New Roman" w:hAnsi="Times New Roman" w:cs="Times New Roman"/>
          <w:color w:val="000000" w:themeColor="text1"/>
          <w:sz w:val="24"/>
          <w:szCs w:val="24"/>
          <w:lang w:val="en-US"/>
        </w:rPr>
        <w:t>that disclosure</w:t>
      </w:r>
      <w:r w:rsidRPr="00DE13EE">
        <w:rPr>
          <w:rFonts w:ascii="Times New Roman" w:hAnsi="Times New Roman" w:cs="Times New Roman"/>
          <w:color w:val="000000" w:themeColor="text1"/>
          <w:sz w:val="24"/>
          <w:szCs w:val="24"/>
          <w:lang w:val="en-US"/>
        </w:rPr>
        <w:t xml:space="preserve"> of forward-</w:t>
      </w:r>
      <w:r w:rsidR="00DD172E" w:rsidRPr="00DE13EE">
        <w:rPr>
          <w:rFonts w:ascii="Times New Roman" w:hAnsi="Times New Roman" w:cs="Times New Roman"/>
          <w:color w:val="000000" w:themeColor="text1"/>
          <w:sz w:val="24"/>
          <w:szCs w:val="24"/>
          <w:lang w:val="en-US"/>
        </w:rPr>
        <w:t>l</w:t>
      </w:r>
      <w:r w:rsidRPr="00DE13EE">
        <w:rPr>
          <w:rFonts w:ascii="Times New Roman" w:hAnsi="Times New Roman" w:cs="Times New Roman"/>
          <w:color w:val="000000" w:themeColor="text1"/>
          <w:sz w:val="24"/>
          <w:szCs w:val="24"/>
          <w:lang w:val="en-US"/>
        </w:rPr>
        <w:t>ooking information decreases the information asymmetry between management and investors. This, in turn, reduces uncertainty surrounding firm’s future performance</w:t>
      </w:r>
      <w:r w:rsidR="00725A81" w:rsidRPr="00DE13EE">
        <w:rPr>
          <w:rFonts w:ascii="Times New Roman" w:hAnsi="Times New Roman" w:cs="Times New Roman"/>
          <w:color w:val="000000" w:themeColor="text1"/>
          <w:sz w:val="24"/>
          <w:szCs w:val="24"/>
          <w:lang w:val="en-US"/>
        </w:rPr>
        <w:t xml:space="preserve">, </w:t>
      </w:r>
      <w:r w:rsidRPr="00DE13EE">
        <w:rPr>
          <w:rFonts w:ascii="Times New Roman" w:hAnsi="Times New Roman" w:cs="Times New Roman"/>
          <w:color w:val="000000" w:themeColor="text1"/>
          <w:sz w:val="24"/>
          <w:szCs w:val="24"/>
          <w:lang w:val="en-US"/>
        </w:rPr>
        <w:t>which</w:t>
      </w:r>
      <w:r w:rsidR="00725A81" w:rsidRPr="00DE13EE">
        <w:rPr>
          <w:rFonts w:ascii="Times New Roman" w:hAnsi="Times New Roman" w:cs="Times New Roman"/>
          <w:color w:val="000000" w:themeColor="text1"/>
          <w:sz w:val="24"/>
          <w:szCs w:val="24"/>
          <w:lang w:val="en-US"/>
        </w:rPr>
        <w:t xml:space="preserve"> </w:t>
      </w:r>
      <w:r w:rsidRPr="00DE13EE">
        <w:rPr>
          <w:rFonts w:ascii="Times New Roman" w:hAnsi="Times New Roman" w:cs="Times New Roman"/>
          <w:color w:val="000000" w:themeColor="text1"/>
          <w:sz w:val="24"/>
          <w:szCs w:val="24"/>
          <w:lang w:val="en-US"/>
        </w:rPr>
        <w:t>affects its share price and, consequently, its value. In addition, forward-looking information may reduce the private benefits that controlling shareholders and management might get from controlling the firm</w:t>
      </w:r>
      <w:r w:rsidR="00DF626F" w:rsidRPr="00DE13EE">
        <w:rPr>
          <w:rFonts w:ascii="Times New Roman" w:hAnsi="Times New Roman" w:cs="Times New Roman"/>
          <w:color w:val="000000" w:themeColor="text1"/>
          <w:sz w:val="24"/>
          <w:szCs w:val="24"/>
          <w:lang w:val="en-US"/>
        </w:rPr>
        <w:t xml:space="preserve">; this increases </w:t>
      </w:r>
      <w:r w:rsidRPr="00DE13EE">
        <w:rPr>
          <w:rFonts w:ascii="Times New Roman" w:hAnsi="Times New Roman" w:cs="Times New Roman"/>
          <w:color w:val="000000" w:themeColor="text1"/>
          <w:sz w:val="24"/>
          <w:szCs w:val="24"/>
          <w:lang w:val="en-US"/>
        </w:rPr>
        <w:t xml:space="preserve">the expected cash flow to shareholders and, consequently, </w:t>
      </w:r>
      <w:r w:rsidR="00DF626F" w:rsidRPr="00DE13EE">
        <w:rPr>
          <w:rFonts w:ascii="Times New Roman" w:hAnsi="Times New Roman" w:cs="Times New Roman"/>
          <w:color w:val="000000" w:themeColor="text1"/>
          <w:sz w:val="24"/>
          <w:szCs w:val="24"/>
          <w:lang w:val="en-US"/>
        </w:rPr>
        <w:t xml:space="preserve">the </w:t>
      </w:r>
      <w:r w:rsidRPr="00DE13EE">
        <w:rPr>
          <w:rFonts w:ascii="Times New Roman" w:hAnsi="Times New Roman" w:cs="Times New Roman"/>
          <w:color w:val="000000" w:themeColor="text1"/>
          <w:sz w:val="24"/>
          <w:szCs w:val="24"/>
          <w:lang w:val="en-US"/>
        </w:rPr>
        <w:t>firm’</w:t>
      </w:r>
      <w:r w:rsidR="00DF626F" w:rsidRPr="00DE13EE">
        <w:rPr>
          <w:rFonts w:ascii="Times New Roman" w:hAnsi="Times New Roman" w:cs="Times New Roman"/>
          <w:color w:val="000000" w:themeColor="text1"/>
          <w:sz w:val="24"/>
          <w:szCs w:val="24"/>
          <w:lang w:val="en-US"/>
        </w:rPr>
        <w:t>s</w:t>
      </w:r>
      <w:r w:rsidRPr="00DE13EE">
        <w:rPr>
          <w:rFonts w:ascii="Times New Roman" w:hAnsi="Times New Roman" w:cs="Times New Roman"/>
          <w:color w:val="000000" w:themeColor="text1"/>
          <w:sz w:val="24"/>
          <w:szCs w:val="24"/>
          <w:lang w:val="en-US"/>
        </w:rPr>
        <w:t xml:space="preserve"> value. </w:t>
      </w:r>
      <w:r w:rsidR="00241CD0" w:rsidRPr="00DE13EE">
        <w:rPr>
          <w:rFonts w:ascii="Times New Roman" w:hAnsi="Times New Roman" w:cs="Times New Roman"/>
          <w:color w:val="000000" w:themeColor="text1"/>
          <w:sz w:val="24"/>
          <w:szCs w:val="24"/>
          <w:lang w:val="en-US"/>
        </w:rPr>
        <w:t xml:space="preserve">The </w:t>
      </w:r>
      <w:r w:rsidRPr="00DE13EE">
        <w:rPr>
          <w:rFonts w:ascii="Times New Roman" w:hAnsi="Times New Roman" w:cs="Times New Roman"/>
          <w:color w:val="000000" w:themeColor="text1"/>
          <w:sz w:val="24"/>
          <w:szCs w:val="24"/>
          <w:lang w:val="en-US"/>
        </w:rPr>
        <w:t>results are</w:t>
      </w:r>
      <w:r w:rsidR="00E625C7" w:rsidRPr="00DE13EE">
        <w:rPr>
          <w:rFonts w:ascii="Times New Roman" w:hAnsi="Times New Roman" w:cs="Times New Roman"/>
          <w:color w:val="000000" w:themeColor="text1"/>
          <w:sz w:val="24"/>
          <w:szCs w:val="24"/>
          <w:lang w:val="en-US"/>
        </w:rPr>
        <w:t>,</w:t>
      </w:r>
      <w:r w:rsidRPr="00DE13EE">
        <w:rPr>
          <w:rFonts w:ascii="Times New Roman" w:hAnsi="Times New Roman" w:cs="Times New Roman"/>
          <w:color w:val="000000" w:themeColor="text1"/>
          <w:sz w:val="24"/>
          <w:szCs w:val="24"/>
          <w:lang w:val="en-US"/>
        </w:rPr>
        <w:t xml:space="preserve"> also</w:t>
      </w:r>
      <w:r w:rsidR="00E625C7" w:rsidRPr="00DE13EE">
        <w:rPr>
          <w:rFonts w:ascii="Times New Roman" w:hAnsi="Times New Roman" w:cs="Times New Roman"/>
          <w:color w:val="000000" w:themeColor="text1"/>
          <w:sz w:val="24"/>
          <w:szCs w:val="24"/>
          <w:lang w:val="en-US"/>
        </w:rPr>
        <w:t>,</w:t>
      </w:r>
      <w:r w:rsidRPr="00DE13EE">
        <w:rPr>
          <w:rFonts w:ascii="Times New Roman" w:hAnsi="Times New Roman" w:cs="Times New Roman"/>
          <w:color w:val="000000" w:themeColor="text1"/>
          <w:sz w:val="24"/>
          <w:szCs w:val="24"/>
          <w:lang w:val="en-US"/>
        </w:rPr>
        <w:t xml:space="preserve"> consistent with prior research (e.g., Patel et al. 2002; Elzahar et al. 2015) </w:t>
      </w:r>
      <w:r w:rsidR="002B6BE3" w:rsidRPr="00DE13EE">
        <w:rPr>
          <w:rFonts w:ascii="Times New Roman" w:hAnsi="Times New Roman" w:cs="Times New Roman"/>
          <w:color w:val="000000" w:themeColor="text1"/>
          <w:sz w:val="24"/>
          <w:szCs w:val="24"/>
          <w:lang w:val="en-US"/>
        </w:rPr>
        <w:t>that argues</w:t>
      </w:r>
      <w:r w:rsidRPr="00DE13EE">
        <w:rPr>
          <w:rFonts w:ascii="Times New Roman" w:hAnsi="Times New Roman" w:cs="Times New Roman"/>
          <w:color w:val="000000" w:themeColor="text1"/>
          <w:sz w:val="24"/>
          <w:szCs w:val="24"/>
          <w:lang w:val="en-US"/>
        </w:rPr>
        <w:t xml:space="preserve"> that voluntary disclosure adds </w:t>
      </w:r>
      <w:r w:rsidR="00E625C7" w:rsidRPr="00DE13EE">
        <w:rPr>
          <w:rFonts w:ascii="Times New Roman" w:hAnsi="Times New Roman" w:cs="Times New Roman"/>
          <w:color w:val="000000" w:themeColor="text1"/>
          <w:sz w:val="24"/>
          <w:szCs w:val="24"/>
          <w:lang w:val="en-US"/>
        </w:rPr>
        <w:t xml:space="preserve">directly </w:t>
      </w:r>
      <w:r w:rsidRPr="00DE13EE">
        <w:rPr>
          <w:rFonts w:ascii="Times New Roman" w:hAnsi="Times New Roman" w:cs="Times New Roman"/>
          <w:color w:val="000000" w:themeColor="text1"/>
          <w:sz w:val="24"/>
          <w:szCs w:val="24"/>
          <w:lang w:val="en-US"/>
        </w:rPr>
        <w:t xml:space="preserve">to </w:t>
      </w:r>
      <w:r w:rsidR="002B6BE3" w:rsidRPr="00DE13EE">
        <w:rPr>
          <w:rFonts w:ascii="Times New Roman" w:hAnsi="Times New Roman" w:cs="Times New Roman"/>
          <w:color w:val="000000" w:themeColor="text1"/>
          <w:sz w:val="24"/>
          <w:szCs w:val="24"/>
          <w:lang w:val="en-US"/>
        </w:rPr>
        <w:t xml:space="preserve">the </w:t>
      </w:r>
      <w:r w:rsidRPr="00DE13EE">
        <w:rPr>
          <w:rFonts w:ascii="Times New Roman" w:hAnsi="Times New Roman" w:cs="Times New Roman"/>
          <w:color w:val="000000" w:themeColor="text1"/>
          <w:sz w:val="24"/>
          <w:szCs w:val="24"/>
          <w:lang w:val="en-US"/>
        </w:rPr>
        <w:t xml:space="preserve">value of </w:t>
      </w:r>
      <w:r w:rsidR="002B6BE3" w:rsidRPr="00DE13EE">
        <w:rPr>
          <w:rFonts w:ascii="Times New Roman" w:hAnsi="Times New Roman" w:cs="Times New Roman"/>
          <w:color w:val="000000" w:themeColor="text1"/>
          <w:sz w:val="24"/>
          <w:szCs w:val="24"/>
          <w:lang w:val="en-US"/>
        </w:rPr>
        <w:t>a firm</w:t>
      </w:r>
      <w:r w:rsidRPr="00DE13EE">
        <w:rPr>
          <w:rFonts w:ascii="Times New Roman" w:hAnsi="Times New Roman" w:cs="Times New Roman"/>
          <w:color w:val="000000" w:themeColor="text1"/>
          <w:sz w:val="24"/>
          <w:szCs w:val="24"/>
          <w:lang w:val="en-US"/>
        </w:rPr>
        <w:t xml:space="preserve">. </w:t>
      </w:r>
      <w:r w:rsidR="00E625C7" w:rsidRPr="00DE13EE">
        <w:rPr>
          <w:rFonts w:ascii="Times New Roman" w:hAnsi="Times New Roman" w:cs="Times New Roman"/>
          <w:color w:val="000000" w:themeColor="text1"/>
          <w:sz w:val="24"/>
          <w:szCs w:val="24"/>
          <w:lang w:val="en-US"/>
        </w:rPr>
        <w:t xml:space="preserve">In addition, the results go in line with prior studies which suggest positive association between voluntary disclosure and firm value after documenting negative association between voluntary disclosure and </w:t>
      </w:r>
      <w:r w:rsidR="00AB6C97" w:rsidRPr="00DE13EE">
        <w:rPr>
          <w:rFonts w:ascii="Times New Roman" w:hAnsi="Times New Roman" w:cs="Times New Roman"/>
          <w:color w:val="000000" w:themeColor="text1"/>
          <w:sz w:val="24"/>
          <w:szCs w:val="24"/>
          <w:lang w:val="en-US"/>
        </w:rPr>
        <w:t xml:space="preserve">the </w:t>
      </w:r>
      <w:r w:rsidR="00E625C7" w:rsidRPr="00DE13EE">
        <w:rPr>
          <w:rFonts w:ascii="Times New Roman" w:hAnsi="Times New Roman" w:cs="Times New Roman"/>
          <w:color w:val="000000" w:themeColor="text1"/>
          <w:sz w:val="24"/>
          <w:szCs w:val="24"/>
          <w:lang w:val="en-US"/>
        </w:rPr>
        <w:t xml:space="preserve">cost of capital (e.g., </w:t>
      </w:r>
      <w:r w:rsidR="00BE63FB" w:rsidRPr="00DE13EE">
        <w:rPr>
          <w:rFonts w:ascii="Times New Roman" w:hAnsi="Times New Roman" w:cs="Times New Roman"/>
          <w:color w:val="000000" w:themeColor="text1"/>
          <w:sz w:val="24"/>
          <w:szCs w:val="24"/>
          <w:lang w:val="en-US"/>
        </w:rPr>
        <w:t xml:space="preserve">Zhang </w:t>
      </w:r>
      <w:r w:rsidR="00120412" w:rsidRPr="00DE13EE">
        <w:rPr>
          <w:rFonts w:ascii="Times New Roman" w:hAnsi="Times New Roman" w:cs="Times New Roman"/>
          <w:color w:val="000000" w:themeColor="text1"/>
          <w:sz w:val="24"/>
          <w:szCs w:val="24"/>
          <w:lang w:val="en-US"/>
        </w:rPr>
        <w:t xml:space="preserve">and </w:t>
      </w:r>
      <w:r w:rsidR="00BE63FB" w:rsidRPr="00DE13EE">
        <w:rPr>
          <w:rFonts w:ascii="Times New Roman" w:hAnsi="Times New Roman" w:cs="Times New Roman"/>
          <w:color w:val="000000" w:themeColor="text1"/>
          <w:sz w:val="24"/>
          <w:szCs w:val="24"/>
          <w:lang w:val="en-US"/>
        </w:rPr>
        <w:t>Ding 2006;</w:t>
      </w:r>
      <w:r w:rsidR="00095FE1" w:rsidRPr="00DE13EE">
        <w:rPr>
          <w:rFonts w:ascii="Times New Roman" w:hAnsi="Times New Roman" w:cs="Times New Roman"/>
          <w:color w:val="000000" w:themeColor="text1"/>
          <w:sz w:val="24"/>
          <w:szCs w:val="24"/>
          <w:lang w:val="en-US"/>
        </w:rPr>
        <w:t xml:space="preserve"> </w:t>
      </w:r>
      <w:r w:rsidR="00D74FD0" w:rsidRPr="00DE13EE">
        <w:rPr>
          <w:rFonts w:ascii="Times New Roman" w:hAnsi="Times New Roman" w:cs="Times New Roman"/>
          <w:color w:val="000000" w:themeColor="text1"/>
          <w:sz w:val="24"/>
          <w:szCs w:val="24"/>
          <w:lang w:val="en-US"/>
        </w:rPr>
        <w:t xml:space="preserve">Dhaliwal et al. </w:t>
      </w:r>
      <w:r w:rsidR="00E625C7" w:rsidRPr="00DE13EE">
        <w:rPr>
          <w:rFonts w:ascii="Times New Roman" w:hAnsi="Times New Roman" w:cs="Times New Roman"/>
          <w:color w:val="000000" w:themeColor="text1"/>
          <w:sz w:val="24"/>
          <w:szCs w:val="24"/>
          <w:lang w:val="en-US"/>
        </w:rPr>
        <w:t xml:space="preserve">2011; </w:t>
      </w:r>
      <w:r w:rsidR="00D74FD0" w:rsidRPr="00DE13EE">
        <w:rPr>
          <w:rFonts w:ascii="Times New Roman" w:hAnsi="Times New Roman" w:cs="Times New Roman"/>
          <w:color w:val="000000" w:themeColor="text1"/>
          <w:sz w:val="24"/>
          <w:szCs w:val="24"/>
          <w:lang w:val="en-US"/>
        </w:rPr>
        <w:t xml:space="preserve">Barth et al. </w:t>
      </w:r>
      <w:r w:rsidR="00E625C7" w:rsidRPr="00DE13EE">
        <w:rPr>
          <w:rFonts w:ascii="Times New Roman" w:hAnsi="Times New Roman" w:cs="Times New Roman"/>
          <w:color w:val="000000" w:themeColor="text1"/>
          <w:sz w:val="24"/>
          <w:szCs w:val="24"/>
          <w:lang w:val="en-US"/>
        </w:rPr>
        <w:t>2</w:t>
      </w:r>
      <w:r w:rsidR="00D74FD0" w:rsidRPr="00DE13EE">
        <w:rPr>
          <w:rFonts w:ascii="Times New Roman" w:hAnsi="Times New Roman" w:cs="Times New Roman"/>
          <w:color w:val="000000" w:themeColor="text1"/>
          <w:sz w:val="24"/>
          <w:szCs w:val="24"/>
          <w:lang w:val="en-US"/>
        </w:rPr>
        <w:t xml:space="preserve">013; </w:t>
      </w:r>
      <w:r w:rsidR="0023598B" w:rsidRPr="00DE13EE">
        <w:rPr>
          <w:rFonts w:ascii="Times New Roman" w:hAnsi="Times New Roman" w:cs="Times New Roman"/>
          <w:color w:val="000000" w:themeColor="text1"/>
          <w:sz w:val="24"/>
          <w:szCs w:val="24"/>
          <w:lang w:val="en-US"/>
        </w:rPr>
        <w:t xml:space="preserve">Plumlee et al. 2015; </w:t>
      </w:r>
      <w:r w:rsidR="00D74FD0" w:rsidRPr="00DE13EE">
        <w:rPr>
          <w:rFonts w:ascii="Times New Roman" w:hAnsi="Times New Roman" w:cs="Times New Roman"/>
          <w:color w:val="000000" w:themeColor="text1"/>
          <w:sz w:val="24"/>
          <w:szCs w:val="24"/>
          <w:lang w:val="en-US"/>
        </w:rPr>
        <w:t xml:space="preserve">Mangena et al. </w:t>
      </w:r>
      <w:r w:rsidR="00E625C7" w:rsidRPr="00DE13EE">
        <w:rPr>
          <w:rFonts w:ascii="Times New Roman" w:hAnsi="Times New Roman" w:cs="Times New Roman"/>
          <w:color w:val="000000" w:themeColor="text1"/>
          <w:sz w:val="24"/>
          <w:szCs w:val="24"/>
          <w:lang w:val="en-US"/>
        </w:rPr>
        <w:t xml:space="preserve">2016). </w:t>
      </w:r>
    </w:p>
    <w:p w14:paraId="33472ECF" w14:textId="1E33D1DA" w:rsidR="00812C9C" w:rsidRPr="00DE13EE" w:rsidRDefault="00812C9C" w:rsidP="00B93D4F">
      <w:pPr>
        <w:spacing w:line="360" w:lineRule="auto"/>
        <w:jc w:val="both"/>
        <w:rPr>
          <w:rFonts w:ascii="Times New Roman" w:hAnsi="Times New Roman" w:cs="Times New Roman"/>
          <w:color w:val="000000" w:themeColor="text1"/>
          <w:sz w:val="24"/>
          <w:szCs w:val="24"/>
          <w:lang w:val="en-US"/>
        </w:rPr>
      </w:pPr>
      <w:r w:rsidRPr="00DE13EE">
        <w:rPr>
          <w:rFonts w:ascii="Times New Roman" w:hAnsi="Times New Roman" w:cs="Times New Roman"/>
          <w:color w:val="000000" w:themeColor="text1"/>
          <w:sz w:val="24"/>
          <w:szCs w:val="24"/>
          <w:lang w:val="en-US"/>
        </w:rPr>
        <w:t xml:space="preserve">In terms of </w:t>
      </w:r>
      <w:r w:rsidR="00FE576D" w:rsidRPr="00DE13EE">
        <w:rPr>
          <w:rFonts w:ascii="Times New Roman" w:hAnsi="Times New Roman" w:cs="Times New Roman"/>
          <w:color w:val="000000" w:themeColor="text1"/>
          <w:sz w:val="24"/>
          <w:szCs w:val="24"/>
          <w:lang w:val="en-US"/>
        </w:rPr>
        <w:t>the control variables</w:t>
      </w:r>
      <w:r w:rsidRPr="00DE13EE">
        <w:rPr>
          <w:rFonts w:ascii="Times New Roman" w:hAnsi="Times New Roman" w:cs="Times New Roman"/>
          <w:color w:val="000000" w:themeColor="text1"/>
          <w:sz w:val="24"/>
          <w:szCs w:val="24"/>
          <w:lang w:val="en-US"/>
        </w:rPr>
        <w:t xml:space="preserve">, </w:t>
      </w:r>
      <w:r w:rsidR="00C52C4B" w:rsidRPr="00DE13EE">
        <w:rPr>
          <w:rFonts w:ascii="Times New Roman" w:hAnsi="Times New Roman" w:cs="Times New Roman"/>
          <w:color w:val="000000" w:themeColor="text1"/>
          <w:sz w:val="24"/>
          <w:szCs w:val="24"/>
          <w:lang w:val="en-US"/>
        </w:rPr>
        <w:t>the</w:t>
      </w:r>
      <w:r w:rsidRPr="00DE13EE">
        <w:rPr>
          <w:rFonts w:ascii="Times New Roman" w:hAnsi="Times New Roman" w:cs="Times New Roman"/>
          <w:color w:val="000000" w:themeColor="text1"/>
          <w:sz w:val="24"/>
          <w:szCs w:val="24"/>
          <w:lang w:val="en-US"/>
        </w:rPr>
        <w:t xml:space="preserve"> finding</w:t>
      </w:r>
      <w:r w:rsidR="00C52C4B" w:rsidRPr="00DE13EE">
        <w:rPr>
          <w:rFonts w:ascii="Times New Roman" w:hAnsi="Times New Roman" w:cs="Times New Roman"/>
          <w:color w:val="000000" w:themeColor="text1"/>
          <w:sz w:val="24"/>
          <w:szCs w:val="24"/>
          <w:lang w:val="en-US"/>
        </w:rPr>
        <w:t>s</w:t>
      </w:r>
      <w:r w:rsidRPr="00DE13EE">
        <w:rPr>
          <w:rFonts w:ascii="Times New Roman" w:hAnsi="Times New Roman" w:cs="Times New Roman"/>
          <w:color w:val="000000" w:themeColor="text1"/>
          <w:sz w:val="24"/>
          <w:szCs w:val="24"/>
          <w:lang w:val="en-US"/>
        </w:rPr>
        <w:t xml:space="preserve"> </w:t>
      </w:r>
      <w:r w:rsidR="00C52C4B" w:rsidRPr="00DE13EE">
        <w:rPr>
          <w:rFonts w:ascii="Times New Roman" w:hAnsi="Times New Roman" w:cs="Times New Roman"/>
          <w:color w:val="000000" w:themeColor="text1"/>
          <w:sz w:val="24"/>
          <w:szCs w:val="24"/>
          <w:lang w:val="en-US"/>
        </w:rPr>
        <w:t>in both models</w:t>
      </w:r>
      <w:r w:rsidR="00D734D4" w:rsidRPr="00DE13EE">
        <w:rPr>
          <w:rFonts w:ascii="Times New Roman" w:hAnsi="Times New Roman" w:cs="Times New Roman"/>
          <w:color w:val="000000" w:themeColor="text1"/>
          <w:sz w:val="24"/>
          <w:szCs w:val="24"/>
          <w:lang w:val="en-US"/>
        </w:rPr>
        <w:t>,</w:t>
      </w:r>
      <w:r w:rsidR="00C52C4B" w:rsidRPr="00DE13EE">
        <w:rPr>
          <w:rFonts w:ascii="Times New Roman" w:hAnsi="Times New Roman" w:cs="Times New Roman"/>
          <w:color w:val="000000" w:themeColor="text1"/>
          <w:sz w:val="24"/>
          <w:szCs w:val="24"/>
          <w:lang w:val="en-US"/>
        </w:rPr>
        <w:t xml:space="preserve"> </w:t>
      </w:r>
      <w:r w:rsidR="00D734D4" w:rsidRPr="00DE13EE">
        <w:rPr>
          <w:rFonts w:ascii="Times New Roman" w:hAnsi="Times New Roman" w:cs="Times New Roman"/>
          <w:color w:val="000000" w:themeColor="text1"/>
          <w:sz w:val="24"/>
          <w:szCs w:val="24"/>
          <w:lang w:val="en-US"/>
        </w:rPr>
        <w:t xml:space="preserve">consistently with prior research, </w:t>
      </w:r>
      <w:r w:rsidRPr="00DE13EE">
        <w:rPr>
          <w:rFonts w:ascii="Times New Roman" w:hAnsi="Times New Roman" w:cs="Times New Roman"/>
          <w:color w:val="000000" w:themeColor="text1"/>
          <w:sz w:val="24"/>
          <w:szCs w:val="24"/>
          <w:lang w:val="en-US"/>
        </w:rPr>
        <w:t>suggests that larger UK firms are more likely to have higher values in</w:t>
      </w:r>
      <w:r w:rsidR="00D734D4" w:rsidRPr="00DE13EE">
        <w:rPr>
          <w:rFonts w:ascii="Times New Roman" w:hAnsi="Times New Roman" w:cs="Times New Roman"/>
          <w:color w:val="000000" w:themeColor="text1"/>
          <w:sz w:val="24"/>
          <w:szCs w:val="24"/>
          <w:lang w:val="en-US"/>
        </w:rPr>
        <w:t xml:space="preserve"> the future than smaller firms (</w:t>
      </w:r>
      <w:r w:rsidR="007D6938" w:rsidRPr="00DE13EE">
        <w:rPr>
          <w:rFonts w:ascii="Times New Roman" w:hAnsi="Times New Roman" w:cs="Times New Roman"/>
          <w:color w:val="000000" w:themeColor="text1"/>
          <w:sz w:val="24"/>
          <w:szCs w:val="24"/>
          <w:lang w:val="en-US"/>
        </w:rPr>
        <w:t xml:space="preserve">e.g., </w:t>
      </w:r>
      <w:r w:rsidRPr="00DE13EE">
        <w:rPr>
          <w:rFonts w:ascii="Times New Roman" w:hAnsi="Times New Roman" w:cs="Times New Roman"/>
          <w:color w:val="000000" w:themeColor="text1"/>
          <w:sz w:val="24"/>
          <w:szCs w:val="24"/>
          <w:lang w:val="en-US"/>
        </w:rPr>
        <w:t>Liu</w:t>
      </w:r>
      <w:r w:rsidR="00120412" w:rsidRPr="00DE13EE">
        <w:rPr>
          <w:rFonts w:ascii="Times New Roman" w:hAnsi="Times New Roman" w:cs="Times New Roman"/>
          <w:color w:val="000000" w:themeColor="text1"/>
          <w:sz w:val="24"/>
          <w:szCs w:val="24"/>
          <w:lang w:val="en-US"/>
        </w:rPr>
        <w:t xml:space="preserve"> et al.</w:t>
      </w:r>
      <w:r w:rsidR="00930389" w:rsidRPr="00DE13EE">
        <w:rPr>
          <w:rFonts w:ascii="Times New Roman" w:hAnsi="Times New Roman" w:cs="Times New Roman"/>
          <w:color w:val="000000" w:themeColor="text1"/>
          <w:sz w:val="24"/>
          <w:szCs w:val="24"/>
          <w:lang w:val="en-US"/>
        </w:rPr>
        <w:t xml:space="preserve"> </w:t>
      </w:r>
      <w:r w:rsidRPr="00DE13EE">
        <w:rPr>
          <w:rFonts w:ascii="Times New Roman" w:hAnsi="Times New Roman" w:cs="Times New Roman"/>
          <w:color w:val="000000" w:themeColor="text1"/>
          <w:sz w:val="24"/>
          <w:szCs w:val="24"/>
          <w:lang w:val="en-US"/>
        </w:rPr>
        <w:t>201</w:t>
      </w:r>
      <w:r w:rsidR="0020132C" w:rsidRPr="00DE13EE">
        <w:rPr>
          <w:rFonts w:ascii="Times New Roman" w:hAnsi="Times New Roman" w:cs="Times New Roman"/>
          <w:color w:val="000000" w:themeColor="text1"/>
          <w:sz w:val="24"/>
          <w:szCs w:val="24"/>
          <w:lang w:val="en-US"/>
        </w:rPr>
        <w:t>2</w:t>
      </w:r>
      <w:r w:rsidRPr="00DE13EE">
        <w:rPr>
          <w:rFonts w:ascii="Times New Roman" w:hAnsi="Times New Roman" w:cs="Times New Roman"/>
          <w:color w:val="000000" w:themeColor="text1"/>
          <w:sz w:val="24"/>
          <w:szCs w:val="24"/>
          <w:lang w:val="en-US"/>
        </w:rPr>
        <w:t xml:space="preserve">). In addition, UK firms with good dividends </w:t>
      </w:r>
      <w:r w:rsidR="002B6BE3" w:rsidRPr="00DE13EE">
        <w:rPr>
          <w:rFonts w:ascii="Times New Roman" w:hAnsi="Times New Roman" w:cs="Times New Roman"/>
          <w:color w:val="000000" w:themeColor="text1"/>
          <w:sz w:val="24"/>
          <w:szCs w:val="24"/>
          <w:lang w:val="en-US"/>
        </w:rPr>
        <w:t xml:space="preserve">policies </w:t>
      </w:r>
      <w:r w:rsidRPr="00DE13EE">
        <w:rPr>
          <w:rFonts w:ascii="Times New Roman" w:hAnsi="Times New Roman" w:cs="Times New Roman"/>
          <w:color w:val="000000" w:themeColor="text1"/>
          <w:sz w:val="24"/>
          <w:szCs w:val="24"/>
          <w:lang w:val="en-US"/>
        </w:rPr>
        <w:t xml:space="preserve">(higher </w:t>
      </w:r>
      <w:r w:rsidRPr="00DE13EE">
        <w:rPr>
          <w:rFonts w:ascii="Times New Roman" w:hAnsi="Times New Roman" w:cs="Times New Roman"/>
          <w:color w:val="000000" w:themeColor="text1"/>
          <w:sz w:val="24"/>
          <w:szCs w:val="24"/>
          <w:lang w:val="en-US"/>
        </w:rPr>
        <w:lastRenderedPageBreak/>
        <w:t xml:space="preserve">dividends yield) are likely to have lower values in the future. </w:t>
      </w:r>
      <w:r w:rsidR="00C920CB" w:rsidRPr="00DE13EE">
        <w:rPr>
          <w:rFonts w:ascii="Times New Roman" w:hAnsi="Times New Roman" w:cs="Times New Roman"/>
          <w:color w:val="000000" w:themeColor="text1"/>
          <w:sz w:val="24"/>
          <w:szCs w:val="24"/>
          <w:lang w:val="en-US"/>
        </w:rPr>
        <w:t xml:space="preserve">This </w:t>
      </w:r>
      <w:r w:rsidRPr="00DE13EE">
        <w:rPr>
          <w:rFonts w:ascii="Times New Roman" w:hAnsi="Times New Roman" w:cs="Times New Roman"/>
          <w:color w:val="000000" w:themeColor="text1"/>
          <w:sz w:val="24"/>
          <w:szCs w:val="24"/>
          <w:lang w:val="en-US"/>
        </w:rPr>
        <w:t>is consistent with Officer (2011)</w:t>
      </w:r>
      <w:r w:rsidR="0023598B" w:rsidRPr="00DE13EE">
        <w:rPr>
          <w:rFonts w:ascii="Times New Roman" w:hAnsi="Times New Roman" w:cs="Times New Roman"/>
          <w:color w:val="000000" w:themeColor="text1"/>
          <w:sz w:val="24"/>
          <w:szCs w:val="24"/>
          <w:lang w:val="en-US"/>
        </w:rPr>
        <w:t>’s</w:t>
      </w:r>
      <w:r w:rsidRPr="00DE13EE">
        <w:rPr>
          <w:rFonts w:ascii="Times New Roman" w:hAnsi="Times New Roman" w:cs="Times New Roman"/>
          <w:color w:val="000000" w:themeColor="text1"/>
          <w:sz w:val="24"/>
          <w:szCs w:val="24"/>
          <w:lang w:val="en-US"/>
        </w:rPr>
        <w:t xml:space="preserve"> expectation that dividends may limit management</w:t>
      </w:r>
      <w:r w:rsidR="00331EC8" w:rsidRPr="00DE13EE">
        <w:rPr>
          <w:rFonts w:ascii="Times New Roman" w:hAnsi="Times New Roman" w:cs="Times New Roman"/>
          <w:color w:val="000000" w:themeColor="text1"/>
          <w:sz w:val="24"/>
          <w:szCs w:val="24"/>
          <w:lang w:val="en-US"/>
        </w:rPr>
        <w:t>’s</w:t>
      </w:r>
      <w:r w:rsidRPr="00DE13EE">
        <w:rPr>
          <w:rFonts w:ascii="Times New Roman" w:hAnsi="Times New Roman" w:cs="Times New Roman"/>
          <w:color w:val="000000" w:themeColor="text1"/>
          <w:sz w:val="24"/>
          <w:szCs w:val="24"/>
          <w:lang w:val="en-US"/>
        </w:rPr>
        <w:t xml:space="preserve"> ability to make future investments</w:t>
      </w:r>
      <w:r w:rsidR="00331EC8" w:rsidRPr="00DE13EE">
        <w:rPr>
          <w:rFonts w:ascii="Times New Roman" w:hAnsi="Times New Roman" w:cs="Times New Roman"/>
          <w:color w:val="000000" w:themeColor="text1"/>
          <w:sz w:val="24"/>
          <w:szCs w:val="24"/>
          <w:lang w:val="en-US"/>
        </w:rPr>
        <w:t>,</w:t>
      </w:r>
      <w:r w:rsidRPr="00DE13EE">
        <w:rPr>
          <w:rFonts w:ascii="Times New Roman" w:hAnsi="Times New Roman" w:cs="Times New Roman"/>
          <w:color w:val="000000" w:themeColor="text1"/>
          <w:sz w:val="24"/>
          <w:szCs w:val="24"/>
          <w:lang w:val="en-US"/>
        </w:rPr>
        <w:t xml:space="preserve"> which</w:t>
      </w:r>
      <w:r w:rsidR="00331EC8" w:rsidRPr="00DE13EE">
        <w:rPr>
          <w:rFonts w:ascii="Times New Roman" w:hAnsi="Times New Roman" w:cs="Times New Roman"/>
          <w:color w:val="000000" w:themeColor="text1"/>
          <w:sz w:val="24"/>
          <w:szCs w:val="24"/>
          <w:lang w:val="en-US"/>
        </w:rPr>
        <w:t xml:space="preserve"> </w:t>
      </w:r>
      <w:r w:rsidRPr="00DE13EE">
        <w:rPr>
          <w:rFonts w:ascii="Times New Roman" w:hAnsi="Times New Roman" w:cs="Times New Roman"/>
          <w:color w:val="000000" w:themeColor="text1"/>
          <w:sz w:val="24"/>
          <w:szCs w:val="24"/>
          <w:lang w:val="en-US"/>
        </w:rPr>
        <w:t xml:space="preserve">lowers firm value. </w:t>
      </w:r>
      <w:r w:rsidR="00681B50" w:rsidRPr="00DE13EE">
        <w:rPr>
          <w:rFonts w:ascii="Times New Roman" w:hAnsi="Times New Roman" w:cs="Times New Roman"/>
          <w:color w:val="000000" w:themeColor="text1"/>
          <w:sz w:val="24"/>
          <w:szCs w:val="24"/>
          <w:lang w:val="en-US"/>
        </w:rPr>
        <w:t xml:space="preserve">Furthermore, </w:t>
      </w:r>
      <w:r w:rsidRPr="00DE13EE">
        <w:rPr>
          <w:rFonts w:ascii="Times New Roman" w:hAnsi="Times New Roman" w:cs="Times New Roman"/>
          <w:color w:val="000000" w:themeColor="text1"/>
          <w:sz w:val="24"/>
          <w:szCs w:val="24"/>
          <w:lang w:val="en-US"/>
        </w:rPr>
        <w:t xml:space="preserve">the coefficients on current earnings (ROA) </w:t>
      </w:r>
      <w:r w:rsidR="00C52C4B" w:rsidRPr="00DE13EE">
        <w:rPr>
          <w:rFonts w:ascii="Times New Roman" w:hAnsi="Times New Roman" w:cs="Times New Roman"/>
          <w:color w:val="000000" w:themeColor="text1"/>
          <w:sz w:val="24"/>
          <w:szCs w:val="24"/>
          <w:lang w:val="en-US"/>
        </w:rPr>
        <w:t>suggests</w:t>
      </w:r>
      <w:r w:rsidRPr="00DE13EE">
        <w:rPr>
          <w:rFonts w:ascii="Times New Roman" w:hAnsi="Times New Roman" w:cs="Times New Roman"/>
          <w:color w:val="000000" w:themeColor="text1"/>
          <w:sz w:val="24"/>
          <w:szCs w:val="24"/>
          <w:lang w:val="en-US"/>
        </w:rPr>
        <w:t xml:space="preserve"> </w:t>
      </w:r>
      <w:r w:rsidR="00DD172E" w:rsidRPr="00DE13EE">
        <w:rPr>
          <w:rFonts w:ascii="Times New Roman" w:hAnsi="Times New Roman" w:cs="Times New Roman"/>
          <w:color w:val="000000" w:themeColor="text1"/>
          <w:sz w:val="24"/>
          <w:szCs w:val="24"/>
          <w:lang w:val="en-US"/>
        </w:rPr>
        <w:t xml:space="preserve">a </w:t>
      </w:r>
      <w:r w:rsidR="00681B50" w:rsidRPr="00DE13EE">
        <w:rPr>
          <w:rFonts w:ascii="Times New Roman" w:hAnsi="Times New Roman" w:cs="Times New Roman"/>
          <w:color w:val="000000" w:themeColor="text1"/>
          <w:sz w:val="24"/>
          <w:szCs w:val="24"/>
          <w:lang w:val="en-US"/>
        </w:rPr>
        <w:t>negative association between earnings performance and firm value</w:t>
      </w:r>
      <w:r w:rsidR="00D734D4" w:rsidRPr="00DE13EE">
        <w:rPr>
          <w:rFonts w:ascii="Times New Roman" w:hAnsi="Times New Roman" w:cs="Times New Roman"/>
          <w:color w:val="000000" w:themeColor="text1"/>
          <w:sz w:val="24"/>
          <w:szCs w:val="24"/>
          <w:lang w:val="en-US"/>
        </w:rPr>
        <w:t xml:space="preserve">. </w:t>
      </w:r>
      <w:r w:rsidR="008F4526" w:rsidRPr="00DE13EE">
        <w:rPr>
          <w:rFonts w:ascii="Times New Roman" w:hAnsi="Times New Roman" w:cs="Times New Roman"/>
          <w:color w:val="000000" w:themeColor="text1"/>
          <w:sz w:val="24"/>
          <w:szCs w:val="24"/>
          <w:lang w:val="en-US"/>
        </w:rPr>
        <w:t>However, this</w:t>
      </w:r>
      <w:r w:rsidR="00D734D4" w:rsidRPr="00DE13EE">
        <w:rPr>
          <w:rFonts w:ascii="Times New Roman" w:hAnsi="Times New Roman" w:cs="Times New Roman"/>
          <w:color w:val="000000" w:themeColor="text1"/>
          <w:sz w:val="24"/>
          <w:szCs w:val="24"/>
          <w:lang w:val="en-US"/>
        </w:rPr>
        <w:t xml:space="preserve"> </w:t>
      </w:r>
      <w:r w:rsidRPr="00DE13EE">
        <w:rPr>
          <w:rFonts w:ascii="Times New Roman" w:hAnsi="Times New Roman" w:cs="Times New Roman"/>
          <w:color w:val="000000" w:themeColor="text1"/>
          <w:sz w:val="24"/>
          <w:szCs w:val="24"/>
          <w:lang w:val="en-US"/>
        </w:rPr>
        <w:t>is</w:t>
      </w:r>
      <w:r w:rsidR="00681B50" w:rsidRPr="00DE13EE">
        <w:rPr>
          <w:rFonts w:ascii="Times New Roman" w:hAnsi="Times New Roman" w:cs="Times New Roman"/>
          <w:color w:val="000000" w:themeColor="text1"/>
          <w:sz w:val="24"/>
          <w:szCs w:val="24"/>
          <w:lang w:val="en-US"/>
        </w:rPr>
        <w:t xml:space="preserve"> not</w:t>
      </w:r>
      <w:r w:rsidRPr="00DE13EE">
        <w:rPr>
          <w:rFonts w:ascii="Times New Roman" w:hAnsi="Times New Roman" w:cs="Times New Roman"/>
          <w:color w:val="000000" w:themeColor="text1"/>
          <w:sz w:val="24"/>
          <w:szCs w:val="24"/>
          <w:lang w:val="en-US"/>
        </w:rPr>
        <w:t xml:space="preserve"> consistent with Hassan et al. (2009)</w:t>
      </w:r>
      <w:r w:rsidR="00051514" w:rsidRPr="00DE13EE">
        <w:rPr>
          <w:rFonts w:ascii="Times New Roman" w:hAnsi="Times New Roman" w:cs="Times New Roman"/>
          <w:color w:val="000000" w:themeColor="text1"/>
          <w:sz w:val="24"/>
          <w:szCs w:val="24"/>
          <w:lang w:val="en-US"/>
        </w:rPr>
        <w:t>,</w:t>
      </w:r>
      <w:r w:rsidRPr="00DE13EE">
        <w:rPr>
          <w:rFonts w:ascii="Times New Roman" w:hAnsi="Times New Roman" w:cs="Times New Roman"/>
          <w:color w:val="000000" w:themeColor="text1"/>
          <w:sz w:val="24"/>
          <w:szCs w:val="24"/>
          <w:lang w:val="en-US"/>
        </w:rPr>
        <w:t xml:space="preserve"> who find a positive relationship between earnings levels and firm value. Moreover, </w:t>
      </w:r>
      <w:r w:rsidR="00C52C4B" w:rsidRPr="00DE13EE">
        <w:rPr>
          <w:rFonts w:ascii="Times New Roman" w:hAnsi="Times New Roman" w:cs="Times New Roman"/>
          <w:color w:val="000000" w:themeColor="text1"/>
          <w:sz w:val="24"/>
          <w:szCs w:val="24"/>
          <w:lang w:val="en-US"/>
        </w:rPr>
        <w:t xml:space="preserve">the </w:t>
      </w:r>
      <w:r w:rsidRPr="00DE13EE">
        <w:rPr>
          <w:rFonts w:ascii="Times New Roman" w:hAnsi="Times New Roman" w:cs="Times New Roman"/>
          <w:color w:val="000000" w:themeColor="text1"/>
          <w:sz w:val="24"/>
          <w:szCs w:val="24"/>
          <w:lang w:val="en-US"/>
        </w:rPr>
        <w:t>result</w:t>
      </w:r>
      <w:r w:rsidR="00C52C4B" w:rsidRPr="00DE13EE">
        <w:rPr>
          <w:rFonts w:ascii="Times New Roman" w:hAnsi="Times New Roman" w:cs="Times New Roman"/>
          <w:color w:val="000000" w:themeColor="text1"/>
          <w:sz w:val="24"/>
          <w:szCs w:val="24"/>
          <w:lang w:val="en-US"/>
        </w:rPr>
        <w:t xml:space="preserve">s </w:t>
      </w:r>
      <w:r w:rsidRPr="00DE13EE">
        <w:rPr>
          <w:rFonts w:ascii="Times New Roman" w:hAnsi="Times New Roman" w:cs="Times New Roman"/>
          <w:color w:val="000000" w:themeColor="text1"/>
          <w:sz w:val="24"/>
          <w:szCs w:val="24"/>
          <w:lang w:val="en-US"/>
        </w:rPr>
        <w:t>indicate that UK firms with higher leverage and higher liquidity status are likely to have higher values in the future.</w:t>
      </w:r>
      <w:r w:rsidR="00D734D4" w:rsidRPr="00DE13EE">
        <w:rPr>
          <w:rFonts w:ascii="Times New Roman" w:hAnsi="Times New Roman" w:cs="Times New Roman"/>
          <w:color w:val="000000" w:themeColor="text1"/>
          <w:sz w:val="24"/>
          <w:szCs w:val="24"/>
          <w:lang w:val="en-US"/>
        </w:rPr>
        <w:t xml:space="preserve"> </w:t>
      </w:r>
      <w:r w:rsidR="00064D64" w:rsidRPr="00DE13EE">
        <w:rPr>
          <w:rFonts w:ascii="Times New Roman" w:hAnsi="Times New Roman" w:cs="Times New Roman"/>
          <w:color w:val="000000" w:themeColor="text1"/>
          <w:sz w:val="24"/>
          <w:szCs w:val="24"/>
          <w:lang w:val="en-US"/>
        </w:rPr>
        <w:t>Additionally</w:t>
      </w:r>
      <w:r w:rsidRPr="00DE13EE">
        <w:rPr>
          <w:rFonts w:ascii="Times New Roman" w:hAnsi="Times New Roman" w:cs="Times New Roman"/>
          <w:color w:val="000000" w:themeColor="text1"/>
          <w:sz w:val="24"/>
          <w:szCs w:val="24"/>
          <w:lang w:val="en-US"/>
        </w:rPr>
        <w:t xml:space="preserve">, the coefficient on earnings volatility (Ear. Vol) is statistically significant at </w:t>
      </w:r>
      <w:r w:rsidR="00064D64" w:rsidRPr="00DE13EE">
        <w:rPr>
          <w:rFonts w:ascii="Times New Roman" w:hAnsi="Times New Roman" w:cs="Times New Roman"/>
          <w:color w:val="000000" w:themeColor="text1"/>
          <w:sz w:val="24"/>
          <w:szCs w:val="24"/>
          <w:lang w:val="en-US"/>
        </w:rPr>
        <w:t xml:space="preserve">a </w:t>
      </w:r>
      <w:r w:rsidRPr="00DE13EE">
        <w:rPr>
          <w:rFonts w:ascii="Times New Roman" w:hAnsi="Times New Roman" w:cs="Times New Roman"/>
          <w:color w:val="000000" w:themeColor="text1"/>
          <w:sz w:val="24"/>
          <w:szCs w:val="24"/>
          <w:lang w:val="en-US"/>
        </w:rPr>
        <w:t xml:space="preserve">5% level under the </w:t>
      </w:r>
      <w:r w:rsidR="00C52C4B" w:rsidRPr="00DE13EE">
        <w:rPr>
          <w:rFonts w:ascii="Times New Roman" w:hAnsi="Times New Roman" w:cs="Times New Roman"/>
          <w:color w:val="000000" w:themeColor="text1"/>
          <w:sz w:val="24"/>
          <w:szCs w:val="24"/>
          <w:lang w:val="en-US"/>
        </w:rPr>
        <w:t>fixed effect</w:t>
      </w:r>
      <w:r w:rsidRPr="00DE13EE">
        <w:rPr>
          <w:rFonts w:ascii="Times New Roman" w:hAnsi="Times New Roman" w:cs="Times New Roman"/>
          <w:color w:val="000000" w:themeColor="text1"/>
          <w:sz w:val="24"/>
          <w:szCs w:val="24"/>
          <w:lang w:val="en-US"/>
        </w:rPr>
        <w:t xml:space="preserve"> (Model 1)</w:t>
      </w:r>
      <w:r w:rsidR="00064D64" w:rsidRPr="00DE13EE">
        <w:rPr>
          <w:rFonts w:ascii="Times New Roman" w:hAnsi="Times New Roman" w:cs="Times New Roman"/>
          <w:color w:val="000000" w:themeColor="text1"/>
          <w:sz w:val="24"/>
          <w:szCs w:val="24"/>
          <w:lang w:val="en-US"/>
        </w:rPr>
        <w:t xml:space="preserve"> and</w:t>
      </w:r>
      <w:r w:rsidRPr="00DE13EE">
        <w:rPr>
          <w:rFonts w:ascii="Times New Roman" w:hAnsi="Times New Roman" w:cs="Times New Roman"/>
          <w:color w:val="000000" w:themeColor="text1"/>
          <w:sz w:val="24"/>
          <w:szCs w:val="24"/>
          <w:lang w:val="en-US"/>
        </w:rPr>
        <w:t xml:space="preserve"> is significant at </w:t>
      </w:r>
      <w:r w:rsidR="00064D64" w:rsidRPr="00DE13EE">
        <w:rPr>
          <w:rFonts w:ascii="Times New Roman" w:hAnsi="Times New Roman" w:cs="Times New Roman"/>
          <w:color w:val="000000" w:themeColor="text1"/>
          <w:sz w:val="24"/>
          <w:szCs w:val="24"/>
          <w:lang w:val="en-US"/>
        </w:rPr>
        <w:t xml:space="preserve">a </w:t>
      </w:r>
      <w:r w:rsidRPr="00DE13EE">
        <w:rPr>
          <w:rFonts w:ascii="Times New Roman" w:hAnsi="Times New Roman" w:cs="Times New Roman"/>
          <w:color w:val="000000" w:themeColor="text1"/>
          <w:sz w:val="24"/>
          <w:szCs w:val="24"/>
          <w:lang w:val="en-US"/>
        </w:rPr>
        <w:t>10% level under the random effect (Model 2)</w:t>
      </w:r>
      <w:r w:rsidR="00D734D4" w:rsidRPr="00DE13EE">
        <w:rPr>
          <w:rFonts w:ascii="Times New Roman" w:hAnsi="Times New Roman" w:cs="Times New Roman"/>
          <w:color w:val="000000" w:themeColor="text1"/>
          <w:sz w:val="24"/>
          <w:szCs w:val="24"/>
          <w:lang w:val="en-US"/>
        </w:rPr>
        <w:t xml:space="preserve"> suggesting consistent results with prior research that firms </w:t>
      </w:r>
      <w:r w:rsidRPr="00DE13EE">
        <w:rPr>
          <w:rFonts w:ascii="Times New Roman" w:hAnsi="Times New Roman" w:cs="Times New Roman"/>
          <w:color w:val="000000" w:themeColor="text1"/>
          <w:sz w:val="24"/>
          <w:szCs w:val="24"/>
          <w:lang w:val="en-US"/>
        </w:rPr>
        <w:t>with higher volatility in earnings are more likely to have lower v</w:t>
      </w:r>
      <w:r w:rsidR="00D734D4" w:rsidRPr="00DE13EE">
        <w:rPr>
          <w:rFonts w:ascii="Times New Roman" w:hAnsi="Times New Roman" w:cs="Times New Roman"/>
          <w:color w:val="000000" w:themeColor="text1"/>
          <w:sz w:val="24"/>
          <w:szCs w:val="24"/>
          <w:lang w:val="en-US"/>
        </w:rPr>
        <w:t xml:space="preserve">alues (e.g., </w:t>
      </w:r>
      <w:r w:rsidRPr="00DE13EE">
        <w:rPr>
          <w:rFonts w:ascii="Times New Roman" w:hAnsi="Times New Roman" w:cs="Times New Roman"/>
          <w:color w:val="000000" w:themeColor="text1"/>
          <w:sz w:val="24"/>
          <w:szCs w:val="24"/>
          <w:lang w:val="en-US"/>
        </w:rPr>
        <w:t>Ro</w:t>
      </w:r>
      <w:r w:rsidR="00D734D4" w:rsidRPr="00DE13EE">
        <w:rPr>
          <w:rFonts w:ascii="Times New Roman" w:hAnsi="Times New Roman" w:cs="Times New Roman"/>
          <w:color w:val="000000" w:themeColor="text1"/>
          <w:sz w:val="24"/>
          <w:szCs w:val="24"/>
          <w:lang w:val="en-US"/>
        </w:rPr>
        <w:t>untree</w:t>
      </w:r>
      <w:r w:rsidR="00120412" w:rsidRPr="00DE13EE">
        <w:rPr>
          <w:rFonts w:ascii="Times New Roman" w:hAnsi="Times New Roman" w:cs="Times New Roman"/>
          <w:color w:val="000000" w:themeColor="text1"/>
          <w:sz w:val="24"/>
          <w:szCs w:val="24"/>
          <w:lang w:val="en-US"/>
        </w:rPr>
        <w:t xml:space="preserve"> et al.</w:t>
      </w:r>
      <w:r w:rsidR="00930389" w:rsidRPr="00DE13EE">
        <w:rPr>
          <w:rFonts w:ascii="Times New Roman" w:hAnsi="Times New Roman" w:cs="Times New Roman"/>
          <w:color w:val="000000" w:themeColor="text1"/>
          <w:sz w:val="24"/>
          <w:szCs w:val="24"/>
          <w:lang w:val="en-US"/>
        </w:rPr>
        <w:t xml:space="preserve"> </w:t>
      </w:r>
      <w:r w:rsidRPr="00DE13EE">
        <w:rPr>
          <w:rFonts w:ascii="Times New Roman" w:hAnsi="Times New Roman" w:cs="Times New Roman"/>
          <w:color w:val="000000" w:themeColor="text1"/>
          <w:sz w:val="24"/>
          <w:szCs w:val="24"/>
          <w:lang w:val="en-US"/>
        </w:rPr>
        <w:t>2008)</w:t>
      </w:r>
      <w:r w:rsidR="00D734D4" w:rsidRPr="00DE13EE">
        <w:rPr>
          <w:rFonts w:ascii="Times New Roman" w:hAnsi="Times New Roman" w:cs="Times New Roman"/>
          <w:color w:val="000000" w:themeColor="text1"/>
          <w:sz w:val="24"/>
          <w:szCs w:val="24"/>
          <w:lang w:val="en-US"/>
        </w:rPr>
        <w:t>.</w:t>
      </w:r>
      <w:r w:rsidR="00DF2246" w:rsidRPr="00DE13EE">
        <w:rPr>
          <w:rFonts w:ascii="Times New Roman" w:hAnsi="Times New Roman" w:cs="Times New Roman"/>
          <w:color w:val="000000" w:themeColor="text1"/>
          <w:sz w:val="24"/>
          <w:szCs w:val="24"/>
          <w:lang w:val="en-US"/>
        </w:rPr>
        <w:t xml:space="preserve"> </w:t>
      </w:r>
      <w:r w:rsidR="008F4526" w:rsidRPr="00DE13EE">
        <w:rPr>
          <w:rFonts w:ascii="Times New Roman" w:hAnsi="Times New Roman" w:cs="Times New Roman"/>
          <w:color w:val="000000" w:themeColor="text1"/>
          <w:sz w:val="24"/>
          <w:szCs w:val="24"/>
          <w:lang w:val="en-US"/>
        </w:rPr>
        <w:t xml:space="preserve">The multivariate results, </w:t>
      </w:r>
      <w:r w:rsidRPr="00DE13EE">
        <w:rPr>
          <w:rFonts w:ascii="Times New Roman" w:hAnsi="Times New Roman" w:cs="Times New Roman"/>
          <w:color w:val="000000" w:themeColor="text1"/>
          <w:sz w:val="24"/>
          <w:szCs w:val="24"/>
          <w:lang w:val="en-US"/>
        </w:rPr>
        <w:t>also</w:t>
      </w:r>
      <w:r w:rsidR="008F4526" w:rsidRPr="00DE13EE">
        <w:rPr>
          <w:rFonts w:ascii="Times New Roman" w:hAnsi="Times New Roman" w:cs="Times New Roman"/>
          <w:color w:val="000000" w:themeColor="text1"/>
          <w:sz w:val="24"/>
          <w:szCs w:val="24"/>
          <w:lang w:val="en-US"/>
        </w:rPr>
        <w:t>,</w:t>
      </w:r>
      <w:r w:rsidRPr="00DE13EE">
        <w:rPr>
          <w:rFonts w:ascii="Times New Roman" w:hAnsi="Times New Roman" w:cs="Times New Roman"/>
          <w:color w:val="000000" w:themeColor="text1"/>
          <w:sz w:val="24"/>
          <w:szCs w:val="24"/>
          <w:lang w:val="en-US"/>
        </w:rPr>
        <w:t xml:space="preserve"> report that firms with higher growth are likely to have higher values in the future than firms with smaller growth. Some prior studies support this result</w:t>
      </w:r>
      <w:r w:rsidR="008D3646" w:rsidRPr="00DE13EE">
        <w:rPr>
          <w:rFonts w:ascii="Times New Roman" w:hAnsi="Times New Roman" w:cs="Times New Roman"/>
          <w:color w:val="000000" w:themeColor="text1"/>
          <w:sz w:val="24"/>
          <w:szCs w:val="24"/>
          <w:lang w:val="en-US"/>
        </w:rPr>
        <w:t xml:space="preserve">, reporting a </w:t>
      </w:r>
      <w:r w:rsidRPr="00DE13EE">
        <w:rPr>
          <w:rFonts w:ascii="Times New Roman" w:hAnsi="Times New Roman" w:cs="Times New Roman"/>
          <w:color w:val="000000" w:themeColor="text1"/>
          <w:sz w:val="24"/>
          <w:szCs w:val="24"/>
          <w:lang w:val="en-US"/>
        </w:rPr>
        <w:t xml:space="preserve">positive and significant relationship between firm growth and firm performance (e.g., Henry 2008). </w:t>
      </w:r>
      <w:r w:rsidR="008F4526" w:rsidRPr="00DE13EE">
        <w:rPr>
          <w:rFonts w:ascii="Times New Roman" w:hAnsi="Times New Roman" w:cs="Times New Roman"/>
          <w:color w:val="000000" w:themeColor="text1"/>
          <w:sz w:val="24"/>
          <w:szCs w:val="24"/>
          <w:lang w:val="en-US"/>
        </w:rPr>
        <w:t>Furthermore</w:t>
      </w:r>
      <w:r w:rsidRPr="00DE13EE">
        <w:rPr>
          <w:rFonts w:ascii="Times New Roman" w:hAnsi="Times New Roman" w:cs="Times New Roman"/>
          <w:color w:val="000000" w:themeColor="text1"/>
          <w:sz w:val="24"/>
          <w:szCs w:val="24"/>
          <w:lang w:val="en-US"/>
        </w:rPr>
        <w:t xml:space="preserve">, the coefficients on capital expenditure (CAPEX) are statistically negative at </w:t>
      </w:r>
      <w:r w:rsidR="008D3646" w:rsidRPr="00DE13EE">
        <w:rPr>
          <w:rFonts w:ascii="Times New Roman" w:hAnsi="Times New Roman" w:cs="Times New Roman"/>
          <w:color w:val="000000" w:themeColor="text1"/>
          <w:sz w:val="24"/>
          <w:szCs w:val="24"/>
          <w:lang w:val="en-US"/>
        </w:rPr>
        <w:t xml:space="preserve">a </w:t>
      </w:r>
      <w:r w:rsidRPr="00DE13EE">
        <w:rPr>
          <w:rFonts w:ascii="Times New Roman" w:hAnsi="Times New Roman" w:cs="Times New Roman"/>
          <w:color w:val="000000" w:themeColor="text1"/>
          <w:sz w:val="24"/>
          <w:szCs w:val="24"/>
          <w:lang w:val="en-US"/>
        </w:rPr>
        <w:t>1% level</w:t>
      </w:r>
      <w:r w:rsidR="008D3646" w:rsidRPr="00DE13EE">
        <w:rPr>
          <w:rFonts w:ascii="Times New Roman" w:hAnsi="Times New Roman" w:cs="Times New Roman"/>
          <w:color w:val="000000" w:themeColor="text1"/>
          <w:sz w:val="24"/>
          <w:szCs w:val="24"/>
          <w:lang w:val="en-US"/>
        </w:rPr>
        <w:t>,</w:t>
      </w:r>
      <w:r w:rsidRPr="00DE13EE">
        <w:rPr>
          <w:rFonts w:ascii="Times New Roman" w:hAnsi="Times New Roman" w:cs="Times New Roman"/>
          <w:color w:val="000000" w:themeColor="text1"/>
          <w:sz w:val="24"/>
          <w:szCs w:val="24"/>
          <w:lang w:val="en-US"/>
        </w:rPr>
        <w:t xml:space="preserve"> indicating that UK firms with increasing capital expenditure</w:t>
      </w:r>
      <w:r w:rsidR="008D3646" w:rsidRPr="00DE13EE">
        <w:rPr>
          <w:rFonts w:ascii="Times New Roman" w:hAnsi="Times New Roman" w:cs="Times New Roman"/>
          <w:color w:val="000000" w:themeColor="text1"/>
          <w:sz w:val="24"/>
          <w:szCs w:val="24"/>
          <w:lang w:val="en-US"/>
        </w:rPr>
        <w:t>s</w:t>
      </w:r>
      <w:r w:rsidRPr="00DE13EE">
        <w:rPr>
          <w:rFonts w:ascii="Times New Roman" w:hAnsi="Times New Roman" w:cs="Times New Roman"/>
          <w:color w:val="000000" w:themeColor="text1"/>
          <w:sz w:val="24"/>
          <w:szCs w:val="24"/>
          <w:lang w:val="en-US"/>
        </w:rPr>
        <w:t xml:space="preserve"> are likely to have lower values in the future</w:t>
      </w:r>
      <w:r w:rsidR="00B2543F" w:rsidRPr="00DE13EE">
        <w:rPr>
          <w:rFonts w:ascii="Times New Roman" w:hAnsi="Times New Roman" w:cs="Times New Roman"/>
          <w:color w:val="000000" w:themeColor="text1"/>
          <w:sz w:val="24"/>
          <w:szCs w:val="24"/>
          <w:lang w:val="en-US"/>
        </w:rPr>
        <w:t xml:space="preserve"> which is consistent with</w:t>
      </w:r>
      <w:r w:rsidRPr="00DE13EE">
        <w:rPr>
          <w:rFonts w:ascii="Times New Roman" w:hAnsi="Times New Roman" w:cs="Times New Roman"/>
          <w:color w:val="000000" w:themeColor="text1"/>
          <w:sz w:val="24"/>
          <w:szCs w:val="24"/>
          <w:lang w:val="en-US"/>
        </w:rPr>
        <w:t xml:space="preserve"> </w:t>
      </w:r>
      <w:r w:rsidR="008F4526" w:rsidRPr="00DE13EE">
        <w:rPr>
          <w:rFonts w:ascii="Times New Roman" w:hAnsi="Times New Roman" w:cs="Times New Roman"/>
          <w:color w:val="000000" w:themeColor="text1"/>
          <w:sz w:val="24"/>
          <w:szCs w:val="24"/>
          <w:lang w:val="en-US"/>
        </w:rPr>
        <w:t>Mangena</w:t>
      </w:r>
      <w:r w:rsidR="00120412" w:rsidRPr="00DE13EE">
        <w:rPr>
          <w:rFonts w:ascii="Times New Roman" w:hAnsi="Times New Roman" w:cs="Times New Roman"/>
          <w:color w:val="000000" w:themeColor="text1"/>
          <w:sz w:val="24"/>
          <w:szCs w:val="24"/>
          <w:lang w:val="en-US"/>
        </w:rPr>
        <w:t xml:space="preserve"> et al.</w:t>
      </w:r>
      <w:r w:rsidR="00977899" w:rsidRPr="00DE13EE">
        <w:rPr>
          <w:rFonts w:ascii="Times New Roman" w:hAnsi="Times New Roman" w:cs="Times New Roman"/>
          <w:color w:val="000000" w:themeColor="text1"/>
          <w:sz w:val="24"/>
          <w:szCs w:val="24"/>
          <w:lang w:val="en-US"/>
        </w:rPr>
        <w:t xml:space="preserve"> </w:t>
      </w:r>
      <w:r w:rsidRPr="00DE13EE">
        <w:rPr>
          <w:rFonts w:ascii="Times New Roman" w:hAnsi="Times New Roman" w:cs="Times New Roman"/>
          <w:color w:val="000000" w:themeColor="text1"/>
          <w:sz w:val="24"/>
          <w:szCs w:val="24"/>
          <w:lang w:val="en-US"/>
        </w:rPr>
        <w:t>(2012)</w:t>
      </w:r>
      <w:r w:rsidR="00B2543F" w:rsidRPr="00DE13EE">
        <w:rPr>
          <w:rFonts w:ascii="Times New Roman" w:hAnsi="Times New Roman" w:cs="Times New Roman"/>
          <w:color w:val="000000" w:themeColor="text1"/>
          <w:sz w:val="24"/>
          <w:szCs w:val="24"/>
          <w:lang w:val="en-US"/>
        </w:rPr>
        <w:t xml:space="preserve">. </w:t>
      </w:r>
      <w:r w:rsidR="008F4526" w:rsidRPr="00DE13EE">
        <w:rPr>
          <w:rFonts w:ascii="Times New Roman" w:hAnsi="Times New Roman" w:cs="Times New Roman"/>
          <w:color w:val="000000" w:themeColor="text1"/>
          <w:sz w:val="24"/>
          <w:szCs w:val="24"/>
          <w:lang w:val="en-US"/>
        </w:rPr>
        <w:t xml:space="preserve">Also, the coefficients on length of narrative documents (LNGTH) indicate negative association between length of narrative documents (as proxy of other types of voluntary narrative disclosure) and future firm value. </w:t>
      </w:r>
      <w:r w:rsidRPr="00DE13EE">
        <w:rPr>
          <w:rFonts w:ascii="Times New Roman" w:hAnsi="Times New Roman" w:cs="Times New Roman"/>
          <w:color w:val="000000" w:themeColor="text1"/>
          <w:sz w:val="24"/>
          <w:szCs w:val="24"/>
          <w:lang w:val="en-US"/>
        </w:rPr>
        <w:t xml:space="preserve">On the other hand, the coefficients on managerial ownership (%MO) </w:t>
      </w:r>
      <w:r w:rsidR="008D3646" w:rsidRPr="00DE13EE">
        <w:rPr>
          <w:rFonts w:ascii="Times New Roman" w:hAnsi="Times New Roman" w:cs="Times New Roman"/>
          <w:color w:val="000000" w:themeColor="text1"/>
          <w:sz w:val="24"/>
          <w:szCs w:val="24"/>
          <w:lang w:val="en-US"/>
        </w:rPr>
        <w:t xml:space="preserve">are </w:t>
      </w:r>
      <w:r w:rsidRPr="00DE13EE">
        <w:rPr>
          <w:rFonts w:ascii="Times New Roman" w:hAnsi="Times New Roman" w:cs="Times New Roman"/>
          <w:color w:val="000000" w:themeColor="text1"/>
          <w:sz w:val="24"/>
          <w:szCs w:val="24"/>
          <w:lang w:val="en-US"/>
        </w:rPr>
        <w:t>not statistically significant at any significance level</w:t>
      </w:r>
      <w:r w:rsidR="008D3646" w:rsidRPr="00DE13EE">
        <w:rPr>
          <w:rFonts w:ascii="Times New Roman" w:hAnsi="Times New Roman" w:cs="Times New Roman"/>
          <w:color w:val="000000" w:themeColor="text1"/>
          <w:sz w:val="24"/>
          <w:szCs w:val="24"/>
          <w:lang w:val="en-US"/>
        </w:rPr>
        <w:t xml:space="preserve">, suggesting </w:t>
      </w:r>
      <w:r w:rsidRPr="00DE13EE">
        <w:rPr>
          <w:rFonts w:ascii="Times New Roman" w:hAnsi="Times New Roman" w:cs="Times New Roman"/>
          <w:color w:val="000000" w:themeColor="text1"/>
          <w:sz w:val="24"/>
          <w:szCs w:val="24"/>
          <w:lang w:val="en-US"/>
        </w:rPr>
        <w:t>that the future values of UK firms are not likely to be affected by the percentage of their managerial ownership</w:t>
      </w:r>
      <w:r w:rsidRPr="00DE13EE">
        <w:rPr>
          <w:rFonts w:ascii="Times New Roman" w:eastAsia="MS Mincho" w:hAnsi="Times New Roman" w:cs="Times New Roman"/>
          <w:color w:val="000000" w:themeColor="text1"/>
          <w:sz w:val="24"/>
          <w:szCs w:val="24"/>
          <w:lang w:val="en-US" w:eastAsia="ja-JP"/>
        </w:rPr>
        <w:t xml:space="preserve">. </w:t>
      </w:r>
    </w:p>
    <w:p w14:paraId="4CDB8AA0" w14:textId="5CD5CFEF" w:rsidR="00812C9C" w:rsidRPr="00DE13EE" w:rsidRDefault="00812C9C" w:rsidP="00B93D4F">
      <w:pPr>
        <w:spacing w:line="360" w:lineRule="auto"/>
        <w:jc w:val="center"/>
        <w:rPr>
          <w:rFonts w:ascii="Times New Roman" w:eastAsia="Calibri" w:hAnsi="Times New Roman" w:cs="Times New Roman"/>
          <w:i/>
          <w:iCs/>
          <w:color w:val="000000" w:themeColor="text1"/>
          <w:sz w:val="24"/>
          <w:szCs w:val="24"/>
          <w:lang w:val="en-US" w:eastAsia="en-US"/>
        </w:rPr>
      </w:pPr>
      <w:r w:rsidRPr="00DE13EE">
        <w:rPr>
          <w:rFonts w:ascii="Times New Roman" w:eastAsia="Calibri" w:hAnsi="Times New Roman" w:cs="Times New Roman"/>
          <w:i/>
          <w:iCs/>
          <w:color w:val="000000" w:themeColor="text1"/>
          <w:sz w:val="24"/>
          <w:szCs w:val="24"/>
          <w:lang w:val="en-US" w:eastAsia="en-US"/>
        </w:rPr>
        <w:t>Insert Table (4) here</w:t>
      </w:r>
    </w:p>
    <w:p w14:paraId="1196E9F4" w14:textId="77777777" w:rsidR="00E01DAE" w:rsidRPr="00DE13EE" w:rsidRDefault="00E01DAE" w:rsidP="00B93D4F">
      <w:pPr>
        <w:spacing w:line="360" w:lineRule="auto"/>
        <w:jc w:val="center"/>
        <w:rPr>
          <w:rFonts w:ascii="Times New Roman" w:eastAsia="Calibri" w:hAnsi="Times New Roman" w:cs="Times New Roman"/>
          <w:i/>
          <w:iCs/>
          <w:color w:val="000000" w:themeColor="text1"/>
          <w:sz w:val="24"/>
          <w:szCs w:val="24"/>
          <w:lang w:val="en-US" w:eastAsia="en-US"/>
        </w:rPr>
      </w:pPr>
    </w:p>
    <w:p w14:paraId="689076AF" w14:textId="2FD6AE22" w:rsidR="008F4526" w:rsidRPr="00DE13EE" w:rsidRDefault="00D32501" w:rsidP="00B93D4F">
      <w:pPr>
        <w:pStyle w:val="Heading3"/>
        <w:rPr>
          <w:color w:val="000000" w:themeColor="text1"/>
        </w:rPr>
      </w:pPr>
      <w:r w:rsidRPr="00DE13EE">
        <w:rPr>
          <w:color w:val="000000" w:themeColor="text1"/>
        </w:rPr>
        <w:t xml:space="preserve">Testing </w:t>
      </w:r>
      <w:r w:rsidR="008F4526" w:rsidRPr="00DE13EE">
        <w:rPr>
          <w:color w:val="000000" w:themeColor="text1"/>
        </w:rPr>
        <w:t>H2: High</w:t>
      </w:r>
      <w:r w:rsidR="00B2543F" w:rsidRPr="00DE13EE">
        <w:rPr>
          <w:color w:val="000000" w:themeColor="text1"/>
        </w:rPr>
        <w:t>-performing</w:t>
      </w:r>
      <w:r w:rsidR="00E15741" w:rsidRPr="00DE13EE">
        <w:rPr>
          <w:color w:val="000000" w:themeColor="text1"/>
        </w:rPr>
        <w:t xml:space="preserve"> vs.</w:t>
      </w:r>
      <w:r w:rsidR="008F4526" w:rsidRPr="00DE13EE">
        <w:rPr>
          <w:color w:val="000000" w:themeColor="text1"/>
        </w:rPr>
        <w:t xml:space="preserve"> low-performing firms </w:t>
      </w:r>
    </w:p>
    <w:p w14:paraId="0925F803" w14:textId="048F847C" w:rsidR="008F4526" w:rsidRPr="00DE13EE" w:rsidRDefault="008F4526" w:rsidP="00B93D4F">
      <w:pPr>
        <w:spacing w:line="360" w:lineRule="auto"/>
        <w:jc w:val="both"/>
        <w:rPr>
          <w:rFonts w:ascii="Times New Roman" w:hAnsi="Times New Roman" w:cs="Times New Roman"/>
          <w:color w:val="000000" w:themeColor="text1"/>
          <w:sz w:val="24"/>
          <w:szCs w:val="24"/>
          <w:lang w:val="en-US"/>
        </w:rPr>
      </w:pPr>
      <w:r w:rsidRPr="00DE13EE">
        <w:rPr>
          <w:rFonts w:ascii="Times New Roman" w:hAnsi="Times New Roman" w:cs="Times New Roman"/>
          <w:color w:val="000000" w:themeColor="text1"/>
          <w:sz w:val="24"/>
          <w:lang w:val="en-US"/>
        </w:rPr>
        <w:t xml:space="preserve">In this section, </w:t>
      </w:r>
      <w:r w:rsidRPr="00DE13EE">
        <w:rPr>
          <w:rFonts w:ascii="Times New Roman" w:hAnsi="Times New Roman" w:cs="Times New Roman"/>
          <w:color w:val="000000" w:themeColor="text1"/>
          <w:sz w:val="24"/>
          <w:szCs w:val="24"/>
          <w:lang w:val="en-US"/>
        </w:rPr>
        <w:t>we examine whether the disclosure of forward-looking information</w:t>
      </w:r>
      <w:r w:rsidRPr="00DE13EE">
        <w:rPr>
          <w:rFonts w:ascii="Times New Roman" w:eastAsia="Calibri" w:hAnsi="Times New Roman" w:cs="Times New Roman"/>
          <w:color w:val="000000" w:themeColor="text1"/>
          <w:sz w:val="24"/>
          <w:szCs w:val="24"/>
          <w:lang w:val="en-US" w:eastAsia="en-US"/>
        </w:rPr>
        <w:t xml:space="preserve"> affects the value of firms with earnings increases or decreases differently.</w:t>
      </w:r>
      <w:r w:rsidRPr="00DE13EE">
        <w:rPr>
          <w:rFonts w:ascii="Times New Roman" w:hAnsi="Times New Roman" w:cs="Times New Roman"/>
          <w:color w:val="000000" w:themeColor="text1"/>
          <w:sz w:val="24"/>
          <w:szCs w:val="24"/>
          <w:lang w:val="en-US"/>
        </w:rPr>
        <w:t xml:space="preserve"> To this end, the sample is divided into two subsamples: high-performing and low-performing firms, based on the direction of change in the ROA ratio. Firms that have positive change in ROA from the previous year (</w:t>
      </w:r>
      <w:r w:rsidRPr="00DE13EE">
        <w:rPr>
          <w:rFonts w:ascii="Times New Roman" w:eastAsia="Times New Roman" w:hAnsi="Times New Roman" w:cs="Times New Roman"/>
          <w:color w:val="000000" w:themeColor="text1"/>
          <w:sz w:val="24"/>
          <w:szCs w:val="24"/>
          <w:lang w:val="en-US" w:eastAsia="en-GB"/>
        </w:rPr>
        <w:t>Δ</w:t>
      </w:r>
      <w:r w:rsidRPr="00DE13EE">
        <w:rPr>
          <w:rFonts w:ascii="Times New Roman" w:hAnsi="Times New Roman" w:cs="Times New Roman"/>
          <w:color w:val="000000" w:themeColor="text1"/>
          <w:sz w:val="24"/>
          <w:szCs w:val="24"/>
          <w:lang w:val="en-US"/>
        </w:rPr>
        <w:t>ROA&gt;0) are regarded as high-performing firms, while firms with negative change in ROA (</w:t>
      </w:r>
      <w:r w:rsidRPr="00DE13EE">
        <w:rPr>
          <w:rFonts w:ascii="Times New Roman" w:eastAsia="Times New Roman" w:hAnsi="Times New Roman" w:cs="Times New Roman"/>
          <w:color w:val="000000" w:themeColor="text1"/>
          <w:sz w:val="24"/>
          <w:szCs w:val="24"/>
          <w:lang w:val="en-US" w:eastAsia="en-GB"/>
        </w:rPr>
        <w:t>Δ</w:t>
      </w:r>
      <w:r w:rsidRPr="00DE13EE">
        <w:rPr>
          <w:rFonts w:ascii="Times New Roman" w:hAnsi="Times New Roman" w:cs="Times New Roman"/>
          <w:color w:val="000000" w:themeColor="text1"/>
          <w:sz w:val="24"/>
          <w:szCs w:val="24"/>
          <w:lang w:val="en-US"/>
        </w:rPr>
        <w:t xml:space="preserve">ROA&lt;0) are regarded as low-performing firms. </w:t>
      </w:r>
      <w:r w:rsidR="00D32501" w:rsidRPr="00DE13EE">
        <w:rPr>
          <w:rFonts w:ascii="Times New Roman" w:hAnsi="Times New Roman" w:cs="Times New Roman"/>
          <w:color w:val="000000" w:themeColor="text1"/>
          <w:sz w:val="24"/>
          <w:szCs w:val="24"/>
          <w:lang w:val="en-US"/>
        </w:rPr>
        <w:t xml:space="preserve">When calculating change in </w:t>
      </w:r>
      <w:r w:rsidR="00D32501" w:rsidRPr="00DE13EE">
        <w:rPr>
          <w:rFonts w:ascii="Times New Roman" w:hAnsi="Times New Roman" w:cs="Times New Roman"/>
          <w:color w:val="000000" w:themeColor="text1"/>
          <w:sz w:val="24"/>
          <w:szCs w:val="24"/>
          <w:lang w:val="en-US"/>
        </w:rPr>
        <w:lastRenderedPageBreak/>
        <w:t>ROA ratio from the previous year, the current study loses one year of observations for each firm. This suggests that there are no observations for the year 2005.</w:t>
      </w:r>
    </w:p>
    <w:p w14:paraId="10A835CD" w14:textId="40A94307" w:rsidR="008F4526" w:rsidRPr="00DE13EE" w:rsidRDefault="008F4526" w:rsidP="00B93D4F">
      <w:pPr>
        <w:spacing w:line="360" w:lineRule="auto"/>
        <w:jc w:val="both"/>
        <w:rPr>
          <w:rFonts w:ascii="Times New Roman" w:eastAsia="Calibri" w:hAnsi="Times New Roman" w:cs="Times New Roman"/>
          <w:color w:val="000000" w:themeColor="text1"/>
          <w:sz w:val="24"/>
          <w:szCs w:val="24"/>
          <w:lang w:val="en-US" w:eastAsia="en-US"/>
        </w:rPr>
      </w:pPr>
      <w:r w:rsidRPr="00DE13EE">
        <w:rPr>
          <w:rFonts w:ascii="Times New Roman" w:eastAsia="Calibri" w:hAnsi="Times New Roman" w:cs="Times New Roman"/>
          <w:color w:val="000000" w:themeColor="text1"/>
          <w:sz w:val="24"/>
          <w:szCs w:val="24"/>
          <w:lang w:val="en-US" w:eastAsia="en-US"/>
        </w:rPr>
        <w:t xml:space="preserve">Table (5) reports the estimation using </w:t>
      </w:r>
      <w:r w:rsidR="00D32501" w:rsidRPr="00DE13EE">
        <w:rPr>
          <w:rFonts w:ascii="Times New Roman" w:eastAsia="Calibri" w:hAnsi="Times New Roman" w:cs="Times New Roman"/>
          <w:color w:val="000000" w:themeColor="text1"/>
          <w:sz w:val="24"/>
          <w:szCs w:val="24"/>
          <w:lang w:val="en-US" w:eastAsia="en-US"/>
        </w:rPr>
        <w:t>fixed effect</w:t>
      </w:r>
      <w:r w:rsidRPr="00DE13EE">
        <w:rPr>
          <w:rFonts w:ascii="Times New Roman" w:eastAsia="Calibri" w:hAnsi="Times New Roman" w:cs="Times New Roman"/>
          <w:color w:val="000000" w:themeColor="text1"/>
          <w:sz w:val="24"/>
          <w:szCs w:val="24"/>
          <w:lang w:val="en-US" w:eastAsia="en-US"/>
        </w:rPr>
        <w:t xml:space="preserve"> (Model 1) and random effects (Model 2) for high-performing and low-performing firms</w:t>
      </w:r>
      <w:r w:rsidR="00D32501" w:rsidRPr="00DE13EE">
        <w:rPr>
          <w:rFonts w:ascii="Times New Roman" w:eastAsia="Calibri" w:hAnsi="Times New Roman" w:cs="Times New Roman"/>
          <w:color w:val="000000" w:themeColor="text1"/>
          <w:sz w:val="24"/>
          <w:szCs w:val="24"/>
          <w:lang w:val="en-US" w:eastAsia="en-US"/>
        </w:rPr>
        <w:t>,</w:t>
      </w:r>
      <w:r w:rsidRPr="00DE13EE">
        <w:rPr>
          <w:rFonts w:ascii="Times New Roman" w:eastAsia="Calibri" w:hAnsi="Times New Roman" w:cs="Times New Roman"/>
          <w:color w:val="000000" w:themeColor="text1"/>
          <w:sz w:val="24"/>
          <w:szCs w:val="24"/>
          <w:lang w:val="en-US" w:eastAsia="en-US"/>
        </w:rPr>
        <w:t xml:space="preserve"> separately. For high-performing firms </w:t>
      </w:r>
      <w:r w:rsidRPr="00DE13EE">
        <w:rPr>
          <w:rFonts w:ascii="Times New Roman" w:eastAsia="Calibri" w:hAnsi="Times New Roman" w:cs="Times New Roman"/>
          <w:iCs/>
          <w:color w:val="000000" w:themeColor="text1"/>
          <w:sz w:val="24"/>
          <w:szCs w:val="24"/>
          <w:lang w:val="en-US" w:eastAsia="en-US"/>
        </w:rPr>
        <w:t>(</w:t>
      </w:r>
      <w:r w:rsidRPr="00DE13EE">
        <w:rPr>
          <w:rFonts w:ascii="Times New Roman" w:eastAsia="Times New Roman" w:hAnsi="Times New Roman" w:cs="Times New Roman"/>
          <w:iCs/>
          <w:color w:val="000000" w:themeColor="text1"/>
          <w:sz w:val="24"/>
          <w:szCs w:val="24"/>
          <w:lang w:val="en-US" w:eastAsia="en-GB"/>
        </w:rPr>
        <w:t>∆ ROA&gt;0)</w:t>
      </w:r>
      <w:r w:rsidRPr="00DE13EE">
        <w:rPr>
          <w:rFonts w:ascii="Times New Roman" w:eastAsia="Times New Roman" w:hAnsi="Times New Roman" w:cs="Times New Roman"/>
          <w:color w:val="000000" w:themeColor="text1"/>
          <w:sz w:val="24"/>
          <w:szCs w:val="24"/>
          <w:lang w:val="en-US" w:eastAsia="en-GB"/>
        </w:rPr>
        <w:t xml:space="preserve">, the coefficients on FLD </w:t>
      </w:r>
      <w:r w:rsidR="00E15741" w:rsidRPr="00DE13EE">
        <w:rPr>
          <w:rFonts w:ascii="Times New Roman" w:eastAsia="Times New Roman" w:hAnsi="Times New Roman" w:cs="Times New Roman"/>
          <w:color w:val="000000" w:themeColor="text1"/>
          <w:sz w:val="24"/>
          <w:szCs w:val="24"/>
          <w:lang w:val="en-US" w:eastAsia="en-GB"/>
        </w:rPr>
        <w:t xml:space="preserve">score </w:t>
      </w:r>
      <w:r w:rsidRPr="00DE13EE">
        <w:rPr>
          <w:rFonts w:ascii="Times New Roman" w:eastAsia="Times New Roman" w:hAnsi="Times New Roman" w:cs="Times New Roman"/>
          <w:color w:val="000000" w:themeColor="text1"/>
          <w:sz w:val="24"/>
          <w:szCs w:val="24"/>
          <w:lang w:val="en-US" w:eastAsia="en-GB"/>
        </w:rPr>
        <w:t>are not statistically significant at any significance level under either model. This result suggests that the future values of high-performing UK firms are not likely to be affected by the disclosure of forward-looking information.</w:t>
      </w:r>
      <w:r w:rsidRPr="00DE13EE">
        <w:rPr>
          <w:rFonts w:ascii="Times New Roman" w:eastAsia="Calibri" w:hAnsi="Times New Roman" w:cs="Times New Roman"/>
          <w:color w:val="000000" w:themeColor="text1"/>
          <w:sz w:val="24"/>
          <w:szCs w:val="24"/>
          <w:lang w:val="en-US" w:eastAsia="en-US"/>
        </w:rPr>
        <w:t xml:space="preserve"> </w:t>
      </w:r>
      <w:r w:rsidR="00E15741" w:rsidRPr="00DE13EE">
        <w:rPr>
          <w:rFonts w:ascii="Times New Roman" w:eastAsia="Calibri" w:hAnsi="Times New Roman" w:cs="Times New Roman"/>
          <w:color w:val="000000" w:themeColor="text1"/>
          <w:sz w:val="24"/>
          <w:szCs w:val="24"/>
          <w:lang w:val="en-US" w:eastAsia="en-US"/>
        </w:rPr>
        <w:t>However, f</w:t>
      </w:r>
      <w:r w:rsidRPr="00DE13EE">
        <w:rPr>
          <w:rFonts w:ascii="Times New Roman" w:eastAsia="Calibri" w:hAnsi="Times New Roman" w:cs="Times New Roman"/>
          <w:color w:val="000000" w:themeColor="text1"/>
          <w:sz w:val="24"/>
          <w:szCs w:val="24"/>
          <w:lang w:val="en-US" w:eastAsia="en-US"/>
        </w:rPr>
        <w:t>or low-performing firms (∆ ROA&lt;0), the coefficients on FLD</w:t>
      </w:r>
      <w:r w:rsidR="00E15741" w:rsidRPr="00DE13EE">
        <w:rPr>
          <w:rFonts w:ascii="Times New Roman" w:eastAsia="Calibri" w:hAnsi="Times New Roman" w:cs="Times New Roman"/>
          <w:color w:val="000000" w:themeColor="text1"/>
          <w:sz w:val="24"/>
          <w:szCs w:val="24"/>
          <w:lang w:val="en-US" w:eastAsia="en-US"/>
        </w:rPr>
        <w:t xml:space="preserve"> score</w:t>
      </w:r>
      <w:r w:rsidRPr="00DE13EE">
        <w:rPr>
          <w:rFonts w:ascii="Times New Roman" w:eastAsia="Calibri" w:hAnsi="Times New Roman" w:cs="Times New Roman"/>
          <w:color w:val="000000" w:themeColor="text1"/>
          <w:sz w:val="24"/>
          <w:szCs w:val="24"/>
          <w:lang w:val="en-US" w:eastAsia="en-US"/>
        </w:rPr>
        <w:t xml:space="preserve"> are statistically positive at a 1% level of significance in both models. This result indicates a positive association between FLD and the value of low-performing firms, suggesting that their future value is more likely to increase following the disclosure of forward-looking information. </w:t>
      </w:r>
      <w:r w:rsidR="008A1CAE" w:rsidRPr="00DE13EE">
        <w:rPr>
          <w:rFonts w:ascii="Times New Roman" w:hAnsi="Times New Roman" w:cs="Times New Roman"/>
          <w:color w:val="000000" w:themeColor="text1"/>
          <w:sz w:val="24"/>
          <w:szCs w:val="24"/>
          <w:lang w:val="en-US"/>
        </w:rPr>
        <w:t xml:space="preserve">Therefore, H2 is partially accepted that only forward-looking disclosures of low-performing firms positively affect the values of UK FTSE all shares firms. </w:t>
      </w:r>
    </w:p>
    <w:p w14:paraId="3D1F5484" w14:textId="2F188A1B" w:rsidR="008F4526" w:rsidRPr="00DE13EE" w:rsidRDefault="008F4526" w:rsidP="00B93D4F">
      <w:pPr>
        <w:spacing w:line="360" w:lineRule="auto"/>
        <w:jc w:val="both"/>
        <w:rPr>
          <w:rFonts w:ascii="Times New Roman" w:eastAsia="Calibri" w:hAnsi="Times New Roman" w:cs="Times New Roman"/>
          <w:color w:val="000000" w:themeColor="text1"/>
          <w:sz w:val="24"/>
          <w:szCs w:val="24"/>
          <w:lang w:val="en-US" w:eastAsia="en-US"/>
        </w:rPr>
      </w:pPr>
      <w:r w:rsidRPr="00DE13EE">
        <w:rPr>
          <w:rFonts w:ascii="Times New Roman" w:eastAsia="Calibri" w:hAnsi="Times New Roman" w:cs="Times New Roman"/>
          <w:color w:val="000000" w:themeColor="text1"/>
          <w:sz w:val="24"/>
          <w:szCs w:val="24"/>
          <w:lang w:val="en-US" w:eastAsia="en-US"/>
        </w:rPr>
        <w:t xml:space="preserve">These results may be explained from two perspectives. First, managers of high-performing firms feel that their investors are satisfied with their good performance and consequently do not require more information (Wallace </w:t>
      </w:r>
      <w:r w:rsidR="00120412" w:rsidRPr="00DE13EE">
        <w:rPr>
          <w:rFonts w:ascii="Times New Roman" w:eastAsia="Calibri" w:hAnsi="Times New Roman" w:cs="Times New Roman"/>
          <w:color w:val="000000" w:themeColor="text1"/>
          <w:sz w:val="24"/>
          <w:szCs w:val="24"/>
          <w:lang w:val="en-US" w:eastAsia="en-US"/>
        </w:rPr>
        <w:t xml:space="preserve">and </w:t>
      </w:r>
      <w:r w:rsidRPr="00DE13EE">
        <w:rPr>
          <w:rFonts w:ascii="Times New Roman" w:eastAsia="Calibri" w:hAnsi="Times New Roman" w:cs="Times New Roman"/>
          <w:color w:val="000000" w:themeColor="text1"/>
          <w:sz w:val="24"/>
          <w:szCs w:val="24"/>
          <w:lang w:val="en-US" w:eastAsia="en-US"/>
        </w:rPr>
        <w:t xml:space="preserve">Naser 1995). </w:t>
      </w:r>
      <w:r w:rsidR="00E15741" w:rsidRPr="00DE13EE">
        <w:rPr>
          <w:rFonts w:ascii="Times New Roman" w:eastAsia="Calibri" w:hAnsi="Times New Roman" w:cs="Times New Roman"/>
          <w:color w:val="000000" w:themeColor="text1"/>
          <w:sz w:val="24"/>
          <w:szCs w:val="24"/>
          <w:lang w:val="en-US" w:eastAsia="en-US"/>
        </w:rPr>
        <w:t>Thus, a</w:t>
      </w:r>
      <w:r w:rsidRPr="00DE13EE">
        <w:rPr>
          <w:rFonts w:ascii="Times New Roman" w:eastAsia="Calibri" w:hAnsi="Times New Roman" w:cs="Times New Roman"/>
          <w:color w:val="000000" w:themeColor="text1"/>
          <w:sz w:val="24"/>
          <w:szCs w:val="24"/>
          <w:lang w:val="en-US" w:eastAsia="en-US"/>
        </w:rPr>
        <w:t>ny additional forward-looking disclosures may not influence the investors of high-performing firms. Second, managers of low-performing firms react to bad earnings performance by increasing their discussions about their activities with a potential</w:t>
      </w:r>
      <w:r w:rsidR="00DD172E" w:rsidRPr="00DE13EE">
        <w:rPr>
          <w:rFonts w:ascii="Times New Roman" w:eastAsia="Calibri" w:hAnsi="Times New Roman" w:cs="Times New Roman"/>
          <w:color w:val="000000" w:themeColor="text1"/>
          <w:sz w:val="24"/>
          <w:szCs w:val="24"/>
          <w:lang w:val="en-US" w:eastAsia="en-US"/>
        </w:rPr>
        <w:t>ly</w:t>
      </w:r>
      <w:r w:rsidRPr="00DE13EE">
        <w:rPr>
          <w:rFonts w:ascii="Times New Roman" w:eastAsia="Calibri" w:hAnsi="Times New Roman" w:cs="Times New Roman"/>
          <w:color w:val="000000" w:themeColor="text1"/>
          <w:sz w:val="24"/>
          <w:szCs w:val="24"/>
          <w:lang w:val="en-US" w:eastAsia="en-US"/>
        </w:rPr>
        <w:t xml:space="preserve"> positive effect on future performance (Merkley 2014). This suggests that low-performing firms are more likely to provide informative narrative disclosures that enhance their market valuations. </w:t>
      </w:r>
      <w:r w:rsidR="00E15741" w:rsidRPr="00DE13EE">
        <w:rPr>
          <w:rFonts w:ascii="Times New Roman" w:eastAsia="Calibri" w:hAnsi="Times New Roman" w:cs="Times New Roman"/>
          <w:color w:val="000000" w:themeColor="text1"/>
          <w:sz w:val="24"/>
          <w:szCs w:val="24"/>
          <w:lang w:val="en-US" w:eastAsia="en-US"/>
        </w:rPr>
        <w:t xml:space="preserve">This is consistent with Merkley (2014) who finds that firms increase their R&amp;D disclosure when earnings decrease. Besides, prior </w:t>
      </w:r>
      <w:r w:rsidRPr="00DE13EE">
        <w:rPr>
          <w:rFonts w:ascii="Times New Roman" w:eastAsia="Calibri" w:hAnsi="Times New Roman" w:cs="Times New Roman"/>
          <w:color w:val="000000" w:themeColor="text1"/>
          <w:sz w:val="24"/>
          <w:szCs w:val="24"/>
          <w:lang w:val="en-US" w:eastAsia="en-US"/>
        </w:rPr>
        <w:t xml:space="preserve">empirical research in the UK has also found that forward-looking information is more likely to be used by unprofitable firms than profitable firms (Wang </w:t>
      </w:r>
      <w:r w:rsidR="00120412" w:rsidRPr="00DE13EE">
        <w:rPr>
          <w:rFonts w:ascii="Times New Roman" w:eastAsia="Calibri" w:hAnsi="Times New Roman" w:cs="Times New Roman"/>
          <w:color w:val="000000" w:themeColor="text1"/>
          <w:sz w:val="24"/>
          <w:szCs w:val="24"/>
          <w:lang w:val="en-US" w:eastAsia="en-US"/>
        </w:rPr>
        <w:t xml:space="preserve">and </w:t>
      </w:r>
      <w:r w:rsidRPr="00DE13EE">
        <w:rPr>
          <w:rFonts w:ascii="Times New Roman" w:eastAsia="Calibri" w:hAnsi="Times New Roman" w:cs="Times New Roman"/>
          <w:color w:val="000000" w:themeColor="text1"/>
          <w:sz w:val="24"/>
          <w:szCs w:val="24"/>
          <w:lang w:val="en-US" w:eastAsia="en-US"/>
        </w:rPr>
        <w:t>Hussainey 2013). In addition, Schleicher et al. (2007) find that loss-making firms provide more relevant information to their investors than profit-making firms. In sum, our results indicate that forward-looking information has no effect on the value of high-performing firms but does enhance investors’ valuation of low-performing firms.</w:t>
      </w:r>
    </w:p>
    <w:p w14:paraId="75FA14B5" w14:textId="5B32B7AF" w:rsidR="008F4526" w:rsidRPr="00DE13EE" w:rsidRDefault="008F4526" w:rsidP="00B93D4F">
      <w:pPr>
        <w:spacing w:line="360" w:lineRule="auto"/>
        <w:jc w:val="center"/>
        <w:rPr>
          <w:rFonts w:ascii="Times New Roman" w:eastAsia="Calibri" w:hAnsi="Times New Roman" w:cs="Times New Roman"/>
          <w:i/>
          <w:iCs/>
          <w:color w:val="000000" w:themeColor="text1"/>
          <w:sz w:val="24"/>
          <w:szCs w:val="24"/>
          <w:lang w:val="en-US" w:eastAsia="en-US"/>
        </w:rPr>
      </w:pPr>
      <w:r w:rsidRPr="00DE13EE">
        <w:rPr>
          <w:rFonts w:ascii="Times New Roman" w:eastAsia="Calibri" w:hAnsi="Times New Roman" w:cs="Times New Roman"/>
          <w:i/>
          <w:iCs/>
          <w:color w:val="000000" w:themeColor="text1"/>
          <w:sz w:val="24"/>
          <w:szCs w:val="24"/>
          <w:lang w:val="en-US" w:eastAsia="en-US"/>
        </w:rPr>
        <w:t>Insert Table (</w:t>
      </w:r>
      <w:r w:rsidR="00AF783A" w:rsidRPr="00DE13EE">
        <w:rPr>
          <w:rFonts w:ascii="Times New Roman" w:eastAsia="Calibri" w:hAnsi="Times New Roman" w:cs="Times New Roman"/>
          <w:i/>
          <w:iCs/>
          <w:color w:val="000000" w:themeColor="text1"/>
          <w:sz w:val="24"/>
          <w:szCs w:val="24"/>
          <w:lang w:val="en-US" w:eastAsia="en-US"/>
        </w:rPr>
        <w:t>5</w:t>
      </w:r>
      <w:r w:rsidRPr="00DE13EE">
        <w:rPr>
          <w:rFonts w:ascii="Times New Roman" w:eastAsia="Calibri" w:hAnsi="Times New Roman" w:cs="Times New Roman"/>
          <w:i/>
          <w:iCs/>
          <w:color w:val="000000" w:themeColor="text1"/>
          <w:sz w:val="24"/>
          <w:szCs w:val="24"/>
          <w:lang w:val="en-US" w:eastAsia="en-US"/>
        </w:rPr>
        <w:t>) here</w:t>
      </w:r>
    </w:p>
    <w:p w14:paraId="43BD9BAD" w14:textId="77777777" w:rsidR="00E01DAE" w:rsidRPr="00DE13EE" w:rsidRDefault="00E01DAE" w:rsidP="00B93D4F">
      <w:pPr>
        <w:spacing w:line="360" w:lineRule="auto"/>
        <w:jc w:val="center"/>
        <w:rPr>
          <w:rFonts w:ascii="Times New Roman" w:eastAsia="Calibri" w:hAnsi="Times New Roman" w:cs="Times New Roman"/>
          <w:i/>
          <w:iCs/>
          <w:color w:val="000000" w:themeColor="text1"/>
          <w:sz w:val="24"/>
          <w:szCs w:val="24"/>
          <w:lang w:val="en-US" w:eastAsia="en-US"/>
        </w:rPr>
      </w:pPr>
    </w:p>
    <w:p w14:paraId="2626650C" w14:textId="07A3D225" w:rsidR="00812C9C" w:rsidRPr="00DE13EE" w:rsidRDefault="00E15741" w:rsidP="00B93D4F">
      <w:pPr>
        <w:pStyle w:val="Heading3"/>
        <w:rPr>
          <w:color w:val="000000" w:themeColor="text1"/>
          <w:lang w:val="en-US"/>
        </w:rPr>
      </w:pPr>
      <w:r w:rsidRPr="00DE13EE">
        <w:rPr>
          <w:color w:val="000000" w:themeColor="text1"/>
          <w:lang w:val="en-US"/>
        </w:rPr>
        <w:lastRenderedPageBreak/>
        <w:t>Testing H3</w:t>
      </w:r>
      <w:r w:rsidR="00C52C4B" w:rsidRPr="00DE13EE">
        <w:rPr>
          <w:color w:val="000000" w:themeColor="text1"/>
          <w:lang w:val="en-US"/>
        </w:rPr>
        <w:t xml:space="preserve">: </w:t>
      </w:r>
      <w:r w:rsidR="00711445" w:rsidRPr="00DE13EE">
        <w:rPr>
          <w:color w:val="000000" w:themeColor="text1"/>
          <w:lang w:val="en-US"/>
        </w:rPr>
        <w:t>Big</w:t>
      </w:r>
      <w:r w:rsidR="00B62B2D" w:rsidRPr="00DE13EE">
        <w:rPr>
          <w:color w:val="000000" w:themeColor="text1"/>
          <w:lang w:val="en-US"/>
        </w:rPr>
        <w:t>-N vs. non</w:t>
      </w:r>
      <w:r w:rsidR="00DD172E" w:rsidRPr="00DE13EE">
        <w:rPr>
          <w:color w:val="000000" w:themeColor="text1"/>
          <w:lang w:val="en-US"/>
        </w:rPr>
        <w:t>-</w:t>
      </w:r>
      <w:r w:rsidR="00711445" w:rsidRPr="00DE13EE">
        <w:rPr>
          <w:color w:val="000000" w:themeColor="text1"/>
          <w:lang w:val="en-US"/>
        </w:rPr>
        <w:t>Big-N auditors</w:t>
      </w:r>
    </w:p>
    <w:p w14:paraId="3F5FB638" w14:textId="1863831C" w:rsidR="000B477D" w:rsidRPr="00DE13EE" w:rsidRDefault="00F35A86" w:rsidP="00B93D4F">
      <w:pPr>
        <w:spacing w:line="360" w:lineRule="auto"/>
        <w:jc w:val="both"/>
        <w:rPr>
          <w:rFonts w:ascii="Times New Roman" w:hAnsi="Times New Roman" w:cs="Times New Roman"/>
          <w:color w:val="000000" w:themeColor="text1"/>
          <w:sz w:val="24"/>
          <w:szCs w:val="24"/>
          <w:lang w:val="en-US"/>
        </w:rPr>
      </w:pPr>
      <w:r w:rsidRPr="00DE13EE">
        <w:rPr>
          <w:rFonts w:ascii="Times New Roman" w:hAnsi="Times New Roman" w:cs="Times New Roman"/>
          <w:color w:val="000000" w:themeColor="text1"/>
          <w:sz w:val="24"/>
          <w:szCs w:val="24"/>
          <w:lang w:val="en-US"/>
        </w:rPr>
        <w:t>This</w:t>
      </w:r>
      <w:r w:rsidR="00812C9C" w:rsidRPr="00DE13EE">
        <w:rPr>
          <w:rFonts w:ascii="Times New Roman" w:hAnsi="Times New Roman" w:cs="Times New Roman"/>
          <w:color w:val="000000" w:themeColor="text1"/>
          <w:sz w:val="24"/>
          <w:szCs w:val="24"/>
          <w:lang w:val="en-US"/>
        </w:rPr>
        <w:t xml:space="preserve"> section examine</w:t>
      </w:r>
      <w:r w:rsidRPr="00DE13EE">
        <w:rPr>
          <w:rFonts w:ascii="Times New Roman" w:hAnsi="Times New Roman" w:cs="Times New Roman"/>
          <w:color w:val="000000" w:themeColor="text1"/>
          <w:sz w:val="24"/>
          <w:szCs w:val="24"/>
          <w:lang w:val="en-US"/>
        </w:rPr>
        <w:t>s</w:t>
      </w:r>
      <w:r w:rsidR="00812C9C" w:rsidRPr="00DE13EE">
        <w:rPr>
          <w:rFonts w:ascii="Times New Roman" w:hAnsi="Times New Roman" w:cs="Times New Roman"/>
          <w:color w:val="000000" w:themeColor="text1"/>
          <w:sz w:val="24"/>
          <w:szCs w:val="24"/>
          <w:lang w:val="en-US"/>
        </w:rPr>
        <w:t xml:space="preserve"> whether the association between FLD and value of FTSE all-shares firms may differ based on the </w:t>
      </w:r>
      <w:r w:rsidR="001D0D30" w:rsidRPr="00DE13EE">
        <w:rPr>
          <w:rFonts w:ascii="Times New Roman" w:hAnsi="Times New Roman" w:cs="Times New Roman"/>
          <w:color w:val="000000" w:themeColor="text1"/>
          <w:sz w:val="24"/>
          <w:szCs w:val="24"/>
          <w:lang w:val="en-US"/>
        </w:rPr>
        <w:t>size of the audit</w:t>
      </w:r>
      <w:r w:rsidR="00ED5AFE" w:rsidRPr="00DE13EE">
        <w:rPr>
          <w:rFonts w:ascii="Times New Roman" w:hAnsi="Times New Roman" w:cs="Times New Roman"/>
          <w:color w:val="000000" w:themeColor="text1"/>
          <w:sz w:val="24"/>
          <w:szCs w:val="24"/>
          <w:lang w:val="en-US"/>
        </w:rPr>
        <w:t xml:space="preserve"> </w:t>
      </w:r>
      <w:r w:rsidR="003934DA" w:rsidRPr="00DE13EE">
        <w:rPr>
          <w:rFonts w:ascii="Times New Roman" w:hAnsi="Times New Roman" w:cs="Times New Roman"/>
          <w:color w:val="000000" w:themeColor="text1"/>
          <w:sz w:val="24"/>
          <w:szCs w:val="24"/>
          <w:lang w:val="en-US"/>
        </w:rPr>
        <w:t>firm</w:t>
      </w:r>
      <w:r w:rsidR="00812C9C" w:rsidRPr="00DE13EE">
        <w:rPr>
          <w:rFonts w:ascii="Times New Roman" w:hAnsi="Times New Roman" w:cs="Times New Roman"/>
          <w:color w:val="000000" w:themeColor="text1"/>
          <w:sz w:val="24"/>
          <w:szCs w:val="24"/>
          <w:lang w:val="en-US"/>
        </w:rPr>
        <w:t>. To this end, the sample is divided into two sub-samples</w:t>
      </w:r>
      <w:r w:rsidRPr="00DE13EE">
        <w:rPr>
          <w:rFonts w:ascii="Times New Roman" w:hAnsi="Times New Roman" w:cs="Times New Roman"/>
          <w:color w:val="000000" w:themeColor="text1"/>
          <w:sz w:val="24"/>
          <w:szCs w:val="24"/>
          <w:lang w:val="en-US"/>
        </w:rPr>
        <w:t xml:space="preserve"> based on the size of the auditing firm</w:t>
      </w:r>
      <w:r w:rsidR="00812C9C" w:rsidRPr="00DE13EE">
        <w:rPr>
          <w:rFonts w:ascii="Times New Roman" w:hAnsi="Times New Roman" w:cs="Times New Roman"/>
          <w:color w:val="000000" w:themeColor="text1"/>
          <w:sz w:val="24"/>
          <w:szCs w:val="24"/>
          <w:lang w:val="en-US"/>
        </w:rPr>
        <w:t xml:space="preserve">: firms audited by one of the </w:t>
      </w:r>
      <w:r w:rsidR="00C63A09" w:rsidRPr="00DE13EE">
        <w:rPr>
          <w:rFonts w:ascii="Times New Roman" w:hAnsi="Times New Roman" w:cs="Times New Roman"/>
          <w:color w:val="000000" w:themeColor="text1"/>
          <w:sz w:val="24"/>
          <w:szCs w:val="24"/>
          <w:lang w:val="en-US"/>
        </w:rPr>
        <w:t>B</w:t>
      </w:r>
      <w:r w:rsidR="00812C9C" w:rsidRPr="00DE13EE">
        <w:rPr>
          <w:rFonts w:ascii="Times New Roman" w:hAnsi="Times New Roman" w:cs="Times New Roman"/>
          <w:color w:val="000000" w:themeColor="text1"/>
          <w:sz w:val="24"/>
          <w:szCs w:val="24"/>
          <w:lang w:val="en-US"/>
        </w:rPr>
        <w:t xml:space="preserve">ig 4 auditing firms (Big-N) and firms audited by </w:t>
      </w:r>
      <w:r w:rsidR="00ED5AFE" w:rsidRPr="00DE13EE">
        <w:rPr>
          <w:rFonts w:ascii="Times New Roman" w:hAnsi="Times New Roman" w:cs="Times New Roman"/>
          <w:color w:val="000000" w:themeColor="text1"/>
          <w:sz w:val="24"/>
          <w:szCs w:val="24"/>
          <w:lang w:val="en-US"/>
        </w:rPr>
        <w:t>a non-</w:t>
      </w:r>
      <w:r w:rsidR="00C63A09" w:rsidRPr="00DE13EE">
        <w:rPr>
          <w:rFonts w:ascii="Times New Roman" w:hAnsi="Times New Roman" w:cs="Times New Roman"/>
          <w:color w:val="000000" w:themeColor="text1"/>
          <w:sz w:val="24"/>
          <w:szCs w:val="24"/>
          <w:lang w:val="en-US"/>
        </w:rPr>
        <w:t>B</w:t>
      </w:r>
      <w:r w:rsidR="00812C9C" w:rsidRPr="00DE13EE">
        <w:rPr>
          <w:rFonts w:ascii="Times New Roman" w:hAnsi="Times New Roman" w:cs="Times New Roman"/>
          <w:color w:val="000000" w:themeColor="text1"/>
          <w:sz w:val="24"/>
          <w:szCs w:val="24"/>
          <w:lang w:val="en-US"/>
        </w:rPr>
        <w:t>ig</w:t>
      </w:r>
      <w:r w:rsidR="00ED5AFE" w:rsidRPr="00DE13EE">
        <w:rPr>
          <w:rFonts w:ascii="Times New Roman" w:hAnsi="Times New Roman" w:cs="Times New Roman"/>
          <w:color w:val="000000" w:themeColor="text1"/>
          <w:sz w:val="24"/>
          <w:szCs w:val="24"/>
          <w:lang w:val="en-US"/>
        </w:rPr>
        <w:t xml:space="preserve"> 4</w:t>
      </w:r>
      <w:r w:rsidR="00812C9C" w:rsidRPr="00DE13EE">
        <w:rPr>
          <w:rFonts w:ascii="Times New Roman" w:hAnsi="Times New Roman" w:cs="Times New Roman"/>
          <w:color w:val="000000" w:themeColor="text1"/>
          <w:sz w:val="24"/>
          <w:szCs w:val="24"/>
          <w:lang w:val="en-US"/>
        </w:rPr>
        <w:t xml:space="preserve"> auditor (Non</w:t>
      </w:r>
      <w:r w:rsidR="001D0D30" w:rsidRPr="00DE13EE">
        <w:rPr>
          <w:rFonts w:ascii="Times New Roman" w:hAnsi="Times New Roman" w:cs="Times New Roman"/>
          <w:color w:val="000000" w:themeColor="text1"/>
          <w:sz w:val="24"/>
          <w:szCs w:val="24"/>
          <w:lang w:val="en-US"/>
        </w:rPr>
        <w:t xml:space="preserve"> </w:t>
      </w:r>
      <w:r w:rsidR="00812C9C" w:rsidRPr="00DE13EE">
        <w:rPr>
          <w:rFonts w:ascii="Times New Roman" w:hAnsi="Times New Roman" w:cs="Times New Roman"/>
          <w:color w:val="000000" w:themeColor="text1"/>
          <w:sz w:val="24"/>
          <w:szCs w:val="24"/>
          <w:lang w:val="en-US"/>
        </w:rPr>
        <w:t>Big-N).</w:t>
      </w:r>
      <w:r w:rsidRPr="00DE13EE">
        <w:rPr>
          <w:rFonts w:ascii="Times New Roman" w:hAnsi="Times New Roman" w:cs="Times New Roman"/>
          <w:color w:val="000000" w:themeColor="text1"/>
          <w:sz w:val="24"/>
          <w:szCs w:val="24"/>
          <w:lang w:val="en-US"/>
        </w:rPr>
        <w:t xml:space="preserve"> Models (1) &amp; (2) are run for the Big-N and Non Big-N Samples, separately. </w:t>
      </w:r>
    </w:p>
    <w:p w14:paraId="7AEC9D07" w14:textId="52A99C40" w:rsidR="00812C9C" w:rsidRPr="00DE13EE" w:rsidRDefault="00812C9C" w:rsidP="00B93D4F">
      <w:pPr>
        <w:spacing w:line="360" w:lineRule="auto"/>
        <w:jc w:val="both"/>
        <w:rPr>
          <w:rFonts w:ascii="Times New Roman" w:hAnsi="Times New Roman" w:cs="Times New Roman"/>
          <w:color w:val="000000" w:themeColor="text1"/>
          <w:sz w:val="24"/>
          <w:szCs w:val="24"/>
          <w:lang w:val="en-US"/>
        </w:rPr>
      </w:pPr>
      <w:r w:rsidRPr="00DE13EE">
        <w:rPr>
          <w:rFonts w:ascii="Times New Roman" w:hAnsi="Times New Roman" w:cs="Times New Roman"/>
          <w:color w:val="000000" w:themeColor="text1"/>
          <w:sz w:val="24"/>
          <w:szCs w:val="24"/>
          <w:lang w:val="en-US"/>
        </w:rPr>
        <w:t>Table (</w:t>
      </w:r>
      <w:r w:rsidR="00F35A86" w:rsidRPr="00DE13EE">
        <w:rPr>
          <w:rFonts w:ascii="Times New Roman" w:hAnsi="Times New Roman" w:cs="Times New Roman"/>
          <w:color w:val="000000" w:themeColor="text1"/>
          <w:sz w:val="24"/>
          <w:szCs w:val="24"/>
          <w:lang w:val="en-US"/>
        </w:rPr>
        <w:t>6</w:t>
      </w:r>
      <w:r w:rsidRPr="00DE13EE">
        <w:rPr>
          <w:rFonts w:ascii="Times New Roman" w:hAnsi="Times New Roman" w:cs="Times New Roman"/>
          <w:color w:val="000000" w:themeColor="text1"/>
          <w:sz w:val="24"/>
          <w:szCs w:val="24"/>
          <w:lang w:val="en-US"/>
        </w:rPr>
        <w:t xml:space="preserve">) reports the estimation using </w:t>
      </w:r>
      <w:r w:rsidR="00F72BF1" w:rsidRPr="00DE13EE">
        <w:rPr>
          <w:rFonts w:ascii="Times New Roman" w:hAnsi="Times New Roman" w:cs="Times New Roman"/>
          <w:color w:val="000000" w:themeColor="text1"/>
          <w:sz w:val="24"/>
          <w:szCs w:val="24"/>
          <w:lang w:val="en-US"/>
        </w:rPr>
        <w:t xml:space="preserve">a </w:t>
      </w:r>
      <w:r w:rsidR="00C52C4B" w:rsidRPr="00DE13EE">
        <w:rPr>
          <w:rFonts w:ascii="Times New Roman" w:hAnsi="Times New Roman" w:cs="Times New Roman"/>
          <w:color w:val="000000" w:themeColor="text1"/>
          <w:sz w:val="24"/>
          <w:szCs w:val="24"/>
          <w:lang w:val="en-US"/>
        </w:rPr>
        <w:t>fixed effect</w:t>
      </w:r>
      <w:r w:rsidRPr="00DE13EE">
        <w:rPr>
          <w:rFonts w:ascii="Times New Roman" w:hAnsi="Times New Roman" w:cs="Times New Roman"/>
          <w:color w:val="000000" w:themeColor="text1"/>
          <w:sz w:val="24"/>
          <w:szCs w:val="24"/>
          <w:lang w:val="en-US"/>
        </w:rPr>
        <w:t xml:space="preserve"> regression (Model 1) and random effects regression (Model 2) for </w:t>
      </w:r>
      <w:r w:rsidR="00F72BF1" w:rsidRPr="00DE13EE">
        <w:rPr>
          <w:rFonts w:ascii="Times New Roman" w:hAnsi="Times New Roman" w:cs="Times New Roman"/>
          <w:color w:val="000000" w:themeColor="text1"/>
          <w:sz w:val="24"/>
          <w:szCs w:val="24"/>
          <w:lang w:val="en-US"/>
        </w:rPr>
        <w:t xml:space="preserve">both </w:t>
      </w:r>
      <w:r w:rsidRPr="00DE13EE">
        <w:rPr>
          <w:rFonts w:ascii="Times New Roman" w:hAnsi="Times New Roman" w:cs="Times New Roman"/>
          <w:color w:val="000000" w:themeColor="text1"/>
          <w:sz w:val="24"/>
          <w:szCs w:val="24"/>
          <w:lang w:val="en-US"/>
        </w:rPr>
        <w:t>Big-N and Non</w:t>
      </w:r>
      <w:r w:rsidR="00F72BF1" w:rsidRPr="00DE13EE">
        <w:rPr>
          <w:rFonts w:ascii="Times New Roman" w:hAnsi="Times New Roman" w:cs="Times New Roman"/>
          <w:color w:val="000000" w:themeColor="text1"/>
          <w:sz w:val="24"/>
          <w:szCs w:val="24"/>
          <w:lang w:val="en-US"/>
        </w:rPr>
        <w:t>-</w:t>
      </w:r>
      <w:r w:rsidRPr="00DE13EE">
        <w:rPr>
          <w:rFonts w:ascii="Times New Roman" w:hAnsi="Times New Roman" w:cs="Times New Roman"/>
          <w:color w:val="000000" w:themeColor="text1"/>
          <w:sz w:val="24"/>
          <w:szCs w:val="24"/>
          <w:lang w:val="en-US"/>
        </w:rPr>
        <w:t>Big-N samples. While the coefficients on FLD</w:t>
      </w:r>
      <w:r w:rsidR="00662324" w:rsidRPr="00DE13EE">
        <w:rPr>
          <w:rFonts w:ascii="Times New Roman" w:hAnsi="Times New Roman" w:cs="Times New Roman"/>
          <w:color w:val="000000" w:themeColor="text1"/>
          <w:sz w:val="24"/>
          <w:szCs w:val="24"/>
          <w:lang w:val="en-US"/>
        </w:rPr>
        <w:t xml:space="preserve"> score</w:t>
      </w:r>
      <w:r w:rsidRPr="00DE13EE">
        <w:rPr>
          <w:rFonts w:ascii="Times New Roman" w:hAnsi="Times New Roman" w:cs="Times New Roman"/>
          <w:color w:val="000000" w:themeColor="text1"/>
          <w:sz w:val="24"/>
          <w:szCs w:val="24"/>
          <w:lang w:val="en-US"/>
        </w:rPr>
        <w:t xml:space="preserve"> for Big-N auditors are statistically significant at </w:t>
      </w:r>
      <w:r w:rsidR="00F72BF1" w:rsidRPr="00DE13EE">
        <w:rPr>
          <w:rFonts w:ascii="Times New Roman" w:hAnsi="Times New Roman" w:cs="Times New Roman"/>
          <w:color w:val="000000" w:themeColor="text1"/>
          <w:sz w:val="24"/>
          <w:szCs w:val="24"/>
          <w:lang w:val="en-US"/>
        </w:rPr>
        <w:t xml:space="preserve">a </w:t>
      </w:r>
      <w:r w:rsidRPr="00DE13EE">
        <w:rPr>
          <w:rFonts w:ascii="Times New Roman" w:hAnsi="Times New Roman" w:cs="Times New Roman"/>
          <w:color w:val="000000" w:themeColor="text1"/>
          <w:sz w:val="24"/>
          <w:szCs w:val="24"/>
          <w:lang w:val="en-US"/>
        </w:rPr>
        <w:t xml:space="preserve">1% level under models (1) &amp; (2), these coefficients are non-statistically significant under any significance level for </w:t>
      </w:r>
      <w:r w:rsidR="00F72BF1" w:rsidRPr="00DE13EE">
        <w:rPr>
          <w:rFonts w:ascii="Times New Roman" w:hAnsi="Times New Roman" w:cs="Times New Roman"/>
          <w:color w:val="000000" w:themeColor="text1"/>
          <w:sz w:val="24"/>
          <w:szCs w:val="24"/>
          <w:lang w:val="en-US"/>
        </w:rPr>
        <w:t xml:space="preserve">the </w:t>
      </w:r>
      <w:r w:rsidRPr="00DE13EE">
        <w:rPr>
          <w:rFonts w:ascii="Times New Roman" w:hAnsi="Times New Roman" w:cs="Times New Roman"/>
          <w:color w:val="000000" w:themeColor="text1"/>
          <w:sz w:val="24"/>
          <w:szCs w:val="24"/>
          <w:lang w:val="en-US"/>
        </w:rPr>
        <w:t>Non</w:t>
      </w:r>
      <w:r w:rsidR="00F72BF1" w:rsidRPr="00DE13EE">
        <w:rPr>
          <w:rFonts w:ascii="Times New Roman" w:hAnsi="Times New Roman" w:cs="Times New Roman"/>
          <w:color w:val="000000" w:themeColor="text1"/>
          <w:sz w:val="24"/>
          <w:szCs w:val="24"/>
          <w:lang w:val="en-US"/>
        </w:rPr>
        <w:t>-</w:t>
      </w:r>
      <w:r w:rsidR="00C63A09" w:rsidRPr="00DE13EE">
        <w:rPr>
          <w:rFonts w:ascii="Times New Roman" w:hAnsi="Times New Roman" w:cs="Times New Roman"/>
          <w:color w:val="000000" w:themeColor="text1"/>
          <w:sz w:val="24"/>
          <w:szCs w:val="24"/>
          <w:lang w:val="en-US"/>
        </w:rPr>
        <w:t>B</w:t>
      </w:r>
      <w:r w:rsidRPr="00DE13EE">
        <w:rPr>
          <w:rFonts w:ascii="Times New Roman" w:hAnsi="Times New Roman" w:cs="Times New Roman"/>
          <w:color w:val="000000" w:themeColor="text1"/>
          <w:sz w:val="24"/>
          <w:szCs w:val="24"/>
          <w:lang w:val="en-US"/>
        </w:rPr>
        <w:t>ig-N auditors</w:t>
      </w:r>
      <w:r w:rsidR="009202D9" w:rsidRPr="00DE13EE">
        <w:rPr>
          <w:rFonts w:ascii="Times New Roman" w:hAnsi="Times New Roman" w:cs="Times New Roman"/>
          <w:color w:val="000000" w:themeColor="text1"/>
          <w:sz w:val="24"/>
          <w:szCs w:val="24"/>
          <w:lang w:val="en-US"/>
        </w:rPr>
        <w:t>’</w:t>
      </w:r>
      <w:r w:rsidRPr="00DE13EE">
        <w:rPr>
          <w:rFonts w:ascii="Times New Roman" w:hAnsi="Times New Roman" w:cs="Times New Roman"/>
          <w:color w:val="000000" w:themeColor="text1"/>
          <w:sz w:val="24"/>
          <w:szCs w:val="24"/>
          <w:lang w:val="en-US"/>
        </w:rPr>
        <w:t xml:space="preserve"> sample. These results suggest </w:t>
      </w:r>
      <w:r w:rsidR="00D612BA" w:rsidRPr="00DE13EE">
        <w:rPr>
          <w:rFonts w:ascii="Times New Roman" w:hAnsi="Times New Roman" w:cs="Times New Roman"/>
          <w:color w:val="000000" w:themeColor="text1"/>
          <w:sz w:val="24"/>
          <w:szCs w:val="24"/>
          <w:lang w:val="en-US"/>
        </w:rPr>
        <w:t xml:space="preserve">a </w:t>
      </w:r>
      <w:r w:rsidRPr="00DE13EE">
        <w:rPr>
          <w:rFonts w:ascii="Times New Roman" w:hAnsi="Times New Roman" w:cs="Times New Roman"/>
          <w:color w:val="000000" w:themeColor="text1"/>
          <w:sz w:val="24"/>
          <w:szCs w:val="24"/>
          <w:lang w:val="en-US"/>
        </w:rPr>
        <w:t>positive association between FLD and</w:t>
      </w:r>
      <w:r w:rsidR="00D612BA" w:rsidRPr="00DE13EE">
        <w:rPr>
          <w:rFonts w:ascii="Times New Roman" w:hAnsi="Times New Roman" w:cs="Times New Roman"/>
          <w:color w:val="000000" w:themeColor="text1"/>
          <w:sz w:val="24"/>
          <w:szCs w:val="24"/>
          <w:lang w:val="en-US"/>
        </w:rPr>
        <w:t xml:space="preserve"> the</w:t>
      </w:r>
      <w:r w:rsidRPr="00DE13EE">
        <w:rPr>
          <w:rFonts w:ascii="Times New Roman" w:hAnsi="Times New Roman" w:cs="Times New Roman"/>
          <w:color w:val="000000" w:themeColor="text1"/>
          <w:sz w:val="24"/>
          <w:szCs w:val="24"/>
          <w:lang w:val="en-US"/>
        </w:rPr>
        <w:t xml:space="preserve"> future value of UK firms audited by </w:t>
      </w:r>
      <w:r w:rsidR="002F5774" w:rsidRPr="00DE13EE">
        <w:rPr>
          <w:rFonts w:ascii="Times New Roman" w:hAnsi="Times New Roman" w:cs="Times New Roman"/>
          <w:color w:val="000000" w:themeColor="text1"/>
          <w:sz w:val="24"/>
          <w:szCs w:val="24"/>
          <w:lang w:val="en-US"/>
        </w:rPr>
        <w:t>one of the B</w:t>
      </w:r>
      <w:r w:rsidRPr="00DE13EE">
        <w:rPr>
          <w:rFonts w:ascii="Times New Roman" w:hAnsi="Times New Roman" w:cs="Times New Roman"/>
          <w:color w:val="000000" w:themeColor="text1"/>
          <w:sz w:val="24"/>
          <w:szCs w:val="24"/>
          <w:lang w:val="en-US"/>
        </w:rPr>
        <w:t xml:space="preserve">ig </w:t>
      </w:r>
      <w:r w:rsidR="002F5774" w:rsidRPr="00DE13EE">
        <w:rPr>
          <w:rFonts w:ascii="Times New Roman" w:hAnsi="Times New Roman" w:cs="Times New Roman"/>
          <w:color w:val="000000" w:themeColor="text1"/>
          <w:sz w:val="24"/>
          <w:szCs w:val="24"/>
          <w:lang w:val="en-US"/>
        </w:rPr>
        <w:t xml:space="preserve">4 </w:t>
      </w:r>
      <w:r w:rsidRPr="00DE13EE">
        <w:rPr>
          <w:rFonts w:ascii="Times New Roman" w:hAnsi="Times New Roman" w:cs="Times New Roman"/>
          <w:color w:val="000000" w:themeColor="text1"/>
          <w:sz w:val="24"/>
          <w:szCs w:val="24"/>
          <w:lang w:val="en-US"/>
        </w:rPr>
        <w:t>auditing firms. However, there is no association between the disclosure of forward-looking information and future values</w:t>
      </w:r>
      <w:r w:rsidR="002F5774" w:rsidRPr="00DE13EE">
        <w:rPr>
          <w:rFonts w:ascii="Times New Roman" w:hAnsi="Times New Roman" w:cs="Times New Roman"/>
          <w:color w:val="000000" w:themeColor="text1"/>
          <w:sz w:val="24"/>
          <w:szCs w:val="24"/>
          <w:lang w:val="en-US"/>
        </w:rPr>
        <w:t xml:space="preserve"> of firms audited by </w:t>
      </w:r>
      <w:r w:rsidR="00D612BA" w:rsidRPr="00DE13EE">
        <w:rPr>
          <w:rFonts w:ascii="Times New Roman" w:hAnsi="Times New Roman" w:cs="Times New Roman"/>
          <w:color w:val="000000" w:themeColor="text1"/>
          <w:sz w:val="24"/>
          <w:szCs w:val="24"/>
          <w:lang w:val="en-US"/>
        </w:rPr>
        <w:t>other</w:t>
      </w:r>
      <w:r w:rsidR="003C266E" w:rsidRPr="00DE13EE">
        <w:rPr>
          <w:rFonts w:ascii="Times New Roman" w:hAnsi="Times New Roman" w:cs="Times New Roman"/>
          <w:color w:val="000000" w:themeColor="text1"/>
          <w:sz w:val="24"/>
          <w:szCs w:val="24"/>
          <w:lang w:val="en-US"/>
        </w:rPr>
        <w:t xml:space="preserve"> audit</w:t>
      </w:r>
      <w:r w:rsidRPr="00DE13EE">
        <w:rPr>
          <w:rFonts w:ascii="Times New Roman" w:hAnsi="Times New Roman" w:cs="Times New Roman"/>
          <w:color w:val="000000" w:themeColor="text1"/>
          <w:sz w:val="24"/>
          <w:szCs w:val="24"/>
          <w:lang w:val="en-US"/>
        </w:rPr>
        <w:t xml:space="preserve"> firms. Therefore, these results suggest that disclosure of forward-looking information enhances future values of firms only when </w:t>
      </w:r>
      <w:r w:rsidR="00FD0881" w:rsidRPr="00DE13EE">
        <w:rPr>
          <w:rFonts w:ascii="Times New Roman" w:hAnsi="Times New Roman" w:cs="Times New Roman"/>
          <w:color w:val="000000" w:themeColor="text1"/>
          <w:sz w:val="24"/>
          <w:szCs w:val="24"/>
          <w:lang w:val="en-US"/>
        </w:rPr>
        <w:t>they</w:t>
      </w:r>
      <w:r w:rsidRPr="00DE13EE">
        <w:rPr>
          <w:rFonts w:ascii="Times New Roman" w:hAnsi="Times New Roman" w:cs="Times New Roman"/>
          <w:color w:val="000000" w:themeColor="text1"/>
          <w:sz w:val="24"/>
          <w:szCs w:val="24"/>
          <w:lang w:val="en-US"/>
        </w:rPr>
        <w:t xml:space="preserve"> are audited by </w:t>
      </w:r>
      <w:r w:rsidR="002F5774" w:rsidRPr="00DE13EE">
        <w:rPr>
          <w:rFonts w:ascii="Times New Roman" w:hAnsi="Times New Roman" w:cs="Times New Roman"/>
          <w:color w:val="000000" w:themeColor="text1"/>
          <w:sz w:val="24"/>
          <w:szCs w:val="24"/>
          <w:lang w:val="en-US"/>
        </w:rPr>
        <w:t xml:space="preserve">one of the Big 4 </w:t>
      </w:r>
      <w:r w:rsidRPr="00DE13EE">
        <w:rPr>
          <w:rFonts w:ascii="Times New Roman" w:hAnsi="Times New Roman" w:cs="Times New Roman"/>
          <w:color w:val="000000" w:themeColor="text1"/>
          <w:sz w:val="24"/>
          <w:szCs w:val="24"/>
          <w:lang w:val="en-US"/>
        </w:rPr>
        <w:t>auditing firm</w:t>
      </w:r>
      <w:r w:rsidR="00FD0881" w:rsidRPr="00DE13EE">
        <w:rPr>
          <w:rFonts w:ascii="Times New Roman" w:hAnsi="Times New Roman" w:cs="Times New Roman"/>
          <w:color w:val="000000" w:themeColor="text1"/>
          <w:sz w:val="24"/>
          <w:szCs w:val="24"/>
          <w:lang w:val="en-US"/>
        </w:rPr>
        <w:t>s</w:t>
      </w:r>
      <w:r w:rsidRPr="00DE13EE">
        <w:rPr>
          <w:rFonts w:ascii="Times New Roman" w:hAnsi="Times New Roman" w:cs="Times New Roman"/>
          <w:color w:val="000000" w:themeColor="text1"/>
          <w:sz w:val="24"/>
          <w:szCs w:val="24"/>
          <w:lang w:val="en-US"/>
        </w:rPr>
        <w:t>.</w:t>
      </w:r>
      <w:r w:rsidR="00D0300C" w:rsidRPr="00DE13EE">
        <w:rPr>
          <w:rFonts w:ascii="Times New Roman" w:hAnsi="Times New Roman" w:cs="Times New Roman"/>
          <w:color w:val="000000" w:themeColor="text1"/>
          <w:sz w:val="24"/>
          <w:szCs w:val="24"/>
          <w:lang w:val="en-US"/>
        </w:rPr>
        <w:t xml:space="preserve"> Therefore, H</w:t>
      </w:r>
      <w:r w:rsidR="00C73DBA" w:rsidRPr="00DE13EE">
        <w:rPr>
          <w:rFonts w:ascii="Times New Roman" w:hAnsi="Times New Roman" w:cs="Times New Roman"/>
          <w:color w:val="000000" w:themeColor="text1"/>
          <w:sz w:val="24"/>
          <w:szCs w:val="24"/>
          <w:lang w:val="en-US"/>
        </w:rPr>
        <w:t>3</w:t>
      </w:r>
      <w:r w:rsidR="00D0300C" w:rsidRPr="00DE13EE">
        <w:rPr>
          <w:rFonts w:ascii="Times New Roman" w:hAnsi="Times New Roman" w:cs="Times New Roman"/>
          <w:color w:val="000000" w:themeColor="text1"/>
          <w:sz w:val="24"/>
          <w:szCs w:val="24"/>
          <w:lang w:val="en-US"/>
        </w:rPr>
        <w:t xml:space="preserve"> is accepted.</w:t>
      </w:r>
      <w:r w:rsidR="000B477D" w:rsidRPr="00DE13EE">
        <w:rPr>
          <w:rFonts w:ascii="Times New Roman" w:hAnsi="Times New Roman" w:cs="Times New Roman"/>
          <w:color w:val="000000" w:themeColor="text1"/>
          <w:sz w:val="24"/>
          <w:szCs w:val="24"/>
          <w:lang w:val="en-US"/>
        </w:rPr>
        <w:t xml:space="preserve"> </w:t>
      </w:r>
      <w:r w:rsidR="00D0300C" w:rsidRPr="00DE13EE">
        <w:rPr>
          <w:rFonts w:ascii="Times New Roman" w:hAnsi="Times New Roman" w:cs="Times New Roman"/>
          <w:color w:val="000000" w:themeColor="text1"/>
          <w:sz w:val="24"/>
          <w:szCs w:val="24"/>
          <w:lang w:val="en-US"/>
        </w:rPr>
        <w:t xml:space="preserve">The result is consistent with </w:t>
      </w:r>
      <w:r w:rsidR="00685792" w:rsidRPr="00DE13EE">
        <w:rPr>
          <w:rFonts w:ascii="Times New Roman" w:hAnsi="Times New Roman" w:cs="Times New Roman"/>
          <w:color w:val="000000" w:themeColor="text1"/>
          <w:sz w:val="24"/>
          <w:szCs w:val="24"/>
          <w:lang w:val="en-US"/>
        </w:rPr>
        <w:t>the</w:t>
      </w:r>
      <w:r w:rsidR="00D0300C" w:rsidRPr="00DE13EE">
        <w:rPr>
          <w:rFonts w:ascii="Times New Roman" w:hAnsi="Times New Roman" w:cs="Times New Roman"/>
          <w:color w:val="000000" w:themeColor="text1"/>
          <w:sz w:val="24"/>
          <w:szCs w:val="24"/>
          <w:lang w:val="en-US"/>
        </w:rPr>
        <w:t xml:space="preserve"> expectation that </w:t>
      </w:r>
      <w:r w:rsidR="003C266E" w:rsidRPr="00DE13EE">
        <w:rPr>
          <w:rFonts w:ascii="Times New Roman" w:hAnsi="Times New Roman" w:cs="Times New Roman"/>
          <w:color w:val="000000" w:themeColor="text1"/>
          <w:sz w:val="24"/>
          <w:szCs w:val="24"/>
          <w:lang w:val="en-US"/>
        </w:rPr>
        <w:t>big audit</w:t>
      </w:r>
      <w:r w:rsidR="00685792" w:rsidRPr="00DE13EE">
        <w:rPr>
          <w:rFonts w:ascii="Times New Roman" w:hAnsi="Times New Roman" w:cs="Times New Roman"/>
          <w:color w:val="000000" w:themeColor="text1"/>
          <w:sz w:val="24"/>
          <w:szCs w:val="24"/>
          <w:lang w:val="en-US"/>
        </w:rPr>
        <w:t xml:space="preserve"> firms are more likely to assure investors on the credibility of accounting information (Fan </w:t>
      </w:r>
      <w:r w:rsidR="00844F58" w:rsidRPr="00DE13EE">
        <w:rPr>
          <w:rFonts w:ascii="Times New Roman" w:hAnsi="Times New Roman" w:cs="Times New Roman"/>
          <w:color w:val="000000" w:themeColor="text1"/>
          <w:sz w:val="24"/>
          <w:szCs w:val="24"/>
          <w:lang w:val="en-US"/>
        </w:rPr>
        <w:t xml:space="preserve">and </w:t>
      </w:r>
      <w:r w:rsidR="00685792" w:rsidRPr="00DE13EE">
        <w:rPr>
          <w:rFonts w:ascii="Times New Roman" w:hAnsi="Times New Roman" w:cs="Times New Roman"/>
          <w:color w:val="000000" w:themeColor="text1"/>
          <w:sz w:val="24"/>
          <w:szCs w:val="24"/>
          <w:lang w:val="en-US"/>
        </w:rPr>
        <w:t>Wong 2005) and high</w:t>
      </w:r>
      <w:r w:rsidR="009202D9" w:rsidRPr="00DE13EE">
        <w:rPr>
          <w:rFonts w:ascii="Times New Roman" w:hAnsi="Times New Roman" w:cs="Times New Roman"/>
          <w:color w:val="000000" w:themeColor="text1"/>
          <w:sz w:val="24"/>
          <w:szCs w:val="24"/>
          <w:lang w:val="en-US"/>
        </w:rPr>
        <w:t>-</w:t>
      </w:r>
      <w:r w:rsidR="00685792" w:rsidRPr="00DE13EE">
        <w:rPr>
          <w:rFonts w:ascii="Times New Roman" w:hAnsi="Times New Roman" w:cs="Times New Roman"/>
          <w:color w:val="000000" w:themeColor="text1"/>
          <w:sz w:val="24"/>
          <w:szCs w:val="24"/>
          <w:lang w:val="en-US"/>
        </w:rPr>
        <w:t>quality auditors encourage managers to disclose highly accurate information (</w:t>
      </w:r>
      <w:r w:rsidR="00D74FD0" w:rsidRPr="00DE13EE">
        <w:rPr>
          <w:rFonts w:ascii="Times New Roman" w:hAnsi="Times New Roman" w:cs="Times New Roman"/>
          <w:color w:val="000000" w:themeColor="text1"/>
          <w:sz w:val="24"/>
          <w:szCs w:val="24"/>
          <w:lang w:val="en-US"/>
        </w:rPr>
        <w:t>Lawrence et al. 2011</w:t>
      </w:r>
      <w:r w:rsidR="00685792" w:rsidRPr="00DE13EE">
        <w:rPr>
          <w:rFonts w:ascii="Times New Roman" w:hAnsi="Times New Roman" w:cs="Times New Roman"/>
          <w:color w:val="000000" w:themeColor="text1"/>
          <w:sz w:val="24"/>
          <w:szCs w:val="24"/>
          <w:lang w:val="en-US"/>
        </w:rPr>
        <w:t xml:space="preserve">). </w:t>
      </w:r>
      <w:r w:rsidR="00EA08B1" w:rsidRPr="00DE13EE">
        <w:rPr>
          <w:rFonts w:ascii="Times New Roman" w:hAnsi="Times New Roman" w:cs="Times New Roman"/>
          <w:color w:val="000000" w:themeColor="text1"/>
          <w:sz w:val="24"/>
          <w:szCs w:val="24"/>
          <w:lang w:val="en-US"/>
        </w:rPr>
        <w:t>Similarly</w:t>
      </w:r>
      <w:r w:rsidRPr="00DE13EE">
        <w:rPr>
          <w:rFonts w:ascii="Times New Roman" w:hAnsi="Times New Roman" w:cs="Times New Roman"/>
          <w:color w:val="000000" w:themeColor="text1"/>
          <w:sz w:val="24"/>
          <w:szCs w:val="24"/>
          <w:lang w:val="en-US"/>
        </w:rPr>
        <w:t>, Hussainey (2009) find</w:t>
      </w:r>
      <w:r w:rsidR="00FD0881" w:rsidRPr="00DE13EE">
        <w:rPr>
          <w:rFonts w:ascii="Times New Roman" w:hAnsi="Times New Roman" w:cs="Times New Roman"/>
          <w:color w:val="000000" w:themeColor="text1"/>
          <w:sz w:val="24"/>
          <w:szCs w:val="24"/>
          <w:lang w:val="en-US"/>
        </w:rPr>
        <w:t>s</w:t>
      </w:r>
      <w:r w:rsidRPr="00DE13EE">
        <w:rPr>
          <w:rFonts w:ascii="Times New Roman" w:hAnsi="Times New Roman" w:cs="Times New Roman"/>
          <w:color w:val="000000" w:themeColor="text1"/>
          <w:sz w:val="24"/>
          <w:szCs w:val="24"/>
          <w:lang w:val="en-US"/>
        </w:rPr>
        <w:t xml:space="preserve"> that investors perceived firms audited by big auditing firms </w:t>
      </w:r>
      <w:r w:rsidR="00FD0881" w:rsidRPr="00DE13EE">
        <w:rPr>
          <w:rFonts w:ascii="Times New Roman" w:hAnsi="Times New Roman" w:cs="Times New Roman"/>
          <w:color w:val="000000" w:themeColor="text1"/>
          <w:sz w:val="24"/>
          <w:szCs w:val="24"/>
          <w:lang w:val="en-US"/>
        </w:rPr>
        <w:t>as providing</w:t>
      </w:r>
      <w:r w:rsidRPr="00DE13EE">
        <w:rPr>
          <w:rFonts w:ascii="Times New Roman" w:hAnsi="Times New Roman" w:cs="Times New Roman"/>
          <w:color w:val="000000" w:themeColor="text1"/>
          <w:sz w:val="24"/>
          <w:szCs w:val="24"/>
          <w:lang w:val="en-US"/>
        </w:rPr>
        <w:t xml:space="preserve"> more value</w:t>
      </w:r>
      <w:r w:rsidR="00FD0881" w:rsidRPr="00DE13EE">
        <w:rPr>
          <w:rFonts w:ascii="Times New Roman" w:hAnsi="Times New Roman" w:cs="Times New Roman"/>
          <w:color w:val="000000" w:themeColor="text1"/>
          <w:sz w:val="24"/>
          <w:szCs w:val="24"/>
          <w:lang w:val="en-US"/>
        </w:rPr>
        <w:t>-</w:t>
      </w:r>
      <w:r w:rsidRPr="00DE13EE">
        <w:rPr>
          <w:rFonts w:ascii="Times New Roman" w:hAnsi="Times New Roman" w:cs="Times New Roman"/>
          <w:color w:val="000000" w:themeColor="text1"/>
          <w:sz w:val="24"/>
          <w:szCs w:val="24"/>
          <w:lang w:val="en-US"/>
        </w:rPr>
        <w:t xml:space="preserve">relevant information than </w:t>
      </w:r>
      <w:r w:rsidR="00FD0881" w:rsidRPr="00DE13EE">
        <w:rPr>
          <w:rFonts w:ascii="Times New Roman" w:hAnsi="Times New Roman" w:cs="Times New Roman"/>
          <w:color w:val="000000" w:themeColor="text1"/>
          <w:sz w:val="24"/>
          <w:szCs w:val="24"/>
          <w:lang w:val="en-US"/>
        </w:rPr>
        <w:t>others</w:t>
      </w:r>
      <w:r w:rsidRPr="00DE13EE">
        <w:rPr>
          <w:rFonts w:ascii="Times New Roman" w:hAnsi="Times New Roman" w:cs="Times New Roman"/>
          <w:color w:val="000000" w:themeColor="text1"/>
          <w:sz w:val="24"/>
          <w:szCs w:val="24"/>
          <w:lang w:val="en-US"/>
        </w:rPr>
        <w:t xml:space="preserve">. In addition, Brown and Tucker (2011) find that </w:t>
      </w:r>
      <w:r w:rsidR="00300100" w:rsidRPr="00DE13EE">
        <w:rPr>
          <w:rFonts w:ascii="Times New Roman" w:hAnsi="Times New Roman" w:cs="Times New Roman"/>
          <w:color w:val="000000" w:themeColor="text1"/>
          <w:sz w:val="24"/>
          <w:szCs w:val="24"/>
          <w:lang w:val="en-US"/>
        </w:rPr>
        <w:t xml:space="preserve">large </w:t>
      </w:r>
      <w:r w:rsidRPr="00DE13EE">
        <w:rPr>
          <w:rFonts w:ascii="Times New Roman" w:hAnsi="Times New Roman" w:cs="Times New Roman"/>
          <w:color w:val="000000" w:themeColor="text1"/>
          <w:sz w:val="24"/>
          <w:szCs w:val="24"/>
          <w:lang w:val="en-US"/>
        </w:rPr>
        <w:t xml:space="preserve">auditors encourage managers of US firms to provide informative disclosure to investors in their </w:t>
      </w:r>
      <w:r w:rsidR="003C266E" w:rsidRPr="00DE13EE">
        <w:rPr>
          <w:rFonts w:ascii="Times New Roman" w:hAnsi="Times New Roman" w:cs="Times New Roman"/>
          <w:color w:val="000000" w:themeColor="text1"/>
          <w:sz w:val="24"/>
          <w:szCs w:val="24"/>
          <w:lang w:val="en-US"/>
        </w:rPr>
        <w:t>MD&amp;A</w:t>
      </w:r>
      <w:r w:rsidRPr="00DE13EE">
        <w:rPr>
          <w:rFonts w:ascii="Times New Roman" w:hAnsi="Times New Roman" w:cs="Times New Roman"/>
          <w:color w:val="000000" w:themeColor="text1"/>
          <w:sz w:val="24"/>
          <w:szCs w:val="24"/>
          <w:lang w:val="en-US"/>
        </w:rPr>
        <w:t>.</w:t>
      </w:r>
    </w:p>
    <w:p w14:paraId="62510855" w14:textId="74C07448" w:rsidR="00812C9C" w:rsidRPr="00DE13EE" w:rsidRDefault="00812C9C" w:rsidP="00B93D4F">
      <w:pPr>
        <w:spacing w:line="360" w:lineRule="auto"/>
        <w:jc w:val="center"/>
        <w:rPr>
          <w:rFonts w:ascii="Times New Roman" w:hAnsi="Times New Roman" w:cs="Times New Roman"/>
          <w:i/>
          <w:iCs/>
          <w:color w:val="000000" w:themeColor="text1"/>
          <w:sz w:val="24"/>
          <w:szCs w:val="24"/>
          <w:lang w:val="en-US"/>
        </w:rPr>
      </w:pPr>
      <w:r w:rsidRPr="00DE13EE">
        <w:rPr>
          <w:rFonts w:ascii="Times New Roman" w:hAnsi="Times New Roman" w:cs="Times New Roman"/>
          <w:i/>
          <w:iCs/>
          <w:color w:val="000000" w:themeColor="text1"/>
          <w:sz w:val="24"/>
          <w:szCs w:val="24"/>
          <w:lang w:val="en-US"/>
        </w:rPr>
        <w:t>Insert Table (</w:t>
      </w:r>
      <w:r w:rsidR="00AF783A" w:rsidRPr="00DE13EE">
        <w:rPr>
          <w:rFonts w:ascii="Times New Roman" w:hAnsi="Times New Roman" w:cs="Times New Roman"/>
          <w:i/>
          <w:iCs/>
          <w:color w:val="000000" w:themeColor="text1"/>
          <w:sz w:val="24"/>
          <w:szCs w:val="24"/>
          <w:lang w:val="en-US"/>
        </w:rPr>
        <w:t>6</w:t>
      </w:r>
      <w:r w:rsidRPr="00DE13EE">
        <w:rPr>
          <w:rFonts w:ascii="Times New Roman" w:hAnsi="Times New Roman" w:cs="Times New Roman"/>
          <w:i/>
          <w:iCs/>
          <w:color w:val="000000" w:themeColor="text1"/>
          <w:sz w:val="24"/>
          <w:szCs w:val="24"/>
          <w:lang w:val="en-US"/>
        </w:rPr>
        <w:t>) here</w:t>
      </w:r>
    </w:p>
    <w:p w14:paraId="1639EF43" w14:textId="77777777" w:rsidR="00E01DAE" w:rsidRPr="00DE13EE" w:rsidRDefault="00E01DAE" w:rsidP="00B93D4F">
      <w:pPr>
        <w:spacing w:line="360" w:lineRule="auto"/>
        <w:jc w:val="center"/>
        <w:rPr>
          <w:rFonts w:ascii="Times New Roman" w:hAnsi="Times New Roman" w:cs="Times New Roman"/>
          <w:i/>
          <w:iCs/>
          <w:color w:val="000000" w:themeColor="text1"/>
          <w:sz w:val="24"/>
          <w:szCs w:val="24"/>
          <w:lang w:val="en-US"/>
        </w:rPr>
      </w:pPr>
    </w:p>
    <w:p w14:paraId="6AD6FDD6" w14:textId="1C822E6C" w:rsidR="008E6388" w:rsidRPr="00DE13EE" w:rsidRDefault="00BB3FA5" w:rsidP="00B93D4F">
      <w:pPr>
        <w:pStyle w:val="Heading1"/>
        <w:rPr>
          <w:color w:val="000000" w:themeColor="text1"/>
          <w:lang w:val="en-US"/>
        </w:rPr>
      </w:pPr>
      <w:bookmarkStart w:id="1" w:name="_Toc431488815"/>
      <w:r w:rsidRPr="00DE13EE">
        <w:rPr>
          <w:color w:val="000000" w:themeColor="text1"/>
          <w:lang w:val="en-US"/>
        </w:rPr>
        <w:t xml:space="preserve">Robustness </w:t>
      </w:r>
      <w:r w:rsidR="008E6388" w:rsidRPr="00DE13EE">
        <w:rPr>
          <w:color w:val="000000" w:themeColor="text1"/>
          <w:lang w:val="en-US"/>
        </w:rPr>
        <w:t>test</w:t>
      </w:r>
      <w:bookmarkEnd w:id="1"/>
      <w:r w:rsidR="007F7659" w:rsidRPr="00DE13EE">
        <w:rPr>
          <w:color w:val="000000" w:themeColor="text1"/>
          <w:lang w:val="en-US"/>
        </w:rPr>
        <w:t>s</w:t>
      </w:r>
      <w:r w:rsidR="001D1EC5" w:rsidRPr="00DE13EE">
        <w:rPr>
          <w:color w:val="000000" w:themeColor="text1"/>
          <w:lang w:val="en-US"/>
        </w:rPr>
        <w:t xml:space="preserve"> </w:t>
      </w:r>
      <w:r w:rsidR="008E6388" w:rsidRPr="00DE13EE">
        <w:rPr>
          <w:color w:val="000000" w:themeColor="text1"/>
          <w:lang w:val="en-US"/>
        </w:rPr>
        <w:t xml:space="preserve"> </w:t>
      </w:r>
    </w:p>
    <w:p w14:paraId="54D4EBBC" w14:textId="0F22A97F" w:rsidR="00BF2FC7" w:rsidRPr="00DE13EE" w:rsidRDefault="00BF2FC7" w:rsidP="00B93D4F">
      <w:pPr>
        <w:spacing w:line="360" w:lineRule="auto"/>
        <w:jc w:val="both"/>
        <w:rPr>
          <w:rFonts w:ascii="Times New Roman" w:eastAsia="Calibri" w:hAnsi="Times New Roman" w:cs="Times New Roman"/>
          <w:color w:val="000000" w:themeColor="text1"/>
          <w:sz w:val="24"/>
          <w:szCs w:val="24"/>
          <w:lang w:val="en-US" w:eastAsia="en-US"/>
        </w:rPr>
      </w:pPr>
      <w:r w:rsidRPr="00DE13EE">
        <w:rPr>
          <w:rFonts w:ascii="Times New Roman" w:eastAsia="Calibri" w:hAnsi="Times New Roman" w:cs="Times New Roman"/>
          <w:color w:val="000000" w:themeColor="text1"/>
          <w:sz w:val="24"/>
          <w:szCs w:val="24"/>
          <w:lang w:val="en-US" w:eastAsia="en-US"/>
        </w:rPr>
        <w:t xml:space="preserve">We compare the random effect regression results with the </w:t>
      </w:r>
      <w:r w:rsidR="00A81B59" w:rsidRPr="00DE13EE">
        <w:rPr>
          <w:rFonts w:ascii="Times New Roman" w:eastAsia="Calibri" w:hAnsi="Times New Roman" w:cs="Times New Roman"/>
          <w:color w:val="000000" w:themeColor="text1"/>
          <w:sz w:val="24"/>
          <w:szCs w:val="24"/>
          <w:lang w:val="en-US" w:eastAsia="en-US"/>
        </w:rPr>
        <w:t xml:space="preserve">fixed effect </w:t>
      </w:r>
      <w:r w:rsidRPr="00DE13EE">
        <w:rPr>
          <w:rFonts w:ascii="Times New Roman" w:eastAsia="Calibri" w:hAnsi="Times New Roman" w:cs="Times New Roman"/>
          <w:color w:val="000000" w:themeColor="text1"/>
          <w:sz w:val="24"/>
          <w:szCs w:val="24"/>
          <w:lang w:val="en-US" w:eastAsia="en-US"/>
        </w:rPr>
        <w:t xml:space="preserve">models </w:t>
      </w:r>
      <w:r w:rsidR="00A81B59" w:rsidRPr="00DE13EE">
        <w:rPr>
          <w:rFonts w:ascii="Times New Roman" w:eastAsia="Calibri" w:hAnsi="Times New Roman" w:cs="Times New Roman"/>
          <w:color w:val="000000" w:themeColor="text1"/>
          <w:sz w:val="24"/>
          <w:szCs w:val="24"/>
          <w:lang w:val="en-US" w:eastAsia="en-US"/>
        </w:rPr>
        <w:t>(</w:t>
      </w:r>
      <w:r w:rsidRPr="00DE13EE">
        <w:rPr>
          <w:rFonts w:ascii="Times New Roman" w:eastAsia="Calibri" w:hAnsi="Times New Roman" w:cs="Times New Roman"/>
          <w:color w:val="000000" w:themeColor="text1"/>
          <w:sz w:val="24"/>
          <w:szCs w:val="24"/>
          <w:lang w:val="en-US" w:eastAsia="en-US"/>
        </w:rPr>
        <w:t>frequently used in prior research</w:t>
      </w:r>
      <w:r w:rsidR="00A81B59" w:rsidRPr="00DE13EE">
        <w:rPr>
          <w:rFonts w:ascii="Times New Roman" w:eastAsia="Calibri" w:hAnsi="Times New Roman" w:cs="Times New Roman"/>
          <w:color w:val="000000" w:themeColor="text1"/>
          <w:sz w:val="24"/>
          <w:szCs w:val="24"/>
          <w:lang w:val="en-US" w:eastAsia="en-US"/>
        </w:rPr>
        <w:t>)</w:t>
      </w:r>
      <w:r w:rsidRPr="00DE13EE">
        <w:rPr>
          <w:rFonts w:ascii="Times New Roman" w:eastAsia="Calibri" w:hAnsi="Times New Roman" w:cs="Times New Roman"/>
          <w:color w:val="000000" w:themeColor="text1"/>
          <w:sz w:val="24"/>
          <w:szCs w:val="24"/>
          <w:lang w:val="en-US" w:eastAsia="en-US"/>
        </w:rPr>
        <w:t>. The results of both models lead to identical conclusions in terms of the impact of forward-looking disclosure</w:t>
      </w:r>
      <w:r w:rsidR="00FB0836" w:rsidRPr="00DE13EE">
        <w:rPr>
          <w:rFonts w:ascii="Times New Roman" w:eastAsia="Calibri" w:hAnsi="Times New Roman" w:cs="Times New Roman"/>
          <w:color w:val="000000" w:themeColor="text1"/>
          <w:sz w:val="24"/>
          <w:szCs w:val="24"/>
          <w:lang w:val="en-US" w:eastAsia="en-US"/>
        </w:rPr>
        <w:t>s</w:t>
      </w:r>
      <w:r w:rsidRPr="00DE13EE">
        <w:rPr>
          <w:rFonts w:ascii="Times New Roman" w:eastAsia="Calibri" w:hAnsi="Times New Roman" w:cs="Times New Roman"/>
          <w:color w:val="000000" w:themeColor="text1"/>
          <w:sz w:val="24"/>
          <w:szCs w:val="24"/>
          <w:lang w:val="en-US" w:eastAsia="en-US"/>
        </w:rPr>
        <w:t xml:space="preserve"> on the future values of UK </w:t>
      </w:r>
      <w:r w:rsidR="00EA3E6E" w:rsidRPr="00DE13EE">
        <w:rPr>
          <w:rFonts w:ascii="Times New Roman" w:eastAsia="Calibri" w:hAnsi="Times New Roman" w:cs="Times New Roman"/>
          <w:color w:val="000000" w:themeColor="text1"/>
          <w:sz w:val="24"/>
          <w:szCs w:val="24"/>
          <w:lang w:val="en-US" w:eastAsia="en-US"/>
        </w:rPr>
        <w:t xml:space="preserve">FTSE all-shares </w:t>
      </w:r>
      <w:r w:rsidRPr="00DE13EE">
        <w:rPr>
          <w:rFonts w:ascii="Times New Roman" w:eastAsia="Calibri" w:hAnsi="Times New Roman" w:cs="Times New Roman"/>
          <w:color w:val="000000" w:themeColor="text1"/>
          <w:sz w:val="24"/>
          <w:szCs w:val="24"/>
          <w:lang w:val="en-US" w:eastAsia="en-US"/>
        </w:rPr>
        <w:t xml:space="preserve">firms. </w:t>
      </w:r>
      <w:r w:rsidR="00895F5C" w:rsidRPr="00DE13EE">
        <w:rPr>
          <w:rFonts w:ascii="Times New Roman" w:eastAsia="Calibri" w:hAnsi="Times New Roman" w:cs="Times New Roman"/>
          <w:color w:val="000000" w:themeColor="text1"/>
          <w:sz w:val="24"/>
          <w:szCs w:val="24"/>
          <w:lang w:val="en-US" w:eastAsia="en-US"/>
        </w:rPr>
        <w:t xml:space="preserve">Furthermore, in the regression models, we exclude the year dummies, which </w:t>
      </w:r>
      <w:r w:rsidR="00FB0836" w:rsidRPr="00DE13EE">
        <w:rPr>
          <w:rFonts w:ascii="Times New Roman" w:eastAsia="Calibri" w:hAnsi="Times New Roman" w:cs="Times New Roman"/>
          <w:color w:val="000000" w:themeColor="text1"/>
          <w:sz w:val="24"/>
          <w:szCs w:val="24"/>
          <w:lang w:val="en-US" w:eastAsia="en-US"/>
        </w:rPr>
        <w:t xml:space="preserve">implicitly </w:t>
      </w:r>
      <w:r w:rsidR="00895F5C" w:rsidRPr="00DE13EE">
        <w:rPr>
          <w:rFonts w:ascii="Times New Roman" w:eastAsia="Calibri" w:hAnsi="Times New Roman" w:cs="Times New Roman"/>
          <w:color w:val="000000" w:themeColor="text1"/>
          <w:sz w:val="24"/>
          <w:szCs w:val="24"/>
          <w:lang w:val="en-US" w:eastAsia="en-US"/>
        </w:rPr>
        <w:t>control for</w:t>
      </w:r>
      <w:r w:rsidR="00FB0836" w:rsidRPr="00DE13EE">
        <w:rPr>
          <w:rFonts w:ascii="Times New Roman" w:eastAsia="Calibri" w:hAnsi="Times New Roman" w:cs="Times New Roman"/>
          <w:color w:val="000000" w:themeColor="text1"/>
          <w:sz w:val="24"/>
          <w:szCs w:val="24"/>
          <w:lang w:val="en-US" w:eastAsia="en-US"/>
        </w:rPr>
        <w:t xml:space="preserve"> periods of</w:t>
      </w:r>
      <w:r w:rsidR="00895F5C" w:rsidRPr="00DE13EE">
        <w:rPr>
          <w:rFonts w:ascii="Times New Roman" w:eastAsia="Calibri" w:hAnsi="Times New Roman" w:cs="Times New Roman"/>
          <w:color w:val="000000" w:themeColor="text1"/>
          <w:sz w:val="24"/>
          <w:szCs w:val="24"/>
          <w:lang w:val="en-US" w:eastAsia="en-US"/>
        </w:rPr>
        <w:t xml:space="preserve"> financial crises</w:t>
      </w:r>
      <w:r w:rsidR="00FB0836" w:rsidRPr="00DE13EE">
        <w:rPr>
          <w:rFonts w:ascii="Times New Roman" w:eastAsia="Calibri" w:hAnsi="Times New Roman" w:cs="Times New Roman"/>
          <w:color w:val="000000" w:themeColor="text1"/>
          <w:sz w:val="24"/>
          <w:szCs w:val="24"/>
          <w:lang w:val="en-US" w:eastAsia="en-US"/>
        </w:rPr>
        <w:t xml:space="preserve">. </w:t>
      </w:r>
      <w:r w:rsidR="006A103A" w:rsidRPr="00DE13EE">
        <w:rPr>
          <w:rFonts w:ascii="Times New Roman" w:eastAsia="Calibri" w:hAnsi="Times New Roman" w:cs="Times New Roman"/>
          <w:color w:val="000000" w:themeColor="text1"/>
          <w:sz w:val="24"/>
          <w:szCs w:val="24"/>
          <w:lang w:val="en-US" w:eastAsia="en-US"/>
        </w:rPr>
        <w:t>Then, t</w:t>
      </w:r>
      <w:r w:rsidR="00895F5C" w:rsidRPr="00DE13EE">
        <w:rPr>
          <w:rFonts w:ascii="Times New Roman" w:eastAsia="Calibri" w:hAnsi="Times New Roman" w:cs="Times New Roman"/>
          <w:color w:val="000000" w:themeColor="text1"/>
          <w:sz w:val="24"/>
          <w:szCs w:val="24"/>
          <w:lang w:val="en-US" w:eastAsia="en-US"/>
        </w:rPr>
        <w:t>he current study controls for period</w:t>
      </w:r>
      <w:r w:rsidR="009559BB" w:rsidRPr="00DE13EE">
        <w:rPr>
          <w:rFonts w:ascii="Times New Roman" w:eastAsia="Calibri" w:hAnsi="Times New Roman" w:cs="Times New Roman"/>
          <w:color w:val="000000" w:themeColor="text1"/>
          <w:sz w:val="24"/>
          <w:szCs w:val="24"/>
          <w:lang w:val="en-US" w:eastAsia="en-US"/>
        </w:rPr>
        <w:t>s</w:t>
      </w:r>
      <w:r w:rsidR="00895F5C" w:rsidRPr="00DE13EE">
        <w:rPr>
          <w:rFonts w:ascii="Times New Roman" w:eastAsia="Calibri" w:hAnsi="Times New Roman" w:cs="Times New Roman"/>
          <w:color w:val="000000" w:themeColor="text1"/>
          <w:sz w:val="24"/>
          <w:szCs w:val="24"/>
          <w:lang w:val="en-US" w:eastAsia="en-US"/>
        </w:rPr>
        <w:t xml:space="preserve"> of financial crises </w:t>
      </w:r>
      <w:r w:rsidR="00895F5C" w:rsidRPr="00DE13EE">
        <w:rPr>
          <w:rFonts w:ascii="Times New Roman" w:eastAsia="Calibri" w:hAnsi="Times New Roman" w:cs="Times New Roman"/>
          <w:color w:val="000000" w:themeColor="text1"/>
          <w:sz w:val="24"/>
          <w:szCs w:val="24"/>
          <w:lang w:val="en-US" w:eastAsia="en-US"/>
        </w:rPr>
        <w:lastRenderedPageBreak/>
        <w:t xml:space="preserve">by adding a dummy variable </w:t>
      </w:r>
      <w:r w:rsidR="009559BB" w:rsidRPr="00DE13EE">
        <w:rPr>
          <w:rFonts w:ascii="Times New Roman" w:eastAsia="Calibri" w:hAnsi="Times New Roman" w:cs="Times New Roman"/>
          <w:color w:val="000000" w:themeColor="text1"/>
          <w:sz w:val="24"/>
          <w:szCs w:val="24"/>
          <w:lang w:val="en-US" w:eastAsia="en-US"/>
        </w:rPr>
        <w:t xml:space="preserve">in the regression models </w:t>
      </w:r>
      <w:r w:rsidR="00895F5C" w:rsidRPr="00DE13EE">
        <w:rPr>
          <w:rFonts w:ascii="Times New Roman" w:eastAsia="Calibri" w:hAnsi="Times New Roman" w:cs="Times New Roman"/>
          <w:color w:val="000000" w:themeColor="text1"/>
          <w:sz w:val="24"/>
          <w:szCs w:val="24"/>
          <w:lang w:val="en-US" w:eastAsia="en-US"/>
        </w:rPr>
        <w:t>that is equal to 1 for the firm observations during the years 2007 and 2008 and 0 otherwise. The results</w:t>
      </w:r>
      <w:r w:rsidR="00DD0104" w:rsidRPr="00DE13EE">
        <w:rPr>
          <w:rFonts w:ascii="Times New Roman" w:eastAsia="Calibri" w:hAnsi="Times New Roman" w:cs="Times New Roman"/>
          <w:color w:val="000000" w:themeColor="text1"/>
          <w:sz w:val="24"/>
          <w:szCs w:val="24"/>
          <w:lang w:val="en-US" w:eastAsia="en-US"/>
        </w:rPr>
        <w:t>, not tabulated,</w:t>
      </w:r>
      <w:r w:rsidR="00895F5C" w:rsidRPr="00DE13EE">
        <w:rPr>
          <w:rFonts w:ascii="Times New Roman" w:eastAsia="Calibri" w:hAnsi="Times New Roman" w:cs="Times New Roman"/>
          <w:color w:val="000000" w:themeColor="text1"/>
          <w:sz w:val="24"/>
          <w:szCs w:val="24"/>
          <w:lang w:val="en-US" w:eastAsia="en-US"/>
        </w:rPr>
        <w:t xml:space="preserve"> are largely unchanged</w:t>
      </w:r>
      <w:r w:rsidR="00643E5E" w:rsidRPr="00DE13EE">
        <w:rPr>
          <w:rFonts w:ascii="Times New Roman" w:eastAsia="Calibri" w:hAnsi="Times New Roman" w:cs="Times New Roman"/>
          <w:color w:val="000000" w:themeColor="text1"/>
          <w:sz w:val="24"/>
          <w:szCs w:val="24"/>
          <w:lang w:val="en-US" w:eastAsia="en-US"/>
        </w:rPr>
        <w:t>.</w:t>
      </w:r>
    </w:p>
    <w:p w14:paraId="310A4714" w14:textId="7A1D3240" w:rsidR="008E6388" w:rsidRPr="00DE13EE" w:rsidRDefault="00276665" w:rsidP="00B93D4F">
      <w:pPr>
        <w:spacing w:line="360" w:lineRule="auto"/>
        <w:jc w:val="both"/>
        <w:rPr>
          <w:rFonts w:ascii="Times New Roman" w:eastAsia="Calibri" w:hAnsi="Times New Roman" w:cs="Times New Roman"/>
          <w:color w:val="000000" w:themeColor="text1"/>
          <w:sz w:val="24"/>
          <w:szCs w:val="24"/>
          <w:lang w:val="en-US" w:eastAsia="en-US"/>
        </w:rPr>
      </w:pPr>
      <w:r w:rsidRPr="00DE13EE">
        <w:rPr>
          <w:rFonts w:ascii="Times New Roman" w:eastAsia="Calibri" w:hAnsi="Times New Roman" w:cs="Times New Roman"/>
          <w:color w:val="000000" w:themeColor="text1"/>
          <w:sz w:val="24"/>
          <w:szCs w:val="24"/>
          <w:lang w:val="en-US" w:eastAsia="en-US"/>
        </w:rPr>
        <w:t xml:space="preserve">The results are </w:t>
      </w:r>
      <w:r w:rsidR="00070FEF" w:rsidRPr="00DE13EE">
        <w:rPr>
          <w:rFonts w:ascii="Times New Roman" w:eastAsia="Calibri" w:hAnsi="Times New Roman" w:cs="Times New Roman"/>
          <w:color w:val="000000" w:themeColor="text1"/>
          <w:sz w:val="24"/>
          <w:szCs w:val="24"/>
          <w:lang w:val="en-US" w:eastAsia="en-US"/>
        </w:rPr>
        <w:t>further analyzed</w:t>
      </w:r>
      <w:r w:rsidRPr="00DE13EE">
        <w:rPr>
          <w:rFonts w:ascii="Times New Roman" w:eastAsia="Calibri" w:hAnsi="Times New Roman" w:cs="Times New Roman"/>
          <w:color w:val="000000" w:themeColor="text1"/>
          <w:sz w:val="24"/>
          <w:szCs w:val="24"/>
          <w:lang w:val="en-US" w:eastAsia="en-US"/>
        </w:rPr>
        <w:t xml:space="preserve"> to examine the extent to which our variables are endogenous. </w:t>
      </w:r>
      <w:r w:rsidR="008E6388" w:rsidRPr="00DE13EE">
        <w:rPr>
          <w:rFonts w:ascii="Times New Roman" w:eastAsia="Calibri" w:hAnsi="Times New Roman" w:cs="Times New Roman"/>
          <w:color w:val="000000" w:themeColor="text1"/>
          <w:sz w:val="24"/>
          <w:szCs w:val="24"/>
          <w:lang w:val="en-US" w:eastAsia="en-US"/>
        </w:rPr>
        <w:t>Endogeneity is a statistical concern in the</w:t>
      </w:r>
      <w:r w:rsidR="008F7639" w:rsidRPr="00DE13EE">
        <w:rPr>
          <w:rFonts w:ascii="Times New Roman" w:eastAsia="Calibri" w:hAnsi="Times New Roman" w:cs="Times New Roman"/>
          <w:color w:val="000000" w:themeColor="text1"/>
          <w:sz w:val="24"/>
          <w:szCs w:val="24"/>
          <w:lang w:val="en-US" w:eastAsia="en-US"/>
        </w:rPr>
        <w:t xml:space="preserve"> disclosure literature (</w:t>
      </w:r>
      <w:r w:rsidR="006A103A" w:rsidRPr="00DE13EE">
        <w:rPr>
          <w:rFonts w:ascii="Times New Roman" w:eastAsia="Calibri" w:hAnsi="Times New Roman" w:cs="Times New Roman"/>
          <w:color w:val="000000" w:themeColor="text1"/>
          <w:sz w:val="24"/>
          <w:szCs w:val="24"/>
          <w:lang w:val="en-US" w:eastAsia="en-US"/>
        </w:rPr>
        <w:t xml:space="preserve">Wang </w:t>
      </w:r>
      <w:r w:rsidR="00120412" w:rsidRPr="00DE13EE">
        <w:rPr>
          <w:rFonts w:ascii="Times New Roman" w:eastAsia="Calibri" w:hAnsi="Times New Roman" w:cs="Times New Roman"/>
          <w:color w:val="000000" w:themeColor="text1"/>
          <w:sz w:val="24"/>
          <w:szCs w:val="24"/>
          <w:lang w:val="en-US" w:eastAsia="en-US"/>
        </w:rPr>
        <w:t xml:space="preserve">and </w:t>
      </w:r>
      <w:r w:rsidR="006A103A" w:rsidRPr="00DE13EE">
        <w:rPr>
          <w:rFonts w:ascii="Times New Roman" w:eastAsia="Calibri" w:hAnsi="Times New Roman" w:cs="Times New Roman"/>
          <w:color w:val="000000" w:themeColor="text1"/>
          <w:sz w:val="24"/>
          <w:szCs w:val="24"/>
          <w:lang w:val="en-US" w:eastAsia="en-US"/>
        </w:rPr>
        <w:t>Hussainey 2013</w:t>
      </w:r>
      <w:r w:rsidR="008E6388" w:rsidRPr="00DE13EE">
        <w:rPr>
          <w:rFonts w:ascii="Times New Roman" w:eastAsia="Calibri" w:hAnsi="Times New Roman" w:cs="Times New Roman"/>
          <w:color w:val="000000" w:themeColor="text1"/>
          <w:sz w:val="24"/>
          <w:szCs w:val="24"/>
          <w:lang w:val="en-US" w:eastAsia="en-US"/>
        </w:rPr>
        <w:t xml:space="preserve">). </w:t>
      </w:r>
      <w:r w:rsidR="002043F0" w:rsidRPr="00DE13EE">
        <w:rPr>
          <w:rFonts w:ascii="Times New Roman" w:eastAsia="Calibri" w:hAnsi="Times New Roman" w:cs="Times New Roman"/>
          <w:color w:val="000000" w:themeColor="text1"/>
          <w:sz w:val="24"/>
          <w:szCs w:val="24"/>
          <w:lang w:val="en-US" w:eastAsia="en-US"/>
        </w:rPr>
        <w:t xml:space="preserve">Omitted variable bias and simultaneity are the most frequent causes of </w:t>
      </w:r>
      <w:r w:rsidR="00CB43D2" w:rsidRPr="00DE13EE">
        <w:rPr>
          <w:rFonts w:ascii="Times New Roman" w:eastAsia="Calibri" w:hAnsi="Times New Roman" w:cs="Times New Roman"/>
          <w:color w:val="000000" w:themeColor="text1"/>
          <w:sz w:val="24"/>
          <w:szCs w:val="24"/>
          <w:lang w:val="en-US" w:eastAsia="en-US"/>
        </w:rPr>
        <w:t>an</w:t>
      </w:r>
      <w:r w:rsidR="00EC5867" w:rsidRPr="00DE13EE">
        <w:rPr>
          <w:rFonts w:ascii="Times New Roman" w:eastAsia="Calibri" w:hAnsi="Times New Roman" w:cs="Times New Roman"/>
          <w:color w:val="000000" w:themeColor="text1"/>
          <w:sz w:val="24"/>
          <w:szCs w:val="24"/>
          <w:lang w:val="en-US" w:eastAsia="en-US"/>
        </w:rPr>
        <w:t xml:space="preserve"> </w:t>
      </w:r>
      <w:r w:rsidR="002043F0" w:rsidRPr="00DE13EE">
        <w:rPr>
          <w:rFonts w:ascii="Times New Roman" w:eastAsia="Calibri" w:hAnsi="Times New Roman" w:cs="Times New Roman"/>
          <w:color w:val="000000" w:themeColor="text1"/>
          <w:sz w:val="24"/>
          <w:szCs w:val="24"/>
          <w:lang w:val="en-US" w:eastAsia="en-US"/>
        </w:rPr>
        <w:t xml:space="preserve">endogeneity problem </w:t>
      </w:r>
      <w:r w:rsidR="008E6388" w:rsidRPr="00DE13EE">
        <w:rPr>
          <w:rFonts w:ascii="Times New Roman" w:eastAsia="Calibri" w:hAnsi="Times New Roman" w:cs="Times New Roman"/>
          <w:color w:val="000000" w:themeColor="text1"/>
          <w:sz w:val="24"/>
          <w:szCs w:val="24"/>
          <w:lang w:val="en-US" w:eastAsia="en-US"/>
        </w:rPr>
        <w:t xml:space="preserve">(Chenhall </w:t>
      </w:r>
      <w:r w:rsidR="00120412" w:rsidRPr="00DE13EE">
        <w:rPr>
          <w:rFonts w:ascii="Times New Roman" w:eastAsia="Calibri" w:hAnsi="Times New Roman" w:cs="Times New Roman"/>
          <w:color w:val="000000" w:themeColor="text1"/>
          <w:sz w:val="24"/>
          <w:szCs w:val="24"/>
          <w:lang w:val="en-US" w:eastAsia="en-US"/>
        </w:rPr>
        <w:t xml:space="preserve">and </w:t>
      </w:r>
      <w:r w:rsidR="008E6388" w:rsidRPr="00DE13EE">
        <w:rPr>
          <w:rFonts w:ascii="Times New Roman" w:eastAsia="Calibri" w:hAnsi="Times New Roman" w:cs="Times New Roman"/>
          <w:color w:val="000000" w:themeColor="text1"/>
          <w:sz w:val="24"/>
          <w:szCs w:val="24"/>
          <w:lang w:val="en-US" w:eastAsia="en-US"/>
        </w:rPr>
        <w:t>Moers 2007</w:t>
      </w:r>
      <w:r w:rsidR="000B33A7" w:rsidRPr="00DE13EE">
        <w:rPr>
          <w:rFonts w:ascii="Times New Roman" w:eastAsia="Calibri" w:hAnsi="Times New Roman" w:cs="Times New Roman"/>
          <w:color w:val="000000" w:themeColor="text1"/>
          <w:sz w:val="24"/>
          <w:szCs w:val="24"/>
          <w:lang w:val="en-US" w:eastAsia="en-US"/>
        </w:rPr>
        <w:t xml:space="preserve">). </w:t>
      </w:r>
      <w:r w:rsidR="00DE0732" w:rsidRPr="00DE13EE">
        <w:rPr>
          <w:rFonts w:ascii="Times New Roman" w:eastAsia="Calibri" w:hAnsi="Times New Roman" w:cs="Times New Roman"/>
          <w:color w:val="000000" w:themeColor="text1"/>
          <w:sz w:val="24"/>
          <w:szCs w:val="24"/>
          <w:lang w:val="en-US" w:eastAsia="en-US"/>
        </w:rPr>
        <w:t xml:space="preserve">This </w:t>
      </w:r>
      <w:r w:rsidR="00643E5E" w:rsidRPr="00DE13EE">
        <w:rPr>
          <w:rFonts w:ascii="Times New Roman" w:eastAsia="Calibri" w:hAnsi="Times New Roman" w:cs="Times New Roman"/>
          <w:color w:val="000000" w:themeColor="text1"/>
          <w:sz w:val="24"/>
          <w:szCs w:val="24"/>
          <w:lang w:val="en-US" w:eastAsia="en-US"/>
        </w:rPr>
        <w:t>study</w:t>
      </w:r>
      <w:r w:rsidR="008E6388" w:rsidRPr="00DE13EE">
        <w:rPr>
          <w:rFonts w:ascii="Times New Roman" w:eastAsia="Calibri" w:hAnsi="Times New Roman" w:cs="Times New Roman"/>
          <w:color w:val="000000" w:themeColor="text1"/>
          <w:sz w:val="24"/>
          <w:szCs w:val="24"/>
          <w:lang w:val="en-US" w:eastAsia="en-US"/>
        </w:rPr>
        <w:t xml:space="preserve"> </w:t>
      </w:r>
      <w:r w:rsidR="00DE0732" w:rsidRPr="00DE13EE">
        <w:rPr>
          <w:rFonts w:ascii="Times New Roman" w:eastAsia="Calibri" w:hAnsi="Times New Roman" w:cs="Times New Roman"/>
          <w:color w:val="000000" w:themeColor="text1"/>
          <w:sz w:val="24"/>
          <w:szCs w:val="24"/>
          <w:lang w:val="en-US" w:eastAsia="en-US"/>
        </w:rPr>
        <w:t xml:space="preserve">addresses </w:t>
      </w:r>
      <w:r w:rsidR="002043F0" w:rsidRPr="00DE13EE">
        <w:rPr>
          <w:rFonts w:ascii="Times New Roman" w:eastAsia="Calibri" w:hAnsi="Times New Roman" w:cs="Times New Roman"/>
          <w:color w:val="000000" w:themeColor="text1"/>
          <w:sz w:val="24"/>
          <w:szCs w:val="24"/>
          <w:lang w:val="en-US" w:eastAsia="en-US"/>
        </w:rPr>
        <w:t xml:space="preserve">these two issues </w:t>
      </w:r>
      <w:r w:rsidR="008E6388" w:rsidRPr="00DE13EE">
        <w:rPr>
          <w:rFonts w:ascii="Times New Roman" w:eastAsia="Calibri" w:hAnsi="Times New Roman" w:cs="Times New Roman"/>
          <w:color w:val="000000" w:themeColor="text1"/>
          <w:sz w:val="24"/>
          <w:szCs w:val="24"/>
          <w:lang w:val="en-US" w:eastAsia="en-US"/>
        </w:rPr>
        <w:t xml:space="preserve">by conducting an instrumental Two-Stage Least Square (2SLS) regression. The 2SLS is </w:t>
      </w:r>
      <w:r w:rsidR="00F22148" w:rsidRPr="00DE13EE">
        <w:rPr>
          <w:rFonts w:ascii="Times New Roman" w:eastAsia="Calibri" w:hAnsi="Times New Roman" w:cs="Times New Roman"/>
          <w:color w:val="000000" w:themeColor="text1"/>
          <w:sz w:val="24"/>
          <w:szCs w:val="24"/>
          <w:lang w:val="en-US" w:eastAsia="en-US"/>
        </w:rPr>
        <w:t xml:space="preserve">a </w:t>
      </w:r>
      <w:r w:rsidR="008E6388" w:rsidRPr="00DE13EE">
        <w:rPr>
          <w:rFonts w:ascii="Times New Roman" w:eastAsia="Calibri" w:hAnsi="Times New Roman" w:cs="Times New Roman"/>
          <w:color w:val="000000" w:themeColor="text1"/>
          <w:sz w:val="24"/>
          <w:szCs w:val="24"/>
          <w:lang w:val="en-US" w:eastAsia="en-US"/>
        </w:rPr>
        <w:t>wi</w:t>
      </w:r>
      <w:r w:rsidR="007D6938" w:rsidRPr="00DE13EE">
        <w:rPr>
          <w:rFonts w:ascii="Times New Roman" w:eastAsia="Calibri" w:hAnsi="Times New Roman" w:cs="Times New Roman"/>
          <w:color w:val="000000" w:themeColor="text1"/>
          <w:sz w:val="24"/>
          <w:szCs w:val="24"/>
          <w:lang w:val="en-US" w:eastAsia="en-US"/>
        </w:rPr>
        <w:t xml:space="preserve">dely </w:t>
      </w:r>
      <w:r w:rsidR="008E6388" w:rsidRPr="00DE13EE">
        <w:rPr>
          <w:rFonts w:ascii="Times New Roman" w:eastAsia="Calibri" w:hAnsi="Times New Roman" w:cs="Times New Roman"/>
          <w:color w:val="000000" w:themeColor="text1"/>
          <w:sz w:val="24"/>
          <w:szCs w:val="24"/>
          <w:lang w:val="en-US" w:eastAsia="en-US"/>
        </w:rPr>
        <w:t>used technique to detect endoge</w:t>
      </w:r>
      <w:r w:rsidR="00EA3E6E" w:rsidRPr="00DE13EE">
        <w:rPr>
          <w:rFonts w:ascii="Times New Roman" w:eastAsia="Calibri" w:hAnsi="Times New Roman" w:cs="Times New Roman"/>
          <w:color w:val="000000" w:themeColor="text1"/>
          <w:sz w:val="24"/>
          <w:szCs w:val="24"/>
          <w:lang w:val="en-US" w:eastAsia="en-US"/>
        </w:rPr>
        <w:t>neity (</w:t>
      </w:r>
      <w:r w:rsidR="00632422" w:rsidRPr="00DE13EE">
        <w:rPr>
          <w:rFonts w:ascii="Times New Roman" w:eastAsia="Calibri" w:hAnsi="Times New Roman" w:cs="Times New Roman"/>
          <w:color w:val="000000" w:themeColor="text1"/>
          <w:sz w:val="24"/>
          <w:szCs w:val="24"/>
          <w:lang w:val="en-US" w:eastAsia="en-US"/>
        </w:rPr>
        <w:t>Henry</w:t>
      </w:r>
      <w:r w:rsidR="00D74FD0" w:rsidRPr="00DE13EE">
        <w:rPr>
          <w:rFonts w:ascii="Times New Roman" w:eastAsia="Calibri" w:hAnsi="Times New Roman" w:cs="Times New Roman"/>
          <w:color w:val="000000" w:themeColor="text1"/>
          <w:sz w:val="24"/>
          <w:szCs w:val="24"/>
          <w:lang w:val="en-US" w:eastAsia="en-US"/>
        </w:rPr>
        <w:t xml:space="preserve"> 2008; Ntim et al. </w:t>
      </w:r>
      <w:r w:rsidR="00632422" w:rsidRPr="00DE13EE">
        <w:rPr>
          <w:rFonts w:ascii="Times New Roman" w:eastAsia="Calibri" w:hAnsi="Times New Roman" w:cs="Times New Roman"/>
          <w:color w:val="000000" w:themeColor="text1"/>
          <w:sz w:val="24"/>
          <w:szCs w:val="24"/>
          <w:lang w:val="en-US" w:eastAsia="en-US"/>
        </w:rPr>
        <w:t>2012</w:t>
      </w:r>
      <w:r w:rsidR="008E6388" w:rsidRPr="00DE13EE">
        <w:rPr>
          <w:rFonts w:ascii="Times New Roman" w:eastAsia="Calibri" w:hAnsi="Times New Roman" w:cs="Times New Roman"/>
          <w:color w:val="000000" w:themeColor="text1"/>
          <w:sz w:val="24"/>
          <w:szCs w:val="24"/>
          <w:lang w:val="en-US" w:eastAsia="en-US"/>
        </w:rPr>
        <w:t>)</w:t>
      </w:r>
      <w:r w:rsidR="00FD0E83" w:rsidRPr="00DE13EE">
        <w:rPr>
          <w:rFonts w:ascii="Times New Roman" w:eastAsia="Calibri" w:hAnsi="Times New Roman" w:cs="Times New Roman"/>
          <w:color w:val="000000" w:themeColor="text1"/>
          <w:sz w:val="24"/>
          <w:szCs w:val="24"/>
          <w:lang w:val="en-US" w:eastAsia="en-US"/>
        </w:rPr>
        <w:t xml:space="preserve">; it </w:t>
      </w:r>
      <w:r w:rsidR="008E6388" w:rsidRPr="00DE13EE">
        <w:rPr>
          <w:rFonts w:ascii="Times New Roman" w:eastAsia="Calibri" w:hAnsi="Times New Roman" w:cs="Times New Roman"/>
          <w:color w:val="000000" w:themeColor="text1"/>
          <w:sz w:val="24"/>
          <w:szCs w:val="24"/>
          <w:lang w:val="en-US" w:eastAsia="en-US"/>
        </w:rPr>
        <w:t xml:space="preserve">helps </w:t>
      </w:r>
      <w:r w:rsidR="00FC10D8" w:rsidRPr="00DE13EE">
        <w:rPr>
          <w:rFonts w:ascii="Times New Roman" w:eastAsia="Calibri" w:hAnsi="Times New Roman" w:cs="Times New Roman"/>
          <w:color w:val="000000" w:themeColor="text1"/>
          <w:sz w:val="24"/>
          <w:szCs w:val="24"/>
          <w:lang w:val="en-US" w:eastAsia="en-US"/>
        </w:rPr>
        <w:t xml:space="preserve">to eliminate and assess </w:t>
      </w:r>
      <w:r w:rsidR="008E6388" w:rsidRPr="00DE13EE">
        <w:rPr>
          <w:rFonts w:ascii="Times New Roman" w:eastAsia="Calibri" w:hAnsi="Times New Roman" w:cs="Times New Roman"/>
          <w:color w:val="000000" w:themeColor="text1"/>
          <w:sz w:val="24"/>
          <w:szCs w:val="24"/>
          <w:lang w:val="en-US" w:eastAsia="en-US"/>
        </w:rPr>
        <w:t>whether there are serious variations between the regressor variable</w:t>
      </w:r>
      <w:r w:rsidR="00FC10D8" w:rsidRPr="00DE13EE">
        <w:rPr>
          <w:rFonts w:ascii="Times New Roman" w:eastAsia="Calibri" w:hAnsi="Times New Roman" w:cs="Times New Roman"/>
          <w:color w:val="000000" w:themeColor="text1"/>
          <w:sz w:val="24"/>
          <w:szCs w:val="24"/>
          <w:lang w:val="en-US" w:eastAsia="en-US"/>
        </w:rPr>
        <w:t>s</w:t>
      </w:r>
      <w:r w:rsidR="008E6388" w:rsidRPr="00DE13EE">
        <w:rPr>
          <w:rFonts w:ascii="Times New Roman" w:eastAsia="Calibri" w:hAnsi="Times New Roman" w:cs="Times New Roman"/>
          <w:color w:val="000000" w:themeColor="text1"/>
          <w:sz w:val="24"/>
          <w:szCs w:val="24"/>
          <w:lang w:val="en-US" w:eastAsia="en-US"/>
        </w:rPr>
        <w:t xml:space="preserve"> and either the error term (omitted variables) or </w:t>
      </w:r>
      <w:r w:rsidR="000B33A7" w:rsidRPr="00DE13EE">
        <w:rPr>
          <w:rFonts w:ascii="Times New Roman" w:eastAsia="Calibri" w:hAnsi="Times New Roman" w:cs="Times New Roman"/>
          <w:color w:val="000000" w:themeColor="text1"/>
          <w:sz w:val="24"/>
          <w:szCs w:val="24"/>
          <w:lang w:val="en-US" w:eastAsia="en-US"/>
        </w:rPr>
        <w:t xml:space="preserve">value of UK firms </w:t>
      </w:r>
      <w:r w:rsidR="008E6388" w:rsidRPr="00DE13EE">
        <w:rPr>
          <w:rFonts w:ascii="Times New Roman" w:eastAsia="Calibri" w:hAnsi="Times New Roman" w:cs="Times New Roman"/>
          <w:color w:val="000000" w:themeColor="text1"/>
          <w:sz w:val="24"/>
          <w:szCs w:val="24"/>
          <w:lang w:val="en-US" w:eastAsia="en-US"/>
        </w:rPr>
        <w:t>(simultaneity problem).</w:t>
      </w:r>
      <w:r w:rsidR="006A103A" w:rsidRPr="00DE13EE">
        <w:rPr>
          <w:rFonts w:ascii="Times New Roman" w:eastAsia="Calibri" w:hAnsi="Times New Roman" w:cs="Times New Roman"/>
          <w:color w:val="000000" w:themeColor="text1"/>
          <w:sz w:val="24"/>
          <w:szCs w:val="24"/>
          <w:lang w:val="en-US" w:eastAsia="en-US"/>
        </w:rPr>
        <w:t xml:space="preserve"> </w:t>
      </w:r>
      <w:r w:rsidR="008E6388" w:rsidRPr="00DE13EE">
        <w:rPr>
          <w:rFonts w:ascii="Times New Roman" w:eastAsia="Calibri" w:hAnsi="Times New Roman" w:cs="Times New Roman"/>
          <w:color w:val="000000" w:themeColor="text1"/>
          <w:sz w:val="24"/>
          <w:szCs w:val="24"/>
          <w:lang w:val="en-US" w:eastAsia="en-US"/>
        </w:rPr>
        <w:t xml:space="preserve">To this </w:t>
      </w:r>
      <w:r w:rsidR="00095FE1" w:rsidRPr="00DE13EE">
        <w:rPr>
          <w:rFonts w:ascii="Times New Roman" w:eastAsia="Calibri" w:hAnsi="Times New Roman" w:cs="Times New Roman"/>
          <w:color w:val="000000" w:themeColor="text1"/>
          <w:sz w:val="24"/>
          <w:szCs w:val="24"/>
          <w:lang w:val="en-US" w:eastAsia="en-US"/>
        </w:rPr>
        <w:t>end, we</w:t>
      </w:r>
      <w:r w:rsidR="004A79E4" w:rsidRPr="00DE13EE">
        <w:rPr>
          <w:rFonts w:ascii="Times New Roman" w:eastAsia="Calibri" w:hAnsi="Times New Roman" w:cs="Times New Roman"/>
          <w:color w:val="000000" w:themeColor="text1"/>
          <w:sz w:val="24"/>
          <w:szCs w:val="24"/>
          <w:lang w:val="en-US" w:eastAsia="en-US"/>
        </w:rPr>
        <w:t xml:space="preserve"> first introduce </w:t>
      </w:r>
      <w:r w:rsidR="00044D09" w:rsidRPr="00DE13EE">
        <w:rPr>
          <w:rFonts w:ascii="Times New Roman" w:eastAsia="Calibri" w:hAnsi="Times New Roman" w:cs="Times New Roman"/>
          <w:color w:val="000000" w:themeColor="text1"/>
          <w:sz w:val="24"/>
          <w:szCs w:val="24"/>
          <w:lang w:val="en-US" w:eastAsia="en-US"/>
        </w:rPr>
        <w:t>th</w:t>
      </w:r>
      <w:r w:rsidR="00D24C00" w:rsidRPr="00DE13EE">
        <w:rPr>
          <w:rFonts w:ascii="Times New Roman" w:eastAsia="Calibri" w:hAnsi="Times New Roman" w:cs="Times New Roman"/>
          <w:color w:val="000000" w:themeColor="text1"/>
          <w:sz w:val="24"/>
          <w:szCs w:val="24"/>
          <w:lang w:val="en-US" w:eastAsia="en-US"/>
        </w:rPr>
        <w:t>e lagged values of firm forward-</w:t>
      </w:r>
      <w:r w:rsidR="00044D09" w:rsidRPr="00DE13EE">
        <w:rPr>
          <w:rFonts w:ascii="Times New Roman" w:eastAsia="Calibri" w:hAnsi="Times New Roman" w:cs="Times New Roman"/>
          <w:color w:val="000000" w:themeColor="text1"/>
          <w:sz w:val="24"/>
          <w:szCs w:val="24"/>
          <w:lang w:val="en-US" w:eastAsia="en-US"/>
        </w:rPr>
        <w:t>looking disclosure</w:t>
      </w:r>
      <w:r w:rsidR="00F0787B" w:rsidRPr="00DE13EE">
        <w:rPr>
          <w:rFonts w:ascii="Times New Roman" w:eastAsia="Calibri" w:hAnsi="Times New Roman" w:cs="Times New Roman"/>
          <w:color w:val="000000" w:themeColor="text1"/>
          <w:sz w:val="24"/>
          <w:szCs w:val="24"/>
          <w:lang w:val="en-US" w:eastAsia="en-US"/>
        </w:rPr>
        <w:t>, firm size,</w:t>
      </w:r>
      <w:r w:rsidR="00044D09" w:rsidRPr="00DE13EE">
        <w:rPr>
          <w:rFonts w:ascii="Times New Roman" w:eastAsia="Calibri" w:hAnsi="Times New Roman" w:cs="Times New Roman"/>
          <w:color w:val="000000" w:themeColor="text1"/>
          <w:sz w:val="24"/>
          <w:szCs w:val="24"/>
          <w:lang w:val="en-US" w:eastAsia="en-US"/>
        </w:rPr>
        <w:t xml:space="preserve"> </w:t>
      </w:r>
      <w:r w:rsidR="00F0787B" w:rsidRPr="00DE13EE">
        <w:rPr>
          <w:rFonts w:ascii="Times New Roman" w:eastAsia="Calibri" w:hAnsi="Times New Roman" w:cs="Times New Roman"/>
          <w:color w:val="000000" w:themeColor="text1"/>
          <w:sz w:val="24"/>
          <w:szCs w:val="24"/>
          <w:lang w:val="en-US" w:eastAsia="en-US"/>
        </w:rPr>
        <w:t xml:space="preserve">managerial ownership, growth, capital expenditure and length of narrative documents </w:t>
      </w:r>
      <w:r w:rsidR="008E6388" w:rsidRPr="00DE13EE">
        <w:rPr>
          <w:rFonts w:ascii="Times New Roman" w:eastAsia="Calibri" w:hAnsi="Times New Roman" w:cs="Times New Roman"/>
          <w:color w:val="000000" w:themeColor="text1"/>
          <w:sz w:val="24"/>
          <w:szCs w:val="24"/>
          <w:lang w:val="en-US" w:eastAsia="en-US"/>
        </w:rPr>
        <w:t>in the regression analysis as instrument</w:t>
      </w:r>
      <w:r w:rsidR="00044D09" w:rsidRPr="00DE13EE">
        <w:rPr>
          <w:rFonts w:ascii="Times New Roman" w:eastAsia="Calibri" w:hAnsi="Times New Roman" w:cs="Times New Roman"/>
          <w:color w:val="000000" w:themeColor="text1"/>
          <w:sz w:val="24"/>
          <w:szCs w:val="24"/>
          <w:lang w:val="en-US" w:eastAsia="en-US"/>
        </w:rPr>
        <w:t>al</w:t>
      </w:r>
      <w:r w:rsidR="008E6388" w:rsidRPr="00DE13EE">
        <w:rPr>
          <w:rFonts w:ascii="Times New Roman" w:eastAsia="Calibri" w:hAnsi="Times New Roman" w:cs="Times New Roman"/>
          <w:color w:val="000000" w:themeColor="text1"/>
          <w:sz w:val="24"/>
          <w:szCs w:val="24"/>
          <w:lang w:val="en-US" w:eastAsia="en-US"/>
        </w:rPr>
        <w:t xml:space="preserve"> variable</w:t>
      </w:r>
      <w:r w:rsidR="00F0787B" w:rsidRPr="00DE13EE">
        <w:rPr>
          <w:rFonts w:ascii="Times New Roman" w:eastAsia="Calibri" w:hAnsi="Times New Roman" w:cs="Times New Roman"/>
          <w:color w:val="000000" w:themeColor="text1"/>
          <w:sz w:val="24"/>
          <w:szCs w:val="24"/>
          <w:lang w:val="en-US" w:eastAsia="en-US"/>
        </w:rPr>
        <w:t>s</w:t>
      </w:r>
      <w:r w:rsidR="008E6388" w:rsidRPr="00DE13EE">
        <w:rPr>
          <w:rFonts w:ascii="Times New Roman" w:eastAsia="Calibri" w:hAnsi="Times New Roman" w:cs="Times New Roman"/>
          <w:color w:val="000000" w:themeColor="text1"/>
          <w:sz w:val="24"/>
          <w:szCs w:val="24"/>
          <w:lang w:val="en-US" w:eastAsia="en-US"/>
        </w:rPr>
        <w:t>, and the other variables are introduced as regressor variables. The analysis is run for all sample firms</w:t>
      </w:r>
      <w:r w:rsidR="00D24C00" w:rsidRPr="00DE13EE">
        <w:rPr>
          <w:rFonts w:ascii="Times New Roman" w:eastAsia="Calibri" w:hAnsi="Times New Roman" w:cs="Times New Roman"/>
          <w:color w:val="000000" w:themeColor="text1"/>
          <w:sz w:val="24"/>
          <w:szCs w:val="24"/>
          <w:lang w:val="en-US" w:eastAsia="en-US"/>
        </w:rPr>
        <w:t xml:space="preserve">, </w:t>
      </w:r>
      <w:r w:rsidR="00F0787B" w:rsidRPr="00DE13EE">
        <w:rPr>
          <w:rFonts w:ascii="Times New Roman" w:eastAsia="Calibri" w:hAnsi="Times New Roman" w:cs="Times New Roman"/>
          <w:color w:val="000000" w:themeColor="text1"/>
          <w:sz w:val="24"/>
          <w:szCs w:val="24"/>
          <w:lang w:val="en-US" w:eastAsia="en-US"/>
        </w:rPr>
        <w:t>f</w:t>
      </w:r>
      <w:r w:rsidR="00CB43D2" w:rsidRPr="00DE13EE">
        <w:rPr>
          <w:rFonts w:ascii="Times New Roman" w:eastAsia="Calibri" w:hAnsi="Times New Roman" w:cs="Times New Roman"/>
          <w:color w:val="000000" w:themeColor="text1"/>
          <w:sz w:val="24"/>
          <w:szCs w:val="24"/>
          <w:lang w:val="en-US" w:eastAsia="en-US"/>
        </w:rPr>
        <w:t>or high</w:t>
      </w:r>
      <w:r w:rsidR="00F0787B" w:rsidRPr="00DE13EE">
        <w:rPr>
          <w:rFonts w:ascii="Times New Roman" w:eastAsia="Calibri" w:hAnsi="Times New Roman" w:cs="Times New Roman"/>
          <w:color w:val="000000" w:themeColor="text1"/>
          <w:sz w:val="24"/>
          <w:szCs w:val="24"/>
          <w:lang w:val="en-US" w:eastAsia="en-US"/>
        </w:rPr>
        <w:t xml:space="preserve"> and low-performing firms and </w:t>
      </w:r>
      <w:r w:rsidR="00D24C00" w:rsidRPr="00DE13EE">
        <w:rPr>
          <w:rFonts w:ascii="Times New Roman" w:eastAsia="Calibri" w:hAnsi="Times New Roman" w:cs="Times New Roman"/>
          <w:color w:val="000000" w:themeColor="text1"/>
          <w:sz w:val="24"/>
          <w:szCs w:val="24"/>
          <w:lang w:val="en-US" w:eastAsia="en-US"/>
        </w:rPr>
        <w:t>for the Big-N and Non</w:t>
      </w:r>
      <w:r w:rsidR="00CB43D2" w:rsidRPr="00DE13EE">
        <w:rPr>
          <w:rFonts w:ascii="Times New Roman" w:eastAsia="Calibri" w:hAnsi="Times New Roman" w:cs="Times New Roman"/>
          <w:color w:val="000000" w:themeColor="text1"/>
          <w:sz w:val="24"/>
          <w:szCs w:val="24"/>
          <w:lang w:val="en-US" w:eastAsia="en-US"/>
        </w:rPr>
        <w:t xml:space="preserve"> </w:t>
      </w:r>
      <w:r w:rsidR="00D24C00" w:rsidRPr="00DE13EE">
        <w:rPr>
          <w:rFonts w:ascii="Times New Roman" w:eastAsia="Calibri" w:hAnsi="Times New Roman" w:cs="Times New Roman"/>
          <w:color w:val="000000" w:themeColor="text1"/>
          <w:sz w:val="24"/>
          <w:szCs w:val="24"/>
          <w:lang w:val="en-US" w:eastAsia="en-US"/>
        </w:rPr>
        <w:t>Big-N samples</w:t>
      </w:r>
      <w:r w:rsidR="008E6388" w:rsidRPr="00DE13EE">
        <w:rPr>
          <w:rFonts w:ascii="Times New Roman" w:eastAsia="Calibri" w:hAnsi="Times New Roman" w:cs="Times New Roman"/>
          <w:color w:val="000000" w:themeColor="text1"/>
          <w:sz w:val="24"/>
          <w:szCs w:val="24"/>
          <w:lang w:val="en-US" w:eastAsia="en-US"/>
        </w:rPr>
        <w:t xml:space="preserve">, separately. This helps to observe any variation </w:t>
      </w:r>
      <w:r w:rsidR="009202D9" w:rsidRPr="00DE13EE">
        <w:rPr>
          <w:rFonts w:ascii="Times New Roman" w:eastAsia="Calibri" w:hAnsi="Times New Roman" w:cs="Times New Roman"/>
          <w:color w:val="000000" w:themeColor="text1"/>
          <w:sz w:val="24"/>
          <w:szCs w:val="24"/>
          <w:lang w:val="en-US" w:eastAsia="en-US"/>
        </w:rPr>
        <w:t xml:space="preserve">in </w:t>
      </w:r>
      <w:r w:rsidR="00BB3FA5" w:rsidRPr="00DE13EE">
        <w:rPr>
          <w:rFonts w:ascii="Times New Roman" w:eastAsia="Calibri" w:hAnsi="Times New Roman" w:cs="Times New Roman"/>
          <w:color w:val="000000" w:themeColor="text1"/>
          <w:sz w:val="24"/>
          <w:szCs w:val="24"/>
          <w:lang w:val="en-US" w:eastAsia="en-US"/>
        </w:rPr>
        <w:t>firm values</w:t>
      </w:r>
      <w:r w:rsidR="008E6388" w:rsidRPr="00DE13EE">
        <w:rPr>
          <w:rFonts w:ascii="Times New Roman" w:eastAsia="Calibri" w:hAnsi="Times New Roman" w:cs="Times New Roman"/>
          <w:color w:val="000000" w:themeColor="text1"/>
          <w:sz w:val="24"/>
          <w:szCs w:val="24"/>
          <w:lang w:val="en-US" w:eastAsia="en-US"/>
        </w:rPr>
        <w:t xml:space="preserve"> and to minimize the possible </w:t>
      </w:r>
      <w:r w:rsidR="000373AF" w:rsidRPr="00DE13EE">
        <w:rPr>
          <w:rFonts w:ascii="Times New Roman" w:eastAsia="Calibri" w:hAnsi="Times New Roman" w:cs="Times New Roman"/>
          <w:color w:val="000000" w:themeColor="text1"/>
          <w:sz w:val="24"/>
          <w:szCs w:val="24"/>
          <w:lang w:val="en-US" w:eastAsia="en-US"/>
        </w:rPr>
        <w:t xml:space="preserve">downsides </w:t>
      </w:r>
      <w:r w:rsidR="008E6388" w:rsidRPr="00DE13EE">
        <w:rPr>
          <w:rFonts w:ascii="Times New Roman" w:eastAsia="Calibri" w:hAnsi="Times New Roman" w:cs="Times New Roman"/>
          <w:color w:val="000000" w:themeColor="text1"/>
          <w:sz w:val="24"/>
          <w:szCs w:val="24"/>
          <w:lang w:val="en-US" w:eastAsia="en-US"/>
        </w:rPr>
        <w:t>of using the instrumental variable</w:t>
      </w:r>
      <w:r w:rsidR="00F0787B" w:rsidRPr="00DE13EE">
        <w:rPr>
          <w:rFonts w:ascii="Times New Roman" w:eastAsia="Calibri" w:hAnsi="Times New Roman" w:cs="Times New Roman"/>
          <w:color w:val="000000" w:themeColor="text1"/>
          <w:sz w:val="24"/>
          <w:szCs w:val="24"/>
          <w:lang w:val="en-US" w:eastAsia="en-US"/>
        </w:rPr>
        <w:t>s</w:t>
      </w:r>
      <w:r w:rsidR="008E6388" w:rsidRPr="00DE13EE">
        <w:rPr>
          <w:rFonts w:ascii="Times New Roman" w:eastAsia="Calibri" w:hAnsi="Times New Roman" w:cs="Times New Roman"/>
          <w:color w:val="000000" w:themeColor="text1"/>
          <w:sz w:val="24"/>
          <w:szCs w:val="24"/>
          <w:lang w:val="en-US" w:eastAsia="en-US"/>
        </w:rPr>
        <w:t xml:space="preserve"> (Larcker </w:t>
      </w:r>
      <w:r w:rsidR="00120412" w:rsidRPr="00DE13EE">
        <w:rPr>
          <w:rFonts w:ascii="Times New Roman" w:eastAsia="Calibri" w:hAnsi="Times New Roman" w:cs="Times New Roman"/>
          <w:color w:val="000000" w:themeColor="text1"/>
          <w:sz w:val="24"/>
          <w:szCs w:val="24"/>
          <w:lang w:val="en-US" w:eastAsia="en-US"/>
        </w:rPr>
        <w:t xml:space="preserve">and </w:t>
      </w:r>
      <w:r w:rsidR="008E6388" w:rsidRPr="00DE13EE">
        <w:rPr>
          <w:rFonts w:ascii="Times New Roman" w:eastAsia="Calibri" w:hAnsi="Times New Roman" w:cs="Times New Roman"/>
          <w:color w:val="000000" w:themeColor="text1"/>
          <w:sz w:val="24"/>
          <w:szCs w:val="24"/>
          <w:lang w:val="en-US" w:eastAsia="en-US"/>
        </w:rPr>
        <w:t>Rusticus 2010).</w:t>
      </w:r>
    </w:p>
    <w:p w14:paraId="58E1C45C" w14:textId="5D8D8DBB" w:rsidR="008E6388" w:rsidRPr="00DE13EE" w:rsidRDefault="008E6388" w:rsidP="00B93D4F">
      <w:pPr>
        <w:spacing w:line="360" w:lineRule="auto"/>
        <w:jc w:val="both"/>
        <w:rPr>
          <w:rFonts w:ascii="Times New Roman" w:eastAsia="Calibri" w:hAnsi="Times New Roman" w:cs="Times New Roman"/>
          <w:color w:val="000000" w:themeColor="text1"/>
          <w:sz w:val="24"/>
          <w:szCs w:val="24"/>
          <w:lang w:val="en-US" w:eastAsia="en-US"/>
        </w:rPr>
      </w:pPr>
      <w:r w:rsidRPr="00DE13EE">
        <w:rPr>
          <w:rFonts w:ascii="Times New Roman" w:eastAsia="Calibri" w:hAnsi="Times New Roman" w:cs="Times New Roman"/>
          <w:color w:val="000000" w:themeColor="text1"/>
          <w:sz w:val="24"/>
          <w:szCs w:val="24"/>
          <w:lang w:val="en-US" w:eastAsia="en-US"/>
        </w:rPr>
        <w:t>Because of the effects associated with incorrect identification of instrumental variable</w:t>
      </w:r>
      <w:r w:rsidR="005C399A" w:rsidRPr="00DE13EE">
        <w:rPr>
          <w:rFonts w:ascii="Times New Roman" w:eastAsia="Calibri" w:hAnsi="Times New Roman" w:cs="Times New Roman"/>
          <w:color w:val="000000" w:themeColor="text1"/>
          <w:sz w:val="24"/>
          <w:szCs w:val="24"/>
          <w:lang w:val="en-US" w:eastAsia="en-US"/>
        </w:rPr>
        <w:t>s</w:t>
      </w:r>
      <w:r w:rsidRPr="00DE13EE">
        <w:rPr>
          <w:rFonts w:ascii="Times New Roman" w:eastAsia="Calibri" w:hAnsi="Times New Roman" w:cs="Times New Roman"/>
          <w:color w:val="000000" w:themeColor="text1"/>
          <w:sz w:val="24"/>
          <w:szCs w:val="24"/>
          <w:lang w:val="en-US" w:eastAsia="en-US"/>
        </w:rPr>
        <w:t xml:space="preserve">, </w:t>
      </w:r>
      <w:r w:rsidR="005C399A" w:rsidRPr="00DE13EE">
        <w:rPr>
          <w:rFonts w:ascii="Times New Roman" w:eastAsia="Calibri" w:hAnsi="Times New Roman" w:cs="Times New Roman"/>
          <w:color w:val="000000" w:themeColor="text1"/>
          <w:sz w:val="24"/>
          <w:szCs w:val="24"/>
          <w:lang w:val="en-US" w:eastAsia="en-US"/>
        </w:rPr>
        <w:t>they</w:t>
      </w:r>
      <w:r w:rsidRPr="00DE13EE">
        <w:rPr>
          <w:rFonts w:ascii="Times New Roman" w:eastAsia="Calibri" w:hAnsi="Times New Roman" w:cs="Times New Roman"/>
          <w:color w:val="000000" w:themeColor="text1"/>
          <w:sz w:val="24"/>
          <w:szCs w:val="24"/>
          <w:lang w:val="en-US" w:eastAsia="en-US"/>
        </w:rPr>
        <w:t xml:space="preserve"> are further validated to detect </w:t>
      </w:r>
      <w:r w:rsidR="007D6938" w:rsidRPr="00DE13EE">
        <w:rPr>
          <w:rFonts w:ascii="Times New Roman" w:eastAsia="Calibri" w:hAnsi="Times New Roman" w:cs="Times New Roman"/>
          <w:color w:val="000000" w:themeColor="text1"/>
          <w:sz w:val="24"/>
          <w:szCs w:val="24"/>
          <w:lang w:val="en-US" w:eastAsia="en-US"/>
        </w:rPr>
        <w:t>whether</w:t>
      </w:r>
      <w:r w:rsidRPr="00DE13EE">
        <w:rPr>
          <w:rFonts w:ascii="Times New Roman" w:eastAsia="Calibri" w:hAnsi="Times New Roman" w:cs="Times New Roman"/>
          <w:color w:val="000000" w:themeColor="text1"/>
          <w:sz w:val="24"/>
          <w:szCs w:val="24"/>
          <w:lang w:val="en-US" w:eastAsia="en-US"/>
        </w:rPr>
        <w:t xml:space="preserve"> the data set exhibits endogeneity. The validity of </w:t>
      </w:r>
      <w:r w:rsidR="009202D9" w:rsidRPr="00DE13EE">
        <w:rPr>
          <w:rFonts w:ascii="Times New Roman" w:eastAsia="Calibri" w:hAnsi="Times New Roman" w:cs="Times New Roman"/>
          <w:color w:val="000000" w:themeColor="text1"/>
          <w:sz w:val="24"/>
          <w:szCs w:val="24"/>
          <w:lang w:val="en-US" w:eastAsia="en-US"/>
        </w:rPr>
        <w:t xml:space="preserve">the </w:t>
      </w:r>
      <w:r w:rsidRPr="00DE13EE">
        <w:rPr>
          <w:rFonts w:ascii="Times New Roman" w:eastAsia="Calibri" w:hAnsi="Times New Roman" w:cs="Times New Roman"/>
          <w:color w:val="000000" w:themeColor="text1"/>
          <w:sz w:val="24"/>
          <w:szCs w:val="24"/>
          <w:lang w:val="en-US" w:eastAsia="en-US"/>
        </w:rPr>
        <w:t xml:space="preserve">instrument is checked using Sargan and Basmann statistics. The </w:t>
      </w:r>
      <w:r w:rsidR="00A230E5" w:rsidRPr="00DE13EE">
        <w:rPr>
          <w:rFonts w:ascii="Times New Roman" w:eastAsia="Calibri" w:hAnsi="Times New Roman" w:cs="Times New Roman"/>
          <w:color w:val="000000" w:themeColor="text1"/>
          <w:sz w:val="24"/>
          <w:szCs w:val="24"/>
          <w:lang w:val="en-US" w:eastAsia="en-US"/>
        </w:rPr>
        <w:t xml:space="preserve">presence </w:t>
      </w:r>
      <w:r w:rsidRPr="00DE13EE">
        <w:rPr>
          <w:rFonts w:ascii="Times New Roman" w:eastAsia="Calibri" w:hAnsi="Times New Roman" w:cs="Times New Roman"/>
          <w:color w:val="000000" w:themeColor="text1"/>
          <w:sz w:val="24"/>
          <w:szCs w:val="24"/>
          <w:lang w:val="en-US" w:eastAsia="en-US"/>
        </w:rPr>
        <w:t xml:space="preserve">of simultaneity is checked using Durbin and Wu–Haumsan statistics. </w:t>
      </w:r>
      <w:r w:rsidR="00F0787B" w:rsidRPr="00DE13EE">
        <w:rPr>
          <w:rFonts w:ascii="Times New Roman" w:eastAsia="Calibri" w:hAnsi="Times New Roman" w:cs="Times New Roman"/>
          <w:color w:val="000000" w:themeColor="text1"/>
          <w:sz w:val="24"/>
          <w:szCs w:val="24"/>
          <w:lang w:val="en-US" w:eastAsia="en-US"/>
        </w:rPr>
        <w:t xml:space="preserve"> </w:t>
      </w:r>
      <w:r w:rsidRPr="00DE13EE">
        <w:rPr>
          <w:rFonts w:ascii="Times New Roman" w:eastAsia="Calibri" w:hAnsi="Times New Roman" w:cs="Times New Roman"/>
          <w:color w:val="000000" w:themeColor="text1"/>
          <w:sz w:val="24"/>
          <w:szCs w:val="24"/>
          <w:lang w:val="en-US" w:eastAsia="en-US"/>
        </w:rPr>
        <w:t xml:space="preserve">Sargan and Basmann statistics are used to examine over-identifying restrictions that may arise </w:t>
      </w:r>
      <w:r w:rsidR="00BB3FA5" w:rsidRPr="00DE13EE">
        <w:rPr>
          <w:rFonts w:ascii="Times New Roman" w:eastAsia="Calibri" w:hAnsi="Times New Roman" w:cs="Times New Roman"/>
          <w:color w:val="000000" w:themeColor="text1"/>
          <w:sz w:val="24"/>
          <w:szCs w:val="24"/>
          <w:lang w:val="en-US" w:eastAsia="en-US"/>
        </w:rPr>
        <w:t>from using</w:t>
      </w:r>
      <w:r w:rsidR="00C7514B" w:rsidRPr="00DE13EE">
        <w:rPr>
          <w:rFonts w:ascii="Times New Roman" w:eastAsia="Calibri" w:hAnsi="Times New Roman" w:cs="Times New Roman"/>
          <w:color w:val="000000" w:themeColor="text1"/>
          <w:sz w:val="24"/>
          <w:szCs w:val="24"/>
          <w:lang w:val="en-US" w:eastAsia="en-US"/>
        </w:rPr>
        <w:t xml:space="preserve"> </w:t>
      </w:r>
      <w:r w:rsidRPr="00DE13EE">
        <w:rPr>
          <w:rFonts w:ascii="Times New Roman" w:eastAsia="Calibri" w:hAnsi="Times New Roman" w:cs="Times New Roman"/>
          <w:color w:val="000000" w:themeColor="text1"/>
          <w:sz w:val="24"/>
          <w:szCs w:val="24"/>
          <w:lang w:val="en-US" w:eastAsia="en-US"/>
        </w:rPr>
        <w:t>instrumental variable</w:t>
      </w:r>
      <w:r w:rsidR="00A90C95" w:rsidRPr="00DE13EE">
        <w:rPr>
          <w:rFonts w:ascii="Times New Roman" w:eastAsia="Calibri" w:hAnsi="Times New Roman" w:cs="Times New Roman"/>
          <w:color w:val="000000" w:themeColor="text1"/>
          <w:sz w:val="24"/>
          <w:szCs w:val="24"/>
          <w:lang w:val="en-US" w:eastAsia="en-US"/>
        </w:rPr>
        <w:t>s</w:t>
      </w:r>
      <w:r w:rsidRPr="00DE13EE">
        <w:rPr>
          <w:rFonts w:ascii="Times New Roman" w:eastAsia="Calibri" w:hAnsi="Times New Roman" w:cs="Times New Roman"/>
          <w:color w:val="000000" w:themeColor="text1"/>
          <w:sz w:val="24"/>
          <w:szCs w:val="24"/>
          <w:lang w:val="en-US" w:eastAsia="en-US"/>
        </w:rPr>
        <w:t>. The null</w:t>
      </w:r>
      <w:r w:rsidR="000B0522" w:rsidRPr="00DE13EE">
        <w:rPr>
          <w:rFonts w:ascii="Times New Roman" w:eastAsia="Calibri" w:hAnsi="Times New Roman" w:cs="Times New Roman"/>
          <w:color w:val="000000" w:themeColor="text1"/>
          <w:sz w:val="24"/>
          <w:szCs w:val="24"/>
          <w:lang w:val="en-US" w:eastAsia="en-US"/>
        </w:rPr>
        <w:t xml:space="preserve"> </w:t>
      </w:r>
      <w:r w:rsidRPr="00DE13EE">
        <w:rPr>
          <w:rFonts w:ascii="Times New Roman" w:eastAsia="Calibri" w:hAnsi="Times New Roman" w:cs="Times New Roman"/>
          <w:color w:val="000000" w:themeColor="text1"/>
          <w:sz w:val="24"/>
          <w:szCs w:val="24"/>
          <w:lang w:val="en-US" w:eastAsia="en-US"/>
        </w:rPr>
        <w:t>hypothesis of these tests is that</w:t>
      </w:r>
      <w:r w:rsidR="000B0522" w:rsidRPr="00DE13EE">
        <w:rPr>
          <w:rFonts w:ascii="Times New Roman" w:eastAsia="Calibri" w:hAnsi="Times New Roman" w:cs="Times New Roman"/>
          <w:color w:val="000000" w:themeColor="text1"/>
          <w:sz w:val="24"/>
          <w:szCs w:val="24"/>
          <w:lang w:val="en-US" w:eastAsia="en-US"/>
        </w:rPr>
        <w:t xml:space="preserve"> </w:t>
      </w:r>
      <w:r w:rsidRPr="00DE13EE">
        <w:rPr>
          <w:rFonts w:ascii="Times New Roman" w:eastAsia="Calibri" w:hAnsi="Times New Roman" w:cs="Times New Roman"/>
          <w:color w:val="000000" w:themeColor="text1"/>
          <w:sz w:val="24"/>
          <w:szCs w:val="24"/>
          <w:lang w:val="en-US" w:eastAsia="en-US"/>
        </w:rPr>
        <w:t>the mean value of the instrument and residuals are equal to zero. These two tests are based on the Chi-square statistic. In addition, Durbin and Wu–Haumsan tests are used to examine the extent to which dependent and endogenous variables are exogenous. The null</w:t>
      </w:r>
      <w:r w:rsidR="000B0522" w:rsidRPr="00DE13EE">
        <w:rPr>
          <w:rFonts w:ascii="Times New Roman" w:eastAsia="Calibri" w:hAnsi="Times New Roman" w:cs="Times New Roman"/>
          <w:color w:val="000000" w:themeColor="text1"/>
          <w:sz w:val="24"/>
          <w:szCs w:val="24"/>
          <w:lang w:val="en-US" w:eastAsia="en-US"/>
        </w:rPr>
        <w:t xml:space="preserve"> </w:t>
      </w:r>
      <w:r w:rsidRPr="00DE13EE">
        <w:rPr>
          <w:rFonts w:ascii="Times New Roman" w:eastAsia="Calibri" w:hAnsi="Times New Roman" w:cs="Times New Roman"/>
          <w:color w:val="000000" w:themeColor="text1"/>
          <w:sz w:val="24"/>
          <w:szCs w:val="24"/>
          <w:lang w:val="en-US" w:eastAsia="en-US"/>
        </w:rPr>
        <w:t xml:space="preserve">hypothesis of these tests is that the covariance of the endogenous variables and the residuals is equal to zero. The Durbin statistic is based on Chi-square statistic, and the Wu–Haumsan </w:t>
      </w:r>
      <w:r w:rsidR="009202D9" w:rsidRPr="00DE13EE">
        <w:rPr>
          <w:rFonts w:ascii="Times New Roman" w:eastAsia="Calibri" w:hAnsi="Times New Roman" w:cs="Times New Roman"/>
          <w:color w:val="000000" w:themeColor="text1"/>
          <w:sz w:val="24"/>
          <w:szCs w:val="24"/>
          <w:lang w:val="en-US" w:eastAsia="en-US"/>
        </w:rPr>
        <w:t>statistic</w:t>
      </w:r>
      <w:r w:rsidRPr="00DE13EE">
        <w:rPr>
          <w:rFonts w:ascii="Times New Roman" w:eastAsia="Calibri" w:hAnsi="Times New Roman" w:cs="Times New Roman"/>
          <w:color w:val="000000" w:themeColor="text1"/>
          <w:sz w:val="24"/>
          <w:szCs w:val="24"/>
          <w:lang w:val="en-US" w:eastAsia="en-US"/>
        </w:rPr>
        <w:t xml:space="preserve"> is based on F-statistic.</w:t>
      </w:r>
    </w:p>
    <w:p w14:paraId="6836F109" w14:textId="0CCEFBD6" w:rsidR="008E6388" w:rsidRPr="00DE13EE" w:rsidRDefault="008E6388" w:rsidP="00B93D4F">
      <w:pPr>
        <w:spacing w:line="360" w:lineRule="auto"/>
        <w:jc w:val="both"/>
        <w:rPr>
          <w:rFonts w:ascii="Times New Roman" w:eastAsia="Calibri" w:hAnsi="Times New Roman" w:cs="Times New Roman"/>
          <w:color w:val="000000" w:themeColor="text1"/>
          <w:sz w:val="24"/>
          <w:szCs w:val="24"/>
          <w:lang w:val="en-US" w:eastAsia="en-US"/>
        </w:rPr>
      </w:pPr>
      <w:r w:rsidRPr="00DE13EE">
        <w:rPr>
          <w:rFonts w:ascii="Times New Roman" w:eastAsia="Calibri" w:hAnsi="Times New Roman" w:cs="Times New Roman"/>
          <w:color w:val="000000" w:themeColor="text1"/>
          <w:sz w:val="24"/>
          <w:szCs w:val="24"/>
          <w:lang w:val="en-US" w:eastAsia="en-US"/>
        </w:rPr>
        <w:t xml:space="preserve">Table </w:t>
      </w:r>
      <w:r w:rsidR="00D24C00" w:rsidRPr="00DE13EE">
        <w:rPr>
          <w:rFonts w:ascii="Times New Roman" w:eastAsia="Calibri" w:hAnsi="Times New Roman" w:cs="Times New Roman"/>
          <w:color w:val="000000" w:themeColor="text1"/>
          <w:sz w:val="24"/>
          <w:szCs w:val="24"/>
          <w:lang w:val="en-US" w:eastAsia="en-US"/>
        </w:rPr>
        <w:t>(7)</w:t>
      </w:r>
      <w:r w:rsidRPr="00DE13EE">
        <w:rPr>
          <w:rFonts w:ascii="Times New Roman" w:eastAsia="Calibri" w:hAnsi="Times New Roman" w:cs="Times New Roman"/>
          <w:color w:val="000000" w:themeColor="text1"/>
          <w:sz w:val="24"/>
          <w:szCs w:val="24"/>
          <w:lang w:val="en-US" w:eastAsia="en-US"/>
        </w:rPr>
        <w:t xml:space="preserve"> reports the results of the endogeneity tests. Column (1) presents the results of endogeneity test for </w:t>
      </w:r>
      <w:r w:rsidR="00D24C00" w:rsidRPr="00DE13EE">
        <w:rPr>
          <w:rFonts w:ascii="Times New Roman" w:eastAsia="Calibri" w:hAnsi="Times New Roman" w:cs="Times New Roman"/>
          <w:color w:val="000000" w:themeColor="text1"/>
          <w:sz w:val="24"/>
          <w:szCs w:val="24"/>
          <w:lang w:val="en-US" w:eastAsia="en-US"/>
        </w:rPr>
        <w:t xml:space="preserve">the </w:t>
      </w:r>
      <w:r w:rsidR="000B0522" w:rsidRPr="00DE13EE">
        <w:rPr>
          <w:rFonts w:ascii="Times New Roman" w:eastAsia="Calibri" w:hAnsi="Times New Roman" w:cs="Times New Roman"/>
          <w:color w:val="000000" w:themeColor="text1"/>
          <w:sz w:val="24"/>
          <w:szCs w:val="24"/>
          <w:lang w:val="en-US" w:eastAsia="en-US"/>
        </w:rPr>
        <w:t xml:space="preserve">entire </w:t>
      </w:r>
      <w:r w:rsidR="00D24C00" w:rsidRPr="00DE13EE">
        <w:rPr>
          <w:rFonts w:ascii="Times New Roman" w:eastAsia="Calibri" w:hAnsi="Times New Roman" w:cs="Times New Roman"/>
          <w:color w:val="000000" w:themeColor="text1"/>
          <w:sz w:val="24"/>
          <w:szCs w:val="24"/>
          <w:lang w:val="en-US" w:eastAsia="en-US"/>
        </w:rPr>
        <w:t xml:space="preserve">sample </w:t>
      </w:r>
      <w:r w:rsidR="000B0522" w:rsidRPr="00DE13EE">
        <w:rPr>
          <w:rFonts w:ascii="Times New Roman" w:eastAsia="Calibri" w:hAnsi="Times New Roman" w:cs="Times New Roman"/>
          <w:color w:val="000000" w:themeColor="text1"/>
          <w:sz w:val="24"/>
          <w:szCs w:val="24"/>
          <w:lang w:val="en-US" w:eastAsia="en-US"/>
        </w:rPr>
        <w:t xml:space="preserve">of </w:t>
      </w:r>
      <w:r w:rsidR="00D24C00" w:rsidRPr="00DE13EE">
        <w:rPr>
          <w:rFonts w:ascii="Times New Roman" w:eastAsia="Calibri" w:hAnsi="Times New Roman" w:cs="Times New Roman"/>
          <w:color w:val="000000" w:themeColor="text1"/>
          <w:sz w:val="24"/>
          <w:szCs w:val="24"/>
          <w:lang w:val="en-US" w:eastAsia="en-US"/>
        </w:rPr>
        <w:t xml:space="preserve">firms. </w:t>
      </w:r>
      <w:r w:rsidR="00A90C95" w:rsidRPr="00DE13EE">
        <w:rPr>
          <w:rFonts w:ascii="Times New Roman" w:eastAsia="Calibri" w:hAnsi="Times New Roman" w:cs="Times New Roman"/>
          <w:color w:val="000000" w:themeColor="text1"/>
          <w:sz w:val="24"/>
          <w:szCs w:val="24"/>
          <w:lang w:val="en-US" w:eastAsia="en-US"/>
        </w:rPr>
        <w:t xml:space="preserve">Column (2) reports the test for high-performing and low-performing firm samples and column </w:t>
      </w:r>
      <w:r w:rsidRPr="00DE13EE">
        <w:rPr>
          <w:rFonts w:ascii="Times New Roman" w:eastAsia="Calibri" w:hAnsi="Times New Roman" w:cs="Times New Roman"/>
          <w:color w:val="000000" w:themeColor="text1"/>
          <w:sz w:val="24"/>
          <w:szCs w:val="24"/>
          <w:lang w:val="en-US" w:eastAsia="en-US"/>
        </w:rPr>
        <w:t>(</w:t>
      </w:r>
      <w:r w:rsidR="00A90C95" w:rsidRPr="00DE13EE">
        <w:rPr>
          <w:rFonts w:ascii="Times New Roman" w:eastAsia="Calibri" w:hAnsi="Times New Roman" w:cs="Times New Roman"/>
          <w:color w:val="000000" w:themeColor="text1"/>
          <w:sz w:val="24"/>
          <w:szCs w:val="24"/>
          <w:lang w:val="en-US" w:eastAsia="en-US"/>
        </w:rPr>
        <w:t>3</w:t>
      </w:r>
      <w:r w:rsidRPr="00DE13EE">
        <w:rPr>
          <w:rFonts w:ascii="Times New Roman" w:eastAsia="Calibri" w:hAnsi="Times New Roman" w:cs="Times New Roman"/>
          <w:color w:val="000000" w:themeColor="text1"/>
          <w:sz w:val="24"/>
          <w:szCs w:val="24"/>
          <w:lang w:val="en-US" w:eastAsia="en-US"/>
        </w:rPr>
        <w:t>) report</w:t>
      </w:r>
      <w:r w:rsidR="00D24C00" w:rsidRPr="00DE13EE">
        <w:rPr>
          <w:rFonts w:ascii="Times New Roman" w:eastAsia="Calibri" w:hAnsi="Times New Roman" w:cs="Times New Roman"/>
          <w:color w:val="000000" w:themeColor="text1"/>
          <w:sz w:val="24"/>
          <w:szCs w:val="24"/>
          <w:lang w:val="en-US" w:eastAsia="en-US"/>
        </w:rPr>
        <w:t>s</w:t>
      </w:r>
      <w:r w:rsidRPr="00DE13EE">
        <w:rPr>
          <w:rFonts w:ascii="Times New Roman" w:eastAsia="Calibri" w:hAnsi="Times New Roman" w:cs="Times New Roman"/>
          <w:color w:val="000000" w:themeColor="text1"/>
          <w:sz w:val="24"/>
          <w:szCs w:val="24"/>
          <w:lang w:val="en-US" w:eastAsia="en-US"/>
        </w:rPr>
        <w:t xml:space="preserve"> the endogeneity test results for </w:t>
      </w:r>
      <w:r w:rsidR="00D24C00" w:rsidRPr="00DE13EE">
        <w:rPr>
          <w:rFonts w:ascii="Times New Roman" w:eastAsia="Calibri" w:hAnsi="Times New Roman" w:cs="Times New Roman"/>
          <w:color w:val="000000" w:themeColor="text1"/>
          <w:sz w:val="24"/>
          <w:szCs w:val="24"/>
          <w:lang w:val="en-US" w:eastAsia="en-US"/>
        </w:rPr>
        <w:t>Big-N and Non</w:t>
      </w:r>
      <w:r w:rsidR="009202D9" w:rsidRPr="00DE13EE">
        <w:rPr>
          <w:rFonts w:ascii="Times New Roman" w:eastAsia="Calibri" w:hAnsi="Times New Roman" w:cs="Times New Roman"/>
          <w:color w:val="000000" w:themeColor="text1"/>
          <w:sz w:val="24"/>
          <w:szCs w:val="24"/>
          <w:lang w:val="en-US" w:eastAsia="en-US"/>
        </w:rPr>
        <w:t>-</w:t>
      </w:r>
      <w:r w:rsidR="00D24C00" w:rsidRPr="00DE13EE">
        <w:rPr>
          <w:rFonts w:ascii="Times New Roman" w:eastAsia="Calibri" w:hAnsi="Times New Roman" w:cs="Times New Roman"/>
          <w:color w:val="000000" w:themeColor="text1"/>
          <w:sz w:val="24"/>
          <w:szCs w:val="24"/>
          <w:lang w:val="en-US" w:eastAsia="en-US"/>
        </w:rPr>
        <w:t>Big-N sample</w:t>
      </w:r>
      <w:r w:rsidR="000B0522" w:rsidRPr="00DE13EE">
        <w:rPr>
          <w:rFonts w:ascii="Times New Roman" w:eastAsia="Calibri" w:hAnsi="Times New Roman" w:cs="Times New Roman"/>
          <w:color w:val="000000" w:themeColor="text1"/>
          <w:sz w:val="24"/>
          <w:szCs w:val="24"/>
          <w:lang w:val="en-US" w:eastAsia="en-US"/>
        </w:rPr>
        <w:t>s</w:t>
      </w:r>
      <w:r w:rsidR="00A90C95" w:rsidRPr="00DE13EE">
        <w:rPr>
          <w:rFonts w:ascii="Times New Roman" w:eastAsia="Calibri" w:hAnsi="Times New Roman" w:cs="Times New Roman"/>
          <w:color w:val="000000" w:themeColor="text1"/>
          <w:sz w:val="24"/>
          <w:szCs w:val="24"/>
          <w:lang w:val="en-US" w:eastAsia="en-US"/>
        </w:rPr>
        <w:t>.</w:t>
      </w:r>
      <w:r w:rsidRPr="00DE13EE">
        <w:rPr>
          <w:rFonts w:ascii="Times New Roman" w:eastAsia="Calibri" w:hAnsi="Times New Roman" w:cs="Times New Roman"/>
          <w:color w:val="000000" w:themeColor="text1"/>
          <w:sz w:val="24"/>
          <w:szCs w:val="24"/>
          <w:lang w:val="en-US" w:eastAsia="en-US"/>
        </w:rPr>
        <w:t xml:space="preserve"> Sargan and Basmann statistics indicate that the instrumental </w:t>
      </w:r>
      <w:r w:rsidRPr="00DE13EE">
        <w:rPr>
          <w:rFonts w:ascii="Times New Roman" w:eastAsia="Calibri" w:hAnsi="Times New Roman" w:cs="Times New Roman"/>
          <w:color w:val="000000" w:themeColor="text1"/>
          <w:sz w:val="24"/>
          <w:szCs w:val="24"/>
          <w:lang w:val="en-US" w:eastAsia="en-US"/>
        </w:rPr>
        <w:lastRenderedPageBreak/>
        <w:t>variable</w:t>
      </w:r>
      <w:r w:rsidR="00A90C95" w:rsidRPr="00DE13EE">
        <w:rPr>
          <w:rFonts w:ascii="Times New Roman" w:eastAsia="Calibri" w:hAnsi="Times New Roman" w:cs="Times New Roman"/>
          <w:color w:val="000000" w:themeColor="text1"/>
          <w:sz w:val="24"/>
          <w:szCs w:val="24"/>
          <w:lang w:val="en-US" w:eastAsia="en-US"/>
        </w:rPr>
        <w:t>s</w:t>
      </w:r>
      <w:r w:rsidRPr="00DE13EE">
        <w:rPr>
          <w:rFonts w:ascii="Times New Roman" w:eastAsia="Calibri" w:hAnsi="Times New Roman" w:cs="Times New Roman"/>
          <w:color w:val="000000" w:themeColor="text1"/>
          <w:sz w:val="24"/>
          <w:szCs w:val="24"/>
          <w:lang w:val="en-US" w:eastAsia="en-US"/>
        </w:rPr>
        <w:t xml:space="preserve"> employed in the endogeneity tests are valid and are considered appropriate for the regression model</w:t>
      </w:r>
      <w:r w:rsidR="00A90C95" w:rsidRPr="00DE13EE">
        <w:rPr>
          <w:rFonts w:ascii="Times New Roman" w:eastAsia="Calibri" w:hAnsi="Times New Roman" w:cs="Times New Roman"/>
          <w:color w:val="000000" w:themeColor="text1"/>
          <w:sz w:val="24"/>
          <w:szCs w:val="24"/>
          <w:lang w:val="en-US" w:eastAsia="en-US"/>
        </w:rPr>
        <w:t>s</w:t>
      </w:r>
      <w:r w:rsidRPr="00DE13EE">
        <w:rPr>
          <w:rFonts w:ascii="Times New Roman" w:eastAsia="Calibri" w:hAnsi="Times New Roman" w:cs="Times New Roman"/>
          <w:color w:val="000000" w:themeColor="text1"/>
          <w:sz w:val="24"/>
          <w:szCs w:val="24"/>
          <w:lang w:val="en-US" w:eastAsia="en-US"/>
        </w:rPr>
        <w:t>. Durbin and Wu-Haumsan statistics suggest that the exogeneity of regressor variables are acceptable. These results indicate that there is no concern arising from endogeneity.</w:t>
      </w:r>
    </w:p>
    <w:p w14:paraId="1EC9CA87" w14:textId="0A6ABFA3" w:rsidR="000B0BAB" w:rsidRPr="00DE13EE" w:rsidRDefault="000B0BAB" w:rsidP="00B93D4F">
      <w:pPr>
        <w:spacing w:line="360" w:lineRule="auto"/>
        <w:jc w:val="center"/>
        <w:rPr>
          <w:rFonts w:ascii="Times New Roman" w:eastAsia="Calibri" w:hAnsi="Times New Roman" w:cs="Times New Roman"/>
          <w:i/>
          <w:iCs/>
          <w:color w:val="000000" w:themeColor="text1"/>
          <w:sz w:val="24"/>
          <w:szCs w:val="24"/>
          <w:lang w:val="en-US" w:eastAsia="en-US"/>
        </w:rPr>
      </w:pPr>
      <w:r w:rsidRPr="00DE13EE">
        <w:rPr>
          <w:rFonts w:ascii="Times New Roman" w:eastAsia="Calibri" w:hAnsi="Times New Roman" w:cs="Times New Roman"/>
          <w:i/>
          <w:iCs/>
          <w:color w:val="000000" w:themeColor="text1"/>
          <w:sz w:val="24"/>
          <w:szCs w:val="24"/>
          <w:lang w:val="en-US" w:eastAsia="en-US"/>
        </w:rPr>
        <w:t>Insert Table (7) here</w:t>
      </w:r>
    </w:p>
    <w:p w14:paraId="3C467E4C" w14:textId="77777777" w:rsidR="00E01DAE" w:rsidRPr="00DE13EE" w:rsidRDefault="00E01DAE" w:rsidP="00B93D4F">
      <w:pPr>
        <w:spacing w:line="360" w:lineRule="auto"/>
        <w:jc w:val="center"/>
        <w:rPr>
          <w:rFonts w:ascii="Times New Roman" w:eastAsia="Calibri" w:hAnsi="Times New Roman" w:cs="Times New Roman"/>
          <w:i/>
          <w:iCs/>
          <w:color w:val="000000" w:themeColor="text1"/>
          <w:sz w:val="24"/>
          <w:szCs w:val="24"/>
          <w:lang w:val="en-US" w:eastAsia="en-US"/>
        </w:rPr>
      </w:pPr>
    </w:p>
    <w:p w14:paraId="3E6B51DE" w14:textId="77777777" w:rsidR="00913E50" w:rsidRPr="00DE13EE" w:rsidRDefault="00913E50" w:rsidP="00B93D4F">
      <w:pPr>
        <w:pStyle w:val="Heading1"/>
        <w:rPr>
          <w:color w:val="000000" w:themeColor="text1"/>
          <w:lang w:val="en-US"/>
        </w:rPr>
      </w:pPr>
      <w:r w:rsidRPr="00DE13EE">
        <w:rPr>
          <w:color w:val="000000" w:themeColor="text1"/>
          <w:lang w:val="en-US"/>
        </w:rPr>
        <w:t>CONCLUSION</w:t>
      </w:r>
    </w:p>
    <w:p w14:paraId="7FB76854" w14:textId="237320AA" w:rsidR="00692F3D" w:rsidRPr="00DE13EE" w:rsidRDefault="00033BD0" w:rsidP="00B93D4F">
      <w:pPr>
        <w:spacing w:before="120" w:after="240" w:line="360" w:lineRule="auto"/>
        <w:jc w:val="both"/>
        <w:rPr>
          <w:rFonts w:ascii="Times New Roman" w:eastAsia="Calibri" w:hAnsi="Times New Roman" w:cs="Times New Roman"/>
          <w:color w:val="000000" w:themeColor="text1"/>
          <w:sz w:val="24"/>
          <w:szCs w:val="24"/>
          <w:lang w:val="en-US" w:eastAsia="en-US"/>
        </w:rPr>
      </w:pPr>
      <w:r w:rsidRPr="00DE13EE">
        <w:rPr>
          <w:rFonts w:ascii="Times New Roman" w:eastAsia="Calibri" w:hAnsi="Times New Roman" w:cs="Times New Roman"/>
          <w:color w:val="000000" w:themeColor="text1"/>
          <w:sz w:val="24"/>
          <w:szCs w:val="24"/>
          <w:lang w:val="en-US" w:eastAsia="en-US"/>
        </w:rPr>
        <w:t xml:space="preserve">This </w:t>
      </w:r>
      <w:r w:rsidR="00A9221A" w:rsidRPr="00DE13EE">
        <w:rPr>
          <w:rFonts w:ascii="Times New Roman" w:eastAsia="Calibri" w:hAnsi="Times New Roman" w:cs="Times New Roman"/>
          <w:color w:val="000000" w:themeColor="text1"/>
          <w:sz w:val="24"/>
          <w:szCs w:val="24"/>
          <w:lang w:val="en-US" w:eastAsia="en-US"/>
        </w:rPr>
        <w:t xml:space="preserve">study </w:t>
      </w:r>
      <w:r w:rsidR="000B0522" w:rsidRPr="00DE13EE">
        <w:rPr>
          <w:rFonts w:ascii="Times New Roman" w:eastAsia="Calibri" w:hAnsi="Times New Roman" w:cs="Times New Roman"/>
          <w:color w:val="000000" w:themeColor="text1"/>
          <w:sz w:val="24"/>
          <w:szCs w:val="24"/>
          <w:lang w:val="en-US" w:eastAsia="en-US"/>
        </w:rPr>
        <w:t>examine</w:t>
      </w:r>
      <w:r w:rsidR="00B55AB1" w:rsidRPr="00DE13EE">
        <w:rPr>
          <w:rFonts w:ascii="Times New Roman" w:eastAsia="Calibri" w:hAnsi="Times New Roman" w:cs="Times New Roman"/>
          <w:color w:val="000000" w:themeColor="text1"/>
          <w:sz w:val="24"/>
          <w:szCs w:val="24"/>
          <w:lang w:val="en-US" w:eastAsia="en-US"/>
        </w:rPr>
        <w:t>s</w:t>
      </w:r>
      <w:r w:rsidR="00A9221A" w:rsidRPr="00DE13EE">
        <w:rPr>
          <w:rFonts w:ascii="Times New Roman" w:eastAsia="Calibri" w:hAnsi="Times New Roman" w:cs="Times New Roman"/>
          <w:color w:val="000000" w:themeColor="text1"/>
          <w:sz w:val="24"/>
          <w:szCs w:val="24"/>
          <w:lang w:val="en-US" w:eastAsia="en-US"/>
        </w:rPr>
        <w:t xml:space="preserve"> how </w:t>
      </w:r>
      <w:r w:rsidR="00C37009" w:rsidRPr="00DE13EE">
        <w:rPr>
          <w:rFonts w:ascii="Times New Roman" w:eastAsia="Calibri" w:hAnsi="Times New Roman" w:cs="Times New Roman"/>
          <w:color w:val="000000" w:themeColor="text1"/>
          <w:sz w:val="24"/>
          <w:szCs w:val="24"/>
          <w:lang w:val="en-US" w:eastAsia="en-US"/>
        </w:rPr>
        <w:t xml:space="preserve">the disclosure of forward-looking information </w:t>
      </w:r>
      <w:r w:rsidR="00A9221A" w:rsidRPr="00DE13EE">
        <w:rPr>
          <w:rFonts w:ascii="Times New Roman" w:eastAsia="Calibri" w:hAnsi="Times New Roman" w:cs="Times New Roman"/>
          <w:color w:val="000000" w:themeColor="text1"/>
          <w:sz w:val="24"/>
          <w:szCs w:val="24"/>
          <w:lang w:val="en-US" w:eastAsia="en-US"/>
        </w:rPr>
        <w:t xml:space="preserve">influences the </w:t>
      </w:r>
      <w:r w:rsidR="00C37009" w:rsidRPr="00DE13EE">
        <w:rPr>
          <w:rFonts w:ascii="Times New Roman" w:eastAsia="Calibri" w:hAnsi="Times New Roman" w:cs="Times New Roman"/>
          <w:color w:val="000000" w:themeColor="text1"/>
          <w:sz w:val="24"/>
          <w:szCs w:val="24"/>
          <w:lang w:val="en-US" w:eastAsia="en-US"/>
        </w:rPr>
        <w:t>value</w:t>
      </w:r>
      <w:r w:rsidR="00A9221A" w:rsidRPr="00DE13EE">
        <w:rPr>
          <w:rFonts w:ascii="Times New Roman" w:eastAsia="Calibri" w:hAnsi="Times New Roman" w:cs="Times New Roman"/>
          <w:color w:val="000000" w:themeColor="text1"/>
          <w:sz w:val="24"/>
          <w:szCs w:val="24"/>
          <w:lang w:val="en-US" w:eastAsia="en-US"/>
        </w:rPr>
        <w:t>s</w:t>
      </w:r>
      <w:r w:rsidR="00223734" w:rsidRPr="00DE13EE">
        <w:rPr>
          <w:rFonts w:ascii="Times New Roman" w:eastAsia="Calibri" w:hAnsi="Times New Roman" w:cs="Times New Roman"/>
          <w:color w:val="000000" w:themeColor="text1"/>
          <w:sz w:val="24"/>
          <w:szCs w:val="24"/>
          <w:lang w:val="en-US" w:eastAsia="en-US"/>
        </w:rPr>
        <w:t xml:space="preserve"> of UK FTSE all-</w:t>
      </w:r>
      <w:r w:rsidR="00C37009" w:rsidRPr="00DE13EE">
        <w:rPr>
          <w:rFonts w:ascii="Times New Roman" w:eastAsia="Calibri" w:hAnsi="Times New Roman" w:cs="Times New Roman"/>
          <w:color w:val="000000" w:themeColor="text1"/>
          <w:sz w:val="24"/>
          <w:szCs w:val="24"/>
          <w:lang w:val="en-US" w:eastAsia="en-US"/>
        </w:rPr>
        <w:t xml:space="preserve">shares </w:t>
      </w:r>
      <w:r w:rsidR="004300E3" w:rsidRPr="00DE13EE">
        <w:rPr>
          <w:rFonts w:ascii="Times New Roman" w:eastAsia="Calibri" w:hAnsi="Times New Roman" w:cs="Times New Roman"/>
          <w:color w:val="000000" w:themeColor="text1"/>
          <w:sz w:val="24"/>
          <w:szCs w:val="24"/>
          <w:lang w:val="en-US" w:eastAsia="en-US"/>
        </w:rPr>
        <w:t xml:space="preserve">non-financial </w:t>
      </w:r>
      <w:r w:rsidR="00C37009" w:rsidRPr="00DE13EE">
        <w:rPr>
          <w:rFonts w:ascii="Times New Roman" w:eastAsia="Calibri" w:hAnsi="Times New Roman" w:cs="Times New Roman"/>
          <w:color w:val="000000" w:themeColor="text1"/>
          <w:sz w:val="24"/>
          <w:szCs w:val="24"/>
          <w:lang w:val="en-US" w:eastAsia="en-US"/>
        </w:rPr>
        <w:t>firm</w:t>
      </w:r>
      <w:r w:rsidR="00A9221A" w:rsidRPr="00DE13EE">
        <w:rPr>
          <w:rFonts w:ascii="Times New Roman" w:eastAsia="Calibri" w:hAnsi="Times New Roman" w:cs="Times New Roman"/>
          <w:color w:val="000000" w:themeColor="text1"/>
          <w:sz w:val="24"/>
          <w:szCs w:val="24"/>
          <w:lang w:val="en-US" w:eastAsia="en-US"/>
        </w:rPr>
        <w:t>s</w:t>
      </w:r>
      <w:r w:rsidR="00C37009" w:rsidRPr="00DE13EE">
        <w:rPr>
          <w:rFonts w:ascii="Times New Roman" w:eastAsia="Calibri" w:hAnsi="Times New Roman" w:cs="Times New Roman"/>
          <w:color w:val="000000" w:themeColor="text1"/>
          <w:sz w:val="24"/>
          <w:szCs w:val="24"/>
          <w:lang w:val="en-US" w:eastAsia="en-US"/>
        </w:rPr>
        <w:t xml:space="preserve"> over a</w:t>
      </w:r>
      <w:r w:rsidR="00A9221A" w:rsidRPr="00DE13EE">
        <w:rPr>
          <w:rFonts w:ascii="Times New Roman" w:eastAsia="Calibri" w:hAnsi="Times New Roman" w:cs="Times New Roman"/>
          <w:color w:val="000000" w:themeColor="text1"/>
          <w:sz w:val="24"/>
          <w:szCs w:val="24"/>
          <w:lang w:val="en-US" w:eastAsia="en-US"/>
        </w:rPr>
        <w:t xml:space="preserve"> </w:t>
      </w:r>
      <w:r w:rsidR="00C07BCB" w:rsidRPr="00DE13EE">
        <w:rPr>
          <w:rFonts w:ascii="Times New Roman" w:eastAsia="Calibri" w:hAnsi="Times New Roman" w:cs="Times New Roman"/>
          <w:color w:val="000000" w:themeColor="text1"/>
          <w:sz w:val="24"/>
          <w:szCs w:val="24"/>
          <w:lang w:val="en-US" w:eastAsia="en-US"/>
        </w:rPr>
        <w:t>ten</w:t>
      </w:r>
      <w:r w:rsidR="00A9221A" w:rsidRPr="00DE13EE">
        <w:rPr>
          <w:rFonts w:ascii="Times New Roman" w:eastAsia="Calibri" w:hAnsi="Times New Roman" w:cs="Times New Roman"/>
          <w:color w:val="000000" w:themeColor="text1"/>
          <w:sz w:val="24"/>
          <w:szCs w:val="24"/>
          <w:lang w:val="en-US" w:eastAsia="en-US"/>
        </w:rPr>
        <w:t>-year period</w:t>
      </w:r>
      <w:r w:rsidR="00C37009" w:rsidRPr="00DE13EE">
        <w:rPr>
          <w:rFonts w:ascii="Times New Roman" w:eastAsia="Calibri" w:hAnsi="Times New Roman" w:cs="Times New Roman"/>
          <w:color w:val="000000" w:themeColor="text1"/>
          <w:sz w:val="24"/>
          <w:szCs w:val="24"/>
          <w:lang w:val="en-US" w:eastAsia="en-US"/>
        </w:rPr>
        <w:t xml:space="preserve">. </w:t>
      </w:r>
      <w:r w:rsidR="00A82E30" w:rsidRPr="00DE13EE">
        <w:rPr>
          <w:rFonts w:ascii="Times New Roman" w:eastAsia="Calibri" w:hAnsi="Times New Roman" w:cs="Times New Roman"/>
          <w:color w:val="000000" w:themeColor="text1"/>
          <w:sz w:val="24"/>
          <w:szCs w:val="24"/>
          <w:lang w:val="en-US" w:eastAsia="en-US"/>
        </w:rPr>
        <w:t xml:space="preserve">In addition to the </w:t>
      </w:r>
      <w:r w:rsidR="00A578AF" w:rsidRPr="00DE13EE">
        <w:rPr>
          <w:rFonts w:ascii="Times New Roman" w:eastAsia="Calibri" w:hAnsi="Times New Roman" w:cs="Times New Roman"/>
          <w:color w:val="000000" w:themeColor="text1"/>
          <w:sz w:val="24"/>
          <w:szCs w:val="24"/>
          <w:lang w:val="en-US" w:eastAsia="en-US"/>
        </w:rPr>
        <w:t>fixed effe</w:t>
      </w:r>
      <w:r w:rsidR="00E40FE0" w:rsidRPr="00DE13EE">
        <w:rPr>
          <w:rFonts w:ascii="Times New Roman" w:eastAsia="Calibri" w:hAnsi="Times New Roman" w:cs="Times New Roman"/>
          <w:color w:val="000000" w:themeColor="text1"/>
          <w:sz w:val="24"/>
          <w:szCs w:val="24"/>
          <w:lang w:val="en-US" w:eastAsia="en-US"/>
        </w:rPr>
        <w:t>c</w:t>
      </w:r>
      <w:r w:rsidR="00A578AF" w:rsidRPr="00DE13EE">
        <w:rPr>
          <w:rFonts w:ascii="Times New Roman" w:eastAsia="Calibri" w:hAnsi="Times New Roman" w:cs="Times New Roman"/>
          <w:color w:val="000000" w:themeColor="text1"/>
          <w:sz w:val="24"/>
          <w:szCs w:val="24"/>
          <w:lang w:val="en-US" w:eastAsia="en-US"/>
        </w:rPr>
        <w:t>t model</w:t>
      </w:r>
      <w:r w:rsidR="00EE09CE" w:rsidRPr="00DE13EE">
        <w:rPr>
          <w:rFonts w:ascii="Times New Roman" w:eastAsia="Calibri" w:hAnsi="Times New Roman" w:cs="Times New Roman"/>
          <w:color w:val="000000" w:themeColor="text1"/>
          <w:sz w:val="24"/>
          <w:szCs w:val="24"/>
          <w:lang w:val="en-US" w:eastAsia="en-US"/>
        </w:rPr>
        <w:t>, the study</w:t>
      </w:r>
      <w:r w:rsidR="00A82E30" w:rsidRPr="00DE13EE">
        <w:rPr>
          <w:rFonts w:ascii="Times New Roman" w:eastAsia="Calibri" w:hAnsi="Times New Roman" w:cs="Times New Roman"/>
          <w:color w:val="000000" w:themeColor="text1"/>
          <w:sz w:val="24"/>
          <w:szCs w:val="24"/>
          <w:lang w:val="en-US" w:eastAsia="en-US"/>
        </w:rPr>
        <w:t xml:space="preserve"> </w:t>
      </w:r>
      <w:r w:rsidR="00EE09CE" w:rsidRPr="00DE13EE">
        <w:rPr>
          <w:rFonts w:ascii="Times New Roman" w:eastAsia="Calibri" w:hAnsi="Times New Roman" w:cs="Times New Roman"/>
          <w:color w:val="000000" w:themeColor="text1"/>
          <w:sz w:val="24"/>
          <w:szCs w:val="24"/>
          <w:lang w:val="en-US" w:eastAsia="en-US"/>
        </w:rPr>
        <w:t xml:space="preserve">adopts a </w:t>
      </w:r>
      <w:r w:rsidR="00A578AF" w:rsidRPr="00DE13EE">
        <w:rPr>
          <w:rFonts w:ascii="Times New Roman" w:eastAsia="Calibri" w:hAnsi="Times New Roman" w:cs="Times New Roman"/>
          <w:color w:val="000000" w:themeColor="text1"/>
          <w:sz w:val="24"/>
          <w:szCs w:val="24"/>
          <w:lang w:val="en-US" w:eastAsia="en-US"/>
        </w:rPr>
        <w:t xml:space="preserve">random </w:t>
      </w:r>
      <w:r w:rsidR="00EE09CE" w:rsidRPr="00DE13EE">
        <w:rPr>
          <w:rFonts w:ascii="Times New Roman" w:eastAsia="Calibri" w:hAnsi="Times New Roman" w:cs="Times New Roman"/>
          <w:color w:val="000000" w:themeColor="text1"/>
          <w:sz w:val="24"/>
          <w:szCs w:val="24"/>
          <w:lang w:val="en-US" w:eastAsia="en-US"/>
        </w:rPr>
        <w:t xml:space="preserve">regression analysis model to consider the random effects within and between firms on the dependent variable (firm value) to mitigate the problems </w:t>
      </w:r>
      <w:r w:rsidR="004300E3" w:rsidRPr="00DE13EE">
        <w:rPr>
          <w:rFonts w:ascii="Times New Roman" w:eastAsia="Calibri" w:hAnsi="Times New Roman" w:cs="Times New Roman"/>
          <w:color w:val="000000" w:themeColor="text1"/>
          <w:sz w:val="24"/>
          <w:szCs w:val="24"/>
          <w:lang w:val="en-US" w:eastAsia="en-US"/>
        </w:rPr>
        <w:t>of</w:t>
      </w:r>
      <w:r w:rsidR="00EE09CE" w:rsidRPr="00DE13EE">
        <w:rPr>
          <w:rFonts w:ascii="Times New Roman" w:eastAsia="Calibri" w:hAnsi="Times New Roman" w:cs="Times New Roman"/>
          <w:color w:val="000000" w:themeColor="text1"/>
          <w:sz w:val="24"/>
          <w:szCs w:val="24"/>
          <w:lang w:val="en-US" w:eastAsia="en-US"/>
        </w:rPr>
        <w:t xml:space="preserve"> heteroscedasticity and auto-correlation.</w:t>
      </w:r>
      <w:r w:rsidR="00B75CA4" w:rsidRPr="00DE13EE">
        <w:rPr>
          <w:rFonts w:ascii="Times New Roman" w:eastAsia="Calibri" w:hAnsi="Times New Roman" w:cs="Times New Roman"/>
          <w:color w:val="000000" w:themeColor="text1"/>
          <w:sz w:val="24"/>
          <w:szCs w:val="24"/>
          <w:lang w:val="en-US" w:eastAsia="en-US"/>
        </w:rPr>
        <w:t xml:space="preserve"> </w:t>
      </w:r>
      <w:r w:rsidR="00692F3D" w:rsidRPr="00DE13EE">
        <w:rPr>
          <w:rFonts w:ascii="Times New Roman" w:eastAsia="Calibri" w:hAnsi="Times New Roman" w:cs="Times New Roman"/>
          <w:color w:val="000000" w:themeColor="text1"/>
          <w:sz w:val="24"/>
          <w:szCs w:val="24"/>
          <w:lang w:val="en-US" w:eastAsia="en-US"/>
        </w:rPr>
        <w:t xml:space="preserve">The automated content analysis technique is used to measure the level of forward-looking disclosure. The </w:t>
      </w:r>
      <w:r w:rsidR="00223734" w:rsidRPr="00DE13EE">
        <w:rPr>
          <w:rFonts w:ascii="Times New Roman" w:eastAsia="Calibri" w:hAnsi="Times New Roman" w:cs="Times New Roman"/>
          <w:color w:val="000000" w:themeColor="text1"/>
          <w:sz w:val="24"/>
          <w:szCs w:val="24"/>
          <w:lang w:val="en-US" w:eastAsia="en-US"/>
        </w:rPr>
        <w:t>values of FTSE all-</w:t>
      </w:r>
      <w:r w:rsidR="00B75CA4" w:rsidRPr="00DE13EE">
        <w:rPr>
          <w:rFonts w:ascii="Times New Roman" w:eastAsia="Calibri" w:hAnsi="Times New Roman" w:cs="Times New Roman"/>
          <w:color w:val="000000" w:themeColor="text1"/>
          <w:sz w:val="24"/>
          <w:szCs w:val="24"/>
          <w:lang w:val="en-US" w:eastAsia="en-US"/>
        </w:rPr>
        <w:t xml:space="preserve">shares firms are measured using </w:t>
      </w:r>
      <w:r w:rsidR="00692F3D" w:rsidRPr="00DE13EE">
        <w:rPr>
          <w:rFonts w:ascii="Times New Roman" w:eastAsia="Calibri" w:hAnsi="Times New Roman" w:cs="Times New Roman"/>
          <w:color w:val="000000" w:themeColor="text1"/>
          <w:sz w:val="24"/>
          <w:szCs w:val="24"/>
          <w:lang w:val="en-US" w:eastAsia="en-US"/>
        </w:rPr>
        <w:t>an industry median adjusted Tobin’s Q ratio. Our findings support the significant role of the disclosure of forward-looking information in i</w:t>
      </w:r>
      <w:r w:rsidR="00223734" w:rsidRPr="00DE13EE">
        <w:rPr>
          <w:rFonts w:ascii="Times New Roman" w:eastAsia="Calibri" w:hAnsi="Times New Roman" w:cs="Times New Roman"/>
          <w:color w:val="000000" w:themeColor="text1"/>
          <w:sz w:val="24"/>
          <w:szCs w:val="24"/>
          <w:lang w:val="en-US" w:eastAsia="en-US"/>
        </w:rPr>
        <w:t>mproving the values of FTSE all-</w:t>
      </w:r>
      <w:r w:rsidR="00692F3D" w:rsidRPr="00DE13EE">
        <w:rPr>
          <w:rFonts w:ascii="Times New Roman" w:eastAsia="Calibri" w:hAnsi="Times New Roman" w:cs="Times New Roman"/>
          <w:color w:val="000000" w:themeColor="text1"/>
          <w:sz w:val="24"/>
          <w:szCs w:val="24"/>
          <w:lang w:val="en-US" w:eastAsia="en-US"/>
        </w:rPr>
        <w:t>shares firms. Further</w:t>
      </w:r>
      <w:r w:rsidR="00344BFB" w:rsidRPr="00DE13EE">
        <w:rPr>
          <w:rFonts w:ascii="Times New Roman" w:eastAsia="Calibri" w:hAnsi="Times New Roman" w:cs="Times New Roman"/>
          <w:color w:val="000000" w:themeColor="text1"/>
          <w:sz w:val="24"/>
          <w:szCs w:val="24"/>
          <w:lang w:val="en-US" w:eastAsia="en-US"/>
        </w:rPr>
        <w:t>more</w:t>
      </w:r>
      <w:r w:rsidR="00692F3D" w:rsidRPr="00DE13EE">
        <w:rPr>
          <w:rFonts w:ascii="Times New Roman" w:eastAsia="Calibri" w:hAnsi="Times New Roman" w:cs="Times New Roman"/>
          <w:color w:val="000000" w:themeColor="text1"/>
          <w:sz w:val="24"/>
          <w:szCs w:val="24"/>
          <w:lang w:val="en-US" w:eastAsia="en-US"/>
        </w:rPr>
        <w:t xml:space="preserve">, when </w:t>
      </w:r>
      <w:r w:rsidR="00344BFB" w:rsidRPr="00DE13EE">
        <w:rPr>
          <w:rFonts w:ascii="Times New Roman" w:eastAsia="Calibri" w:hAnsi="Times New Roman" w:cs="Times New Roman"/>
          <w:color w:val="000000" w:themeColor="text1"/>
          <w:sz w:val="24"/>
          <w:szCs w:val="24"/>
          <w:lang w:val="en-US" w:eastAsia="en-US"/>
        </w:rPr>
        <w:t>distinguishing</w:t>
      </w:r>
      <w:r w:rsidR="00692F3D" w:rsidRPr="00DE13EE">
        <w:rPr>
          <w:rFonts w:ascii="Times New Roman" w:eastAsia="Calibri" w:hAnsi="Times New Roman" w:cs="Times New Roman"/>
          <w:color w:val="000000" w:themeColor="text1"/>
          <w:sz w:val="24"/>
          <w:szCs w:val="24"/>
          <w:lang w:val="en-US" w:eastAsia="en-US"/>
        </w:rPr>
        <w:t xml:space="preserve"> between </w:t>
      </w:r>
      <w:r w:rsidR="00E40FE0" w:rsidRPr="00DE13EE">
        <w:rPr>
          <w:rFonts w:ascii="Times New Roman" w:eastAsia="Calibri" w:hAnsi="Times New Roman" w:cs="Times New Roman"/>
          <w:color w:val="000000" w:themeColor="text1"/>
          <w:sz w:val="24"/>
          <w:szCs w:val="24"/>
          <w:lang w:val="en-US" w:eastAsia="en-US"/>
        </w:rPr>
        <w:t xml:space="preserve">high and low-performing firms, the study finds that forward-looking disclosures have no effect on the values of high-performing firms but positively affects the values of low-performing firms. Moreover, after separating </w:t>
      </w:r>
      <w:r w:rsidR="00692F3D" w:rsidRPr="00DE13EE">
        <w:rPr>
          <w:rFonts w:ascii="Times New Roman" w:eastAsia="Calibri" w:hAnsi="Times New Roman" w:cs="Times New Roman"/>
          <w:color w:val="000000" w:themeColor="text1"/>
          <w:sz w:val="24"/>
          <w:szCs w:val="24"/>
          <w:lang w:val="en-US" w:eastAsia="en-US"/>
        </w:rPr>
        <w:t xml:space="preserve">firms audited by </w:t>
      </w:r>
      <w:r w:rsidR="00CD40A4" w:rsidRPr="00DE13EE">
        <w:rPr>
          <w:rFonts w:ascii="Times New Roman" w:eastAsia="Calibri" w:hAnsi="Times New Roman" w:cs="Times New Roman"/>
          <w:color w:val="000000" w:themeColor="text1"/>
          <w:sz w:val="24"/>
          <w:szCs w:val="24"/>
          <w:lang w:val="en-US" w:eastAsia="en-US"/>
        </w:rPr>
        <w:t>B</w:t>
      </w:r>
      <w:r w:rsidR="00692F3D" w:rsidRPr="00DE13EE">
        <w:rPr>
          <w:rFonts w:ascii="Times New Roman" w:eastAsia="Calibri" w:hAnsi="Times New Roman" w:cs="Times New Roman"/>
          <w:color w:val="000000" w:themeColor="text1"/>
          <w:sz w:val="24"/>
          <w:szCs w:val="24"/>
          <w:lang w:val="en-US" w:eastAsia="en-US"/>
        </w:rPr>
        <w:t xml:space="preserve">ig </w:t>
      </w:r>
      <w:r w:rsidR="00CD40A4" w:rsidRPr="00DE13EE">
        <w:rPr>
          <w:rFonts w:ascii="Times New Roman" w:eastAsia="Calibri" w:hAnsi="Times New Roman" w:cs="Times New Roman"/>
          <w:color w:val="000000" w:themeColor="text1"/>
          <w:sz w:val="24"/>
          <w:szCs w:val="24"/>
          <w:lang w:val="en-US" w:eastAsia="en-US"/>
        </w:rPr>
        <w:t xml:space="preserve">4 </w:t>
      </w:r>
      <w:r w:rsidR="00692F3D" w:rsidRPr="00DE13EE">
        <w:rPr>
          <w:rFonts w:ascii="Times New Roman" w:eastAsia="Calibri" w:hAnsi="Times New Roman" w:cs="Times New Roman"/>
          <w:color w:val="000000" w:themeColor="text1"/>
          <w:sz w:val="24"/>
          <w:szCs w:val="24"/>
          <w:lang w:val="en-US" w:eastAsia="en-US"/>
        </w:rPr>
        <w:t>audit</w:t>
      </w:r>
      <w:r w:rsidR="00E02914" w:rsidRPr="00DE13EE">
        <w:rPr>
          <w:rFonts w:ascii="Times New Roman" w:eastAsia="Calibri" w:hAnsi="Times New Roman" w:cs="Times New Roman"/>
          <w:color w:val="000000" w:themeColor="text1"/>
          <w:sz w:val="24"/>
          <w:szCs w:val="24"/>
          <w:lang w:val="en-US" w:eastAsia="en-US"/>
        </w:rPr>
        <w:t>ing</w:t>
      </w:r>
      <w:r w:rsidR="00692F3D" w:rsidRPr="00DE13EE">
        <w:rPr>
          <w:rFonts w:ascii="Times New Roman" w:eastAsia="Calibri" w:hAnsi="Times New Roman" w:cs="Times New Roman"/>
          <w:color w:val="000000" w:themeColor="text1"/>
          <w:sz w:val="24"/>
          <w:szCs w:val="24"/>
          <w:lang w:val="en-US" w:eastAsia="en-US"/>
        </w:rPr>
        <w:t xml:space="preserve"> firms and firms audited by </w:t>
      </w:r>
      <w:r w:rsidR="00344BFB" w:rsidRPr="00DE13EE">
        <w:rPr>
          <w:rFonts w:ascii="Times New Roman" w:eastAsia="Calibri" w:hAnsi="Times New Roman" w:cs="Times New Roman"/>
          <w:color w:val="000000" w:themeColor="text1"/>
          <w:sz w:val="24"/>
          <w:szCs w:val="24"/>
          <w:lang w:val="en-US" w:eastAsia="en-US"/>
        </w:rPr>
        <w:t>other</w:t>
      </w:r>
      <w:r w:rsidR="00692F3D" w:rsidRPr="00DE13EE">
        <w:rPr>
          <w:rFonts w:ascii="Times New Roman" w:eastAsia="Calibri" w:hAnsi="Times New Roman" w:cs="Times New Roman"/>
          <w:color w:val="000000" w:themeColor="text1"/>
          <w:sz w:val="24"/>
          <w:szCs w:val="24"/>
          <w:lang w:val="en-US" w:eastAsia="en-US"/>
        </w:rPr>
        <w:t xml:space="preserve"> audit</w:t>
      </w:r>
      <w:r w:rsidR="00E02914" w:rsidRPr="00DE13EE">
        <w:rPr>
          <w:rFonts w:ascii="Times New Roman" w:eastAsia="Calibri" w:hAnsi="Times New Roman" w:cs="Times New Roman"/>
          <w:color w:val="000000" w:themeColor="text1"/>
          <w:sz w:val="24"/>
          <w:szCs w:val="24"/>
          <w:lang w:val="en-US" w:eastAsia="en-US"/>
        </w:rPr>
        <w:t>ing</w:t>
      </w:r>
      <w:r w:rsidR="00CD40A4" w:rsidRPr="00DE13EE">
        <w:rPr>
          <w:rFonts w:ascii="Times New Roman" w:eastAsia="Calibri" w:hAnsi="Times New Roman" w:cs="Times New Roman"/>
          <w:color w:val="000000" w:themeColor="text1"/>
          <w:sz w:val="24"/>
          <w:szCs w:val="24"/>
          <w:lang w:val="en-US" w:eastAsia="en-US"/>
        </w:rPr>
        <w:t xml:space="preserve"> firm</w:t>
      </w:r>
      <w:r w:rsidR="00344BFB" w:rsidRPr="00DE13EE">
        <w:rPr>
          <w:rFonts w:ascii="Times New Roman" w:eastAsia="Calibri" w:hAnsi="Times New Roman" w:cs="Times New Roman"/>
          <w:color w:val="000000" w:themeColor="text1"/>
          <w:sz w:val="24"/>
          <w:szCs w:val="24"/>
          <w:lang w:val="en-US" w:eastAsia="en-US"/>
        </w:rPr>
        <w:t>s</w:t>
      </w:r>
      <w:r w:rsidR="00692F3D" w:rsidRPr="00DE13EE">
        <w:rPr>
          <w:rFonts w:ascii="Times New Roman" w:eastAsia="Calibri" w:hAnsi="Times New Roman" w:cs="Times New Roman"/>
          <w:color w:val="000000" w:themeColor="text1"/>
          <w:sz w:val="24"/>
          <w:szCs w:val="24"/>
          <w:lang w:val="en-US" w:eastAsia="en-US"/>
        </w:rPr>
        <w:t>, the study finds that forward-looking disclosure</w:t>
      </w:r>
      <w:r w:rsidR="00344BFB" w:rsidRPr="00DE13EE">
        <w:rPr>
          <w:rFonts w:ascii="Times New Roman" w:eastAsia="Calibri" w:hAnsi="Times New Roman" w:cs="Times New Roman"/>
          <w:color w:val="000000" w:themeColor="text1"/>
          <w:sz w:val="24"/>
          <w:szCs w:val="24"/>
          <w:lang w:val="en-US" w:eastAsia="en-US"/>
        </w:rPr>
        <w:t xml:space="preserve">s </w:t>
      </w:r>
      <w:r w:rsidR="00692F3D" w:rsidRPr="00DE13EE">
        <w:rPr>
          <w:rFonts w:ascii="Times New Roman" w:eastAsia="Calibri" w:hAnsi="Times New Roman" w:cs="Times New Roman"/>
          <w:color w:val="000000" w:themeColor="text1"/>
          <w:sz w:val="24"/>
          <w:szCs w:val="24"/>
          <w:lang w:val="en-US" w:eastAsia="en-US"/>
        </w:rPr>
        <w:t xml:space="preserve">positively affect the values of </w:t>
      </w:r>
      <w:r w:rsidR="00344BFB" w:rsidRPr="00DE13EE">
        <w:rPr>
          <w:rFonts w:ascii="Times New Roman" w:eastAsia="Calibri" w:hAnsi="Times New Roman" w:cs="Times New Roman"/>
          <w:color w:val="000000" w:themeColor="text1"/>
          <w:sz w:val="24"/>
          <w:szCs w:val="24"/>
          <w:lang w:val="en-US" w:eastAsia="en-US"/>
        </w:rPr>
        <w:t xml:space="preserve">those </w:t>
      </w:r>
      <w:r w:rsidR="00692F3D" w:rsidRPr="00DE13EE">
        <w:rPr>
          <w:rFonts w:ascii="Times New Roman" w:eastAsia="Calibri" w:hAnsi="Times New Roman" w:cs="Times New Roman"/>
          <w:color w:val="000000" w:themeColor="text1"/>
          <w:sz w:val="24"/>
          <w:szCs w:val="24"/>
          <w:lang w:val="en-US" w:eastAsia="en-US"/>
        </w:rPr>
        <w:t xml:space="preserve">UK firms audited by one of the </w:t>
      </w:r>
      <w:r w:rsidR="00CD40A4" w:rsidRPr="00DE13EE">
        <w:rPr>
          <w:rFonts w:ascii="Times New Roman" w:eastAsia="Calibri" w:hAnsi="Times New Roman" w:cs="Times New Roman"/>
          <w:color w:val="000000" w:themeColor="text1"/>
          <w:sz w:val="24"/>
          <w:szCs w:val="24"/>
          <w:lang w:val="en-US" w:eastAsia="en-US"/>
        </w:rPr>
        <w:t>B</w:t>
      </w:r>
      <w:r w:rsidR="00692F3D" w:rsidRPr="00DE13EE">
        <w:rPr>
          <w:rFonts w:ascii="Times New Roman" w:eastAsia="Calibri" w:hAnsi="Times New Roman" w:cs="Times New Roman"/>
          <w:color w:val="000000" w:themeColor="text1"/>
          <w:sz w:val="24"/>
          <w:szCs w:val="24"/>
          <w:lang w:val="en-US" w:eastAsia="en-US"/>
        </w:rPr>
        <w:t xml:space="preserve">ig </w:t>
      </w:r>
      <w:r w:rsidR="00CD40A4" w:rsidRPr="00DE13EE">
        <w:rPr>
          <w:rFonts w:ascii="Times New Roman" w:eastAsia="Calibri" w:hAnsi="Times New Roman" w:cs="Times New Roman"/>
          <w:color w:val="000000" w:themeColor="text1"/>
          <w:sz w:val="24"/>
          <w:szCs w:val="24"/>
          <w:lang w:val="en-US" w:eastAsia="en-US"/>
        </w:rPr>
        <w:t xml:space="preserve">4 </w:t>
      </w:r>
      <w:r w:rsidR="00692F3D" w:rsidRPr="00DE13EE">
        <w:rPr>
          <w:rFonts w:ascii="Times New Roman" w:eastAsia="Calibri" w:hAnsi="Times New Roman" w:cs="Times New Roman"/>
          <w:color w:val="000000" w:themeColor="text1"/>
          <w:sz w:val="24"/>
          <w:szCs w:val="24"/>
          <w:lang w:val="en-US" w:eastAsia="en-US"/>
        </w:rPr>
        <w:t>audit</w:t>
      </w:r>
      <w:r w:rsidR="00E02914" w:rsidRPr="00DE13EE">
        <w:rPr>
          <w:rFonts w:ascii="Times New Roman" w:eastAsia="Calibri" w:hAnsi="Times New Roman" w:cs="Times New Roman"/>
          <w:color w:val="000000" w:themeColor="text1"/>
          <w:sz w:val="24"/>
          <w:szCs w:val="24"/>
          <w:lang w:val="en-US" w:eastAsia="en-US"/>
        </w:rPr>
        <w:t>ing</w:t>
      </w:r>
      <w:r w:rsidR="00692F3D" w:rsidRPr="00DE13EE">
        <w:rPr>
          <w:rFonts w:ascii="Times New Roman" w:eastAsia="Calibri" w:hAnsi="Times New Roman" w:cs="Times New Roman"/>
          <w:color w:val="000000" w:themeColor="text1"/>
          <w:sz w:val="24"/>
          <w:szCs w:val="24"/>
          <w:lang w:val="en-US" w:eastAsia="en-US"/>
        </w:rPr>
        <w:t xml:space="preserve"> firms. </w:t>
      </w:r>
    </w:p>
    <w:p w14:paraId="05C5B313" w14:textId="0D1C774A" w:rsidR="001317AA" w:rsidRPr="00DE13EE" w:rsidRDefault="004300E3" w:rsidP="00B93D4F">
      <w:pPr>
        <w:spacing w:before="120" w:after="240" w:line="360" w:lineRule="auto"/>
        <w:jc w:val="both"/>
        <w:rPr>
          <w:rFonts w:ascii="Times New Roman" w:eastAsia="Calibri" w:hAnsi="Times New Roman" w:cs="Times New Roman"/>
          <w:color w:val="000000" w:themeColor="text1"/>
          <w:sz w:val="24"/>
          <w:szCs w:val="24"/>
          <w:lang w:val="en-US" w:eastAsia="en-US"/>
        </w:rPr>
      </w:pPr>
      <w:r w:rsidRPr="00DE13EE">
        <w:rPr>
          <w:rFonts w:ascii="Times New Roman" w:eastAsia="Calibri" w:hAnsi="Times New Roman" w:cs="Times New Roman"/>
          <w:color w:val="000000" w:themeColor="text1"/>
          <w:sz w:val="24"/>
          <w:szCs w:val="24"/>
          <w:lang w:val="en-US" w:eastAsia="en-US"/>
        </w:rPr>
        <w:t>The</w:t>
      </w:r>
      <w:r w:rsidR="006C7FAF" w:rsidRPr="00DE13EE">
        <w:rPr>
          <w:rFonts w:ascii="Times New Roman" w:eastAsia="Calibri" w:hAnsi="Times New Roman" w:cs="Times New Roman"/>
          <w:color w:val="000000" w:themeColor="text1"/>
          <w:sz w:val="24"/>
          <w:szCs w:val="24"/>
          <w:lang w:val="en-US" w:eastAsia="en-US"/>
        </w:rPr>
        <w:t xml:space="preserve"> </w:t>
      </w:r>
      <w:r w:rsidR="00B96157" w:rsidRPr="00DE13EE">
        <w:rPr>
          <w:rFonts w:ascii="Times New Roman" w:eastAsia="Calibri" w:hAnsi="Times New Roman" w:cs="Times New Roman"/>
          <w:color w:val="000000" w:themeColor="text1"/>
          <w:sz w:val="24"/>
          <w:szCs w:val="24"/>
          <w:lang w:val="en-US" w:eastAsia="en-US"/>
        </w:rPr>
        <w:t>results</w:t>
      </w:r>
      <w:r w:rsidR="006C7FAF" w:rsidRPr="00DE13EE">
        <w:rPr>
          <w:rFonts w:ascii="Times New Roman" w:eastAsia="Calibri" w:hAnsi="Times New Roman" w:cs="Times New Roman"/>
          <w:color w:val="000000" w:themeColor="text1"/>
          <w:sz w:val="24"/>
          <w:szCs w:val="24"/>
          <w:lang w:val="en-US" w:eastAsia="en-US"/>
        </w:rPr>
        <w:t xml:space="preserve"> </w:t>
      </w:r>
      <w:r w:rsidR="00B96157" w:rsidRPr="00DE13EE">
        <w:rPr>
          <w:rFonts w:ascii="Times New Roman" w:eastAsia="Calibri" w:hAnsi="Times New Roman" w:cs="Times New Roman"/>
          <w:color w:val="000000" w:themeColor="text1"/>
          <w:sz w:val="24"/>
          <w:szCs w:val="24"/>
          <w:lang w:val="en-US" w:eastAsia="en-US"/>
        </w:rPr>
        <w:t>have</w:t>
      </w:r>
      <w:r w:rsidR="006C7FAF" w:rsidRPr="00DE13EE">
        <w:rPr>
          <w:rFonts w:ascii="Times New Roman" w:eastAsia="Calibri" w:hAnsi="Times New Roman" w:cs="Times New Roman"/>
          <w:color w:val="000000" w:themeColor="text1"/>
          <w:sz w:val="24"/>
          <w:szCs w:val="24"/>
          <w:lang w:val="en-US" w:eastAsia="en-US"/>
        </w:rPr>
        <w:t xml:space="preserve"> implications</w:t>
      </w:r>
      <w:r w:rsidR="00B96157" w:rsidRPr="00DE13EE">
        <w:rPr>
          <w:rFonts w:ascii="Times New Roman" w:hAnsi="Times New Roman" w:cs="Times New Roman"/>
          <w:color w:val="000000" w:themeColor="text1"/>
          <w:lang w:val="en-US"/>
        </w:rPr>
        <w:t xml:space="preserve"> </w:t>
      </w:r>
      <w:r w:rsidR="00B96157" w:rsidRPr="00DE13EE">
        <w:rPr>
          <w:rFonts w:ascii="Times New Roman" w:eastAsia="Calibri" w:hAnsi="Times New Roman" w:cs="Times New Roman"/>
          <w:color w:val="000000" w:themeColor="text1"/>
          <w:sz w:val="24"/>
          <w:szCs w:val="24"/>
          <w:lang w:val="en-US" w:eastAsia="en-US"/>
        </w:rPr>
        <w:t xml:space="preserve">for regulators and investors in </w:t>
      </w:r>
      <w:r w:rsidR="009202D9" w:rsidRPr="00DE13EE">
        <w:rPr>
          <w:rFonts w:ascii="Times New Roman" w:eastAsia="Calibri" w:hAnsi="Times New Roman" w:cs="Times New Roman"/>
          <w:color w:val="000000" w:themeColor="text1"/>
          <w:sz w:val="24"/>
          <w:szCs w:val="24"/>
          <w:lang w:val="en-US" w:eastAsia="en-US"/>
        </w:rPr>
        <w:t xml:space="preserve">the </w:t>
      </w:r>
      <w:r w:rsidR="00B96157" w:rsidRPr="00DE13EE">
        <w:rPr>
          <w:rFonts w:ascii="Times New Roman" w:eastAsia="Calibri" w:hAnsi="Times New Roman" w:cs="Times New Roman"/>
          <w:color w:val="000000" w:themeColor="text1"/>
          <w:sz w:val="24"/>
          <w:szCs w:val="24"/>
          <w:lang w:val="en-US" w:eastAsia="en-US"/>
        </w:rPr>
        <w:t xml:space="preserve">UK. They support the UK’s regulatory trend regarding the disclosure of forward-looking narratives </w:t>
      </w:r>
      <w:r w:rsidR="00F500E6" w:rsidRPr="00DE13EE">
        <w:rPr>
          <w:rFonts w:ascii="Times New Roman" w:eastAsia="Calibri" w:hAnsi="Times New Roman" w:cs="Times New Roman"/>
          <w:color w:val="000000" w:themeColor="text1"/>
          <w:sz w:val="24"/>
          <w:szCs w:val="24"/>
          <w:lang w:val="en-US" w:eastAsia="en-US"/>
        </w:rPr>
        <w:t xml:space="preserve">that </w:t>
      </w:r>
      <w:r w:rsidR="00B96157" w:rsidRPr="00DE13EE">
        <w:rPr>
          <w:rFonts w:ascii="Times New Roman" w:eastAsia="Calibri" w:hAnsi="Times New Roman" w:cs="Times New Roman"/>
          <w:color w:val="000000" w:themeColor="text1"/>
          <w:sz w:val="24"/>
          <w:szCs w:val="24"/>
          <w:lang w:val="en-US" w:eastAsia="en-US"/>
        </w:rPr>
        <w:t>help to asses</w:t>
      </w:r>
      <w:r w:rsidR="00F500E6" w:rsidRPr="00DE13EE">
        <w:rPr>
          <w:rFonts w:ascii="Times New Roman" w:eastAsia="Calibri" w:hAnsi="Times New Roman" w:cs="Times New Roman"/>
          <w:color w:val="000000" w:themeColor="text1"/>
          <w:sz w:val="24"/>
          <w:szCs w:val="24"/>
          <w:lang w:val="en-US" w:eastAsia="en-US"/>
        </w:rPr>
        <w:t>s</w:t>
      </w:r>
      <w:r w:rsidR="00B96157" w:rsidRPr="00DE13EE">
        <w:rPr>
          <w:rFonts w:ascii="Times New Roman" w:eastAsia="Calibri" w:hAnsi="Times New Roman" w:cs="Times New Roman"/>
          <w:color w:val="000000" w:themeColor="text1"/>
          <w:sz w:val="24"/>
          <w:szCs w:val="24"/>
          <w:lang w:val="en-US" w:eastAsia="en-US"/>
        </w:rPr>
        <w:t xml:space="preserve"> </w:t>
      </w:r>
      <w:r w:rsidR="00F500E6" w:rsidRPr="00DE13EE">
        <w:rPr>
          <w:rFonts w:ascii="Times New Roman" w:eastAsia="Calibri" w:hAnsi="Times New Roman" w:cs="Times New Roman"/>
          <w:color w:val="000000" w:themeColor="text1"/>
          <w:sz w:val="24"/>
          <w:szCs w:val="24"/>
          <w:lang w:val="en-US" w:eastAsia="en-US"/>
        </w:rPr>
        <w:t xml:space="preserve">a </w:t>
      </w:r>
      <w:r w:rsidR="00B96157" w:rsidRPr="00DE13EE">
        <w:rPr>
          <w:rFonts w:ascii="Times New Roman" w:eastAsia="Calibri" w:hAnsi="Times New Roman" w:cs="Times New Roman"/>
          <w:color w:val="000000" w:themeColor="text1"/>
          <w:sz w:val="24"/>
          <w:szCs w:val="24"/>
          <w:lang w:val="en-US" w:eastAsia="en-US"/>
        </w:rPr>
        <w:t xml:space="preserve">firm’s future performance. The findings </w:t>
      </w:r>
      <w:r w:rsidR="00F500E6" w:rsidRPr="00DE13EE">
        <w:rPr>
          <w:rFonts w:ascii="Times New Roman" w:eastAsia="Calibri" w:hAnsi="Times New Roman" w:cs="Times New Roman"/>
          <w:color w:val="000000" w:themeColor="text1"/>
          <w:sz w:val="24"/>
          <w:szCs w:val="24"/>
          <w:lang w:val="en-US" w:eastAsia="en-US"/>
        </w:rPr>
        <w:t>rationalize</w:t>
      </w:r>
      <w:r w:rsidR="00B96157" w:rsidRPr="00DE13EE">
        <w:rPr>
          <w:rFonts w:ascii="Times New Roman" w:eastAsia="Calibri" w:hAnsi="Times New Roman" w:cs="Times New Roman"/>
          <w:color w:val="000000" w:themeColor="text1"/>
          <w:sz w:val="24"/>
          <w:szCs w:val="24"/>
          <w:lang w:val="en-US" w:eastAsia="en-US"/>
        </w:rPr>
        <w:t xml:space="preserve"> the debate over the impact of forward-looking disclosure on the value of UK firms</w:t>
      </w:r>
      <w:r w:rsidR="00F500E6" w:rsidRPr="00DE13EE">
        <w:rPr>
          <w:rFonts w:ascii="Times New Roman" w:eastAsia="Calibri" w:hAnsi="Times New Roman" w:cs="Times New Roman"/>
          <w:color w:val="000000" w:themeColor="text1"/>
          <w:sz w:val="24"/>
          <w:szCs w:val="24"/>
          <w:lang w:val="en-US" w:eastAsia="en-US"/>
        </w:rPr>
        <w:t>, which</w:t>
      </w:r>
      <w:r w:rsidR="00B96157" w:rsidRPr="00DE13EE">
        <w:rPr>
          <w:rFonts w:ascii="Times New Roman" w:eastAsia="Calibri" w:hAnsi="Times New Roman" w:cs="Times New Roman"/>
          <w:color w:val="000000" w:themeColor="text1"/>
          <w:sz w:val="24"/>
          <w:szCs w:val="24"/>
          <w:lang w:val="en-US" w:eastAsia="en-US"/>
        </w:rPr>
        <w:t xml:space="preserve"> may lead policymakers to encourage firms to disclose more forward-looking information </w:t>
      </w:r>
      <w:r w:rsidR="007D6938" w:rsidRPr="00DE13EE">
        <w:rPr>
          <w:rFonts w:ascii="Times New Roman" w:eastAsia="Calibri" w:hAnsi="Times New Roman" w:cs="Times New Roman"/>
          <w:color w:val="000000" w:themeColor="text1"/>
          <w:sz w:val="24"/>
          <w:szCs w:val="24"/>
          <w:lang w:val="en-US" w:eastAsia="en-US"/>
        </w:rPr>
        <w:t>to</w:t>
      </w:r>
      <w:r w:rsidR="001317AA" w:rsidRPr="00DE13EE">
        <w:rPr>
          <w:rFonts w:ascii="Times New Roman" w:eastAsia="Calibri" w:hAnsi="Times New Roman" w:cs="Times New Roman"/>
          <w:color w:val="000000" w:themeColor="text1"/>
          <w:sz w:val="24"/>
          <w:szCs w:val="24"/>
          <w:lang w:val="en-US" w:eastAsia="en-US"/>
        </w:rPr>
        <w:t xml:space="preserve"> improve the information content of the</w:t>
      </w:r>
      <w:r w:rsidR="00B96157" w:rsidRPr="00DE13EE">
        <w:rPr>
          <w:rFonts w:ascii="Times New Roman" w:eastAsia="Calibri" w:hAnsi="Times New Roman" w:cs="Times New Roman"/>
          <w:color w:val="000000" w:themeColor="text1"/>
          <w:sz w:val="24"/>
          <w:szCs w:val="24"/>
          <w:lang w:val="en-US" w:eastAsia="en-US"/>
        </w:rPr>
        <w:t xml:space="preserve"> annual reports</w:t>
      </w:r>
      <w:r w:rsidR="00E02914" w:rsidRPr="00DE13EE">
        <w:rPr>
          <w:rFonts w:ascii="Times New Roman" w:eastAsia="Calibri" w:hAnsi="Times New Roman" w:cs="Times New Roman"/>
          <w:color w:val="000000" w:themeColor="text1"/>
          <w:sz w:val="24"/>
          <w:szCs w:val="24"/>
          <w:lang w:val="en-US" w:eastAsia="en-US"/>
        </w:rPr>
        <w:t xml:space="preserve"> and, consequently, enhances investors’ valuation of firms</w:t>
      </w:r>
      <w:r w:rsidR="00B96157" w:rsidRPr="00DE13EE">
        <w:rPr>
          <w:rFonts w:ascii="Times New Roman" w:eastAsia="Calibri" w:hAnsi="Times New Roman" w:cs="Times New Roman"/>
          <w:color w:val="000000" w:themeColor="text1"/>
          <w:sz w:val="24"/>
          <w:szCs w:val="24"/>
          <w:lang w:val="en-US" w:eastAsia="en-US"/>
        </w:rPr>
        <w:t xml:space="preserve">. </w:t>
      </w:r>
      <w:r w:rsidR="00F97420" w:rsidRPr="00DE13EE">
        <w:rPr>
          <w:rFonts w:ascii="Times New Roman" w:eastAsia="Calibri" w:hAnsi="Times New Roman" w:cs="Times New Roman"/>
          <w:color w:val="000000" w:themeColor="text1"/>
          <w:sz w:val="24"/>
          <w:szCs w:val="24"/>
          <w:lang w:val="en-US" w:eastAsia="en-US"/>
        </w:rPr>
        <w:t>In addition,</w:t>
      </w:r>
      <w:r w:rsidR="00E40FE0" w:rsidRPr="00DE13EE">
        <w:rPr>
          <w:rFonts w:ascii="Times New Roman" w:eastAsia="Calibri" w:hAnsi="Times New Roman" w:cs="Times New Roman"/>
          <w:color w:val="000000" w:themeColor="text1"/>
          <w:sz w:val="24"/>
          <w:szCs w:val="24"/>
          <w:lang w:val="en-US" w:eastAsia="en-US"/>
        </w:rPr>
        <w:t xml:space="preserve"> </w:t>
      </w:r>
      <w:r w:rsidR="001317AA" w:rsidRPr="00DE13EE">
        <w:rPr>
          <w:rFonts w:ascii="Times New Roman" w:eastAsia="Calibri" w:hAnsi="Times New Roman" w:cs="Times New Roman"/>
          <w:color w:val="000000" w:themeColor="text1"/>
          <w:sz w:val="24"/>
          <w:szCs w:val="24"/>
          <w:lang w:val="en-US" w:eastAsia="en-US"/>
        </w:rPr>
        <w:t>Investors may</w:t>
      </w:r>
      <w:r w:rsidR="003F5BE1" w:rsidRPr="00DE13EE">
        <w:rPr>
          <w:rFonts w:ascii="Times New Roman" w:eastAsia="Calibri" w:hAnsi="Times New Roman" w:cs="Times New Roman"/>
          <w:color w:val="000000" w:themeColor="text1"/>
          <w:sz w:val="24"/>
          <w:szCs w:val="24"/>
          <w:lang w:val="en-US" w:eastAsia="en-US"/>
        </w:rPr>
        <w:t xml:space="preserve"> </w:t>
      </w:r>
      <w:r w:rsidR="001317AA" w:rsidRPr="00DE13EE">
        <w:rPr>
          <w:rFonts w:ascii="Times New Roman" w:eastAsia="Calibri" w:hAnsi="Times New Roman" w:cs="Times New Roman"/>
          <w:color w:val="000000" w:themeColor="text1"/>
          <w:sz w:val="24"/>
          <w:szCs w:val="24"/>
          <w:lang w:val="en-US" w:eastAsia="en-US"/>
        </w:rPr>
        <w:t xml:space="preserve">also find these results useful, </w:t>
      </w:r>
      <w:r w:rsidR="0005095A" w:rsidRPr="00DE13EE">
        <w:rPr>
          <w:rFonts w:ascii="Times New Roman" w:eastAsia="Calibri" w:hAnsi="Times New Roman" w:cs="Times New Roman"/>
          <w:color w:val="000000" w:themeColor="text1"/>
          <w:sz w:val="24"/>
          <w:szCs w:val="24"/>
          <w:lang w:val="en-US" w:eastAsia="en-US"/>
        </w:rPr>
        <w:t xml:space="preserve">as </w:t>
      </w:r>
      <w:r w:rsidR="001317AA" w:rsidRPr="00DE13EE">
        <w:rPr>
          <w:rFonts w:ascii="Times New Roman" w:eastAsia="Calibri" w:hAnsi="Times New Roman" w:cs="Times New Roman"/>
          <w:color w:val="000000" w:themeColor="text1"/>
          <w:sz w:val="24"/>
          <w:szCs w:val="24"/>
          <w:lang w:val="en-US" w:eastAsia="en-US"/>
        </w:rPr>
        <w:t xml:space="preserve">they provide empirical evidence that </w:t>
      </w:r>
      <w:r w:rsidR="000749F9" w:rsidRPr="00DE13EE">
        <w:rPr>
          <w:rFonts w:ascii="Times New Roman" w:eastAsia="Calibri" w:hAnsi="Times New Roman" w:cs="Times New Roman"/>
          <w:color w:val="000000" w:themeColor="text1"/>
          <w:sz w:val="24"/>
          <w:szCs w:val="24"/>
          <w:lang w:val="en-US" w:eastAsia="en-US"/>
        </w:rPr>
        <w:t>the association between FLD and</w:t>
      </w:r>
      <w:r w:rsidR="0005095A" w:rsidRPr="00DE13EE">
        <w:rPr>
          <w:rFonts w:ascii="Times New Roman" w:eastAsia="Calibri" w:hAnsi="Times New Roman" w:cs="Times New Roman"/>
          <w:color w:val="000000" w:themeColor="text1"/>
          <w:sz w:val="24"/>
          <w:szCs w:val="24"/>
          <w:lang w:val="en-US" w:eastAsia="en-US"/>
        </w:rPr>
        <w:t xml:space="preserve"> the</w:t>
      </w:r>
      <w:r w:rsidR="000749F9" w:rsidRPr="00DE13EE">
        <w:rPr>
          <w:rFonts w:ascii="Times New Roman" w:eastAsia="Calibri" w:hAnsi="Times New Roman" w:cs="Times New Roman"/>
          <w:color w:val="000000" w:themeColor="text1"/>
          <w:sz w:val="24"/>
          <w:szCs w:val="24"/>
          <w:lang w:val="en-US" w:eastAsia="en-US"/>
        </w:rPr>
        <w:t xml:space="preserve"> value </w:t>
      </w:r>
      <w:r w:rsidR="00223734" w:rsidRPr="00DE13EE">
        <w:rPr>
          <w:rFonts w:ascii="Times New Roman" w:eastAsia="Calibri" w:hAnsi="Times New Roman" w:cs="Times New Roman"/>
          <w:color w:val="000000" w:themeColor="text1"/>
          <w:sz w:val="24"/>
          <w:szCs w:val="24"/>
          <w:lang w:val="en-US" w:eastAsia="en-US"/>
        </w:rPr>
        <w:t>of FTSE all-</w:t>
      </w:r>
      <w:r w:rsidR="000749F9" w:rsidRPr="00DE13EE">
        <w:rPr>
          <w:rFonts w:ascii="Times New Roman" w:eastAsia="Calibri" w:hAnsi="Times New Roman" w:cs="Times New Roman"/>
          <w:color w:val="000000" w:themeColor="text1"/>
          <w:sz w:val="24"/>
          <w:szCs w:val="24"/>
          <w:lang w:val="en-US" w:eastAsia="en-US"/>
        </w:rPr>
        <w:t>shares firms may differ based on the type of auditor</w:t>
      </w:r>
      <w:r w:rsidR="001317AA" w:rsidRPr="00DE13EE">
        <w:rPr>
          <w:rFonts w:ascii="Times New Roman" w:eastAsia="Calibri" w:hAnsi="Times New Roman" w:cs="Times New Roman"/>
          <w:color w:val="000000" w:themeColor="text1"/>
          <w:sz w:val="24"/>
          <w:szCs w:val="24"/>
          <w:lang w:val="en-US" w:eastAsia="en-US"/>
        </w:rPr>
        <w:t xml:space="preserve"> </w:t>
      </w:r>
      <w:r w:rsidR="00E02914" w:rsidRPr="00DE13EE">
        <w:rPr>
          <w:rFonts w:ascii="Times New Roman" w:eastAsia="Calibri" w:hAnsi="Times New Roman" w:cs="Times New Roman"/>
          <w:color w:val="000000" w:themeColor="text1"/>
          <w:sz w:val="24"/>
          <w:szCs w:val="24"/>
          <w:lang w:val="en-US" w:eastAsia="en-US"/>
        </w:rPr>
        <w:t xml:space="preserve">and </w:t>
      </w:r>
      <w:r w:rsidR="00560F5E" w:rsidRPr="00DE13EE">
        <w:rPr>
          <w:rFonts w:ascii="Times New Roman" w:eastAsia="Calibri" w:hAnsi="Times New Roman" w:cs="Times New Roman"/>
          <w:color w:val="000000" w:themeColor="text1"/>
          <w:sz w:val="24"/>
          <w:szCs w:val="24"/>
          <w:lang w:val="en-US" w:eastAsia="en-US"/>
        </w:rPr>
        <w:t xml:space="preserve">direction </w:t>
      </w:r>
      <w:r w:rsidR="001317AA" w:rsidRPr="00DE13EE">
        <w:rPr>
          <w:rFonts w:ascii="Times New Roman" w:eastAsia="Calibri" w:hAnsi="Times New Roman" w:cs="Times New Roman"/>
          <w:color w:val="000000" w:themeColor="text1"/>
          <w:sz w:val="24"/>
          <w:szCs w:val="24"/>
          <w:lang w:val="en-US" w:eastAsia="en-US"/>
        </w:rPr>
        <w:t>of earnings. Investors</w:t>
      </w:r>
      <w:r w:rsidR="00560F5E" w:rsidRPr="00DE13EE">
        <w:rPr>
          <w:rFonts w:ascii="Times New Roman" w:eastAsia="Calibri" w:hAnsi="Times New Roman" w:cs="Times New Roman"/>
          <w:color w:val="000000" w:themeColor="text1"/>
          <w:sz w:val="24"/>
          <w:szCs w:val="24"/>
          <w:lang w:val="en-US" w:eastAsia="en-US"/>
        </w:rPr>
        <w:t xml:space="preserve"> </w:t>
      </w:r>
      <w:r w:rsidR="001317AA" w:rsidRPr="00DE13EE">
        <w:rPr>
          <w:rFonts w:ascii="Times New Roman" w:eastAsia="Calibri" w:hAnsi="Times New Roman" w:cs="Times New Roman"/>
          <w:color w:val="000000" w:themeColor="text1"/>
          <w:sz w:val="24"/>
          <w:szCs w:val="24"/>
          <w:lang w:val="en-US" w:eastAsia="en-US"/>
        </w:rPr>
        <w:t>might</w:t>
      </w:r>
      <w:r w:rsidR="009202D9" w:rsidRPr="00DE13EE">
        <w:rPr>
          <w:rFonts w:ascii="Times New Roman" w:eastAsia="Calibri" w:hAnsi="Times New Roman" w:cs="Times New Roman"/>
          <w:color w:val="000000" w:themeColor="text1"/>
          <w:sz w:val="24"/>
          <w:szCs w:val="24"/>
          <w:lang w:val="en-US" w:eastAsia="en-US"/>
        </w:rPr>
        <w:t>,</w:t>
      </w:r>
      <w:r w:rsidR="001317AA" w:rsidRPr="00DE13EE">
        <w:rPr>
          <w:rFonts w:ascii="Times New Roman" w:eastAsia="Calibri" w:hAnsi="Times New Roman" w:cs="Times New Roman"/>
          <w:color w:val="000000" w:themeColor="text1"/>
          <w:sz w:val="24"/>
          <w:szCs w:val="24"/>
          <w:lang w:val="en-US" w:eastAsia="en-US"/>
        </w:rPr>
        <w:t xml:space="preserve"> </w:t>
      </w:r>
      <w:r w:rsidR="00560F5E" w:rsidRPr="00DE13EE">
        <w:rPr>
          <w:rFonts w:ascii="Times New Roman" w:eastAsia="Calibri" w:hAnsi="Times New Roman" w:cs="Times New Roman"/>
          <w:color w:val="000000" w:themeColor="text1"/>
          <w:sz w:val="24"/>
          <w:szCs w:val="24"/>
          <w:lang w:val="en-US" w:eastAsia="en-US"/>
        </w:rPr>
        <w:t>therefore</w:t>
      </w:r>
      <w:r w:rsidR="009202D9" w:rsidRPr="00DE13EE">
        <w:rPr>
          <w:rFonts w:ascii="Times New Roman" w:eastAsia="Calibri" w:hAnsi="Times New Roman" w:cs="Times New Roman"/>
          <w:color w:val="000000" w:themeColor="text1"/>
          <w:sz w:val="24"/>
          <w:szCs w:val="24"/>
          <w:lang w:val="en-US" w:eastAsia="en-US"/>
        </w:rPr>
        <w:t>,</w:t>
      </w:r>
      <w:r w:rsidR="00560F5E" w:rsidRPr="00DE13EE">
        <w:rPr>
          <w:rFonts w:ascii="Times New Roman" w:eastAsia="Calibri" w:hAnsi="Times New Roman" w:cs="Times New Roman"/>
          <w:color w:val="000000" w:themeColor="text1"/>
          <w:sz w:val="24"/>
          <w:szCs w:val="24"/>
          <w:lang w:val="en-US" w:eastAsia="en-US"/>
        </w:rPr>
        <w:t xml:space="preserve"> be well-served</w:t>
      </w:r>
      <w:r w:rsidR="001317AA" w:rsidRPr="00DE13EE">
        <w:rPr>
          <w:rFonts w:ascii="Times New Roman" w:eastAsia="Calibri" w:hAnsi="Times New Roman" w:cs="Times New Roman"/>
          <w:color w:val="000000" w:themeColor="text1"/>
          <w:sz w:val="24"/>
          <w:szCs w:val="24"/>
          <w:lang w:val="en-US" w:eastAsia="en-US"/>
        </w:rPr>
        <w:t xml:space="preserve"> to rely on such attributes (e.g., firms audited by big auditing firms </w:t>
      </w:r>
      <w:r w:rsidR="000749F9" w:rsidRPr="00DE13EE">
        <w:rPr>
          <w:rFonts w:ascii="Times New Roman" w:eastAsia="Calibri" w:hAnsi="Times New Roman" w:cs="Times New Roman"/>
          <w:color w:val="000000" w:themeColor="text1"/>
          <w:sz w:val="24"/>
          <w:szCs w:val="24"/>
          <w:lang w:val="en-US" w:eastAsia="en-US"/>
        </w:rPr>
        <w:t>or/</w:t>
      </w:r>
      <w:r w:rsidR="001317AA" w:rsidRPr="00DE13EE">
        <w:rPr>
          <w:rFonts w:ascii="Times New Roman" w:eastAsia="Calibri" w:hAnsi="Times New Roman" w:cs="Times New Roman"/>
          <w:color w:val="000000" w:themeColor="text1"/>
          <w:sz w:val="24"/>
          <w:szCs w:val="24"/>
          <w:lang w:val="en-US" w:eastAsia="en-US"/>
        </w:rPr>
        <w:t xml:space="preserve">and </w:t>
      </w:r>
      <w:r w:rsidR="00560F5E" w:rsidRPr="00DE13EE">
        <w:rPr>
          <w:rFonts w:ascii="Times New Roman" w:eastAsia="Calibri" w:hAnsi="Times New Roman" w:cs="Times New Roman"/>
          <w:color w:val="000000" w:themeColor="text1"/>
          <w:sz w:val="24"/>
          <w:szCs w:val="24"/>
          <w:lang w:val="en-US" w:eastAsia="en-US"/>
        </w:rPr>
        <w:t>low</w:t>
      </w:r>
      <w:r w:rsidR="001317AA" w:rsidRPr="00DE13EE">
        <w:rPr>
          <w:rFonts w:ascii="Times New Roman" w:eastAsia="Calibri" w:hAnsi="Times New Roman" w:cs="Times New Roman"/>
          <w:color w:val="000000" w:themeColor="text1"/>
          <w:sz w:val="24"/>
          <w:szCs w:val="24"/>
          <w:lang w:val="en-US" w:eastAsia="en-US"/>
        </w:rPr>
        <w:t xml:space="preserve">-performing firms) to form their own </w:t>
      </w:r>
      <w:r w:rsidR="001317AA" w:rsidRPr="00DE13EE">
        <w:rPr>
          <w:rFonts w:ascii="Times New Roman" w:eastAsia="Calibri" w:hAnsi="Times New Roman" w:cs="Times New Roman"/>
          <w:color w:val="000000" w:themeColor="text1"/>
          <w:sz w:val="24"/>
          <w:szCs w:val="24"/>
          <w:lang w:val="en-US" w:eastAsia="en-US"/>
        </w:rPr>
        <w:lastRenderedPageBreak/>
        <w:t xml:space="preserve">expectations about </w:t>
      </w:r>
      <w:r w:rsidR="000749F9" w:rsidRPr="00DE13EE">
        <w:rPr>
          <w:rFonts w:ascii="Times New Roman" w:eastAsia="Calibri" w:hAnsi="Times New Roman" w:cs="Times New Roman"/>
          <w:color w:val="000000" w:themeColor="text1"/>
          <w:sz w:val="24"/>
          <w:szCs w:val="24"/>
          <w:lang w:val="en-US" w:eastAsia="en-US"/>
        </w:rPr>
        <w:t>the value of the firm</w:t>
      </w:r>
      <w:r w:rsidR="001317AA" w:rsidRPr="00DE13EE">
        <w:rPr>
          <w:rFonts w:ascii="Times New Roman" w:eastAsia="Calibri" w:hAnsi="Times New Roman" w:cs="Times New Roman"/>
          <w:color w:val="000000" w:themeColor="text1"/>
          <w:sz w:val="24"/>
          <w:szCs w:val="24"/>
          <w:lang w:val="en-US" w:eastAsia="en-US"/>
        </w:rPr>
        <w:t xml:space="preserve">. </w:t>
      </w:r>
      <w:r w:rsidR="000749F9" w:rsidRPr="00DE13EE">
        <w:rPr>
          <w:rFonts w:ascii="Times New Roman" w:eastAsia="Calibri" w:hAnsi="Times New Roman" w:cs="Times New Roman"/>
          <w:color w:val="000000" w:themeColor="text1"/>
          <w:sz w:val="24"/>
          <w:szCs w:val="24"/>
          <w:lang w:val="en-US" w:eastAsia="en-US"/>
        </w:rPr>
        <w:t>Overall, o</w:t>
      </w:r>
      <w:r w:rsidR="001317AA" w:rsidRPr="00DE13EE">
        <w:rPr>
          <w:rFonts w:ascii="Times New Roman" w:eastAsia="Calibri" w:hAnsi="Times New Roman" w:cs="Times New Roman"/>
          <w:color w:val="000000" w:themeColor="text1"/>
          <w:sz w:val="24"/>
          <w:szCs w:val="24"/>
          <w:lang w:val="en-US" w:eastAsia="en-US"/>
        </w:rPr>
        <w:t xml:space="preserve">ur findings support the view that </w:t>
      </w:r>
      <w:r w:rsidR="00404CE8" w:rsidRPr="00DE13EE">
        <w:rPr>
          <w:rFonts w:ascii="Times New Roman" w:eastAsia="Calibri" w:hAnsi="Times New Roman" w:cs="Times New Roman"/>
          <w:color w:val="000000" w:themeColor="text1"/>
          <w:sz w:val="24"/>
          <w:szCs w:val="24"/>
          <w:lang w:val="en-US" w:eastAsia="en-US"/>
        </w:rPr>
        <w:t>disclosing</w:t>
      </w:r>
      <w:r w:rsidR="000749F9" w:rsidRPr="00DE13EE">
        <w:rPr>
          <w:rFonts w:ascii="Times New Roman" w:eastAsia="Calibri" w:hAnsi="Times New Roman" w:cs="Times New Roman"/>
          <w:color w:val="000000" w:themeColor="text1"/>
          <w:sz w:val="24"/>
          <w:szCs w:val="24"/>
          <w:lang w:val="en-US" w:eastAsia="en-US"/>
        </w:rPr>
        <w:t xml:space="preserve"> forward-looking</w:t>
      </w:r>
      <w:r w:rsidR="001317AA" w:rsidRPr="00DE13EE">
        <w:rPr>
          <w:rFonts w:ascii="Times New Roman" w:eastAsia="Calibri" w:hAnsi="Times New Roman" w:cs="Times New Roman"/>
          <w:color w:val="000000" w:themeColor="text1"/>
          <w:sz w:val="24"/>
          <w:szCs w:val="24"/>
          <w:lang w:val="en-US" w:eastAsia="en-US"/>
        </w:rPr>
        <w:t xml:space="preserve"> information in the narrative sections of annual reports is seen as credible in the UK</w:t>
      </w:r>
      <w:r w:rsidR="000749F9" w:rsidRPr="00DE13EE">
        <w:rPr>
          <w:rFonts w:ascii="Times New Roman" w:eastAsia="Calibri" w:hAnsi="Times New Roman" w:cs="Times New Roman"/>
          <w:color w:val="000000" w:themeColor="text1"/>
          <w:sz w:val="24"/>
          <w:szCs w:val="24"/>
          <w:lang w:val="en-US" w:eastAsia="en-US"/>
        </w:rPr>
        <w:t>.</w:t>
      </w:r>
    </w:p>
    <w:p w14:paraId="0C73A032" w14:textId="1501224E" w:rsidR="006C7FAF" w:rsidRPr="00DE13EE" w:rsidRDefault="00503B14" w:rsidP="00B93D4F">
      <w:pPr>
        <w:spacing w:before="120" w:after="240" w:line="360" w:lineRule="auto"/>
        <w:jc w:val="both"/>
        <w:rPr>
          <w:rFonts w:ascii="Times New Roman" w:eastAsia="Calibri" w:hAnsi="Times New Roman" w:cs="Times New Roman"/>
          <w:color w:val="000000" w:themeColor="text1"/>
          <w:sz w:val="24"/>
          <w:szCs w:val="24"/>
          <w:lang w:val="en-US" w:eastAsia="en-US"/>
        </w:rPr>
      </w:pPr>
      <w:r w:rsidRPr="00DE13EE">
        <w:rPr>
          <w:rFonts w:ascii="Times New Roman" w:eastAsia="Calibri" w:hAnsi="Times New Roman" w:cs="Times New Roman"/>
          <w:color w:val="000000" w:themeColor="text1"/>
          <w:sz w:val="24"/>
          <w:szCs w:val="24"/>
          <w:lang w:val="en-US" w:eastAsia="en-US"/>
        </w:rPr>
        <w:t>D</w:t>
      </w:r>
      <w:r w:rsidR="006C7FAF" w:rsidRPr="00DE13EE">
        <w:rPr>
          <w:rFonts w:ascii="Times New Roman" w:eastAsia="Calibri" w:hAnsi="Times New Roman" w:cs="Times New Roman"/>
          <w:color w:val="000000" w:themeColor="text1"/>
          <w:sz w:val="24"/>
          <w:szCs w:val="24"/>
          <w:lang w:val="en-US" w:eastAsia="en-US"/>
        </w:rPr>
        <w:t xml:space="preserve">espite the robustness tests, </w:t>
      </w:r>
      <w:r w:rsidR="00914C12" w:rsidRPr="00DE13EE">
        <w:rPr>
          <w:rFonts w:ascii="Times New Roman" w:eastAsia="Calibri" w:hAnsi="Times New Roman" w:cs="Times New Roman"/>
          <w:color w:val="000000" w:themeColor="text1"/>
          <w:sz w:val="24"/>
          <w:szCs w:val="24"/>
          <w:lang w:val="en-US" w:eastAsia="en-US"/>
        </w:rPr>
        <w:t xml:space="preserve">the </w:t>
      </w:r>
      <w:r w:rsidRPr="00DE13EE">
        <w:rPr>
          <w:rFonts w:ascii="Times New Roman" w:eastAsia="Calibri" w:hAnsi="Times New Roman" w:cs="Times New Roman"/>
          <w:color w:val="000000" w:themeColor="text1"/>
          <w:sz w:val="24"/>
          <w:szCs w:val="24"/>
          <w:lang w:val="en-US" w:eastAsia="en-US"/>
        </w:rPr>
        <w:t xml:space="preserve">study </w:t>
      </w:r>
      <w:r w:rsidR="006C7FAF" w:rsidRPr="00DE13EE">
        <w:rPr>
          <w:rFonts w:ascii="Times New Roman" w:eastAsia="Calibri" w:hAnsi="Times New Roman" w:cs="Times New Roman"/>
          <w:color w:val="000000" w:themeColor="text1"/>
          <w:sz w:val="24"/>
          <w:szCs w:val="24"/>
          <w:lang w:val="en-US" w:eastAsia="en-US"/>
        </w:rPr>
        <w:t xml:space="preserve">has some limitations </w:t>
      </w:r>
      <w:r w:rsidRPr="00DE13EE">
        <w:rPr>
          <w:rFonts w:ascii="Times New Roman" w:eastAsia="Calibri" w:hAnsi="Times New Roman" w:cs="Times New Roman"/>
          <w:color w:val="000000" w:themeColor="text1"/>
          <w:sz w:val="24"/>
          <w:szCs w:val="24"/>
          <w:lang w:val="en-US" w:eastAsia="en-US"/>
        </w:rPr>
        <w:t>that can</w:t>
      </w:r>
      <w:r w:rsidR="006C7FAF" w:rsidRPr="00DE13EE">
        <w:rPr>
          <w:rFonts w:ascii="Times New Roman" w:eastAsia="Calibri" w:hAnsi="Times New Roman" w:cs="Times New Roman"/>
          <w:color w:val="000000" w:themeColor="text1"/>
          <w:sz w:val="24"/>
          <w:szCs w:val="24"/>
          <w:lang w:val="en-US" w:eastAsia="en-US"/>
        </w:rPr>
        <w:t xml:space="preserve"> be considered potential </w:t>
      </w:r>
      <w:r w:rsidR="00914C12" w:rsidRPr="00DE13EE">
        <w:rPr>
          <w:rFonts w:ascii="Times New Roman" w:eastAsia="Calibri" w:hAnsi="Times New Roman" w:cs="Times New Roman"/>
          <w:color w:val="000000" w:themeColor="text1"/>
          <w:sz w:val="24"/>
          <w:szCs w:val="24"/>
          <w:lang w:val="en-US" w:eastAsia="en-US"/>
        </w:rPr>
        <w:t xml:space="preserve">areas </w:t>
      </w:r>
      <w:r w:rsidR="006C7FAF" w:rsidRPr="00DE13EE">
        <w:rPr>
          <w:rFonts w:ascii="Times New Roman" w:eastAsia="Calibri" w:hAnsi="Times New Roman" w:cs="Times New Roman"/>
          <w:color w:val="000000" w:themeColor="text1"/>
          <w:sz w:val="24"/>
          <w:szCs w:val="24"/>
          <w:lang w:val="en-US" w:eastAsia="en-US"/>
        </w:rPr>
        <w:t>for future research.</w:t>
      </w:r>
      <w:r w:rsidR="000B23C3" w:rsidRPr="00DE13EE">
        <w:rPr>
          <w:rFonts w:ascii="Times New Roman" w:eastAsia="Calibri" w:hAnsi="Times New Roman" w:cs="Times New Roman"/>
          <w:color w:val="000000" w:themeColor="text1"/>
          <w:sz w:val="24"/>
          <w:szCs w:val="24"/>
          <w:lang w:val="en-US" w:eastAsia="en-US"/>
        </w:rPr>
        <w:t xml:space="preserve"> First, </w:t>
      </w:r>
      <w:r w:rsidR="00914C12" w:rsidRPr="00DE13EE">
        <w:rPr>
          <w:rFonts w:ascii="Times New Roman" w:eastAsia="Calibri" w:hAnsi="Times New Roman" w:cs="Times New Roman"/>
          <w:color w:val="000000" w:themeColor="text1"/>
          <w:sz w:val="24"/>
          <w:szCs w:val="24"/>
          <w:lang w:val="en-US" w:eastAsia="en-US"/>
        </w:rPr>
        <w:t xml:space="preserve">this </w:t>
      </w:r>
      <w:r w:rsidR="000B23C3" w:rsidRPr="00DE13EE">
        <w:rPr>
          <w:rFonts w:ascii="Times New Roman" w:eastAsia="Calibri" w:hAnsi="Times New Roman" w:cs="Times New Roman"/>
          <w:color w:val="000000" w:themeColor="text1"/>
          <w:sz w:val="24"/>
          <w:szCs w:val="24"/>
          <w:lang w:val="en-US" w:eastAsia="en-US"/>
        </w:rPr>
        <w:t>study focuses only on narrative reporting statements in the UK. Other countries, however, could have different approaches for narrative reporting.</w:t>
      </w:r>
      <w:r w:rsidR="000B23C3" w:rsidRPr="00DE13EE">
        <w:rPr>
          <w:rFonts w:ascii="Times New Roman" w:hAnsi="Times New Roman" w:cs="Times New Roman"/>
          <w:color w:val="000000" w:themeColor="text1"/>
          <w:lang w:val="en-US"/>
        </w:rPr>
        <w:t xml:space="preserve"> </w:t>
      </w:r>
      <w:r w:rsidR="000B23C3" w:rsidRPr="00DE13EE">
        <w:rPr>
          <w:rFonts w:ascii="Times New Roman" w:eastAsia="Calibri" w:hAnsi="Times New Roman" w:cs="Times New Roman"/>
          <w:color w:val="000000" w:themeColor="text1"/>
          <w:sz w:val="24"/>
          <w:szCs w:val="24"/>
          <w:lang w:val="en-US" w:eastAsia="en-US"/>
        </w:rPr>
        <w:t xml:space="preserve">Investigating narrative reporting (particularly FLD) in other countries, such as </w:t>
      </w:r>
      <w:r w:rsidR="004300E3" w:rsidRPr="00DE13EE">
        <w:rPr>
          <w:rFonts w:ascii="Times New Roman" w:eastAsia="Calibri" w:hAnsi="Times New Roman" w:cs="Times New Roman"/>
          <w:color w:val="000000" w:themeColor="text1"/>
          <w:sz w:val="24"/>
          <w:szCs w:val="24"/>
          <w:lang w:val="en-US" w:eastAsia="en-US"/>
        </w:rPr>
        <w:t>Germany</w:t>
      </w:r>
      <w:r w:rsidR="00CD40A4" w:rsidRPr="00DE13EE">
        <w:rPr>
          <w:rFonts w:ascii="Times New Roman" w:eastAsia="Calibri" w:hAnsi="Times New Roman" w:cs="Times New Roman"/>
          <w:color w:val="000000" w:themeColor="text1"/>
          <w:sz w:val="24"/>
          <w:szCs w:val="24"/>
          <w:lang w:val="en-US" w:eastAsia="en-US"/>
        </w:rPr>
        <w:t xml:space="preserve"> or</w:t>
      </w:r>
      <w:r w:rsidR="000B23C3" w:rsidRPr="00DE13EE">
        <w:rPr>
          <w:rFonts w:ascii="Times New Roman" w:eastAsia="Calibri" w:hAnsi="Times New Roman" w:cs="Times New Roman"/>
          <w:color w:val="000000" w:themeColor="text1"/>
          <w:sz w:val="24"/>
          <w:szCs w:val="24"/>
          <w:lang w:val="en-US" w:eastAsia="en-US"/>
        </w:rPr>
        <w:t xml:space="preserve"> Gulf countries, could be useful in understanding </w:t>
      </w:r>
      <w:r w:rsidR="00F41D1E" w:rsidRPr="00DE13EE">
        <w:rPr>
          <w:rFonts w:ascii="Times New Roman" w:eastAsia="Calibri" w:hAnsi="Times New Roman" w:cs="Times New Roman"/>
          <w:color w:val="000000" w:themeColor="text1"/>
          <w:sz w:val="24"/>
          <w:szCs w:val="24"/>
          <w:lang w:val="en-US" w:eastAsia="en-US"/>
        </w:rPr>
        <w:t xml:space="preserve">the </w:t>
      </w:r>
      <w:r w:rsidR="000B23C3" w:rsidRPr="00DE13EE">
        <w:rPr>
          <w:rFonts w:ascii="Times New Roman" w:eastAsia="Calibri" w:hAnsi="Times New Roman" w:cs="Times New Roman"/>
          <w:color w:val="000000" w:themeColor="text1"/>
          <w:sz w:val="24"/>
          <w:szCs w:val="24"/>
          <w:lang w:val="en-US" w:eastAsia="en-US"/>
        </w:rPr>
        <w:t>usefulness of this type of disclosure. Furthermore, extending the current research design to include other countries may be an area of interest for future research</w:t>
      </w:r>
      <w:r w:rsidR="009D7AD3" w:rsidRPr="00DE13EE">
        <w:rPr>
          <w:rFonts w:ascii="Times New Roman" w:eastAsia="Calibri" w:hAnsi="Times New Roman" w:cs="Times New Roman"/>
          <w:color w:val="000000" w:themeColor="text1"/>
          <w:sz w:val="24"/>
          <w:szCs w:val="24"/>
          <w:lang w:val="en-US" w:eastAsia="en-US"/>
        </w:rPr>
        <w:t xml:space="preserve"> and could </w:t>
      </w:r>
      <w:r w:rsidR="000B23C3" w:rsidRPr="00DE13EE">
        <w:rPr>
          <w:rFonts w:ascii="Times New Roman" w:eastAsia="Calibri" w:hAnsi="Times New Roman" w:cs="Times New Roman"/>
          <w:color w:val="000000" w:themeColor="text1"/>
          <w:sz w:val="24"/>
          <w:szCs w:val="24"/>
          <w:lang w:val="en-US" w:eastAsia="en-US"/>
        </w:rPr>
        <w:t xml:space="preserve">help in observing the impact of country characteristics (e.g., inflation; culture; legal system; political factors) on the </w:t>
      </w:r>
      <w:r w:rsidR="004B44A6" w:rsidRPr="00DE13EE">
        <w:rPr>
          <w:rFonts w:ascii="Times New Roman" w:eastAsia="Calibri" w:hAnsi="Times New Roman" w:cs="Times New Roman"/>
          <w:color w:val="000000" w:themeColor="text1"/>
          <w:sz w:val="24"/>
          <w:szCs w:val="24"/>
          <w:lang w:val="en-US" w:eastAsia="en-US"/>
        </w:rPr>
        <w:t xml:space="preserve">usefulness </w:t>
      </w:r>
      <w:r w:rsidR="000B23C3" w:rsidRPr="00DE13EE">
        <w:rPr>
          <w:rFonts w:ascii="Times New Roman" w:eastAsia="Calibri" w:hAnsi="Times New Roman" w:cs="Times New Roman"/>
          <w:color w:val="000000" w:themeColor="text1"/>
          <w:sz w:val="24"/>
          <w:szCs w:val="24"/>
          <w:lang w:val="en-US" w:eastAsia="en-US"/>
        </w:rPr>
        <w:t>of narrative reporting. Second, the current study focuses on the quantity of forward-looking disclosure</w:t>
      </w:r>
      <w:r w:rsidR="00F43D7D" w:rsidRPr="00DE13EE">
        <w:rPr>
          <w:rFonts w:ascii="Times New Roman" w:eastAsia="Calibri" w:hAnsi="Times New Roman" w:cs="Times New Roman"/>
          <w:color w:val="000000" w:themeColor="text1"/>
          <w:sz w:val="24"/>
          <w:szCs w:val="24"/>
          <w:lang w:val="en-US" w:eastAsia="en-US"/>
        </w:rPr>
        <w:t xml:space="preserve">, but instead looking </w:t>
      </w:r>
      <w:r w:rsidR="000B23C3" w:rsidRPr="00DE13EE">
        <w:rPr>
          <w:rFonts w:ascii="Times New Roman" w:eastAsia="Calibri" w:hAnsi="Times New Roman" w:cs="Times New Roman"/>
          <w:color w:val="000000" w:themeColor="text1"/>
          <w:sz w:val="24"/>
          <w:szCs w:val="24"/>
          <w:lang w:val="en-US" w:eastAsia="en-US"/>
        </w:rPr>
        <w:t>at the quality of forward-looking disclosure</w:t>
      </w:r>
      <w:r w:rsidR="00F43D7D" w:rsidRPr="00DE13EE">
        <w:rPr>
          <w:rFonts w:ascii="Times New Roman" w:eastAsia="Calibri" w:hAnsi="Times New Roman" w:cs="Times New Roman"/>
          <w:color w:val="000000" w:themeColor="text1"/>
          <w:sz w:val="24"/>
          <w:szCs w:val="24"/>
          <w:lang w:val="en-US" w:eastAsia="en-US"/>
        </w:rPr>
        <w:t>s</w:t>
      </w:r>
      <w:r w:rsidR="000B23C3" w:rsidRPr="00DE13EE">
        <w:rPr>
          <w:rFonts w:ascii="Times New Roman" w:eastAsia="Calibri" w:hAnsi="Times New Roman" w:cs="Times New Roman"/>
          <w:color w:val="000000" w:themeColor="text1"/>
          <w:sz w:val="24"/>
          <w:szCs w:val="24"/>
          <w:lang w:val="en-US" w:eastAsia="en-US"/>
        </w:rPr>
        <w:t xml:space="preserve"> </w:t>
      </w:r>
      <w:r w:rsidR="00F43D7D" w:rsidRPr="00DE13EE">
        <w:rPr>
          <w:rFonts w:ascii="Times New Roman" w:eastAsia="Calibri" w:hAnsi="Times New Roman" w:cs="Times New Roman"/>
          <w:color w:val="000000" w:themeColor="text1"/>
          <w:sz w:val="24"/>
          <w:szCs w:val="24"/>
          <w:lang w:val="en-US" w:eastAsia="en-US"/>
        </w:rPr>
        <w:t>could</w:t>
      </w:r>
      <w:r w:rsidR="000B23C3" w:rsidRPr="00DE13EE">
        <w:rPr>
          <w:rFonts w:ascii="Times New Roman" w:eastAsia="Calibri" w:hAnsi="Times New Roman" w:cs="Times New Roman"/>
          <w:color w:val="000000" w:themeColor="text1"/>
          <w:sz w:val="24"/>
          <w:szCs w:val="24"/>
          <w:lang w:val="en-US" w:eastAsia="en-US"/>
        </w:rPr>
        <w:t xml:space="preserve"> allow researchers to observe whether there are differences between the results driven by </w:t>
      </w:r>
      <w:r w:rsidR="001618BD" w:rsidRPr="00DE13EE">
        <w:rPr>
          <w:rFonts w:ascii="Times New Roman" w:eastAsia="Calibri" w:hAnsi="Times New Roman" w:cs="Times New Roman"/>
          <w:color w:val="000000" w:themeColor="text1"/>
          <w:sz w:val="24"/>
          <w:szCs w:val="24"/>
          <w:lang w:val="en-US" w:eastAsia="en-US"/>
        </w:rPr>
        <w:t xml:space="preserve">the </w:t>
      </w:r>
      <w:r w:rsidR="000B23C3" w:rsidRPr="00DE13EE">
        <w:rPr>
          <w:rFonts w:ascii="Times New Roman" w:eastAsia="Calibri" w:hAnsi="Times New Roman" w:cs="Times New Roman"/>
          <w:color w:val="000000" w:themeColor="text1"/>
          <w:sz w:val="24"/>
          <w:szCs w:val="24"/>
          <w:lang w:val="en-US" w:eastAsia="en-US"/>
        </w:rPr>
        <w:t xml:space="preserve">quantity </w:t>
      </w:r>
      <w:r w:rsidR="004F0EB0" w:rsidRPr="00DE13EE">
        <w:rPr>
          <w:rFonts w:ascii="Times New Roman" w:eastAsia="Calibri" w:hAnsi="Times New Roman" w:cs="Times New Roman"/>
          <w:color w:val="000000" w:themeColor="text1"/>
          <w:sz w:val="24"/>
          <w:szCs w:val="24"/>
          <w:lang w:val="en-US" w:eastAsia="en-US"/>
        </w:rPr>
        <w:t xml:space="preserve">or </w:t>
      </w:r>
      <w:r w:rsidR="000B23C3" w:rsidRPr="00DE13EE">
        <w:rPr>
          <w:rFonts w:ascii="Times New Roman" w:eastAsia="Calibri" w:hAnsi="Times New Roman" w:cs="Times New Roman"/>
          <w:color w:val="000000" w:themeColor="text1"/>
          <w:sz w:val="24"/>
          <w:szCs w:val="24"/>
          <w:lang w:val="en-US" w:eastAsia="en-US"/>
        </w:rPr>
        <w:t>quality</w:t>
      </w:r>
      <w:r w:rsidR="001618BD" w:rsidRPr="00DE13EE">
        <w:rPr>
          <w:rFonts w:ascii="Times New Roman" w:eastAsia="Calibri" w:hAnsi="Times New Roman" w:cs="Times New Roman"/>
          <w:color w:val="000000" w:themeColor="text1"/>
          <w:sz w:val="24"/>
          <w:szCs w:val="24"/>
          <w:lang w:val="en-US" w:eastAsia="en-US"/>
        </w:rPr>
        <w:t xml:space="preserve"> of information </w:t>
      </w:r>
      <w:r w:rsidR="000B23C3" w:rsidRPr="00DE13EE">
        <w:rPr>
          <w:rFonts w:ascii="Times New Roman" w:eastAsia="Calibri" w:hAnsi="Times New Roman" w:cs="Times New Roman"/>
          <w:color w:val="000000" w:themeColor="text1"/>
          <w:sz w:val="24"/>
          <w:szCs w:val="24"/>
          <w:lang w:val="en-US" w:eastAsia="en-US"/>
        </w:rPr>
        <w:t>when measuring disclosure</w:t>
      </w:r>
      <w:r w:rsidR="001618BD" w:rsidRPr="00DE13EE">
        <w:rPr>
          <w:rFonts w:ascii="Times New Roman" w:eastAsia="Calibri" w:hAnsi="Times New Roman" w:cs="Times New Roman"/>
          <w:color w:val="000000" w:themeColor="text1"/>
          <w:sz w:val="24"/>
          <w:szCs w:val="24"/>
          <w:lang w:val="en-US" w:eastAsia="en-US"/>
        </w:rPr>
        <w:t>s</w:t>
      </w:r>
      <w:r w:rsidR="000B23C3" w:rsidRPr="00DE13EE">
        <w:rPr>
          <w:rFonts w:ascii="Times New Roman" w:eastAsia="Calibri" w:hAnsi="Times New Roman" w:cs="Times New Roman"/>
          <w:color w:val="000000" w:themeColor="text1"/>
          <w:sz w:val="24"/>
          <w:szCs w:val="24"/>
          <w:lang w:val="en-US" w:eastAsia="en-US"/>
        </w:rPr>
        <w:t xml:space="preserve"> generally (e.g., Beattie </w:t>
      </w:r>
      <w:r w:rsidR="00914C12" w:rsidRPr="00DE13EE">
        <w:rPr>
          <w:rFonts w:ascii="Times New Roman" w:eastAsia="Calibri" w:hAnsi="Times New Roman" w:cs="Times New Roman"/>
          <w:color w:val="000000" w:themeColor="text1"/>
          <w:sz w:val="24"/>
          <w:szCs w:val="24"/>
          <w:lang w:val="en-US" w:eastAsia="en-US"/>
        </w:rPr>
        <w:t xml:space="preserve">et al., </w:t>
      </w:r>
      <w:r w:rsidR="000B23C3" w:rsidRPr="00DE13EE">
        <w:rPr>
          <w:rFonts w:ascii="Times New Roman" w:eastAsia="Calibri" w:hAnsi="Times New Roman" w:cs="Times New Roman"/>
          <w:color w:val="000000" w:themeColor="text1"/>
          <w:sz w:val="24"/>
          <w:szCs w:val="24"/>
          <w:lang w:val="en-US" w:eastAsia="en-US"/>
        </w:rPr>
        <w:t>2004) and forward-looking disclosure</w:t>
      </w:r>
      <w:r w:rsidR="001618BD" w:rsidRPr="00DE13EE">
        <w:rPr>
          <w:rFonts w:ascii="Times New Roman" w:eastAsia="Calibri" w:hAnsi="Times New Roman" w:cs="Times New Roman"/>
          <w:color w:val="000000" w:themeColor="text1"/>
          <w:sz w:val="24"/>
          <w:szCs w:val="24"/>
          <w:lang w:val="en-US" w:eastAsia="en-US"/>
        </w:rPr>
        <w:t>s</w:t>
      </w:r>
      <w:r w:rsidR="000B23C3" w:rsidRPr="00DE13EE">
        <w:rPr>
          <w:rFonts w:ascii="Times New Roman" w:eastAsia="Calibri" w:hAnsi="Times New Roman" w:cs="Times New Roman"/>
          <w:color w:val="000000" w:themeColor="text1"/>
          <w:sz w:val="24"/>
          <w:szCs w:val="24"/>
          <w:lang w:val="en-US" w:eastAsia="en-US"/>
        </w:rPr>
        <w:t xml:space="preserve"> </w:t>
      </w:r>
      <w:r w:rsidR="000755D6" w:rsidRPr="00DE13EE">
        <w:rPr>
          <w:rFonts w:ascii="Times New Roman" w:eastAsia="Calibri" w:hAnsi="Times New Roman" w:cs="Times New Roman"/>
          <w:color w:val="000000" w:themeColor="text1"/>
          <w:sz w:val="24"/>
          <w:szCs w:val="24"/>
          <w:lang w:val="en-US" w:eastAsia="en-US"/>
        </w:rPr>
        <w:t xml:space="preserve">in particular (e.g., </w:t>
      </w:r>
      <w:r w:rsidR="00336A28" w:rsidRPr="00DE13EE">
        <w:rPr>
          <w:rFonts w:ascii="Times New Roman" w:eastAsia="Calibri" w:hAnsi="Times New Roman" w:cs="Times New Roman"/>
          <w:color w:val="000000" w:themeColor="text1"/>
          <w:sz w:val="24"/>
          <w:szCs w:val="24"/>
          <w:lang w:val="en-US" w:eastAsia="en-US"/>
        </w:rPr>
        <w:t xml:space="preserve">Hassanein </w:t>
      </w:r>
      <w:r w:rsidR="00120412" w:rsidRPr="00DE13EE">
        <w:rPr>
          <w:rFonts w:ascii="Times New Roman" w:eastAsia="Calibri" w:hAnsi="Times New Roman" w:cs="Times New Roman"/>
          <w:color w:val="000000" w:themeColor="text1"/>
          <w:sz w:val="24"/>
          <w:szCs w:val="24"/>
          <w:lang w:val="en-US" w:eastAsia="en-US"/>
        </w:rPr>
        <w:t xml:space="preserve">and </w:t>
      </w:r>
      <w:r w:rsidR="00336A28" w:rsidRPr="00DE13EE">
        <w:rPr>
          <w:rFonts w:ascii="Times New Roman" w:eastAsia="Calibri" w:hAnsi="Times New Roman" w:cs="Times New Roman"/>
          <w:color w:val="000000" w:themeColor="text1"/>
          <w:sz w:val="24"/>
          <w:szCs w:val="24"/>
          <w:lang w:val="en-US" w:eastAsia="en-US"/>
        </w:rPr>
        <w:t>Hussainey 2015</w:t>
      </w:r>
      <w:r w:rsidR="000B23C3" w:rsidRPr="00DE13EE">
        <w:rPr>
          <w:rFonts w:ascii="Times New Roman" w:eastAsia="Calibri" w:hAnsi="Times New Roman" w:cs="Times New Roman"/>
          <w:color w:val="000000" w:themeColor="text1"/>
          <w:sz w:val="24"/>
          <w:szCs w:val="24"/>
          <w:lang w:val="en-US" w:eastAsia="en-US"/>
        </w:rPr>
        <w:t xml:space="preserve">). </w:t>
      </w:r>
    </w:p>
    <w:p w14:paraId="4AD54BCC" w14:textId="77777777" w:rsidR="00913E50" w:rsidRPr="00DE13EE" w:rsidRDefault="00913E50" w:rsidP="000D51CE">
      <w:pPr>
        <w:spacing w:line="480" w:lineRule="auto"/>
        <w:rPr>
          <w:rFonts w:ascii="Times New Roman" w:hAnsi="Times New Roman" w:cs="Times New Roman"/>
          <w:color w:val="000000" w:themeColor="text1"/>
          <w:sz w:val="24"/>
          <w:szCs w:val="24"/>
          <w:lang w:val="en-US"/>
        </w:rPr>
      </w:pPr>
    </w:p>
    <w:p w14:paraId="73C99C56" w14:textId="77777777" w:rsidR="009C098A" w:rsidRPr="00DE13EE" w:rsidRDefault="009C098A" w:rsidP="000D51CE">
      <w:pPr>
        <w:spacing w:line="480" w:lineRule="auto"/>
        <w:rPr>
          <w:rFonts w:ascii="Times New Roman" w:hAnsi="Times New Roman" w:cs="Times New Roman"/>
          <w:color w:val="000000" w:themeColor="text1"/>
          <w:sz w:val="24"/>
          <w:szCs w:val="24"/>
          <w:lang w:val="en-US"/>
        </w:rPr>
      </w:pPr>
    </w:p>
    <w:p w14:paraId="5FAA0442" w14:textId="77777777" w:rsidR="00595DB9" w:rsidRPr="00DE13EE" w:rsidRDefault="00595DB9" w:rsidP="00913E50">
      <w:pPr>
        <w:rPr>
          <w:rFonts w:ascii="Times New Roman" w:hAnsi="Times New Roman" w:cs="Times New Roman"/>
          <w:color w:val="000000" w:themeColor="text1"/>
          <w:sz w:val="24"/>
          <w:szCs w:val="24"/>
          <w:lang w:val="en-US"/>
        </w:rPr>
      </w:pPr>
    </w:p>
    <w:p w14:paraId="619BBA2A" w14:textId="77777777" w:rsidR="00B93D4F" w:rsidRPr="00DE13EE" w:rsidRDefault="00B93D4F" w:rsidP="00913E50">
      <w:pPr>
        <w:rPr>
          <w:rFonts w:ascii="Times New Roman" w:hAnsi="Times New Roman" w:cs="Times New Roman"/>
          <w:color w:val="000000" w:themeColor="text1"/>
          <w:sz w:val="24"/>
          <w:szCs w:val="24"/>
          <w:lang w:val="en-US"/>
        </w:rPr>
      </w:pPr>
    </w:p>
    <w:p w14:paraId="2E41D61E" w14:textId="77777777" w:rsidR="00B93D4F" w:rsidRPr="00DE13EE" w:rsidRDefault="00B93D4F" w:rsidP="00913E50">
      <w:pPr>
        <w:rPr>
          <w:rFonts w:ascii="Times New Roman" w:hAnsi="Times New Roman" w:cs="Times New Roman"/>
          <w:color w:val="000000" w:themeColor="text1"/>
          <w:sz w:val="24"/>
          <w:szCs w:val="24"/>
          <w:lang w:val="en-US"/>
        </w:rPr>
      </w:pPr>
    </w:p>
    <w:p w14:paraId="2EC01637" w14:textId="77777777" w:rsidR="00B93D4F" w:rsidRPr="00DE13EE" w:rsidRDefault="00B93D4F" w:rsidP="00913E50">
      <w:pPr>
        <w:rPr>
          <w:rFonts w:ascii="Times New Roman" w:hAnsi="Times New Roman" w:cs="Times New Roman"/>
          <w:color w:val="000000" w:themeColor="text1"/>
          <w:sz w:val="24"/>
          <w:szCs w:val="24"/>
          <w:lang w:val="en-US"/>
        </w:rPr>
      </w:pPr>
    </w:p>
    <w:p w14:paraId="1A21033D" w14:textId="0FC69D83" w:rsidR="00B93D4F" w:rsidRPr="00DE13EE" w:rsidRDefault="00B93D4F" w:rsidP="00913E50">
      <w:pPr>
        <w:rPr>
          <w:rFonts w:ascii="Times New Roman" w:hAnsi="Times New Roman" w:cs="Times New Roman"/>
          <w:color w:val="000000" w:themeColor="text1"/>
          <w:sz w:val="24"/>
          <w:szCs w:val="24"/>
          <w:lang w:val="en-US"/>
        </w:rPr>
      </w:pPr>
    </w:p>
    <w:p w14:paraId="51956508" w14:textId="10177F78" w:rsidR="00E01DAE" w:rsidRPr="00DE13EE" w:rsidRDefault="00E01DAE" w:rsidP="00913E50">
      <w:pPr>
        <w:rPr>
          <w:rFonts w:ascii="Times New Roman" w:hAnsi="Times New Roman" w:cs="Times New Roman"/>
          <w:color w:val="000000" w:themeColor="text1"/>
          <w:sz w:val="24"/>
          <w:szCs w:val="24"/>
          <w:lang w:val="en-US"/>
        </w:rPr>
      </w:pPr>
    </w:p>
    <w:p w14:paraId="7081CB9F" w14:textId="77777777" w:rsidR="00E01DAE" w:rsidRPr="00DE13EE" w:rsidRDefault="00E01DAE" w:rsidP="00913E50">
      <w:pPr>
        <w:rPr>
          <w:rFonts w:ascii="Times New Roman" w:hAnsi="Times New Roman" w:cs="Times New Roman"/>
          <w:color w:val="000000" w:themeColor="text1"/>
          <w:sz w:val="24"/>
          <w:szCs w:val="24"/>
          <w:lang w:val="en-US"/>
        </w:rPr>
      </w:pPr>
    </w:p>
    <w:p w14:paraId="7F860B08" w14:textId="77777777" w:rsidR="00B93D4F" w:rsidRPr="00DE13EE" w:rsidRDefault="00B93D4F" w:rsidP="00913E50">
      <w:pPr>
        <w:rPr>
          <w:rFonts w:ascii="Times New Roman" w:hAnsi="Times New Roman" w:cs="Times New Roman"/>
          <w:color w:val="000000" w:themeColor="text1"/>
          <w:sz w:val="24"/>
          <w:szCs w:val="24"/>
          <w:lang w:val="en-US"/>
        </w:rPr>
      </w:pPr>
    </w:p>
    <w:p w14:paraId="43352D86" w14:textId="77777777" w:rsidR="00913E50" w:rsidRPr="00DE13EE" w:rsidRDefault="000755D6" w:rsidP="00C60402">
      <w:pPr>
        <w:pStyle w:val="Heading1"/>
        <w:numPr>
          <w:ilvl w:val="0"/>
          <w:numId w:val="0"/>
        </w:numPr>
        <w:ind w:left="360" w:hanging="360"/>
        <w:rPr>
          <w:color w:val="000000" w:themeColor="text1"/>
          <w:lang w:val="en-US"/>
        </w:rPr>
      </w:pPr>
      <w:r w:rsidRPr="00DE13EE">
        <w:rPr>
          <w:caps w:val="0"/>
          <w:color w:val="000000" w:themeColor="text1"/>
          <w:lang w:val="en-US"/>
        </w:rPr>
        <w:lastRenderedPageBreak/>
        <w:t>REFERENCES</w:t>
      </w:r>
    </w:p>
    <w:p w14:paraId="6FF305A3" w14:textId="77777777" w:rsidR="00BC764A" w:rsidRPr="00DE13EE" w:rsidRDefault="00BC764A" w:rsidP="00C70D88">
      <w:pPr>
        <w:spacing w:after="240"/>
        <w:rPr>
          <w:rFonts w:ascii="Times New Roman" w:eastAsia="Calibri" w:hAnsi="Times New Roman" w:cs="Times New Roman"/>
          <w:color w:val="000000" w:themeColor="text1"/>
          <w:sz w:val="24"/>
          <w:szCs w:val="24"/>
          <w:lang w:val="en-US" w:eastAsia="en-US"/>
        </w:rPr>
      </w:pPr>
      <w:r w:rsidRPr="00DE13EE">
        <w:rPr>
          <w:rFonts w:ascii="Times New Roman" w:eastAsia="Calibri" w:hAnsi="Times New Roman" w:cs="Times New Roman"/>
          <w:color w:val="000000" w:themeColor="text1"/>
          <w:sz w:val="24"/>
          <w:szCs w:val="24"/>
          <w:lang w:val="en-US" w:eastAsia="en-US"/>
        </w:rPr>
        <w:t>ASB (2005) The Operating and Financial Review. Reporting Standard (RS1), London: ASB Publications.</w:t>
      </w:r>
    </w:p>
    <w:p w14:paraId="592C3427" w14:textId="77777777" w:rsidR="00BC764A" w:rsidRPr="00DE13EE" w:rsidRDefault="00BC764A" w:rsidP="00C70D88">
      <w:pPr>
        <w:spacing w:after="240"/>
        <w:rPr>
          <w:rFonts w:ascii="Times New Roman" w:eastAsia="Calibri" w:hAnsi="Times New Roman" w:cs="Times New Roman"/>
          <w:color w:val="000000" w:themeColor="text1"/>
          <w:sz w:val="24"/>
          <w:szCs w:val="24"/>
          <w:lang w:val="en-US" w:eastAsia="en-US"/>
        </w:rPr>
      </w:pPr>
      <w:r w:rsidRPr="00DE13EE">
        <w:rPr>
          <w:rFonts w:ascii="Times New Roman" w:eastAsia="Calibri" w:hAnsi="Times New Roman" w:cs="Times New Roman"/>
          <w:color w:val="000000" w:themeColor="text1"/>
          <w:sz w:val="24"/>
          <w:szCs w:val="24"/>
          <w:lang w:val="en-US" w:eastAsia="en-US"/>
        </w:rPr>
        <w:t>ASB (2006) The Operating and Financial Review</w:t>
      </w:r>
      <w:r w:rsidRPr="00DE13EE">
        <w:rPr>
          <w:rFonts w:ascii="Times New Roman" w:eastAsia="Calibri" w:hAnsi="Times New Roman" w:cs="Times New Roman"/>
          <w:iCs/>
          <w:color w:val="000000" w:themeColor="text1"/>
          <w:sz w:val="24"/>
          <w:szCs w:val="24"/>
          <w:lang w:val="en-US" w:eastAsia="en-US"/>
        </w:rPr>
        <w:t xml:space="preserve">. </w:t>
      </w:r>
      <w:r w:rsidRPr="00DE13EE">
        <w:rPr>
          <w:rFonts w:ascii="Times New Roman" w:eastAsia="Calibri" w:hAnsi="Times New Roman" w:cs="Times New Roman"/>
          <w:color w:val="000000" w:themeColor="text1"/>
          <w:sz w:val="24"/>
          <w:szCs w:val="24"/>
          <w:lang w:val="en-US" w:eastAsia="en-US"/>
        </w:rPr>
        <w:t>Reporting Statement, London: ASB Publications.</w:t>
      </w:r>
    </w:p>
    <w:p w14:paraId="0FD9926A" w14:textId="77777777" w:rsidR="00BC764A" w:rsidRPr="00DE13EE" w:rsidRDefault="00BC764A" w:rsidP="00C70D88">
      <w:pPr>
        <w:spacing w:after="240"/>
        <w:rPr>
          <w:rFonts w:ascii="Times New Roman" w:eastAsia="Calibri" w:hAnsi="Times New Roman" w:cs="Times New Roman"/>
          <w:color w:val="000000" w:themeColor="text1"/>
          <w:sz w:val="24"/>
          <w:szCs w:val="24"/>
          <w:lang w:val="en-US" w:eastAsia="en-US"/>
        </w:rPr>
      </w:pPr>
      <w:r w:rsidRPr="00DE13EE">
        <w:rPr>
          <w:rFonts w:ascii="Times New Roman" w:eastAsia="Calibri" w:hAnsi="Times New Roman" w:cs="Times New Roman"/>
          <w:color w:val="000000" w:themeColor="text1"/>
          <w:sz w:val="24"/>
          <w:szCs w:val="24"/>
          <w:lang w:val="en-US" w:eastAsia="en-US"/>
        </w:rPr>
        <w:t xml:space="preserve">Athanasakou V, Hussainey K (2014) The perceived credibility of forward-looking performance disclosures. </w:t>
      </w:r>
      <w:r w:rsidRPr="00DE13EE">
        <w:rPr>
          <w:rFonts w:ascii="Times New Roman" w:eastAsia="Calibri" w:hAnsi="Times New Roman" w:cs="Times New Roman"/>
          <w:iCs/>
          <w:color w:val="000000" w:themeColor="text1"/>
          <w:sz w:val="24"/>
          <w:szCs w:val="24"/>
          <w:lang w:val="en-US" w:eastAsia="en-US"/>
        </w:rPr>
        <w:t>Accounting and Business Research</w:t>
      </w:r>
      <w:r w:rsidRPr="00DE13EE">
        <w:rPr>
          <w:rFonts w:ascii="Times New Roman" w:eastAsia="Calibri" w:hAnsi="Times New Roman" w:cs="Times New Roman"/>
          <w:color w:val="000000" w:themeColor="text1"/>
          <w:sz w:val="24"/>
          <w:szCs w:val="24"/>
          <w:lang w:val="en-US" w:eastAsia="en-US"/>
        </w:rPr>
        <w:t xml:space="preserve"> 44(3): 227–259.</w:t>
      </w:r>
    </w:p>
    <w:p w14:paraId="28D2A29C" w14:textId="1BFF1512" w:rsidR="00BC764A" w:rsidRPr="00DE13EE" w:rsidRDefault="00BC764A" w:rsidP="00C70D88">
      <w:pPr>
        <w:spacing w:after="240"/>
        <w:rPr>
          <w:rFonts w:ascii="Times New Roman" w:hAnsi="Times New Roman" w:cs="Times New Roman"/>
          <w:color w:val="000000" w:themeColor="text1"/>
          <w:sz w:val="24"/>
          <w:szCs w:val="24"/>
          <w:lang w:val="en-US"/>
        </w:rPr>
      </w:pPr>
      <w:r w:rsidRPr="00DE13EE">
        <w:rPr>
          <w:rFonts w:ascii="Times New Roman" w:hAnsi="Times New Roman" w:cs="Times New Roman"/>
          <w:color w:val="000000" w:themeColor="text1"/>
          <w:sz w:val="24"/>
          <w:szCs w:val="24"/>
          <w:lang w:val="en-US"/>
        </w:rPr>
        <w:t xml:space="preserve">Ball R, Jayaraman S, Shivakumar L (2012) Audited financial reporting and voluntary disclosure as complements: A test of the confirmation hypothesis. </w:t>
      </w:r>
      <w:r w:rsidRPr="00DE13EE">
        <w:rPr>
          <w:rFonts w:ascii="Times New Roman" w:hAnsi="Times New Roman" w:cs="Times New Roman"/>
          <w:iCs/>
          <w:color w:val="000000" w:themeColor="text1"/>
          <w:sz w:val="24"/>
          <w:szCs w:val="24"/>
          <w:lang w:val="en-US"/>
        </w:rPr>
        <w:t>Journal of</w:t>
      </w:r>
      <w:r w:rsidRPr="00DE13EE">
        <w:rPr>
          <w:rFonts w:ascii="Times New Roman" w:hAnsi="Times New Roman" w:cs="Times New Roman"/>
          <w:color w:val="000000" w:themeColor="text1"/>
          <w:sz w:val="24"/>
          <w:szCs w:val="24"/>
          <w:lang w:val="en-US"/>
        </w:rPr>
        <w:t xml:space="preserve"> </w:t>
      </w:r>
      <w:r w:rsidRPr="00DE13EE">
        <w:rPr>
          <w:rFonts w:ascii="Times New Roman" w:hAnsi="Times New Roman" w:cs="Times New Roman"/>
          <w:iCs/>
          <w:color w:val="000000" w:themeColor="text1"/>
          <w:sz w:val="24"/>
          <w:szCs w:val="24"/>
          <w:lang w:val="en-US"/>
        </w:rPr>
        <w:t xml:space="preserve">Accounting and Economics </w:t>
      </w:r>
      <w:r w:rsidRPr="00DE13EE">
        <w:rPr>
          <w:rFonts w:ascii="Times New Roman" w:hAnsi="Times New Roman" w:cs="Times New Roman"/>
          <w:color w:val="000000" w:themeColor="text1"/>
          <w:sz w:val="24"/>
          <w:szCs w:val="24"/>
          <w:lang w:val="en-US"/>
        </w:rPr>
        <w:t>53(1</w:t>
      </w:r>
      <w:r w:rsidR="00432CFA" w:rsidRPr="00DE13EE">
        <w:rPr>
          <w:rFonts w:ascii="Times New Roman" w:eastAsia="SimHei" w:hAnsi="Times New Roman" w:cs="Times New Roman"/>
          <w:color w:val="000000" w:themeColor="text1"/>
          <w:sz w:val="24"/>
          <w:szCs w:val="24"/>
          <w:lang w:val="en-US"/>
        </w:rPr>
        <w:t>-</w:t>
      </w:r>
      <w:r w:rsidRPr="00DE13EE">
        <w:rPr>
          <w:rFonts w:ascii="Times New Roman" w:hAnsi="Times New Roman" w:cs="Times New Roman"/>
          <w:color w:val="000000" w:themeColor="text1"/>
          <w:sz w:val="24"/>
          <w:szCs w:val="24"/>
          <w:lang w:val="en-US"/>
        </w:rPr>
        <w:t>2): 136–166.</w:t>
      </w:r>
    </w:p>
    <w:p w14:paraId="33B4F3B2" w14:textId="77777777" w:rsidR="00BC764A" w:rsidRPr="00DE13EE" w:rsidRDefault="00BC764A" w:rsidP="00C70D88">
      <w:pPr>
        <w:spacing w:after="240"/>
        <w:rPr>
          <w:rFonts w:ascii="Times New Roman" w:hAnsi="Times New Roman" w:cs="Times New Roman"/>
          <w:color w:val="000000" w:themeColor="text1"/>
          <w:sz w:val="24"/>
          <w:szCs w:val="24"/>
        </w:rPr>
      </w:pPr>
      <w:r w:rsidRPr="00DE13EE">
        <w:rPr>
          <w:rFonts w:ascii="Times New Roman" w:hAnsi="Times New Roman" w:cs="Times New Roman"/>
          <w:color w:val="000000" w:themeColor="text1"/>
          <w:sz w:val="24"/>
          <w:szCs w:val="24"/>
        </w:rPr>
        <w:t xml:space="preserve">Barako DG, Hancock P, Izan HY (2006) Factors influencing voluntary corporate disclosure by Kenyan companies. </w:t>
      </w:r>
      <w:r w:rsidRPr="00DE13EE">
        <w:rPr>
          <w:rFonts w:ascii="Times New Roman" w:hAnsi="Times New Roman" w:cs="Times New Roman"/>
          <w:iCs/>
          <w:color w:val="000000" w:themeColor="text1"/>
          <w:sz w:val="24"/>
          <w:szCs w:val="24"/>
        </w:rPr>
        <w:t xml:space="preserve">Corporate Governance </w:t>
      </w:r>
      <w:r w:rsidRPr="00DE13EE">
        <w:rPr>
          <w:rFonts w:ascii="Times New Roman" w:hAnsi="Times New Roman" w:cs="Times New Roman"/>
          <w:color w:val="000000" w:themeColor="text1"/>
          <w:sz w:val="24"/>
          <w:szCs w:val="24"/>
        </w:rPr>
        <w:t>14(2): 418–431.</w:t>
      </w:r>
    </w:p>
    <w:p w14:paraId="3FF5AFE8" w14:textId="77777777" w:rsidR="00BC764A" w:rsidRPr="00DE13EE" w:rsidRDefault="00BC764A" w:rsidP="00C70D88">
      <w:pPr>
        <w:spacing w:after="240"/>
        <w:rPr>
          <w:rFonts w:ascii="Times New Roman" w:eastAsia="SimHei" w:hAnsi="Times New Roman" w:cs="Times New Roman"/>
          <w:color w:val="000000" w:themeColor="text1"/>
          <w:sz w:val="24"/>
          <w:szCs w:val="24"/>
          <w:lang w:val="en-US"/>
        </w:rPr>
      </w:pPr>
      <w:r w:rsidRPr="00DE13EE">
        <w:rPr>
          <w:rFonts w:ascii="Times New Roman" w:eastAsia="SimHei" w:hAnsi="Times New Roman" w:cs="Times New Roman"/>
          <w:color w:val="000000" w:themeColor="text1"/>
          <w:sz w:val="24"/>
          <w:szCs w:val="24"/>
          <w:lang w:val="en-US"/>
        </w:rPr>
        <w:t xml:space="preserve">Barth M, Konchitchki Y, Landsman W (2013) Cost of capital and earnings transparency. </w:t>
      </w:r>
      <w:r w:rsidRPr="00DE13EE">
        <w:rPr>
          <w:rFonts w:ascii="Times New Roman" w:eastAsia="SimHei" w:hAnsi="Times New Roman" w:cs="Times New Roman"/>
          <w:iCs/>
          <w:color w:val="000000" w:themeColor="text1"/>
          <w:sz w:val="24"/>
          <w:szCs w:val="24"/>
          <w:lang w:val="en-US"/>
        </w:rPr>
        <w:t>Journal of Accounting and Economics</w:t>
      </w:r>
      <w:r w:rsidRPr="00DE13EE">
        <w:rPr>
          <w:rFonts w:ascii="Times New Roman" w:eastAsia="SimHei" w:hAnsi="Times New Roman" w:cs="Times New Roman"/>
          <w:color w:val="000000" w:themeColor="text1"/>
          <w:sz w:val="24"/>
          <w:szCs w:val="24"/>
          <w:lang w:val="en-US"/>
        </w:rPr>
        <w:t xml:space="preserve"> 55: 206-224.</w:t>
      </w:r>
    </w:p>
    <w:p w14:paraId="4F6A329E" w14:textId="77777777" w:rsidR="00BC764A" w:rsidRPr="00DE13EE" w:rsidRDefault="00BC764A" w:rsidP="00C70D88">
      <w:pPr>
        <w:spacing w:after="240"/>
        <w:rPr>
          <w:rFonts w:ascii="Times New Roman" w:eastAsia="Calibri" w:hAnsi="Times New Roman" w:cs="Times New Roman"/>
          <w:color w:val="000000" w:themeColor="text1"/>
          <w:sz w:val="24"/>
          <w:szCs w:val="24"/>
          <w:lang w:val="en-US" w:eastAsia="en-US"/>
        </w:rPr>
      </w:pPr>
      <w:r w:rsidRPr="00DE13EE">
        <w:rPr>
          <w:rFonts w:ascii="Times New Roman" w:eastAsia="Calibri" w:hAnsi="Times New Roman" w:cs="Times New Roman"/>
          <w:color w:val="000000" w:themeColor="text1"/>
          <w:sz w:val="24"/>
          <w:szCs w:val="24"/>
          <w:lang w:val="en-US" w:eastAsia="en-US"/>
        </w:rPr>
        <w:t xml:space="preserve">Beattie V, Mcinnes B, Fearnley S (2004) A methodology for analysing and evaluating narratives in annual reports: A comprehensive descriptive profile and metrics for disclosure quality attributes. </w:t>
      </w:r>
      <w:r w:rsidRPr="00DE13EE">
        <w:rPr>
          <w:rFonts w:ascii="Times New Roman" w:eastAsia="Calibri" w:hAnsi="Times New Roman" w:cs="Times New Roman"/>
          <w:iCs/>
          <w:color w:val="000000" w:themeColor="text1"/>
          <w:sz w:val="24"/>
          <w:szCs w:val="24"/>
          <w:lang w:val="en-US" w:eastAsia="en-US"/>
        </w:rPr>
        <w:t xml:space="preserve">Accounting Forum </w:t>
      </w:r>
      <w:r w:rsidRPr="00DE13EE">
        <w:rPr>
          <w:rFonts w:ascii="Times New Roman" w:eastAsia="Calibri" w:hAnsi="Times New Roman" w:cs="Times New Roman"/>
          <w:color w:val="000000" w:themeColor="text1"/>
          <w:sz w:val="24"/>
          <w:szCs w:val="24"/>
          <w:lang w:val="en-US" w:eastAsia="en-US"/>
        </w:rPr>
        <w:t>28: 205–236.</w:t>
      </w:r>
    </w:p>
    <w:p w14:paraId="3824C159" w14:textId="77777777" w:rsidR="00BC764A" w:rsidRPr="00DE13EE" w:rsidRDefault="00BC764A" w:rsidP="00C70D88">
      <w:pPr>
        <w:spacing w:after="240"/>
        <w:rPr>
          <w:rFonts w:ascii="Times New Roman" w:eastAsia="SimHei" w:hAnsi="Times New Roman" w:cs="Times New Roman"/>
          <w:color w:val="000000" w:themeColor="text1"/>
          <w:sz w:val="24"/>
          <w:szCs w:val="24"/>
          <w:lang w:val="en-US"/>
        </w:rPr>
      </w:pPr>
      <w:r w:rsidRPr="00DE13EE">
        <w:rPr>
          <w:rFonts w:ascii="Times New Roman" w:eastAsia="SimHei" w:hAnsi="Times New Roman" w:cs="Times New Roman"/>
          <w:color w:val="000000" w:themeColor="text1"/>
          <w:sz w:val="24"/>
          <w:szCs w:val="24"/>
          <w:lang w:val="en-US"/>
        </w:rPr>
        <w:t xml:space="preserve">Bebchuk LA, Cohen A, Ferrell A (2009) What matters in corporate governance? </w:t>
      </w:r>
      <w:r w:rsidRPr="00DE13EE">
        <w:rPr>
          <w:rFonts w:ascii="Times New Roman" w:eastAsia="SimHei" w:hAnsi="Times New Roman" w:cs="Times New Roman"/>
          <w:iCs/>
          <w:color w:val="000000" w:themeColor="text1"/>
          <w:sz w:val="24"/>
          <w:szCs w:val="24"/>
          <w:lang w:val="en-US"/>
        </w:rPr>
        <w:t xml:space="preserve">The Review of Financial Studies </w:t>
      </w:r>
      <w:r w:rsidRPr="00DE13EE">
        <w:rPr>
          <w:rFonts w:ascii="Times New Roman" w:eastAsia="SimHei" w:hAnsi="Times New Roman" w:cs="Times New Roman"/>
          <w:color w:val="000000" w:themeColor="text1"/>
          <w:sz w:val="24"/>
          <w:szCs w:val="24"/>
          <w:lang w:val="en-US"/>
        </w:rPr>
        <w:t>22(2): 783–727.</w:t>
      </w:r>
    </w:p>
    <w:p w14:paraId="751A4706" w14:textId="77777777" w:rsidR="00BC764A" w:rsidRPr="00DE13EE" w:rsidRDefault="00BC764A" w:rsidP="00C70D88">
      <w:pPr>
        <w:spacing w:after="240"/>
        <w:rPr>
          <w:rFonts w:ascii="Times New Roman" w:eastAsia="SimHei" w:hAnsi="Times New Roman" w:cs="Times New Roman"/>
          <w:color w:val="000000" w:themeColor="text1"/>
          <w:sz w:val="24"/>
          <w:szCs w:val="24"/>
          <w:lang w:val="en-US"/>
        </w:rPr>
      </w:pPr>
      <w:r w:rsidRPr="00DE13EE">
        <w:rPr>
          <w:rFonts w:ascii="Times New Roman" w:eastAsia="SimHei" w:hAnsi="Times New Roman" w:cs="Times New Roman"/>
          <w:color w:val="000000" w:themeColor="text1"/>
          <w:sz w:val="24"/>
          <w:szCs w:val="24"/>
          <w:lang w:val="en-US"/>
        </w:rPr>
        <w:t xml:space="preserve">Botosan CA, Plumlee MA (2002) A re-examination of disclosure level and the expected cost of equity capital. </w:t>
      </w:r>
      <w:r w:rsidRPr="00DE13EE">
        <w:rPr>
          <w:rFonts w:ascii="Times New Roman" w:eastAsia="SimHei" w:hAnsi="Times New Roman" w:cs="Times New Roman"/>
          <w:iCs/>
          <w:color w:val="000000" w:themeColor="text1"/>
          <w:sz w:val="24"/>
          <w:szCs w:val="24"/>
          <w:lang w:val="en-US"/>
        </w:rPr>
        <w:t xml:space="preserve">Journal of Accounting Research </w:t>
      </w:r>
      <w:r w:rsidRPr="00DE13EE">
        <w:rPr>
          <w:rFonts w:ascii="Times New Roman" w:eastAsia="SimHei" w:hAnsi="Times New Roman" w:cs="Times New Roman"/>
          <w:color w:val="000000" w:themeColor="text1"/>
          <w:sz w:val="24"/>
          <w:szCs w:val="24"/>
          <w:lang w:val="en-US"/>
        </w:rPr>
        <w:t>40(1): 21– 40.</w:t>
      </w:r>
    </w:p>
    <w:p w14:paraId="0C23AD44" w14:textId="77777777" w:rsidR="00BC764A" w:rsidRPr="00DE13EE" w:rsidRDefault="00BC764A" w:rsidP="00C70D88">
      <w:pPr>
        <w:spacing w:after="240"/>
        <w:rPr>
          <w:rFonts w:ascii="Times New Roman" w:hAnsi="Times New Roman" w:cs="Times New Roman"/>
          <w:color w:val="000000" w:themeColor="text1"/>
          <w:sz w:val="24"/>
          <w:szCs w:val="24"/>
        </w:rPr>
      </w:pPr>
      <w:r w:rsidRPr="00DE13EE">
        <w:rPr>
          <w:rFonts w:ascii="Times New Roman" w:hAnsi="Times New Roman" w:cs="Times New Roman"/>
          <w:color w:val="000000" w:themeColor="text1"/>
          <w:sz w:val="24"/>
          <w:szCs w:val="24"/>
        </w:rPr>
        <w:t>Bowman EH (1984) Content analysis of annual reports for corporate strategy and risk. Interfaces 14(1): 61–71.</w:t>
      </w:r>
    </w:p>
    <w:p w14:paraId="4FBAB563" w14:textId="77777777" w:rsidR="00BC764A" w:rsidRPr="00DE13EE" w:rsidRDefault="00BC764A" w:rsidP="00C70D88">
      <w:pPr>
        <w:spacing w:after="240"/>
        <w:rPr>
          <w:rFonts w:ascii="Times New Roman" w:eastAsia="SimHei" w:hAnsi="Times New Roman" w:cs="Times New Roman"/>
          <w:color w:val="000000" w:themeColor="text1"/>
          <w:sz w:val="24"/>
          <w:szCs w:val="24"/>
          <w:lang w:val="en-US"/>
        </w:rPr>
      </w:pPr>
      <w:r w:rsidRPr="00DE13EE">
        <w:rPr>
          <w:rFonts w:ascii="Times New Roman" w:eastAsia="SimHei" w:hAnsi="Times New Roman" w:cs="Times New Roman"/>
          <w:color w:val="000000" w:themeColor="text1"/>
          <w:sz w:val="24"/>
          <w:szCs w:val="24"/>
          <w:lang w:val="en-US"/>
        </w:rPr>
        <w:t xml:space="preserve">Brown LD, Caylor ML (2006) Corporate governance and firm valuation. </w:t>
      </w:r>
      <w:r w:rsidRPr="00DE13EE">
        <w:rPr>
          <w:rFonts w:ascii="Times New Roman" w:eastAsia="SimHei" w:hAnsi="Times New Roman" w:cs="Times New Roman"/>
          <w:iCs/>
          <w:color w:val="000000" w:themeColor="text1"/>
          <w:sz w:val="24"/>
          <w:szCs w:val="24"/>
          <w:lang w:val="en-US"/>
        </w:rPr>
        <w:t xml:space="preserve">Journal of Accounting and Public Policy </w:t>
      </w:r>
      <w:r w:rsidRPr="00DE13EE">
        <w:rPr>
          <w:rFonts w:ascii="Times New Roman" w:eastAsia="SimHei" w:hAnsi="Times New Roman" w:cs="Times New Roman"/>
          <w:color w:val="000000" w:themeColor="text1"/>
          <w:sz w:val="24"/>
          <w:szCs w:val="24"/>
          <w:lang w:val="en-US"/>
        </w:rPr>
        <w:t>25(4): 409–434.</w:t>
      </w:r>
    </w:p>
    <w:p w14:paraId="48CD6CD5" w14:textId="77777777" w:rsidR="00BC764A" w:rsidRPr="00DE13EE" w:rsidRDefault="00BC764A" w:rsidP="00C70D88">
      <w:pPr>
        <w:spacing w:after="240"/>
        <w:rPr>
          <w:rFonts w:ascii="Times New Roman" w:eastAsia="Calibri" w:hAnsi="Times New Roman" w:cs="Times New Roman"/>
          <w:color w:val="000000" w:themeColor="text1"/>
          <w:sz w:val="24"/>
          <w:szCs w:val="24"/>
          <w:lang w:eastAsia="en-US"/>
        </w:rPr>
      </w:pPr>
      <w:r w:rsidRPr="00DE13EE">
        <w:rPr>
          <w:rFonts w:ascii="Times New Roman" w:eastAsia="Calibri" w:hAnsi="Times New Roman" w:cs="Times New Roman"/>
          <w:color w:val="000000" w:themeColor="text1"/>
          <w:sz w:val="24"/>
          <w:szCs w:val="24"/>
          <w:lang w:eastAsia="en-US"/>
        </w:rPr>
        <w:t xml:space="preserve">Brown S, Hillegeist S, Lo K (2009) The effect of earnings surprises on information asymmetry. </w:t>
      </w:r>
      <w:r w:rsidRPr="00DE13EE">
        <w:rPr>
          <w:rFonts w:ascii="Times New Roman" w:eastAsia="Calibri" w:hAnsi="Times New Roman" w:cs="Times New Roman"/>
          <w:iCs/>
          <w:color w:val="000000" w:themeColor="text1"/>
          <w:sz w:val="24"/>
          <w:szCs w:val="24"/>
          <w:lang w:eastAsia="en-US"/>
        </w:rPr>
        <w:t xml:space="preserve">Journal of Accounting and Economics </w:t>
      </w:r>
      <w:r w:rsidRPr="00DE13EE">
        <w:rPr>
          <w:rFonts w:ascii="Times New Roman" w:eastAsia="Calibri" w:hAnsi="Times New Roman" w:cs="Times New Roman"/>
          <w:color w:val="000000" w:themeColor="text1"/>
          <w:sz w:val="24"/>
          <w:szCs w:val="24"/>
          <w:lang w:eastAsia="en-US"/>
        </w:rPr>
        <w:t>47: 208–22</w:t>
      </w:r>
    </w:p>
    <w:p w14:paraId="0BD5075E" w14:textId="77777777" w:rsidR="00BC764A" w:rsidRPr="00DE13EE" w:rsidRDefault="00BC764A" w:rsidP="00C70D88">
      <w:pPr>
        <w:spacing w:after="240"/>
        <w:rPr>
          <w:rFonts w:ascii="Times New Roman" w:eastAsia="Calibri" w:hAnsi="Times New Roman" w:cs="Times New Roman"/>
          <w:color w:val="000000" w:themeColor="text1"/>
          <w:sz w:val="24"/>
          <w:szCs w:val="24"/>
          <w:lang w:val="en-US" w:eastAsia="en-US"/>
        </w:rPr>
      </w:pPr>
      <w:r w:rsidRPr="00DE13EE">
        <w:rPr>
          <w:rFonts w:ascii="Times New Roman" w:eastAsia="Calibri" w:hAnsi="Times New Roman" w:cs="Times New Roman"/>
          <w:color w:val="000000" w:themeColor="text1"/>
          <w:sz w:val="24"/>
          <w:szCs w:val="24"/>
          <w:lang w:val="en-US" w:eastAsia="en-US"/>
        </w:rPr>
        <w:t xml:space="preserve">Brown S, Tucker J (2011) </w:t>
      </w:r>
      <w:r w:rsidRPr="00DE13EE">
        <w:rPr>
          <w:rFonts w:ascii="Times New Roman" w:eastAsia="Calibri" w:hAnsi="Times New Roman" w:cs="Times New Roman"/>
          <w:bCs/>
          <w:color w:val="000000" w:themeColor="text1"/>
          <w:sz w:val="24"/>
          <w:szCs w:val="24"/>
          <w:lang w:val="en-US" w:eastAsia="en-US"/>
        </w:rPr>
        <w:t xml:space="preserve">Large-sample evidence on firms’ year-over-year MD&amp;A modifications. </w:t>
      </w:r>
      <w:r w:rsidRPr="00DE13EE">
        <w:rPr>
          <w:rFonts w:ascii="Times New Roman" w:eastAsia="Calibri" w:hAnsi="Times New Roman" w:cs="Times New Roman"/>
          <w:color w:val="000000" w:themeColor="text1"/>
          <w:sz w:val="24"/>
          <w:szCs w:val="24"/>
          <w:lang w:val="en-US" w:eastAsia="en-US"/>
        </w:rPr>
        <w:t>Journal of Accounting Research 49(2): 309–345.</w:t>
      </w:r>
    </w:p>
    <w:p w14:paraId="0688486A" w14:textId="77777777" w:rsidR="00BC764A" w:rsidRPr="00DE13EE" w:rsidRDefault="00BC764A" w:rsidP="00C70D88">
      <w:pPr>
        <w:spacing w:after="240"/>
        <w:rPr>
          <w:rFonts w:ascii="Times New Roman" w:eastAsia="SimHei" w:hAnsi="Times New Roman" w:cs="Times New Roman"/>
          <w:color w:val="000000" w:themeColor="text1"/>
          <w:sz w:val="24"/>
          <w:szCs w:val="24"/>
          <w:lang w:val="en-US"/>
        </w:rPr>
      </w:pPr>
      <w:r w:rsidRPr="00DE13EE">
        <w:rPr>
          <w:rFonts w:ascii="Times New Roman" w:eastAsia="SimHei" w:hAnsi="Times New Roman" w:cs="Times New Roman"/>
          <w:color w:val="000000" w:themeColor="text1"/>
          <w:sz w:val="24"/>
          <w:szCs w:val="24"/>
          <w:lang w:val="en-US"/>
        </w:rPr>
        <w:t xml:space="preserve">Chenhall RH, Moers F (2007) The issue of endogeneity within theory-based, quantitative management accounting research. </w:t>
      </w:r>
      <w:r w:rsidRPr="00DE13EE">
        <w:rPr>
          <w:rFonts w:ascii="Times New Roman" w:eastAsia="SimHei" w:hAnsi="Times New Roman" w:cs="Times New Roman"/>
          <w:iCs/>
          <w:color w:val="000000" w:themeColor="text1"/>
          <w:sz w:val="24"/>
          <w:szCs w:val="24"/>
          <w:lang w:val="en-US"/>
        </w:rPr>
        <w:t xml:space="preserve">European Accounting Review </w:t>
      </w:r>
      <w:r w:rsidRPr="00DE13EE">
        <w:rPr>
          <w:rFonts w:ascii="Times New Roman" w:eastAsia="SimHei" w:hAnsi="Times New Roman" w:cs="Times New Roman"/>
          <w:color w:val="000000" w:themeColor="text1"/>
          <w:sz w:val="24"/>
          <w:szCs w:val="24"/>
          <w:lang w:val="en-US"/>
        </w:rPr>
        <w:t>16(1): 173–195.</w:t>
      </w:r>
    </w:p>
    <w:p w14:paraId="354EC4E1" w14:textId="77777777" w:rsidR="00BC764A" w:rsidRPr="00DE13EE" w:rsidRDefault="00BC764A" w:rsidP="00C70D88">
      <w:pPr>
        <w:spacing w:after="240"/>
        <w:rPr>
          <w:rFonts w:ascii="Times New Roman" w:hAnsi="Times New Roman" w:cs="Times New Roman"/>
          <w:color w:val="000000" w:themeColor="text1"/>
          <w:sz w:val="24"/>
          <w:szCs w:val="24"/>
        </w:rPr>
      </w:pPr>
      <w:r w:rsidRPr="00DE13EE">
        <w:rPr>
          <w:rFonts w:ascii="Times New Roman" w:hAnsi="Times New Roman" w:cs="Times New Roman"/>
          <w:color w:val="000000" w:themeColor="text1"/>
          <w:sz w:val="24"/>
          <w:szCs w:val="24"/>
        </w:rPr>
        <w:lastRenderedPageBreak/>
        <w:t>Chin C, Lee P, Chi H, Anandarajan A (2006) Patent Citation, R&amp;D Spillover, and Tobin’s Q: Evidence from Taiwan Semiconductor Industry. Review of Quantitative Finance and Accounting 26(1): 67–84</w:t>
      </w:r>
    </w:p>
    <w:p w14:paraId="29E3B253" w14:textId="77777777" w:rsidR="00BC764A" w:rsidRPr="00DE13EE" w:rsidRDefault="00BC764A" w:rsidP="00C70D88">
      <w:pPr>
        <w:spacing w:after="240"/>
        <w:rPr>
          <w:rFonts w:ascii="Times New Roman" w:hAnsi="Times New Roman" w:cs="Times New Roman"/>
          <w:color w:val="000000" w:themeColor="text1"/>
          <w:sz w:val="24"/>
          <w:szCs w:val="24"/>
        </w:rPr>
      </w:pPr>
      <w:r w:rsidRPr="00DE13EE">
        <w:rPr>
          <w:rFonts w:ascii="Times New Roman" w:hAnsi="Times New Roman" w:cs="Times New Roman"/>
          <w:color w:val="000000" w:themeColor="text1"/>
          <w:sz w:val="24"/>
          <w:szCs w:val="24"/>
        </w:rPr>
        <w:t>Clatworthy M, Pong C, Wong W (2012) Auditor quality effects on the relationship between accruals, cash flows and equity returns: A variance decomposition analysis. Accounting and Business research, pp 419–440.</w:t>
      </w:r>
    </w:p>
    <w:p w14:paraId="1F3CD1AD" w14:textId="6AFB768E" w:rsidR="00BC764A" w:rsidRPr="00DE13EE" w:rsidRDefault="00BC764A" w:rsidP="00C70D88">
      <w:pPr>
        <w:spacing w:after="240"/>
        <w:rPr>
          <w:rFonts w:ascii="Times New Roman" w:eastAsia="SimHei" w:hAnsi="Times New Roman" w:cs="Times New Roman"/>
          <w:color w:val="000000" w:themeColor="text1"/>
          <w:sz w:val="24"/>
          <w:szCs w:val="24"/>
          <w:lang w:val="en-US"/>
        </w:rPr>
      </w:pPr>
      <w:r w:rsidRPr="00DE13EE">
        <w:rPr>
          <w:rFonts w:ascii="Times New Roman" w:eastAsia="SimHei" w:hAnsi="Times New Roman" w:cs="Times New Roman"/>
          <w:color w:val="000000" w:themeColor="text1"/>
          <w:sz w:val="24"/>
          <w:szCs w:val="24"/>
          <w:lang w:val="en-US"/>
        </w:rPr>
        <w:t xml:space="preserve">Dhaliwal DS, Li OZ, Tsang A, Yang YG (2011) Voluntary nonfinancial disclosure and the cost of equity capital: the initiation of corporate social responsibility reporting. </w:t>
      </w:r>
      <w:r w:rsidRPr="00DE13EE">
        <w:rPr>
          <w:rFonts w:ascii="Times New Roman" w:eastAsia="SimHei" w:hAnsi="Times New Roman" w:cs="Times New Roman"/>
          <w:iCs/>
          <w:color w:val="000000" w:themeColor="text1"/>
          <w:sz w:val="24"/>
          <w:szCs w:val="24"/>
          <w:lang w:val="en-US"/>
        </w:rPr>
        <w:t xml:space="preserve">Accounting Review </w:t>
      </w:r>
      <w:r w:rsidRPr="00DE13EE">
        <w:rPr>
          <w:rFonts w:ascii="Times New Roman" w:eastAsia="SimHei" w:hAnsi="Times New Roman" w:cs="Times New Roman"/>
          <w:color w:val="000000" w:themeColor="text1"/>
          <w:sz w:val="24"/>
          <w:szCs w:val="24"/>
          <w:lang w:val="en-US"/>
        </w:rPr>
        <w:t>86(1): 59–100.</w:t>
      </w:r>
    </w:p>
    <w:p w14:paraId="7B44A42C" w14:textId="77777777" w:rsidR="00BC764A" w:rsidRPr="00DE13EE" w:rsidRDefault="00BC764A" w:rsidP="00C70D88">
      <w:pPr>
        <w:spacing w:after="240"/>
        <w:rPr>
          <w:rFonts w:ascii="Times New Roman" w:eastAsia="SimHei" w:hAnsi="Times New Roman" w:cs="Times New Roman"/>
          <w:color w:val="000000" w:themeColor="text1"/>
          <w:sz w:val="24"/>
          <w:szCs w:val="24"/>
          <w:lang w:val="en-US"/>
        </w:rPr>
      </w:pPr>
      <w:r w:rsidRPr="00DE13EE">
        <w:rPr>
          <w:rFonts w:ascii="Times New Roman" w:eastAsia="SimHei" w:hAnsi="Times New Roman" w:cs="Times New Roman"/>
          <w:color w:val="000000" w:themeColor="text1"/>
          <w:sz w:val="24"/>
          <w:szCs w:val="24"/>
          <w:lang w:val="en-US"/>
        </w:rPr>
        <w:t xml:space="preserve">Elzahar H, Hussainey K, Mazzi F, Tsalavoutas I (2015) Economic consequences of key performance indicators' disclosure quality. </w:t>
      </w:r>
      <w:r w:rsidRPr="00DE13EE">
        <w:rPr>
          <w:rFonts w:ascii="Times New Roman" w:eastAsia="SimHei" w:hAnsi="Times New Roman" w:cs="Times New Roman"/>
          <w:iCs/>
          <w:color w:val="000000" w:themeColor="text1"/>
          <w:sz w:val="24"/>
          <w:szCs w:val="24"/>
          <w:lang w:val="en-US"/>
        </w:rPr>
        <w:t>International Review of Financial Analysis</w:t>
      </w:r>
      <w:r w:rsidRPr="00DE13EE">
        <w:rPr>
          <w:rFonts w:ascii="Times New Roman" w:eastAsia="SimHei" w:hAnsi="Times New Roman" w:cs="Times New Roman"/>
          <w:color w:val="000000" w:themeColor="text1"/>
          <w:sz w:val="24"/>
          <w:szCs w:val="24"/>
          <w:lang w:val="en-US"/>
        </w:rPr>
        <w:t xml:space="preserve"> 39: 96 </w:t>
      </w:r>
      <w:r w:rsidRPr="00DE13EE">
        <w:rPr>
          <w:rFonts w:ascii="Times New Roman" w:eastAsia="Calibri" w:hAnsi="Times New Roman" w:cs="Times New Roman"/>
          <w:bCs/>
          <w:color w:val="000000" w:themeColor="text1"/>
          <w:sz w:val="24"/>
          <w:szCs w:val="24"/>
          <w:lang w:val="en-US" w:eastAsia="en-US"/>
        </w:rPr>
        <w:t>–</w:t>
      </w:r>
      <w:r w:rsidRPr="00DE13EE">
        <w:rPr>
          <w:rFonts w:ascii="Times New Roman" w:eastAsia="SimHei" w:hAnsi="Times New Roman" w:cs="Times New Roman"/>
          <w:color w:val="000000" w:themeColor="text1"/>
          <w:sz w:val="24"/>
          <w:szCs w:val="24"/>
          <w:lang w:val="en-US"/>
        </w:rPr>
        <w:t>112.</w:t>
      </w:r>
    </w:p>
    <w:p w14:paraId="135B3362" w14:textId="77777777" w:rsidR="00BC764A" w:rsidRPr="00DE13EE" w:rsidRDefault="00BC764A" w:rsidP="00C70D88">
      <w:pPr>
        <w:spacing w:after="240"/>
        <w:rPr>
          <w:rFonts w:ascii="Times New Roman" w:hAnsi="Times New Roman" w:cs="Times New Roman"/>
          <w:color w:val="000000" w:themeColor="text1"/>
          <w:sz w:val="24"/>
          <w:szCs w:val="24"/>
          <w:lang w:val="en-US"/>
        </w:rPr>
      </w:pPr>
      <w:r w:rsidRPr="00DE13EE">
        <w:rPr>
          <w:rFonts w:ascii="Times New Roman" w:hAnsi="Times New Roman" w:cs="Times New Roman"/>
          <w:color w:val="000000" w:themeColor="text1"/>
          <w:sz w:val="24"/>
          <w:szCs w:val="24"/>
          <w:lang w:val="en-US"/>
        </w:rPr>
        <w:t>Fan J, Wong TJ (2005) Do external auditors perform a corporate governance role in emerging markets? Evidence from East Asia. Journal of Accounting Research 43: 35–72.</w:t>
      </w:r>
    </w:p>
    <w:p w14:paraId="2CCEF2C5" w14:textId="77777777" w:rsidR="00BC764A" w:rsidRPr="00DE13EE" w:rsidRDefault="00BC764A" w:rsidP="00C70D88">
      <w:pPr>
        <w:spacing w:after="240"/>
        <w:rPr>
          <w:rFonts w:ascii="Times New Roman" w:eastAsia="Calibri" w:hAnsi="Times New Roman" w:cs="Times New Roman"/>
          <w:color w:val="000000" w:themeColor="text1"/>
          <w:sz w:val="24"/>
          <w:szCs w:val="24"/>
          <w:lang w:val="en-US" w:eastAsia="en-US"/>
        </w:rPr>
      </w:pPr>
      <w:r w:rsidRPr="00DE13EE">
        <w:rPr>
          <w:rFonts w:ascii="Times New Roman" w:eastAsia="Calibri" w:hAnsi="Times New Roman" w:cs="Times New Roman"/>
          <w:color w:val="000000" w:themeColor="text1"/>
          <w:sz w:val="24"/>
          <w:szCs w:val="24"/>
          <w:lang w:val="en-US" w:eastAsia="en-US"/>
        </w:rPr>
        <w:t xml:space="preserve">Feldman R, Govindaraj S, Livnat J, Segal B (2010) Management’s tone change, post earnings announcement drift and accruals. </w:t>
      </w:r>
      <w:r w:rsidRPr="00DE13EE">
        <w:rPr>
          <w:rFonts w:ascii="Times New Roman" w:eastAsia="Calibri" w:hAnsi="Times New Roman" w:cs="Times New Roman"/>
          <w:iCs/>
          <w:color w:val="000000" w:themeColor="text1"/>
          <w:sz w:val="24"/>
          <w:szCs w:val="24"/>
          <w:lang w:val="en-US" w:eastAsia="en-US"/>
        </w:rPr>
        <w:t>Review of Accounting Studies</w:t>
      </w:r>
      <w:r w:rsidRPr="00DE13EE">
        <w:rPr>
          <w:rFonts w:ascii="Times New Roman" w:eastAsia="Calibri" w:hAnsi="Times New Roman" w:cs="Times New Roman"/>
          <w:color w:val="000000" w:themeColor="text1"/>
          <w:sz w:val="24"/>
          <w:szCs w:val="24"/>
          <w:lang w:val="en-US" w:eastAsia="en-US"/>
        </w:rPr>
        <w:t xml:space="preserve"> 15: 915–953 </w:t>
      </w:r>
    </w:p>
    <w:p w14:paraId="1A4443F0" w14:textId="77777777" w:rsidR="00BC764A" w:rsidRPr="00DE13EE" w:rsidRDefault="00BC764A" w:rsidP="00C70D88">
      <w:pPr>
        <w:spacing w:after="240"/>
        <w:rPr>
          <w:rFonts w:ascii="Times New Roman" w:eastAsia="Calibri" w:hAnsi="Times New Roman" w:cs="Times New Roman"/>
          <w:color w:val="000000" w:themeColor="text1"/>
          <w:sz w:val="24"/>
          <w:szCs w:val="24"/>
          <w:lang w:eastAsia="en-US"/>
        </w:rPr>
      </w:pPr>
      <w:r w:rsidRPr="00DE13EE">
        <w:rPr>
          <w:rFonts w:ascii="Times New Roman" w:eastAsia="Calibri" w:hAnsi="Times New Roman" w:cs="Times New Roman"/>
          <w:color w:val="000000" w:themeColor="text1"/>
          <w:sz w:val="24"/>
          <w:szCs w:val="24"/>
          <w:lang w:val="pl-PL" w:eastAsia="en-US"/>
        </w:rPr>
        <w:t xml:space="preserve">Gelb DS,  Zarowin P (2002) </w:t>
      </w:r>
      <w:r w:rsidRPr="00DE13EE">
        <w:rPr>
          <w:rFonts w:ascii="Times New Roman" w:eastAsia="Calibri" w:hAnsi="Times New Roman" w:cs="Times New Roman"/>
          <w:color w:val="000000" w:themeColor="text1"/>
          <w:sz w:val="24"/>
          <w:szCs w:val="24"/>
          <w:lang w:eastAsia="en-US"/>
        </w:rPr>
        <w:t xml:space="preserve">Corporate disclosure policy and the informativeness of stock prices. </w:t>
      </w:r>
      <w:r w:rsidRPr="00DE13EE">
        <w:rPr>
          <w:rFonts w:ascii="Times New Roman" w:eastAsia="Calibri" w:hAnsi="Times New Roman" w:cs="Times New Roman"/>
          <w:iCs/>
          <w:color w:val="000000" w:themeColor="text1"/>
          <w:sz w:val="24"/>
          <w:szCs w:val="24"/>
          <w:lang w:eastAsia="en-US"/>
        </w:rPr>
        <w:t>Review of Accounting Studies</w:t>
      </w:r>
      <w:r w:rsidRPr="00DE13EE">
        <w:rPr>
          <w:rFonts w:ascii="Times New Roman" w:eastAsia="Calibri" w:hAnsi="Times New Roman" w:cs="Times New Roman"/>
          <w:color w:val="000000" w:themeColor="text1"/>
          <w:sz w:val="24"/>
          <w:szCs w:val="24"/>
          <w:lang w:eastAsia="en-US"/>
        </w:rPr>
        <w:t xml:space="preserve"> 7(1): 33–52.</w:t>
      </w:r>
    </w:p>
    <w:p w14:paraId="47EF15E5" w14:textId="77777777" w:rsidR="00BC764A" w:rsidRPr="00DE13EE" w:rsidRDefault="00BC764A" w:rsidP="00C70D88">
      <w:pPr>
        <w:spacing w:after="240"/>
        <w:rPr>
          <w:rFonts w:ascii="Times New Roman" w:eastAsia="Calibri" w:hAnsi="Times New Roman" w:cs="Times New Roman"/>
          <w:color w:val="000000" w:themeColor="text1"/>
          <w:sz w:val="24"/>
          <w:szCs w:val="24"/>
          <w:lang w:val="en-US" w:eastAsia="en-US"/>
        </w:rPr>
      </w:pPr>
      <w:r w:rsidRPr="00DE13EE">
        <w:rPr>
          <w:rFonts w:ascii="Times New Roman" w:eastAsia="Calibri" w:hAnsi="Times New Roman" w:cs="Times New Roman"/>
          <w:color w:val="000000" w:themeColor="text1"/>
          <w:sz w:val="24"/>
          <w:szCs w:val="24"/>
          <w:lang w:val="en-US" w:eastAsia="en-US"/>
        </w:rPr>
        <w:t xml:space="preserve">Gow I, Ormazabal G, Taylor D (2010) Correcting for cross-sectional and time-series dependence in accounting research. </w:t>
      </w:r>
      <w:r w:rsidRPr="00DE13EE">
        <w:rPr>
          <w:rFonts w:ascii="Times New Roman" w:eastAsia="Calibri" w:hAnsi="Times New Roman" w:cs="Times New Roman"/>
          <w:iCs/>
          <w:color w:val="000000" w:themeColor="text1"/>
          <w:sz w:val="24"/>
          <w:szCs w:val="24"/>
          <w:lang w:val="en-US" w:eastAsia="en-US"/>
        </w:rPr>
        <w:t>The Accounting Review</w:t>
      </w:r>
      <w:r w:rsidRPr="00DE13EE">
        <w:rPr>
          <w:rFonts w:ascii="Times New Roman" w:eastAsia="Calibri" w:hAnsi="Times New Roman" w:cs="Times New Roman"/>
          <w:color w:val="000000" w:themeColor="text1"/>
          <w:sz w:val="24"/>
          <w:szCs w:val="24"/>
          <w:lang w:val="en-US" w:eastAsia="en-US"/>
        </w:rPr>
        <w:t xml:space="preserve"> 85(2): 483–512.</w:t>
      </w:r>
    </w:p>
    <w:p w14:paraId="3A27C583" w14:textId="77777777" w:rsidR="00BC764A" w:rsidRPr="00DE13EE" w:rsidRDefault="00BC764A" w:rsidP="00C70D88">
      <w:pPr>
        <w:spacing w:after="240"/>
        <w:rPr>
          <w:rFonts w:ascii="Times New Roman" w:eastAsia="Calibri" w:hAnsi="Times New Roman" w:cs="Times New Roman"/>
          <w:color w:val="000000" w:themeColor="text1"/>
          <w:sz w:val="24"/>
          <w:szCs w:val="24"/>
          <w:lang w:val="en-US" w:eastAsia="en-US"/>
        </w:rPr>
      </w:pPr>
      <w:r w:rsidRPr="00DE13EE">
        <w:rPr>
          <w:rFonts w:ascii="Times New Roman" w:eastAsia="Calibri" w:hAnsi="Times New Roman" w:cs="Times New Roman"/>
          <w:color w:val="000000" w:themeColor="text1"/>
          <w:sz w:val="24"/>
          <w:szCs w:val="24"/>
          <w:lang w:val="en-US" w:eastAsia="en-US"/>
        </w:rPr>
        <w:t xml:space="preserve">Gujarati DN, Porter DC (2009) </w:t>
      </w:r>
      <w:r w:rsidRPr="00DE13EE">
        <w:rPr>
          <w:rFonts w:ascii="Times New Roman" w:eastAsia="Calibri" w:hAnsi="Times New Roman" w:cs="Times New Roman"/>
          <w:iCs/>
          <w:color w:val="000000" w:themeColor="text1"/>
          <w:sz w:val="24"/>
          <w:szCs w:val="24"/>
          <w:lang w:val="en-US" w:eastAsia="en-US"/>
        </w:rPr>
        <w:t>Basic Econometrics</w:t>
      </w:r>
      <w:r w:rsidRPr="00DE13EE">
        <w:rPr>
          <w:rFonts w:ascii="Times New Roman" w:eastAsia="Calibri" w:hAnsi="Times New Roman" w:cs="Times New Roman"/>
          <w:color w:val="000000" w:themeColor="text1"/>
          <w:sz w:val="24"/>
          <w:szCs w:val="24"/>
          <w:lang w:val="en-US" w:eastAsia="en-US"/>
        </w:rPr>
        <w:t>. Fifth Edition, New York, McGraw Hill.</w:t>
      </w:r>
    </w:p>
    <w:p w14:paraId="22D10BD5" w14:textId="6383CED4" w:rsidR="00BC764A" w:rsidRPr="00DE13EE" w:rsidRDefault="00BC764A" w:rsidP="00C70D88">
      <w:pPr>
        <w:spacing w:after="240"/>
        <w:rPr>
          <w:rFonts w:ascii="Times New Roman" w:eastAsia="SimHei" w:hAnsi="Times New Roman" w:cs="Times New Roman"/>
          <w:color w:val="000000" w:themeColor="text1"/>
          <w:sz w:val="24"/>
          <w:szCs w:val="24"/>
          <w:lang w:val="en-US"/>
        </w:rPr>
      </w:pPr>
      <w:r w:rsidRPr="00DE13EE">
        <w:rPr>
          <w:rFonts w:ascii="Times New Roman" w:eastAsia="SimHei" w:hAnsi="Times New Roman" w:cs="Times New Roman"/>
          <w:color w:val="000000" w:themeColor="text1"/>
          <w:sz w:val="24"/>
          <w:szCs w:val="24"/>
          <w:lang w:val="en-US"/>
        </w:rPr>
        <w:t>Guo Z, Chan K, Xue Y (2016) The impact of corporate culture disclosure on performance: A quantitative approach. Review of Pacific Basin Financial Markets and Policies 19(2): 1</w:t>
      </w:r>
      <w:r w:rsidR="00C70D88" w:rsidRPr="00DE13EE">
        <w:rPr>
          <w:rFonts w:ascii="Times New Roman" w:eastAsia="SimHei" w:hAnsi="Times New Roman" w:cs="Times New Roman"/>
          <w:color w:val="000000" w:themeColor="text1"/>
          <w:sz w:val="24"/>
          <w:szCs w:val="24"/>
          <w:lang w:val="en-US"/>
        </w:rPr>
        <w:t>–</w:t>
      </w:r>
      <w:r w:rsidRPr="00DE13EE">
        <w:rPr>
          <w:rFonts w:ascii="Times New Roman" w:eastAsia="SimHei" w:hAnsi="Times New Roman" w:cs="Times New Roman"/>
          <w:color w:val="000000" w:themeColor="text1"/>
          <w:sz w:val="24"/>
          <w:szCs w:val="24"/>
          <w:lang w:val="en-US"/>
        </w:rPr>
        <w:t>29.</w:t>
      </w:r>
    </w:p>
    <w:p w14:paraId="48BFAAAB" w14:textId="77777777" w:rsidR="00BC764A" w:rsidRPr="00DE13EE" w:rsidRDefault="00BC764A" w:rsidP="00C70D88">
      <w:pPr>
        <w:spacing w:after="240"/>
        <w:rPr>
          <w:rFonts w:ascii="Times New Roman" w:eastAsia="SimHei" w:hAnsi="Times New Roman" w:cs="Times New Roman"/>
          <w:color w:val="000000" w:themeColor="text1"/>
          <w:sz w:val="24"/>
          <w:szCs w:val="24"/>
          <w:lang w:val="en-US"/>
        </w:rPr>
      </w:pPr>
      <w:r w:rsidRPr="00DE13EE">
        <w:rPr>
          <w:rFonts w:ascii="Times New Roman" w:eastAsia="SimHei" w:hAnsi="Times New Roman" w:cs="Times New Roman"/>
          <w:color w:val="000000" w:themeColor="text1"/>
          <w:sz w:val="24"/>
          <w:szCs w:val="24"/>
          <w:lang w:val="en-US"/>
        </w:rPr>
        <w:t xml:space="preserve">Hassan O, Romilly P, Giorgioni G, Power D (2009) The value relevance of disclosure: Evidence from the emerging capital market of Egypt. </w:t>
      </w:r>
      <w:r w:rsidRPr="00DE13EE">
        <w:rPr>
          <w:rFonts w:ascii="Times New Roman" w:eastAsia="SimHei" w:hAnsi="Times New Roman" w:cs="Times New Roman"/>
          <w:iCs/>
          <w:color w:val="000000" w:themeColor="text1"/>
          <w:sz w:val="24"/>
          <w:szCs w:val="24"/>
          <w:lang w:val="en-US"/>
        </w:rPr>
        <w:t>The International Journal of Accounting</w:t>
      </w:r>
      <w:r w:rsidRPr="00DE13EE">
        <w:rPr>
          <w:rFonts w:ascii="Times New Roman" w:eastAsia="SimHei" w:hAnsi="Times New Roman" w:cs="Times New Roman"/>
          <w:color w:val="000000" w:themeColor="text1"/>
          <w:sz w:val="24"/>
          <w:szCs w:val="24"/>
          <w:lang w:val="en-US"/>
        </w:rPr>
        <w:t xml:space="preserve"> 44: 79–102.</w:t>
      </w:r>
    </w:p>
    <w:p w14:paraId="7C03361D" w14:textId="77777777" w:rsidR="00BC764A" w:rsidRPr="00DE13EE" w:rsidRDefault="00BC764A" w:rsidP="00C70D88">
      <w:pPr>
        <w:spacing w:after="240"/>
        <w:rPr>
          <w:rFonts w:ascii="Times New Roman" w:eastAsia="Calibri" w:hAnsi="Times New Roman" w:cs="Times New Roman"/>
          <w:bCs/>
          <w:color w:val="000000" w:themeColor="text1"/>
          <w:sz w:val="24"/>
          <w:szCs w:val="24"/>
          <w:lang w:val="en-US" w:eastAsia="en-US"/>
        </w:rPr>
      </w:pPr>
      <w:r w:rsidRPr="00DE13EE">
        <w:rPr>
          <w:rFonts w:ascii="Times New Roman" w:eastAsia="Calibri" w:hAnsi="Times New Roman" w:cs="Times New Roman"/>
          <w:bCs/>
          <w:color w:val="000000" w:themeColor="text1"/>
          <w:sz w:val="24"/>
          <w:szCs w:val="24"/>
          <w:lang w:val="en-US" w:eastAsia="en-US"/>
        </w:rPr>
        <w:t>Hassanein A, Hussainey H (2015) Is forward-looking financial disclosure really informative? Evidence from UK narrative statements.</w:t>
      </w:r>
      <w:r w:rsidRPr="00DE13EE">
        <w:rPr>
          <w:rFonts w:ascii="Times New Roman" w:hAnsi="Times New Roman" w:cs="Times New Roman"/>
          <w:color w:val="000000" w:themeColor="text1"/>
          <w:sz w:val="24"/>
          <w:szCs w:val="24"/>
          <w:lang w:val="en-US"/>
        </w:rPr>
        <w:t xml:space="preserve"> </w:t>
      </w:r>
      <w:r w:rsidRPr="00DE13EE">
        <w:rPr>
          <w:rFonts w:ascii="Times New Roman" w:eastAsia="Calibri" w:hAnsi="Times New Roman" w:cs="Times New Roman"/>
          <w:bCs/>
          <w:color w:val="000000" w:themeColor="text1"/>
          <w:sz w:val="24"/>
          <w:szCs w:val="24"/>
          <w:lang w:val="en-US" w:eastAsia="en-US"/>
        </w:rPr>
        <w:t>International Review of Financial Analysis 41: 52 – 51.</w:t>
      </w:r>
    </w:p>
    <w:p w14:paraId="223FE821" w14:textId="77777777" w:rsidR="00BC764A" w:rsidRPr="00DE13EE" w:rsidRDefault="00BC764A" w:rsidP="00C70D88">
      <w:pPr>
        <w:spacing w:after="240"/>
        <w:rPr>
          <w:rFonts w:ascii="Times New Roman" w:eastAsia="Calibri" w:hAnsi="Times New Roman" w:cs="Times New Roman"/>
          <w:color w:val="000000" w:themeColor="text1"/>
          <w:sz w:val="24"/>
          <w:szCs w:val="24"/>
          <w:lang w:eastAsia="en-US"/>
        </w:rPr>
      </w:pPr>
      <w:r w:rsidRPr="00DE13EE">
        <w:rPr>
          <w:rFonts w:ascii="Times New Roman" w:eastAsia="Calibri" w:hAnsi="Times New Roman" w:cs="Times New Roman"/>
          <w:color w:val="000000" w:themeColor="text1"/>
          <w:sz w:val="24"/>
          <w:szCs w:val="24"/>
          <w:lang w:eastAsia="en-US"/>
        </w:rPr>
        <w:t xml:space="preserve">Hayn C (1995) The information content of losses. </w:t>
      </w:r>
      <w:r w:rsidRPr="00DE13EE">
        <w:rPr>
          <w:rFonts w:ascii="Times New Roman" w:eastAsia="Calibri" w:hAnsi="Times New Roman" w:cs="Times New Roman"/>
          <w:iCs/>
          <w:color w:val="000000" w:themeColor="text1"/>
          <w:sz w:val="24"/>
          <w:szCs w:val="24"/>
          <w:lang w:eastAsia="en-US"/>
        </w:rPr>
        <w:t>Journal of Accounting and Economics</w:t>
      </w:r>
      <w:r w:rsidRPr="00DE13EE">
        <w:rPr>
          <w:rFonts w:ascii="Times New Roman" w:eastAsia="Calibri" w:hAnsi="Times New Roman" w:cs="Times New Roman"/>
          <w:color w:val="000000" w:themeColor="text1"/>
          <w:sz w:val="24"/>
          <w:szCs w:val="24"/>
          <w:lang w:eastAsia="en-US"/>
        </w:rPr>
        <w:t xml:space="preserve"> 202: 125–153.</w:t>
      </w:r>
    </w:p>
    <w:p w14:paraId="08B8FB8E" w14:textId="77777777" w:rsidR="00BC764A" w:rsidRPr="00DE13EE" w:rsidRDefault="00BC764A" w:rsidP="00C70D88">
      <w:pPr>
        <w:spacing w:after="240"/>
        <w:rPr>
          <w:rFonts w:ascii="Times New Roman" w:eastAsia="SimHei" w:hAnsi="Times New Roman" w:cs="Times New Roman"/>
          <w:color w:val="000000" w:themeColor="text1"/>
          <w:sz w:val="24"/>
          <w:szCs w:val="24"/>
          <w:lang w:val="en-US"/>
        </w:rPr>
      </w:pPr>
      <w:r w:rsidRPr="00DE13EE">
        <w:rPr>
          <w:rFonts w:ascii="Times New Roman" w:eastAsia="SimHei" w:hAnsi="Times New Roman" w:cs="Times New Roman"/>
          <w:color w:val="000000" w:themeColor="text1"/>
          <w:sz w:val="24"/>
          <w:szCs w:val="24"/>
          <w:lang w:val="en-US"/>
        </w:rPr>
        <w:t xml:space="preserve">Healy PM, Hutton A, Palepu KG (1999) Stock performance and intermediation changes surrounding sustained increases in disclosure. </w:t>
      </w:r>
      <w:r w:rsidRPr="00DE13EE">
        <w:rPr>
          <w:rFonts w:ascii="Times New Roman" w:eastAsia="SimHei" w:hAnsi="Times New Roman" w:cs="Times New Roman"/>
          <w:iCs/>
          <w:color w:val="000000" w:themeColor="text1"/>
          <w:sz w:val="24"/>
          <w:szCs w:val="24"/>
          <w:lang w:val="en-US"/>
        </w:rPr>
        <w:t>Contemporary Accounting Research</w:t>
      </w:r>
      <w:r w:rsidRPr="00DE13EE">
        <w:rPr>
          <w:rFonts w:ascii="Times New Roman" w:eastAsia="SimHei" w:hAnsi="Times New Roman" w:cs="Times New Roman"/>
          <w:color w:val="000000" w:themeColor="text1"/>
          <w:sz w:val="24"/>
          <w:szCs w:val="24"/>
          <w:lang w:val="en-US"/>
        </w:rPr>
        <w:t xml:space="preserve"> 16(3): 485–520.</w:t>
      </w:r>
    </w:p>
    <w:p w14:paraId="3B972797" w14:textId="77777777" w:rsidR="00BC764A" w:rsidRPr="00DE13EE" w:rsidRDefault="00BC764A" w:rsidP="00C70D88">
      <w:pPr>
        <w:spacing w:after="240"/>
        <w:rPr>
          <w:rFonts w:ascii="Times New Roman" w:eastAsia="SimHei" w:hAnsi="Times New Roman" w:cs="Times New Roman"/>
          <w:color w:val="000000" w:themeColor="text1"/>
          <w:sz w:val="24"/>
          <w:szCs w:val="24"/>
          <w:lang w:val="en-US"/>
        </w:rPr>
      </w:pPr>
      <w:r w:rsidRPr="00DE13EE">
        <w:rPr>
          <w:rFonts w:ascii="Times New Roman" w:eastAsia="SimHei" w:hAnsi="Times New Roman" w:cs="Times New Roman"/>
          <w:color w:val="000000" w:themeColor="text1"/>
          <w:sz w:val="24"/>
          <w:szCs w:val="24"/>
          <w:lang w:val="en-US"/>
        </w:rPr>
        <w:lastRenderedPageBreak/>
        <w:t xml:space="preserve">Henry D (2008) Corporate governance structure and the valuation of Australian firms: is there value in ticking the boxes? </w:t>
      </w:r>
      <w:r w:rsidRPr="00DE13EE">
        <w:rPr>
          <w:rFonts w:ascii="Times New Roman" w:eastAsia="SimHei" w:hAnsi="Times New Roman" w:cs="Times New Roman"/>
          <w:iCs/>
          <w:color w:val="000000" w:themeColor="text1"/>
          <w:sz w:val="24"/>
          <w:szCs w:val="24"/>
          <w:lang w:val="en-US"/>
        </w:rPr>
        <w:t>Journal of Business Finance &amp; Accounting</w:t>
      </w:r>
      <w:r w:rsidRPr="00DE13EE">
        <w:rPr>
          <w:rFonts w:ascii="Times New Roman" w:eastAsia="SimHei" w:hAnsi="Times New Roman" w:cs="Times New Roman"/>
          <w:color w:val="000000" w:themeColor="text1"/>
          <w:sz w:val="24"/>
          <w:szCs w:val="24"/>
          <w:lang w:val="en-US"/>
        </w:rPr>
        <w:t xml:space="preserve"> 35(7-8): 912–942.</w:t>
      </w:r>
    </w:p>
    <w:p w14:paraId="30D69DC1" w14:textId="77777777" w:rsidR="00BC764A" w:rsidRPr="00DE13EE" w:rsidRDefault="00BC764A" w:rsidP="00C70D88">
      <w:pPr>
        <w:spacing w:after="240"/>
        <w:rPr>
          <w:rFonts w:ascii="Times New Roman" w:eastAsia="SimHei" w:hAnsi="Times New Roman" w:cs="Times New Roman"/>
          <w:color w:val="000000" w:themeColor="text1"/>
          <w:sz w:val="24"/>
          <w:szCs w:val="24"/>
          <w:lang w:val="en-US"/>
        </w:rPr>
      </w:pPr>
      <w:r w:rsidRPr="00DE13EE">
        <w:rPr>
          <w:rFonts w:ascii="Times New Roman" w:eastAsia="SimHei" w:hAnsi="Times New Roman" w:cs="Times New Roman"/>
          <w:color w:val="000000" w:themeColor="text1"/>
          <w:sz w:val="24"/>
          <w:szCs w:val="24"/>
          <w:lang w:val="en-US"/>
        </w:rPr>
        <w:t>Hussainey K (2009) The impact of audit quality on earnings predictability. Managerial Auditing Journal 24(4): 340–351.</w:t>
      </w:r>
    </w:p>
    <w:p w14:paraId="346EBD0C" w14:textId="77777777" w:rsidR="00BC764A" w:rsidRPr="00DE13EE" w:rsidRDefault="00BC764A" w:rsidP="00C70D88">
      <w:pPr>
        <w:spacing w:after="240"/>
        <w:rPr>
          <w:rFonts w:ascii="Times New Roman" w:eastAsia="Calibri" w:hAnsi="Times New Roman" w:cs="Times New Roman"/>
          <w:color w:val="000000" w:themeColor="text1"/>
          <w:sz w:val="24"/>
          <w:szCs w:val="24"/>
          <w:lang w:val="en-US" w:eastAsia="en-US"/>
        </w:rPr>
      </w:pPr>
      <w:r w:rsidRPr="00DE13EE">
        <w:rPr>
          <w:rFonts w:ascii="Times New Roman" w:eastAsia="Calibri" w:hAnsi="Times New Roman" w:cs="Times New Roman"/>
          <w:color w:val="000000" w:themeColor="text1"/>
          <w:sz w:val="24"/>
          <w:szCs w:val="24"/>
          <w:lang w:val="en-US" w:eastAsia="en-US"/>
        </w:rPr>
        <w:t xml:space="preserve">Hussainey K, Schleicher T, Walker M (2003) Undertaking large-scale disclosure studies when AIMR-FAF ratings are not available: the case of prices leading earnings. </w:t>
      </w:r>
      <w:r w:rsidRPr="00DE13EE">
        <w:rPr>
          <w:rFonts w:ascii="Times New Roman" w:eastAsia="Calibri" w:hAnsi="Times New Roman" w:cs="Times New Roman"/>
          <w:iCs/>
          <w:color w:val="000000" w:themeColor="text1"/>
          <w:sz w:val="24"/>
          <w:szCs w:val="24"/>
          <w:lang w:val="en-US" w:eastAsia="en-US"/>
        </w:rPr>
        <w:t xml:space="preserve">Accounting and Business Research </w:t>
      </w:r>
      <w:r w:rsidRPr="00DE13EE">
        <w:rPr>
          <w:rFonts w:ascii="Times New Roman" w:eastAsia="Calibri" w:hAnsi="Times New Roman" w:cs="Times New Roman"/>
          <w:color w:val="000000" w:themeColor="text1"/>
          <w:sz w:val="24"/>
          <w:szCs w:val="24"/>
          <w:lang w:val="en-US" w:eastAsia="en-US"/>
        </w:rPr>
        <w:t>33(4): 275–294.</w:t>
      </w:r>
    </w:p>
    <w:p w14:paraId="17573739" w14:textId="77777777" w:rsidR="00BC764A" w:rsidRPr="00DE13EE" w:rsidRDefault="00BC764A" w:rsidP="00C70D88">
      <w:pPr>
        <w:spacing w:after="240"/>
        <w:rPr>
          <w:rFonts w:ascii="Times New Roman" w:eastAsia="Calibri" w:hAnsi="Times New Roman" w:cs="Times New Roman"/>
          <w:color w:val="000000" w:themeColor="text1"/>
          <w:sz w:val="24"/>
          <w:szCs w:val="24"/>
          <w:lang w:val="en-US" w:eastAsia="en-US"/>
        </w:rPr>
      </w:pPr>
      <w:r w:rsidRPr="00DE13EE">
        <w:rPr>
          <w:rFonts w:ascii="Times New Roman" w:eastAsia="Calibri" w:hAnsi="Times New Roman" w:cs="Times New Roman"/>
          <w:color w:val="000000" w:themeColor="text1"/>
          <w:sz w:val="24"/>
          <w:szCs w:val="24"/>
          <w:lang w:val="en-US" w:eastAsia="en-US"/>
        </w:rPr>
        <w:t xml:space="preserve">IFRS (2010) </w:t>
      </w:r>
      <w:r w:rsidRPr="00DE13EE">
        <w:rPr>
          <w:rFonts w:ascii="Times New Roman" w:eastAsia="Calibri" w:hAnsi="Times New Roman" w:cs="Times New Roman"/>
          <w:iCs/>
          <w:color w:val="000000" w:themeColor="text1"/>
          <w:sz w:val="24"/>
          <w:szCs w:val="24"/>
          <w:lang w:val="en-US" w:eastAsia="en-US"/>
        </w:rPr>
        <w:t>Practice statement, MC, A framework for presentation</w:t>
      </w:r>
      <w:r w:rsidRPr="00DE13EE">
        <w:rPr>
          <w:rFonts w:ascii="Times New Roman" w:eastAsia="Calibri" w:hAnsi="Times New Roman" w:cs="Times New Roman"/>
          <w:color w:val="000000" w:themeColor="text1"/>
          <w:sz w:val="24"/>
          <w:szCs w:val="24"/>
          <w:lang w:val="en-US" w:eastAsia="en-US"/>
        </w:rPr>
        <w:t>.</w:t>
      </w:r>
      <w:r w:rsidRPr="00DE13EE">
        <w:rPr>
          <w:rFonts w:ascii="Times New Roman" w:eastAsia="Calibri" w:hAnsi="Times New Roman" w:cs="Times New Roman"/>
          <w:iCs/>
          <w:color w:val="000000" w:themeColor="text1"/>
          <w:sz w:val="24"/>
          <w:szCs w:val="24"/>
          <w:lang w:val="en-US" w:eastAsia="en-US"/>
        </w:rPr>
        <w:t xml:space="preserve"> </w:t>
      </w:r>
      <w:r w:rsidRPr="00DE13EE">
        <w:rPr>
          <w:rFonts w:ascii="Times New Roman" w:eastAsia="Calibri" w:hAnsi="Times New Roman" w:cs="Times New Roman"/>
          <w:color w:val="000000" w:themeColor="text1"/>
          <w:sz w:val="24"/>
          <w:szCs w:val="24"/>
          <w:lang w:val="en-US" w:eastAsia="en-US"/>
        </w:rPr>
        <w:t>International Financial Reporting Standard, London: UK.</w:t>
      </w:r>
    </w:p>
    <w:p w14:paraId="07EE5296" w14:textId="77777777" w:rsidR="00BC764A" w:rsidRPr="00DE13EE" w:rsidRDefault="00BC764A" w:rsidP="00C70D88">
      <w:pPr>
        <w:spacing w:after="240"/>
        <w:rPr>
          <w:rFonts w:ascii="Times New Roman" w:eastAsia="Calibri" w:hAnsi="Times New Roman" w:cs="Times New Roman"/>
          <w:color w:val="000000" w:themeColor="text1"/>
          <w:sz w:val="24"/>
          <w:szCs w:val="24"/>
          <w:lang w:eastAsia="en-US"/>
        </w:rPr>
      </w:pPr>
      <w:r w:rsidRPr="00DE13EE">
        <w:rPr>
          <w:rFonts w:ascii="Times New Roman" w:eastAsia="Calibri" w:hAnsi="Times New Roman" w:cs="Times New Roman"/>
          <w:color w:val="000000" w:themeColor="text1"/>
          <w:sz w:val="24"/>
          <w:szCs w:val="24"/>
          <w:lang w:eastAsia="en-US"/>
        </w:rPr>
        <w:t xml:space="preserve">Jensen M (1986) Agency costs of free cash flow, corporate finance, and takeovers. </w:t>
      </w:r>
      <w:r w:rsidRPr="00DE13EE">
        <w:rPr>
          <w:rFonts w:ascii="Times New Roman" w:eastAsia="Calibri" w:hAnsi="Times New Roman" w:cs="Times New Roman"/>
          <w:iCs/>
          <w:color w:val="000000" w:themeColor="text1"/>
          <w:sz w:val="24"/>
          <w:szCs w:val="24"/>
          <w:lang w:eastAsia="en-US"/>
        </w:rPr>
        <w:t>American Economic Review</w:t>
      </w:r>
      <w:r w:rsidRPr="00DE13EE">
        <w:rPr>
          <w:rFonts w:ascii="Times New Roman" w:eastAsia="Calibri" w:hAnsi="Times New Roman" w:cs="Times New Roman"/>
          <w:color w:val="000000" w:themeColor="text1"/>
          <w:sz w:val="24"/>
          <w:szCs w:val="24"/>
          <w:lang w:eastAsia="en-US"/>
        </w:rPr>
        <w:t xml:space="preserve"> 76(2): 323–329.</w:t>
      </w:r>
    </w:p>
    <w:p w14:paraId="5CE305E7" w14:textId="77777777" w:rsidR="00BC764A" w:rsidRPr="00DE13EE" w:rsidRDefault="00BC764A" w:rsidP="00C70D88">
      <w:pPr>
        <w:spacing w:after="240"/>
        <w:rPr>
          <w:rFonts w:ascii="Times New Roman" w:eastAsia="SimHei" w:hAnsi="Times New Roman" w:cs="Times New Roman"/>
          <w:color w:val="000000" w:themeColor="text1"/>
          <w:sz w:val="24"/>
          <w:szCs w:val="24"/>
          <w:lang w:val="en-US"/>
        </w:rPr>
      </w:pPr>
      <w:r w:rsidRPr="00DE13EE">
        <w:rPr>
          <w:rFonts w:ascii="Times New Roman" w:eastAsia="SimHei" w:hAnsi="Times New Roman" w:cs="Times New Roman"/>
          <w:color w:val="000000" w:themeColor="text1"/>
          <w:sz w:val="24"/>
          <w:szCs w:val="24"/>
          <w:lang w:val="en-US"/>
        </w:rPr>
        <w:t>Lam SS, Du J (2004) Information asymmetry and estimation risk: preliminary evidence from Chinese equity markets. Pacific-Basin Finance Journal 12: 311–331.</w:t>
      </w:r>
    </w:p>
    <w:p w14:paraId="0C665EB7" w14:textId="77777777" w:rsidR="00BC764A" w:rsidRPr="00DE13EE" w:rsidRDefault="00BC764A" w:rsidP="00C70D88">
      <w:pPr>
        <w:spacing w:after="240"/>
        <w:rPr>
          <w:rFonts w:ascii="Times New Roman" w:hAnsi="Times New Roman" w:cs="Times New Roman"/>
          <w:color w:val="000000" w:themeColor="text1"/>
          <w:sz w:val="24"/>
          <w:szCs w:val="24"/>
          <w:lang w:val="en-US"/>
        </w:rPr>
      </w:pPr>
      <w:r w:rsidRPr="00DE13EE">
        <w:rPr>
          <w:rFonts w:ascii="Times New Roman" w:hAnsi="Times New Roman" w:cs="Times New Roman"/>
          <w:color w:val="000000" w:themeColor="text1"/>
          <w:sz w:val="24"/>
          <w:szCs w:val="24"/>
          <w:lang w:val="en-US"/>
        </w:rPr>
        <w:t>Larcker D, Rusticus T (2010) On the use of instrumental variables in accounting research. Journal of Accounting and Economics 49(3): 186–205.</w:t>
      </w:r>
    </w:p>
    <w:p w14:paraId="4E4C4641" w14:textId="77777777" w:rsidR="00BC764A" w:rsidRPr="00DE13EE" w:rsidRDefault="00BC764A" w:rsidP="00C70D88">
      <w:pPr>
        <w:spacing w:after="240"/>
        <w:rPr>
          <w:rFonts w:ascii="Times New Roman" w:hAnsi="Times New Roman" w:cs="Times New Roman"/>
          <w:color w:val="000000" w:themeColor="text1"/>
          <w:sz w:val="24"/>
          <w:szCs w:val="24"/>
        </w:rPr>
      </w:pPr>
      <w:r w:rsidRPr="00DE13EE">
        <w:rPr>
          <w:rFonts w:ascii="Times New Roman" w:hAnsi="Times New Roman" w:cs="Times New Roman"/>
          <w:color w:val="000000" w:themeColor="text1"/>
          <w:sz w:val="24"/>
          <w:szCs w:val="24"/>
        </w:rPr>
        <w:t xml:space="preserve">Lawrence A, Minutti-Meza M, Zhang P (2011) Can big 4 versus non-big 4 differences in audit quality proxies be attributed to client characteristics? </w:t>
      </w:r>
      <w:r w:rsidRPr="00DE13EE">
        <w:rPr>
          <w:rFonts w:ascii="Times New Roman" w:hAnsi="Times New Roman" w:cs="Times New Roman"/>
          <w:iCs/>
          <w:color w:val="000000" w:themeColor="text1"/>
          <w:sz w:val="24"/>
          <w:szCs w:val="24"/>
        </w:rPr>
        <w:t xml:space="preserve">The Accounting Review </w:t>
      </w:r>
      <w:r w:rsidRPr="00DE13EE">
        <w:rPr>
          <w:rFonts w:ascii="Times New Roman" w:hAnsi="Times New Roman" w:cs="Times New Roman"/>
          <w:color w:val="000000" w:themeColor="text1"/>
          <w:sz w:val="24"/>
          <w:szCs w:val="24"/>
        </w:rPr>
        <w:t>86(1) 259–286.</w:t>
      </w:r>
    </w:p>
    <w:p w14:paraId="5F301928" w14:textId="77777777" w:rsidR="00BC764A" w:rsidRPr="00DE13EE" w:rsidRDefault="00BC764A" w:rsidP="00C70D88">
      <w:pPr>
        <w:spacing w:after="240"/>
        <w:rPr>
          <w:rFonts w:ascii="Times New Roman" w:hAnsi="Times New Roman" w:cs="Times New Roman"/>
          <w:color w:val="000000" w:themeColor="text1"/>
          <w:sz w:val="24"/>
          <w:szCs w:val="24"/>
        </w:rPr>
      </w:pPr>
      <w:r w:rsidRPr="00DE13EE">
        <w:rPr>
          <w:rFonts w:ascii="Times New Roman" w:hAnsi="Times New Roman" w:cs="Times New Roman"/>
          <w:color w:val="000000" w:themeColor="text1"/>
          <w:sz w:val="24"/>
          <w:szCs w:val="24"/>
        </w:rPr>
        <w:t>Leung S, Horwitz B (2010) Corporate governance and firm value during a financial crisis. Review of Quantitative Finance and Accounting 34(4): 459–481</w:t>
      </w:r>
    </w:p>
    <w:p w14:paraId="534202CD" w14:textId="77777777" w:rsidR="00BC764A" w:rsidRPr="00DE13EE" w:rsidRDefault="00BC764A" w:rsidP="00C70D88">
      <w:pPr>
        <w:spacing w:after="240"/>
        <w:rPr>
          <w:rFonts w:ascii="Times New Roman" w:eastAsia="Calibri" w:hAnsi="Times New Roman" w:cs="Times New Roman"/>
          <w:bCs/>
          <w:color w:val="000000" w:themeColor="text1"/>
          <w:sz w:val="24"/>
          <w:szCs w:val="24"/>
          <w:lang w:val="en-US" w:eastAsia="en-US"/>
        </w:rPr>
      </w:pPr>
      <w:r w:rsidRPr="00DE13EE">
        <w:rPr>
          <w:rFonts w:ascii="Times New Roman" w:eastAsia="Calibri" w:hAnsi="Times New Roman" w:cs="Times New Roman"/>
          <w:bCs/>
          <w:color w:val="000000" w:themeColor="text1"/>
          <w:sz w:val="24"/>
          <w:szCs w:val="24"/>
          <w:lang w:val="en-US" w:eastAsia="en-US"/>
        </w:rPr>
        <w:t xml:space="preserve">Li F (2010) The information content of forward-looking statements in corporate filings—A Naıve Bayesian Machine learning approach. </w:t>
      </w:r>
      <w:r w:rsidRPr="00DE13EE">
        <w:rPr>
          <w:rFonts w:ascii="Times New Roman" w:eastAsia="Calibri" w:hAnsi="Times New Roman" w:cs="Times New Roman"/>
          <w:color w:val="000000" w:themeColor="text1"/>
          <w:sz w:val="24"/>
          <w:szCs w:val="24"/>
          <w:lang w:val="en-US" w:eastAsia="en-US"/>
        </w:rPr>
        <w:t>Journal of Accounting Research 48(5): 1049–1102.</w:t>
      </w:r>
    </w:p>
    <w:p w14:paraId="26724233" w14:textId="77777777" w:rsidR="00BC764A" w:rsidRPr="00DE13EE" w:rsidRDefault="00BC764A" w:rsidP="00C70D88">
      <w:pPr>
        <w:spacing w:after="240"/>
        <w:rPr>
          <w:rFonts w:ascii="Times New Roman" w:hAnsi="Times New Roman" w:cs="Times New Roman"/>
          <w:color w:val="000000" w:themeColor="text1"/>
          <w:sz w:val="24"/>
          <w:szCs w:val="24"/>
          <w:lang w:val="en-US"/>
        </w:rPr>
      </w:pPr>
      <w:r w:rsidRPr="00DE13EE">
        <w:rPr>
          <w:rFonts w:ascii="Times New Roman" w:hAnsi="Times New Roman" w:cs="Times New Roman"/>
          <w:color w:val="000000" w:themeColor="text1"/>
          <w:sz w:val="24"/>
          <w:szCs w:val="24"/>
          <w:lang w:val="en-US"/>
        </w:rPr>
        <w:t>Li X, Yang H (2016) Mandatory financial reporting and voluntary disclosure: The effect of mandatory IFRS adoption on management forecasts. The Accounting Review 91(3): 933–953.</w:t>
      </w:r>
    </w:p>
    <w:p w14:paraId="08625C32" w14:textId="77777777" w:rsidR="00BC764A" w:rsidRPr="00DE13EE" w:rsidRDefault="00BC764A" w:rsidP="00C70D88">
      <w:pPr>
        <w:spacing w:after="240"/>
        <w:rPr>
          <w:rFonts w:ascii="Times New Roman" w:eastAsia="SimHei" w:hAnsi="Times New Roman" w:cs="Times New Roman"/>
          <w:color w:val="000000" w:themeColor="text1"/>
          <w:sz w:val="24"/>
          <w:szCs w:val="24"/>
          <w:lang w:val="en-US"/>
        </w:rPr>
      </w:pPr>
      <w:r w:rsidRPr="00DE13EE">
        <w:rPr>
          <w:rFonts w:ascii="Times New Roman" w:eastAsia="SimHei" w:hAnsi="Times New Roman" w:cs="Times New Roman"/>
          <w:color w:val="000000" w:themeColor="text1"/>
          <w:sz w:val="24"/>
          <w:szCs w:val="24"/>
          <w:lang w:val="en-US"/>
        </w:rPr>
        <w:t xml:space="preserve">Liu C, Uchida K, Yang Y (2012) Corporate governance and firm value during the global financial crisis: Evidence from China. International Review of Financial Analysis 21: 70–80. </w:t>
      </w:r>
    </w:p>
    <w:p w14:paraId="4077B072" w14:textId="77777777" w:rsidR="00BC764A" w:rsidRPr="00DE13EE" w:rsidRDefault="00BC764A" w:rsidP="00C70D88">
      <w:pPr>
        <w:spacing w:after="240"/>
        <w:rPr>
          <w:rFonts w:ascii="Times New Roman" w:eastAsia="SimHei" w:hAnsi="Times New Roman" w:cs="Times New Roman"/>
          <w:color w:val="000000" w:themeColor="text1"/>
          <w:sz w:val="24"/>
          <w:szCs w:val="24"/>
          <w:lang w:val="en-US"/>
        </w:rPr>
      </w:pPr>
      <w:r w:rsidRPr="00DE13EE">
        <w:rPr>
          <w:rFonts w:ascii="Times New Roman" w:eastAsia="SimHei" w:hAnsi="Times New Roman" w:cs="Times New Roman"/>
          <w:color w:val="000000" w:themeColor="text1"/>
          <w:sz w:val="24"/>
          <w:szCs w:val="24"/>
          <w:lang w:val="en-US"/>
        </w:rPr>
        <w:t xml:space="preserve">Mangena M, Li J, Tauringana V (2016) Disentangling the effects of corporate disclosure on the cost of equity capital: A study of the role of intellectual capital disclosure. </w:t>
      </w:r>
      <w:r w:rsidRPr="00DE13EE">
        <w:rPr>
          <w:rFonts w:ascii="Times New Roman" w:eastAsia="SimHei" w:hAnsi="Times New Roman" w:cs="Times New Roman"/>
          <w:iCs/>
          <w:color w:val="000000" w:themeColor="text1"/>
          <w:sz w:val="24"/>
          <w:szCs w:val="24"/>
          <w:lang w:val="en-US"/>
        </w:rPr>
        <w:t>Journal of Accounting, Auditing &amp; Finance</w:t>
      </w:r>
      <w:r w:rsidRPr="00DE13EE">
        <w:rPr>
          <w:rFonts w:ascii="Times New Roman" w:eastAsia="SimHei" w:hAnsi="Times New Roman" w:cs="Times New Roman"/>
          <w:color w:val="000000" w:themeColor="text1"/>
          <w:sz w:val="24"/>
          <w:szCs w:val="24"/>
          <w:lang w:val="en-US"/>
        </w:rPr>
        <w:t xml:space="preserve"> 31(1): 3–27.</w:t>
      </w:r>
    </w:p>
    <w:p w14:paraId="4AB8EDCA" w14:textId="77777777" w:rsidR="00BC764A" w:rsidRPr="00DE13EE" w:rsidRDefault="00BC764A" w:rsidP="00C70D88">
      <w:pPr>
        <w:spacing w:after="240"/>
        <w:rPr>
          <w:rFonts w:ascii="Times New Roman" w:eastAsia="SimHei" w:hAnsi="Times New Roman" w:cs="Times New Roman"/>
          <w:color w:val="000000" w:themeColor="text1"/>
          <w:sz w:val="24"/>
          <w:szCs w:val="24"/>
          <w:lang w:val="en-US"/>
        </w:rPr>
      </w:pPr>
      <w:r w:rsidRPr="00DE13EE">
        <w:rPr>
          <w:rFonts w:ascii="Times New Roman" w:eastAsia="SimHei" w:hAnsi="Times New Roman" w:cs="Times New Roman"/>
          <w:color w:val="000000" w:themeColor="text1"/>
          <w:sz w:val="24"/>
          <w:szCs w:val="24"/>
          <w:lang w:val="en-US"/>
        </w:rPr>
        <w:lastRenderedPageBreak/>
        <w:t xml:space="preserve">Mangena M, Tauringana V, Chamisa E (2012) Corporate boards, ownership structure and firm performance in an environment of severe political and economic crisis. </w:t>
      </w:r>
      <w:r w:rsidRPr="00DE13EE">
        <w:rPr>
          <w:rFonts w:ascii="Times New Roman" w:eastAsia="SimHei" w:hAnsi="Times New Roman" w:cs="Times New Roman"/>
          <w:iCs/>
          <w:color w:val="000000" w:themeColor="text1"/>
          <w:sz w:val="24"/>
          <w:szCs w:val="24"/>
          <w:lang w:val="en-US"/>
        </w:rPr>
        <w:t>British Journal of Management</w:t>
      </w:r>
      <w:r w:rsidRPr="00DE13EE">
        <w:rPr>
          <w:rFonts w:ascii="Times New Roman" w:eastAsia="SimHei" w:hAnsi="Times New Roman" w:cs="Times New Roman"/>
          <w:color w:val="000000" w:themeColor="text1"/>
          <w:sz w:val="24"/>
          <w:szCs w:val="24"/>
          <w:lang w:val="en-US"/>
        </w:rPr>
        <w:t xml:space="preserve"> 23(S1): 23–41.</w:t>
      </w:r>
    </w:p>
    <w:p w14:paraId="33873932" w14:textId="77777777" w:rsidR="00BC764A" w:rsidRPr="00DE13EE" w:rsidRDefault="00BC764A" w:rsidP="00C70D88">
      <w:pPr>
        <w:spacing w:after="240"/>
        <w:rPr>
          <w:rFonts w:ascii="Times New Roman" w:eastAsia="Calibri" w:hAnsi="Times New Roman" w:cs="Times New Roman"/>
          <w:iCs/>
          <w:color w:val="000000" w:themeColor="text1"/>
          <w:sz w:val="24"/>
          <w:szCs w:val="24"/>
          <w:lang w:val="en-US" w:eastAsia="en-US"/>
        </w:rPr>
      </w:pPr>
      <w:r w:rsidRPr="00DE13EE">
        <w:rPr>
          <w:rFonts w:ascii="Times New Roman" w:eastAsia="Calibri" w:hAnsi="Times New Roman" w:cs="Times New Roman"/>
          <w:color w:val="000000" w:themeColor="text1"/>
          <w:sz w:val="24"/>
          <w:szCs w:val="24"/>
          <w:lang w:val="en-US" w:eastAsia="en-US"/>
        </w:rPr>
        <w:t xml:space="preserve">Merkley K (2014) Narrative disclosure and earnings performance: evidence from R&amp;D. The Accounting Review </w:t>
      </w:r>
      <w:r w:rsidRPr="00DE13EE">
        <w:rPr>
          <w:rFonts w:ascii="Times New Roman" w:eastAsia="Calibri" w:hAnsi="Times New Roman" w:cs="Times New Roman"/>
          <w:iCs/>
          <w:color w:val="000000" w:themeColor="text1"/>
          <w:sz w:val="24"/>
          <w:szCs w:val="24"/>
          <w:lang w:val="en-US" w:eastAsia="en-US"/>
        </w:rPr>
        <w:t>89(2): 725–757.</w:t>
      </w:r>
    </w:p>
    <w:p w14:paraId="65AA12B2" w14:textId="77777777" w:rsidR="00BC764A" w:rsidRPr="00DE13EE" w:rsidRDefault="00BC764A" w:rsidP="00C70D88">
      <w:pPr>
        <w:spacing w:after="240"/>
        <w:rPr>
          <w:rFonts w:ascii="Times New Roman" w:eastAsia="SimHei" w:hAnsi="Times New Roman" w:cs="Times New Roman"/>
          <w:color w:val="000000" w:themeColor="text1"/>
          <w:sz w:val="24"/>
          <w:szCs w:val="24"/>
          <w:lang w:val="en-US"/>
        </w:rPr>
      </w:pPr>
      <w:r w:rsidRPr="00DE13EE">
        <w:rPr>
          <w:rFonts w:ascii="Times New Roman" w:eastAsia="SimHei" w:hAnsi="Times New Roman" w:cs="Times New Roman"/>
          <w:color w:val="000000" w:themeColor="text1"/>
          <w:sz w:val="24"/>
          <w:szCs w:val="24"/>
          <w:lang w:val="en-US"/>
        </w:rPr>
        <w:t xml:space="preserve">Miller B (2010) The effects of reporting complexity on small and large investor trading. </w:t>
      </w:r>
      <w:r w:rsidRPr="00DE13EE">
        <w:rPr>
          <w:rFonts w:ascii="Times New Roman" w:eastAsia="SimHei" w:hAnsi="Times New Roman" w:cs="Times New Roman"/>
          <w:iCs/>
          <w:color w:val="000000" w:themeColor="text1"/>
          <w:sz w:val="24"/>
          <w:szCs w:val="24"/>
          <w:lang w:val="en-US"/>
        </w:rPr>
        <w:t xml:space="preserve">The Accounting Review </w:t>
      </w:r>
      <w:r w:rsidRPr="00DE13EE">
        <w:rPr>
          <w:rFonts w:ascii="Times New Roman" w:eastAsia="SimHei" w:hAnsi="Times New Roman" w:cs="Times New Roman"/>
          <w:color w:val="000000" w:themeColor="text1"/>
          <w:sz w:val="24"/>
          <w:szCs w:val="24"/>
          <w:lang w:val="en-US"/>
        </w:rPr>
        <w:t>85(6): 2107–2143.</w:t>
      </w:r>
    </w:p>
    <w:p w14:paraId="489C2735" w14:textId="77777777" w:rsidR="00BC764A" w:rsidRPr="00DE13EE" w:rsidRDefault="00BC764A" w:rsidP="00C70D88">
      <w:pPr>
        <w:spacing w:after="240"/>
        <w:rPr>
          <w:rFonts w:ascii="Times New Roman" w:eastAsia="Calibri" w:hAnsi="Times New Roman" w:cs="Times New Roman"/>
          <w:color w:val="000000" w:themeColor="text1"/>
          <w:sz w:val="24"/>
          <w:szCs w:val="24"/>
          <w:lang w:eastAsia="en-US"/>
        </w:rPr>
      </w:pPr>
      <w:r w:rsidRPr="00DE13EE">
        <w:rPr>
          <w:rFonts w:ascii="Times New Roman" w:eastAsia="Calibri" w:hAnsi="Times New Roman" w:cs="Times New Roman"/>
          <w:color w:val="000000" w:themeColor="text1"/>
          <w:sz w:val="24"/>
          <w:szCs w:val="24"/>
          <w:lang w:eastAsia="en-US"/>
        </w:rPr>
        <w:t>Miller G (2002) Earnings performance and discretionary disclosure. Journal of Accounting Research 40: 173–204.</w:t>
      </w:r>
    </w:p>
    <w:p w14:paraId="2998EF5A" w14:textId="77777777" w:rsidR="00BC764A" w:rsidRPr="00DE13EE" w:rsidRDefault="00BC764A" w:rsidP="00C70D88">
      <w:pPr>
        <w:spacing w:after="240"/>
        <w:rPr>
          <w:rFonts w:ascii="Times New Roman" w:eastAsia="Calibri" w:hAnsi="Times New Roman" w:cs="Times New Roman"/>
          <w:color w:val="000000" w:themeColor="text1"/>
          <w:sz w:val="24"/>
          <w:szCs w:val="24"/>
          <w:lang w:val="en-US" w:eastAsia="en-US"/>
        </w:rPr>
      </w:pPr>
      <w:r w:rsidRPr="00DE13EE">
        <w:rPr>
          <w:rFonts w:ascii="Times New Roman" w:eastAsia="Calibri" w:hAnsi="Times New Roman" w:cs="Times New Roman"/>
          <w:color w:val="000000" w:themeColor="text1"/>
          <w:sz w:val="24"/>
          <w:szCs w:val="24"/>
          <w:lang w:val="en-US" w:eastAsia="en-US"/>
        </w:rPr>
        <w:t>Muslu V, Radhakrishnan S, Subramanyam KR, Lim D (2015) Forward-looking MD&amp;A disclosures and the information environment. Management Science 61: 931–948.</w:t>
      </w:r>
    </w:p>
    <w:p w14:paraId="6B231407" w14:textId="77777777" w:rsidR="00BC764A" w:rsidRPr="00DE13EE" w:rsidRDefault="00BC764A" w:rsidP="00C70D88">
      <w:pPr>
        <w:spacing w:after="240"/>
        <w:rPr>
          <w:rFonts w:ascii="Times New Roman" w:eastAsia="SimHei" w:hAnsi="Times New Roman" w:cs="Times New Roman"/>
          <w:color w:val="000000" w:themeColor="text1"/>
          <w:sz w:val="24"/>
          <w:szCs w:val="24"/>
          <w:lang w:val="en-US"/>
        </w:rPr>
      </w:pPr>
      <w:r w:rsidRPr="00DE13EE">
        <w:rPr>
          <w:rFonts w:ascii="Times New Roman" w:eastAsia="SimHei" w:hAnsi="Times New Roman" w:cs="Times New Roman"/>
          <w:color w:val="000000" w:themeColor="text1"/>
          <w:sz w:val="24"/>
          <w:szCs w:val="24"/>
          <w:lang w:val="en-US"/>
        </w:rPr>
        <w:t xml:space="preserve">Ntim C, Opong K, Danbolt J (2012) The relative value relevance of shareholder versus stakeholder corporate governance disclosure policy reform in South Africa. </w:t>
      </w:r>
      <w:r w:rsidRPr="00DE13EE">
        <w:rPr>
          <w:rFonts w:ascii="Times New Roman" w:eastAsia="SimHei" w:hAnsi="Times New Roman" w:cs="Times New Roman"/>
          <w:iCs/>
          <w:color w:val="000000" w:themeColor="text1"/>
          <w:sz w:val="24"/>
          <w:szCs w:val="24"/>
          <w:lang w:val="en-US"/>
        </w:rPr>
        <w:t>Corporate Governance: An International Review</w:t>
      </w:r>
      <w:r w:rsidRPr="00DE13EE">
        <w:rPr>
          <w:rFonts w:ascii="Times New Roman" w:eastAsia="SimHei" w:hAnsi="Times New Roman" w:cs="Times New Roman"/>
          <w:color w:val="000000" w:themeColor="text1"/>
          <w:sz w:val="24"/>
          <w:szCs w:val="24"/>
          <w:lang w:val="en-US"/>
        </w:rPr>
        <w:t xml:space="preserve"> 20(1): 84–105. </w:t>
      </w:r>
    </w:p>
    <w:p w14:paraId="3BC4438F" w14:textId="77777777" w:rsidR="00BC764A" w:rsidRPr="00DE13EE" w:rsidRDefault="00BC764A" w:rsidP="00C70D88">
      <w:pPr>
        <w:spacing w:after="240"/>
        <w:rPr>
          <w:rFonts w:ascii="Times New Roman" w:eastAsia="SimHei" w:hAnsi="Times New Roman" w:cs="Times New Roman"/>
          <w:color w:val="000000" w:themeColor="text1"/>
          <w:sz w:val="24"/>
          <w:szCs w:val="24"/>
          <w:lang w:val="en-US"/>
        </w:rPr>
      </w:pPr>
      <w:r w:rsidRPr="00DE13EE">
        <w:rPr>
          <w:rFonts w:ascii="Times New Roman" w:eastAsia="SimHei" w:hAnsi="Times New Roman" w:cs="Times New Roman"/>
          <w:color w:val="000000" w:themeColor="text1"/>
          <w:sz w:val="24"/>
          <w:szCs w:val="24"/>
          <w:lang w:val="en-US"/>
        </w:rPr>
        <w:t xml:space="preserve">Officer M (2011) Overinvestment, corporate governance, and dividend initiations. </w:t>
      </w:r>
      <w:r w:rsidRPr="00DE13EE">
        <w:rPr>
          <w:rFonts w:ascii="Times New Roman" w:eastAsia="SimHei" w:hAnsi="Times New Roman" w:cs="Times New Roman"/>
          <w:iCs/>
          <w:color w:val="000000" w:themeColor="text1"/>
          <w:sz w:val="24"/>
          <w:szCs w:val="24"/>
          <w:lang w:val="en-US"/>
        </w:rPr>
        <w:t>Journal of Corporate Finance</w:t>
      </w:r>
      <w:r w:rsidRPr="00DE13EE">
        <w:rPr>
          <w:rFonts w:ascii="Times New Roman" w:eastAsia="SimHei" w:hAnsi="Times New Roman" w:cs="Times New Roman"/>
          <w:color w:val="000000" w:themeColor="text1"/>
          <w:sz w:val="24"/>
          <w:szCs w:val="24"/>
          <w:lang w:val="en-US"/>
        </w:rPr>
        <w:t xml:space="preserve"> 17(3): 710–724.</w:t>
      </w:r>
    </w:p>
    <w:p w14:paraId="736097E4" w14:textId="77777777" w:rsidR="00BC764A" w:rsidRPr="00DE13EE" w:rsidRDefault="00BC764A" w:rsidP="00C70D88">
      <w:pPr>
        <w:spacing w:after="240"/>
        <w:rPr>
          <w:rFonts w:ascii="Times New Roman" w:eastAsia="SimHei" w:hAnsi="Times New Roman" w:cs="Times New Roman"/>
          <w:color w:val="000000" w:themeColor="text1"/>
          <w:sz w:val="24"/>
          <w:szCs w:val="24"/>
          <w:lang w:val="en-US"/>
        </w:rPr>
      </w:pPr>
      <w:r w:rsidRPr="00DE13EE">
        <w:rPr>
          <w:rFonts w:ascii="Times New Roman" w:eastAsia="SimHei" w:hAnsi="Times New Roman" w:cs="Times New Roman"/>
          <w:color w:val="000000" w:themeColor="text1"/>
          <w:sz w:val="24"/>
          <w:szCs w:val="24"/>
          <w:lang w:val="en-US"/>
        </w:rPr>
        <w:t>Patel SA, Balic A, Bwakira L (2002) Measuring transparency and disclosure at firm level in emerging markets. Emerging Markets Review 3(4): 325–337.</w:t>
      </w:r>
    </w:p>
    <w:p w14:paraId="5BB008F4" w14:textId="77777777" w:rsidR="00BC764A" w:rsidRPr="00DE13EE" w:rsidRDefault="00BC764A" w:rsidP="00C70D88">
      <w:pPr>
        <w:spacing w:after="240"/>
        <w:rPr>
          <w:rFonts w:ascii="Times New Roman" w:eastAsia="SimHei" w:hAnsi="Times New Roman" w:cs="Times New Roman"/>
          <w:color w:val="000000" w:themeColor="text1"/>
          <w:sz w:val="24"/>
          <w:szCs w:val="24"/>
          <w:lang w:val="en-US"/>
        </w:rPr>
      </w:pPr>
      <w:r w:rsidRPr="00DE13EE">
        <w:rPr>
          <w:rFonts w:ascii="Times New Roman" w:eastAsia="SimHei" w:hAnsi="Times New Roman" w:cs="Times New Roman"/>
          <w:color w:val="000000" w:themeColor="text1"/>
          <w:sz w:val="24"/>
          <w:szCs w:val="24"/>
          <w:lang w:val="en-US"/>
        </w:rPr>
        <w:t xml:space="preserve">Petersen MA (2009) Estimating standard errors in finance panel data sets: comparing approaches. </w:t>
      </w:r>
      <w:r w:rsidRPr="00DE13EE">
        <w:rPr>
          <w:rFonts w:ascii="Times New Roman" w:eastAsia="SimHei" w:hAnsi="Times New Roman" w:cs="Times New Roman"/>
          <w:iCs/>
          <w:color w:val="000000" w:themeColor="text1"/>
          <w:sz w:val="24"/>
          <w:szCs w:val="24"/>
          <w:lang w:val="en-US"/>
        </w:rPr>
        <w:t xml:space="preserve">Review of Financial Studies </w:t>
      </w:r>
      <w:r w:rsidRPr="00DE13EE">
        <w:rPr>
          <w:rFonts w:ascii="Times New Roman" w:eastAsia="SimHei" w:hAnsi="Times New Roman" w:cs="Times New Roman"/>
          <w:color w:val="000000" w:themeColor="text1"/>
          <w:sz w:val="24"/>
          <w:szCs w:val="24"/>
          <w:lang w:val="en-US"/>
        </w:rPr>
        <w:t>22: 435–79.</w:t>
      </w:r>
    </w:p>
    <w:p w14:paraId="0B544DB0" w14:textId="77777777" w:rsidR="00BC764A" w:rsidRPr="00DE13EE" w:rsidRDefault="00BC764A" w:rsidP="00C70D88">
      <w:pPr>
        <w:spacing w:after="240"/>
        <w:rPr>
          <w:rFonts w:ascii="Times New Roman" w:eastAsia="SimHei" w:hAnsi="Times New Roman" w:cs="Times New Roman"/>
          <w:color w:val="000000" w:themeColor="text1"/>
          <w:sz w:val="24"/>
          <w:szCs w:val="24"/>
          <w:lang w:val="en-US"/>
        </w:rPr>
      </w:pPr>
      <w:r w:rsidRPr="00DE13EE">
        <w:rPr>
          <w:rFonts w:ascii="Times New Roman" w:eastAsia="SimHei" w:hAnsi="Times New Roman" w:cs="Times New Roman"/>
          <w:color w:val="000000" w:themeColor="text1"/>
          <w:sz w:val="24"/>
          <w:szCs w:val="24"/>
          <w:lang w:val="en-US"/>
        </w:rPr>
        <w:t>Plumlee M, Brown D, Hayes R, Marshall S (2015) Voluntary environmental disclosure quality and firm value: Further evidence. Journal of Accounting and Public Policy 34(4): 336–361.</w:t>
      </w:r>
    </w:p>
    <w:p w14:paraId="3C3512A2" w14:textId="77777777" w:rsidR="00BC764A" w:rsidRPr="00DE13EE" w:rsidRDefault="00BC764A" w:rsidP="00C70D88">
      <w:pPr>
        <w:spacing w:after="240"/>
        <w:rPr>
          <w:rFonts w:ascii="Times New Roman" w:eastAsia="SimHei" w:hAnsi="Times New Roman" w:cs="Times New Roman"/>
          <w:color w:val="000000" w:themeColor="text1"/>
          <w:sz w:val="24"/>
          <w:szCs w:val="24"/>
          <w:lang w:val="en-US"/>
        </w:rPr>
      </w:pPr>
      <w:r w:rsidRPr="00DE13EE">
        <w:rPr>
          <w:rFonts w:ascii="Times New Roman" w:eastAsia="SimHei" w:hAnsi="Times New Roman" w:cs="Times New Roman"/>
          <w:color w:val="000000" w:themeColor="text1"/>
          <w:sz w:val="24"/>
          <w:szCs w:val="24"/>
          <w:lang w:val="en-US"/>
        </w:rPr>
        <w:t>Rasiah D, Tong D, Kim P (2014) Profitability and firm size-growth relationship in construction companies in Malaysia from 2003 to 2010. Review of Pacific Basin Financial Markets and Policies 17(3): 1–19.</w:t>
      </w:r>
    </w:p>
    <w:p w14:paraId="5B18A572" w14:textId="77777777" w:rsidR="00BC764A" w:rsidRPr="00DE13EE" w:rsidRDefault="00BC764A" w:rsidP="00C70D88">
      <w:pPr>
        <w:spacing w:after="240"/>
        <w:rPr>
          <w:rFonts w:ascii="Times New Roman" w:eastAsia="SimHei" w:hAnsi="Times New Roman" w:cs="Times New Roman"/>
          <w:color w:val="000000" w:themeColor="text1"/>
          <w:sz w:val="24"/>
          <w:szCs w:val="24"/>
          <w:lang w:val="en-US"/>
        </w:rPr>
      </w:pPr>
      <w:r w:rsidRPr="00DE13EE">
        <w:rPr>
          <w:rFonts w:ascii="Times New Roman" w:eastAsia="SimHei" w:hAnsi="Times New Roman" w:cs="Times New Roman"/>
          <w:color w:val="000000" w:themeColor="text1"/>
          <w:sz w:val="24"/>
          <w:szCs w:val="24"/>
          <w:lang w:val="en-US"/>
        </w:rPr>
        <w:t>Rountree B, Weston JP, Allayannis G (2008) Do investors value smooth performance? Journal of Financial Economics 90(3): 237–251.</w:t>
      </w:r>
    </w:p>
    <w:p w14:paraId="5B8FE306" w14:textId="77777777" w:rsidR="00BC764A" w:rsidRPr="00DE13EE" w:rsidRDefault="00BC764A" w:rsidP="00C70D88">
      <w:pPr>
        <w:spacing w:after="240"/>
        <w:rPr>
          <w:rFonts w:ascii="Times New Roman" w:eastAsia="Calibri" w:hAnsi="Times New Roman" w:cs="Times New Roman"/>
          <w:color w:val="000000" w:themeColor="text1"/>
          <w:sz w:val="24"/>
          <w:szCs w:val="24"/>
          <w:lang w:val="en-US" w:eastAsia="en-US"/>
        </w:rPr>
      </w:pPr>
      <w:r w:rsidRPr="00DE13EE">
        <w:rPr>
          <w:rFonts w:ascii="Times New Roman" w:eastAsia="Calibri" w:hAnsi="Times New Roman" w:cs="Times New Roman"/>
          <w:color w:val="000000" w:themeColor="text1"/>
          <w:sz w:val="24"/>
          <w:szCs w:val="24"/>
          <w:lang w:val="en-US" w:eastAsia="en-US"/>
        </w:rPr>
        <w:t xml:space="preserve">Schleicher T, Hussainey K, Walker M (2007) Loss Firms' Annual Report Narratives and Share Price Anticipation of Earnings. </w:t>
      </w:r>
      <w:r w:rsidRPr="00DE13EE">
        <w:rPr>
          <w:rFonts w:ascii="Times New Roman" w:eastAsia="Calibri" w:hAnsi="Times New Roman" w:cs="Times New Roman"/>
          <w:iCs/>
          <w:color w:val="000000" w:themeColor="text1"/>
          <w:sz w:val="24"/>
          <w:szCs w:val="24"/>
          <w:lang w:val="en-US" w:eastAsia="en-US"/>
        </w:rPr>
        <w:t>The British Accounting</w:t>
      </w:r>
      <w:r w:rsidRPr="00DE13EE">
        <w:rPr>
          <w:rFonts w:ascii="Times New Roman" w:eastAsia="Calibri" w:hAnsi="Times New Roman" w:cs="Times New Roman"/>
          <w:color w:val="000000" w:themeColor="text1"/>
          <w:sz w:val="24"/>
          <w:szCs w:val="24"/>
          <w:lang w:val="en-US" w:eastAsia="en-US"/>
        </w:rPr>
        <w:t xml:space="preserve"> </w:t>
      </w:r>
      <w:r w:rsidRPr="00DE13EE">
        <w:rPr>
          <w:rFonts w:ascii="Times New Roman" w:eastAsia="Calibri" w:hAnsi="Times New Roman" w:cs="Times New Roman"/>
          <w:iCs/>
          <w:color w:val="000000" w:themeColor="text1"/>
          <w:sz w:val="24"/>
          <w:szCs w:val="24"/>
          <w:lang w:val="en-US" w:eastAsia="en-US"/>
        </w:rPr>
        <w:t xml:space="preserve">Review </w:t>
      </w:r>
      <w:r w:rsidRPr="00DE13EE">
        <w:rPr>
          <w:rFonts w:ascii="Times New Roman" w:eastAsia="Calibri" w:hAnsi="Times New Roman" w:cs="Times New Roman"/>
          <w:color w:val="000000" w:themeColor="text1"/>
          <w:sz w:val="24"/>
          <w:szCs w:val="24"/>
          <w:lang w:val="en-US" w:eastAsia="en-US"/>
        </w:rPr>
        <w:t>39(2): 153–171.</w:t>
      </w:r>
    </w:p>
    <w:p w14:paraId="3A054A80" w14:textId="77777777" w:rsidR="00BC764A" w:rsidRPr="00DE13EE" w:rsidRDefault="00BC764A" w:rsidP="00C70D88">
      <w:pPr>
        <w:spacing w:after="240"/>
        <w:rPr>
          <w:rFonts w:ascii="Times New Roman" w:eastAsia="Calibri" w:hAnsi="Times New Roman" w:cs="Times New Roman"/>
          <w:color w:val="000000" w:themeColor="text1"/>
          <w:sz w:val="24"/>
          <w:szCs w:val="24"/>
          <w:lang w:eastAsia="en-US"/>
        </w:rPr>
      </w:pPr>
      <w:r w:rsidRPr="00DE13EE">
        <w:rPr>
          <w:rFonts w:ascii="Times New Roman" w:eastAsia="Calibri" w:hAnsi="Times New Roman" w:cs="Times New Roman"/>
          <w:color w:val="000000" w:themeColor="text1"/>
          <w:sz w:val="24"/>
          <w:szCs w:val="24"/>
          <w:lang w:eastAsia="en-US"/>
        </w:rPr>
        <w:t>Smith M, Taffler R (2000) The chairman’s statement: a content analysis of discretionary narrative disclosures. Accounting Auditing and Accountability Journal 13(5): 624–646.</w:t>
      </w:r>
    </w:p>
    <w:p w14:paraId="7807EADC" w14:textId="77777777" w:rsidR="00BC764A" w:rsidRPr="00DE13EE" w:rsidRDefault="00BC764A" w:rsidP="00C70D88">
      <w:pPr>
        <w:spacing w:after="240"/>
        <w:rPr>
          <w:rFonts w:ascii="Times New Roman" w:eastAsia="SimHei" w:hAnsi="Times New Roman" w:cs="Times New Roman"/>
          <w:color w:val="000000" w:themeColor="text1"/>
          <w:sz w:val="24"/>
          <w:szCs w:val="24"/>
          <w:lang w:val="en-US"/>
        </w:rPr>
      </w:pPr>
      <w:r w:rsidRPr="00DE13EE">
        <w:rPr>
          <w:rFonts w:ascii="Times New Roman" w:eastAsia="SimHei" w:hAnsi="Times New Roman" w:cs="Times New Roman"/>
          <w:color w:val="000000" w:themeColor="text1"/>
          <w:sz w:val="24"/>
          <w:szCs w:val="24"/>
          <w:lang w:val="en-US"/>
        </w:rPr>
        <w:lastRenderedPageBreak/>
        <w:t>Tabachnick B, Fidell L (2007) Using multivariate statistics</w:t>
      </w:r>
      <w:r w:rsidRPr="00DE13EE">
        <w:rPr>
          <w:rFonts w:ascii="Times New Roman" w:eastAsia="SimHei" w:hAnsi="Times New Roman" w:cs="Times New Roman"/>
          <w:iCs/>
          <w:color w:val="000000" w:themeColor="text1"/>
          <w:sz w:val="24"/>
          <w:szCs w:val="24"/>
          <w:lang w:val="en-US"/>
        </w:rPr>
        <w:t>.</w:t>
      </w:r>
      <w:r w:rsidRPr="00DE13EE">
        <w:rPr>
          <w:rFonts w:ascii="Times New Roman" w:eastAsia="SimHei" w:hAnsi="Times New Roman" w:cs="Times New Roman"/>
          <w:color w:val="000000" w:themeColor="text1"/>
          <w:sz w:val="24"/>
          <w:szCs w:val="24"/>
          <w:lang w:val="en-US"/>
        </w:rPr>
        <w:t xml:space="preserve"> Fifth Edition, </w:t>
      </w:r>
      <w:r w:rsidRPr="00DE13EE">
        <w:rPr>
          <w:rFonts w:ascii="Times New Roman" w:eastAsia="SimHei" w:hAnsi="Times New Roman" w:cs="Times New Roman"/>
          <w:iCs/>
          <w:color w:val="000000" w:themeColor="text1"/>
          <w:sz w:val="24"/>
          <w:szCs w:val="24"/>
          <w:lang w:val="en-US"/>
        </w:rPr>
        <w:t>Pearson Education Inc.,</w:t>
      </w:r>
      <w:r w:rsidRPr="00DE13EE">
        <w:rPr>
          <w:rFonts w:ascii="Times New Roman" w:eastAsia="SimHei" w:hAnsi="Times New Roman" w:cs="Times New Roman"/>
          <w:color w:val="000000" w:themeColor="text1"/>
          <w:sz w:val="24"/>
          <w:szCs w:val="24"/>
          <w:lang w:val="en-US"/>
        </w:rPr>
        <w:t xml:space="preserve"> London.</w:t>
      </w:r>
    </w:p>
    <w:p w14:paraId="62C9FC5F" w14:textId="77777777" w:rsidR="00BC764A" w:rsidRPr="00DE13EE" w:rsidRDefault="00BC764A" w:rsidP="00C70D88">
      <w:pPr>
        <w:spacing w:after="240"/>
        <w:rPr>
          <w:rFonts w:ascii="Times New Roman" w:hAnsi="Times New Roman" w:cs="Times New Roman"/>
          <w:color w:val="000000" w:themeColor="text1"/>
          <w:sz w:val="24"/>
          <w:szCs w:val="24"/>
          <w:lang w:val="en-US"/>
        </w:rPr>
      </w:pPr>
      <w:r w:rsidRPr="00DE13EE">
        <w:rPr>
          <w:rFonts w:ascii="Times New Roman" w:hAnsi="Times New Roman" w:cs="Times New Roman"/>
          <w:color w:val="000000" w:themeColor="text1"/>
          <w:sz w:val="24"/>
          <w:szCs w:val="24"/>
          <w:lang w:val="en-US"/>
        </w:rPr>
        <w:t>Van Buskirk, A (2012) Disclosure frequency and information asymmetry.</w:t>
      </w:r>
      <w:r w:rsidRPr="00DE13EE">
        <w:rPr>
          <w:color w:val="000000" w:themeColor="text1"/>
        </w:rPr>
        <w:t xml:space="preserve"> </w:t>
      </w:r>
      <w:r w:rsidRPr="00DE13EE">
        <w:rPr>
          <w:rFonts w:ascii="Times New Roman" w:hAnsi="Times New Roman" w:cs="Times New Roman"/>
          <w:color w:val="000000" w:themeColor="text1"/>
          <w:sz w:val="24"/>
          <w:szCs w:val="24"/>
          <w:lang w:val="en-US"/>
        </w:rPr>
        <w:t>Review of Quantitative Finance and Accounting 38(4): 411–440.</w:t>
      </w:r>
    </w:p>
    <w:p w14:paraId="79E3AB7D" w14:textId="77777777" w:rsidR="00BC764A" w:rsidRPr="00DE13EE" w:rsidRDefault="00BC764A" w:rsidP="00C70D88">
      <w:pPr>
        <w:spacing w:after="240"/>
        <w:rPr>
          <w:rFonts w:ascii="Times New Roman" w:eastAsia="SimHei" w:hAnsi="Times New Roman" w:cs="Times New Roman"/>
          <w:color w:val="000000" w:themeColor="text1"/>
          <w:sz w:val="24"/>
          <w:szCs w:val="24"/>
          <w:lang w:val="en-US"/>
        </w:rPr>
      </w:pPr>
      <w:r w:rsidRPr="00DE13EE">
        <w:rPr>
          <w:rFonts w:ascii="Times New Roman" w:eastAsia="SimHei" w:hAnsi="Times New Roman" w:cs="Times New Roman"/>
          <w:color w:val="000000" w:themeColor="text1"/>
          <w:sz w:val="24"/>
          <w:szCs w:val="24"/>
          <w:lang w:val="en-US"/>
        </w:rPr>
        <w:t xml:space="preserve">Wallace RSO, Naser K (1995) Firm-specific determinants of comprehensiveness of mandatory disclosure in the corporate annual reports of firms listed on the stock exchange of Hong Kong. </w:t>
      </w:r>
      <w:r w:rsidRPr="00DE13EE">
        <w:rPr>
          <w:rFonts w:ascii="Times New Roman" w:eastAsia="SimHei" w:hAnsi="Times New Roman" w:cs="Times New Roman"/>
          <w:iCs/>
          <w:color w:val="000000" w:themeColor="text1"/>
          <w:sz w:val="24"/>
          <w:szCs w:val="24"/>
          <w:lang w:val="en-US"/>
        </w:rPr>
        <w:t>Journal of Accounting and Public Policy</w:t>
      </w:r>
      <w:r w:rsidRPr="00DE13EE">
        <w:rPr>
          <w:rFonts w:ascii="Times New Roman" w:eastAsia="SimHei" w:hAnsi="Times New Roman" w:cs="Times New Roman"/>
          <w:color w:val="000000" w:themeColor="text1"/>
          <w:sz w:val="24"/>
          <w:szCs w:val="24"/>
          <w:lang w:val="en-US"/>
        </w:rPr>
        <w:t xml:space="preserve"> 14(4): 311–368.</w:t>
      </w:r>
    </w:p>
    <w:p w14:paraId="2E36D897" w14:textId="77777777" w:rsidR="00BC764A" w:rsidRPr="00DE13EE" w:rsidRDefault="00BC764A" w:rsidP="00C70D88">
      <w:pPr>
        <w:spacing w:after="240"/>
        <w:rPr>
          <w:rFonts w:ascii="Times New Roman" w:eastAsia="Calibri" w:hAnsi="Times New Roman" w:cs="Times New Roman"/>
          <w:color w:val="000000" w:themeColor="text1"/>
          <w:sz w:val="24"/>
          <w:szCs w:val="24"/>
          <w:lang w:val="en-US" w:eastAsia="en-US"/>
        </w:rPr>
      </w:pPr>
      <w:r w:rsidRPr="00DE13EE">
        <w:rPr>
          <w:rFonts w:ascii="Times New Roman" w:eastAsia="Calibri" w:hAnsi="Times New Roman" w:cs="Times New Roman"/>
          <w:color w:val="000000" w:themeColor="text1"/>
          <w:sz w:val="24"/>
          <w:szCs w:val="24"/>
          <w:lang w:val="en-US" w:eastAsia="en-US"/>
        </w:rPr>
        <w:t xml:space="preserve">Wang M, Hussainey K (2013) Voluntary forward-looking statements driven by corporate governance and their value relevance. </w:t>
      </w:r>
      <w:r w:rsidRPr="00DE13EE">
        <w:rPr>
          <w:rFonts w:ascii="Times New Roman" w:eastAsia="Calibri" w:hAnsi="Times New Roman" w:cs="Times New Roman"/>
          <w:iCs/>
          <w:color w:val="000000" w:themeColor="text1"/>
          <w:sz w:val="24"/>
          <w:szCs w:val="24"/>
          <w:lang w:val="en-US" w:eastAsia="en-US"/>
        </w:rPr>
        <w:t>Journal of Accounting and Public Policy</w:t>
      </w:r>
      <w:r w:rsidRPr="00DE13EE">
        <w:rPr>
          <w:rFonts w:ascii="Times New Roman" w:eastAsia="Calibri" w:hAnsi="Times New Roman" w:cs="Times New Roman"/>
          <w:color w:val="000000" w:themeColor="text1"/>
          <w:sz w:val="24"/>
          <w:szCs w:val="24"/>
          <w:lang w:val="en-US" w:eastAsia="en-US"/>
        </w:rPr>
        <w:t xml:space="preserve"> 32: 26–49. </w:t>
      </w:r>
    </w:p>
    <w:p w14:paraId="091FEE34" w14:textId="77777777" w:rsidR="00BC764A" w:rsidRPr="00DE13EE" w:rsidRDefault="00BC764A" w:rsidP="00C70D88">
      <w:pPr>
        <w:spacing w:after="240"/>
        <w:rPr>
          <w:rFonts w:ascii="Times New Roman" w:hAnsi="Times New Roman" w:cs="Times New Roman"/>
          <w:color w:val="000000" w:themeColor="text1"/>
          <w:sz w:val="24"/>
          <w:szCs w:val="24"/>
          <w:lang w:val="en-US"/>
        </w:rPr>
      </w:pPr>
      <w:r w:rsidRPr="00DE13EE">
        <w:rPr>
          <w:rFonts w:ascii="Times New Roman" w:hAnsi="Times New Roman" w:cs="Times New Roman"/>
          <w:color w:val="000000" w:themeColor="text1"/>
          <w:sz w:val="24"/>
          <w:szCs w:val="24"/>
          <w:lang w:val="en-US"/>
        </w:rPr>
        <w:t>Zhang L, Ding S (2006) The effect of increased disclosure on cost of capital: Evidence from China.</w:t>
      </w:r>
      <w:r w:rsidRPr="00DE13EE">
        <w:rPr>
          <w:rFonts w:ascii="Times New Roman" w:hAnsi="Times New Roman" w:cs="Times New Roman"/>
          <w:color w:val="000000" w:themeColor="text1"/>
          <w:sz w:val="24"/>
          <w:szCs w:val="24"/>
        </w:rPr>
        <w:t xml:space="preserve"> </w:t>
      </w:r>
      <w:r w:rsidRPr="00DE13EE">
        <w:rPr>
          <w:rFonts w:ascii="Times New Roman" w:hAnsi="Times New Roman" w:cs="Times New Roman"/>
          <w:color w:val="000000" w:themeColor="text1"/>
          <w:sz w:val="24"/>
          <w:szCs w:val="24"/>
          <w:lang w:val="en-US"/>
        </w:rPr>
        <w:t xml:space="preserve">Review of Quantitative Finance and Accounting 27(4): </w:t>
      </w:r>
      <w:r w:rsidRPr="00DE13EE">
        <w:rPr>
          <w:rFonts w:ascii="Times New Roman" w:hAnsi="Times New Roman" w:cs="Times New Roman"/>
          <w:color w:val="000000" w:themeColor="text1"/>
          <w:spacing w:val="4"/>
          <w:sz w:val="24"/>
          <w:szCs w:val="24"/>
          <w:shd w:val="clear" w:color="auto" w:fill="FCFCFC"/>
        </w:rPr>
        <w:t>383–401</w:t>
      </w:r>
    </w:p>
    <w:p w14:paraId="1847D7DA" w14:textId="7A814663" w:rsidR="008C5421" w:rsidRPr="00DE13EE" w:rsidRDefault="008C5421" w:rsidP="00772CF9">
      <w:pPr>
        <w:spacing w:before="120" w:after="160" w:line="360" w:lineRule="auto"/>
        <w:rPr>
          <w:rFonts w:ascii="Times New Roman" w:eastAsia="SimHei" w:hAnsi="Times New Roman" w:cs="Times New Roman"/>
          <w:b/>
          <w:color w:val="000000" w:themeColor="text1"/>
          <w:sz w:val="24"/>
          <w:szCs w:val="24"/>
          <w:lang w:val="en-US"/>
        </w:rPr>
      </w:pPr>
    </w:p>
    <w:p w14:paraId="4C764AC3" w14:textId="2A877970" w:rsidR="00A0518A" w:rsidRPr="00DE13EE" w:rsidRDefault="00A0518A" w:rsidP="00772CF9">
      <w:pPr>
        <w:spacing w:before="120" w:after="160" w:line="360" w:lineRule="auto"/>
        <w:rPr>
          <w:rFonts w:ascii="Times New Roman" w:eastAsia="SimHei" w:hAnsi="Times New Roman" w:cs="Times New Roman"/>
          <w:b/>
          <w:color w:val="000000" w:themeColor="text1"/>
          <w:sz w:val="24"/>
          <w:szCs w:val="24"/>
          <w:lang w:val="en-US"/>
        </w:rPr>
      </w:pPr>
    </w:p>
    <w:p w14:paraId="2A4A7AAE" w14:textId="43BF70A3" w:rsidR="00C70D88" w:rsidRPr="00DE13EE" w:rsidRDefault="00C70D88" w:rsidP="00772CF9">
      <w:pPr>
        <w:spacing w:before="120" w:after="160" w:line="360" w:lineRule="auto"/>
        <w:rPr>
          <w:rFonts w:ascii="Times New Roman" w:eastAsia="SimHei" w:hAnsi="Times New Roman" w:cs="Times New Roman"/>
          <w:b/>
          <w:color w:val="000000" w:themeColor="text1"/>
          <w:sz w:val="24"/>
          <w:szCs w:val="24"/>
          <w:lang w:val="en-US"/>
        </w:rPr>
      </w:pPr>
    </w:p>
    <w:p w14:paraId="2250FB8E" w14:textId="2E21154A" w:rsidR="00C70D88" w:rsidRPr="00DE13EE" w:rsidRDefault="00C70D88" w:rsidP="00772CF9">
      <w:pPr>
        <w:spacing w:before="120" w:after="160" w:line="360" w:lineRule="auto"/>
        <w:rPr>
          <w:rFonts w:ascii="Times New Roman" w:eastAsia="SimHei" w:hAnsi="Times New Roman" w:cs="Times New Roman"/>
          <w:b/>
          <w:color w:val="000000" w:themeColor="text1"/>
          <w:sz w:val="24"/>
          <w:szCs w:val="24"/>
          <w:lang w:val="en-US"/>
        </w:rPr>
      </w:pPr>
    </w:p>
    <w:p w14:paraId="463A71A7" w14:textId="1BDA1A4D" w:rsidR="00C70D88" w:rsidRPr="00DE13EE" w:rsidRDefault="00C70D88" w:rsidP="00772CF9">
      <w:pPr>
        <w:spacing w:before="120" w:after="160" w:line="360" w:lineRule="auto"/>
        <w:rPr>
          <w:rFonts w:ascii="Times New Roman" w:eastAsia="SimHei" w:hAnsi="Times New Roman" w:cs="Times New Roman"/>
          <w:b/>
          <w:color w:val="000000" w:themeColor="text1"/>
          <w:sz w:val="24"/>
          <w:szCs w:val="24"/>
          <w:lang w:val="en-US"/>
        </w:rPr>
      </w:pPr>
    </w:p>
    <w:p w14:paraId="192FBB71" w14:textId="1DAAE0A0" w:rsidR="00C70D88" w:rsidRPr="00DE13EE" w:rsidRDefault="00C70D88" w:rsidP="00772CF9">
      <w:pPr>
        <w:spacing w:before="120" w:after="160" w:line="360" w:lineRule="auto"/>
        <w:rPr>
          <w:rFonts w:ascii="Times New Roman" w:eastAsia="SimHei" w:hAnsi="Times New Roman" w:cs="Times New Roman"/>
          <w:b/>
          <w:color w:val="000000" w:themeColor="text1"/>
          <w:sz w:val="24"/>
          <w:szCs w:val="24"/>
          <w:lang w:val="en-US"/>
        </w:rPr>
      </w:pPr>
    </w:p>
    <w:p w14:paraId="3F781B9D" w14:textId="54CD2E5B" w:rsidR="00C70D88" w:rsidRPr="00DE13EE" w:rsidRDefault="00C70D88" w:rsidP="00772CF9">
      <w:pPr>
        <w:spacing w:before="120" w:after="160" w:line="360" w:lineRule="auto"/>
        <w:rPr>
          <w:rFonts w:ascii="Times New Roman" w:eastAsia="SimHei" w:hAnsi="Times New Roman" w:cs="Times New Roman"/>
          <w:b/>
          <w:color w:val="000000" w:themeColor="text1"/>
          <w:sz w:val="24"/>
          <w:szCs w:val="24"/>
          <w:lang w:val="en-US"/>
        </w:rPr>
      </w:pPr>
    </w:p>
    <w:p w14:paraId="5E78384A" w14:textId="4CF91141" w:rsidR="00C70D88" w:rsidRPr="00DE13EE" w:rsidRDefault="00C70D88" w:rsidP="00772CF9">
      <w:pPr>
        <w:spacing w:before="120" w:after="160" w:line="360" w:lineRule="auto"/>
        <w:rPr>
          <w:rFonts w:ascii="Times New Roman" w:eastAsia="SimHei" w:hAnsi="Times New Roman" w:cs="Times New Roman"/>
          <w:b/>
          <w:color w:val="000000" w:themeColor="text1"/>
          <w:sz w:val="24"/>
          <w:szCs w:val="24"/>
          <w:lang w:val="en-US"/>
        </w:rPr>
      </w:pPr>
    </w:p>
    <w:p w14:paraId="0A17D457" w14:textId="62A25544" w:rsidR="00C70D88" w:rsidRPr="00DE13EE" w:rsidRDefault="00C70D88" w:rsidP="00772CF9">
      <w:pPr>
        <w:spacing w:before="120" w:after="160" w:line="360" w:lineRule="auto"/>
        <w:rPr>
          <w:rFonts w:ascii="Times New Roman" w:eastAsia="SimHei" w:hAnsi="Times New Roman" w:cs="Times New Roman"/>
          <w:b/>
          <w:color w:val="000000" w:themeColor="text1"/>
          <w:sz w:val="24"/>
          <w:szCs w:val="24"/>
          <w:lang w:val="en-US"/>
        </w:rPr>
      </w:pPr>
    </w:p>
    <w:p w14:paraId="08AE0180" w14:textId="3C9DD18D" w:rsidR="00C70D88" w:rsidRPr="00DE13EE" w:rsidRDefault="00C70D88" w:rsidP="00772CF9">
      <w:pPr>
        <w:spacing w:before="120" w:after="160" w:line="360" w:lineRule="auto"/>
        <w:rPr>
          <w:rFonts w:ascii="Times New Roman" w:eastAsia="SimHei" w:hAnsi="Times New Roman" w:cs="Times New Roman"/>
          <w:b/>
          <w:color w:val="000000" w:themeColor="text1"/>
          <w:sz w:val="24"/>
          <w:szCs w:val="24"/>
          <w:lang w:val="en-US"/>
        </w:rPr>
      </w:pPr>
    </w:p>
    <w:p w14:paraId="0D7CE07F" w14:textId="5D830C66" w:rsidR="00C70D88" w:rsidRPr="00DE13EE" w:rsidRDefault="00C70D88" w:rsidP="00772CF9">
      <w:pPr>
        <w:spacing w:before="120" w:after="160" w:line="360" w:lineRule="auto"/>
        <w:rPr>
          <w:rFonts w:ascii="Times New Roman" w:eastAsia="SimHei" w:hAnsi="Times New Roman" w:cs="Times New Roman"/>
          <w:b/>
          <w:color w:val="000000" w:themeColor="text1"/>
          <w:sz w:val="24"/>
          <w:szCs w:val="24"/>
          <w:lang w:val="en-US"/>
        </w:rPr>
      </w:pPr>
    </w:p>
    <w:p w14:paraId="077F9227" w14:textId="07447D59" w:rsidR="00C70D88" w:rsidRPr="00DE13EE" w:rsidRDefault="00C70D88" w:rsidP="00772CF9">
      <w:pPr>
        <w:spacing w:before="120" w:after="160" w:line="360" w:lineRule="auto"/>
        <w:rPr>
          <w:rFonts w:ascii="Times New Roman" w:eastAsia="SimHei" w:hAnsi="Times New Roman" w:cs="Times New Roman"/>
          <w:b/>
          <w:color w:val="000000" w:themeColor="text1"/>
          <w:sz w:val="24"/>
          <w:szCs w:val="24"/>
          <w:lang w:val="en-US"/>
        </w:rPr>
      </w:pPr>
    </w:p>
    <w:p w14:paraId="69897D25" w14:textId="5D99792E" w:rsidR="00C70D88" w:rsidRPr="00DE13EE" w:rsidRDefault="00C70D88" w:rsidP="00772CF9">
      <w:pPr>
        <w:spacing w:before="120" w:after="160" w:line="360" w:lineRule="auto"/>
        <w:rPr>
          <w:rFonts w:ascii="Times New Roman" w:eastAsia="SimHei" w:hAnsi="Times New Roman" w:cs="Times New Roman"/>
          <w:b/>
          <w:color w:val="000000" w:themeColor="text1"/>
          <w:sz w:val="24"/>
          <w:szCs w:val="24"/>
          <w:lang w:val="en-US"/>
        </w:rPr>
      </w:pPr>
    </w:p>
    <w:p w14:paraId="63CAC1A2" w14:textId="6DB2D91E" w:rsidR="00C70D88" w:rsidRPr="00DE13EE" w:rsidRDefault="00C70D88" w:rsidP="00772CF9">
      <w:pPr>
        <w:spacing w:before="120" w:after="160" w:line="360" w:lineRule="auto"/>
        <w:rPr>
          <w:rFonts w:ascii="Times New Roman" w:eastAsia="SimHei" w:hAnsi="Times New Roman" w:cs="Times New Roman"/>
          <w:b/>
          <w:color w:val="000000" w:themeColor="text1"/>
          <w:sz w:val="24"/>
          <w:szCs w:val="24"/>
          <w:lang w:val="en-US"/>
        </w:rPr>
      </w:pPr>
    </w:p>
    <w:p w14:paraId="01403C47" w14:textId="77777777" w:rsidR="00C70D88" w:rsidRPr="00DE13EE" w:rsidRDefault="00C70D88" w:rsidP="00772CF9">
      <w:pPr>
        <w:spacing w:before="120" w:after="160" w:line="360" w:lineRule="auto"/>
        <w:rPr>
          <w:rFonts w:ascii="Times New Roman" w:eastAsia="SimHei" w:hAnsi="Times New Roman" w:cs="Times New Roman"/>
          <w:b/>
          <w:color w:val="000000" w:themeColor="text1"/>
          <w:sz w:val="24"/>
          <w:szCs w:val="24"/>
          <w:lang w:val="en-US"/>
        </w:rPr>
      </w:pPr>
    </w:p>
    <w:p w14:paraId="0BE819E6" w14:textId="77777777" w:rsidR="0024014C" w:rsidRPr="00DE13EE" w:rsidRDefault="000755D6" w:rsidP="0024014C">
      <w:pPr>
        <w:pStyle w:val="Heading1"/>
        <w:numPr>
          <w:ilvl w:val="0"/>
          <w:numId w:val="0"/>
        </w:numPr>
        <w:ind w:left="360" w:hanging="360"/>
        <w:rPr>
          <w:color w:val="000000" w:themeColor="text1"/>
          <w:lang w:val="en-US"/>
        </w:rPr>
      </w:pPr>
      <w:r w:rsidRPr="00DE13EE">
        <w:rPr>
          <w:caps w:val="0"/>
          <w:color w:val="000000" w:themeColor="text1"/>
          <w:lang w:val="en-US"/>
        </w:rPr>
        <w:lastRenderedPageBreak/>
        <w:t xml:space="preserve">APPENDICES </w:t>
      </w:r>
    </w:p>
    <w:p w14:paraId="569980B2" w14:textId="77777777" w:rsidR="0024014C" w:rsidRPr="00DE13EE" w:rsidRDefault="0024014C" w:rsidP="0024014C">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eastAsia="en-GB"/>
        </w:rPr>
      </w:pPr>
    </w:p>
    <w:tbl>
      <w:tblPr>
        <w:tblStyle w:val="TableGrid1"/>
        <w:tblW w:w="0" w:type="auto"/>
        <w:jc w:val="center"/>
        <w:tblLayout w:type="fixed"/>
        <w:tblLook w:val="04A0" w:firstRow="1" w:lastRow="0" w:firstColumn="1" w:lastColumn="0" w:noHBand="0" w:noVBand="1"/>
      </w:tblPr>
      <w:tblGrid>
        <w:gridCol w:w="3488"/>
        <w:gridCol w:w="4745"/>
      </w:tblGrid>
      <w:tr w:rsidR="00DE13EE" w:rsidRPr="00DE13EE" w14:paraId="618C08FB" w14:textId="77777777" w:rsidTr="000D166F">
        <w:trPr>
          <w:jc w:val="center"/>
        </w:trPr>
        <w:tc>
          <w:tcPr>
            <w:tcW w:w="8233" w:type="dxa"/>
            <w:gridSpan w:val="2"/>
            <w:tcBorders>
              <w:top w:val="nil"/>
              <w:left w:val="nil"/>
              <w:right w:val="nil"/>
            </w:tcBorders>
          </w:tcPr>
          <w:p w14:paraId="71E905E7" w14:textId="77777777" w:rsidR="000D166F" w:rsidRPr="00DE13EE" w:rsidRDefault="000D166F" w:rsidP="000D166F">
            <w:pPr>
              <w:autoSpaceDE w:val="0"/>
              <w:autoSpaceDN w:val="0"/>
              <w:adjustRightInd w:val="0"/>
              <w:jc w:val="both"/>
              <w:rPr>
                <w:rFonts w:eastAsia="Times New Roman"/>
                <w:b/>
                <w:color w:val="000000" w:themeColor="text1"/>
                <w:sz w:val="24"/>
                <w:szCs w:val="24"/>
                <w:lang w:eastAsia="en-GB"/>
              </w:rPr>
            </w:pPr>
            <w:r w:rsidRPr="00DE13EE">
              <w:rPr>
                <w:rFonts w:eastAsia="Times New Roman"/>
                <w:b/>
                <w:color w:val="000000" w:themeColor="text1"/>
                <w:sz w:val="24"/>
                <w:szCs w:val="24"/>
                <w:lang w:eastAsia="en-GB"/>
              </w:rPr>
              <w:t>Appendix (1):</w:t>
            </w:r>
            <w:r w:rsidRPr="00DE13EE">
              <w:rPr>
                <w:b/>
                <w:color w:val="000000" w:themeColor="text1"/>
              </w:rPr>
              <w:t xml:space="preserve"> </w:t>
            </w:r>
            <w:r w:rsidRPr="00DE13EE">
              <w:rPr>
                <w:rFonts w:eastAsia="Times New Roman"/>
                <w:b/>
                <w:color w:val="000000" w:themeColor="text1"/>
                <w:sz w:val="24"/>
                <w:szCs w:val="24"/>
                <w:lang w:eastAsia="en-GB"/>
              </w:rPr>
              <w:t>List of forward-looking keywords</w:t>
            </w:r>
          </w:p>
          <w:p w14:paraId="0F238AAF" w14:textId="77777777" w:rsidR="000D166F" w:rsidRPr="00DE13EE" w:rsidRDefault="000D166F" w:rsidP="00304A8D">
            <w:pPr>
              <w:autoSpaceDE w:val="0"/>
              <w:autoSpaceDN w:val="0"/>
              <w:adjustRightInd w:val="0"/>
              <w:jc w:val="both"/>
              <w:rPr>
                <w:rFonts w:eastAsia="Times New Roman"/>
                <w:color w:val="000000" w:themeColor="text1"/>
                <w:sz w:val="24"/>
                <w:szCs w:val="24"/>
                <w:lang w:eastAsia="en-GB"/>
              </w:rPr>
            </w:pPr>
          </w:p>
        </w:tc>
      </w:tr>
      <w:tr w:rsidR="00DE13EE" w:rsidRPr="00DE13EE" w14:paraId="6C85F71D" w14:textId="77777777" w:rsidTr="00304A8D">
        <w:trPr>
          <w:jc w:val="center"/>
        </w:trPr>
        <w:tc>
          <w:tcPr>
            <w:tcW w:w="3488" w:type="dxa"/>
            <w:tcBorders>
              <w:left w:val="nil"/>
              <w:right w:val="nil"/>
            </w:tcBorders>
          </w:tcPr>
          <w:p w14:paraId="59EB23E0" w14:textId="77777777" w:rsidR="0024014C" w:rsidRPr="00DE13EE" w:rsidRDefault="0024014C" w:rsidP="00304A8D">
            <w:pPr>
              <w:autoSpaceDE w:val="0"/>
              <w:autoSpaceDN w:val="0"/>
              <w:adjustRightInd w:val="0"/>
              <w:jc w:val="both"/>
              <w:rPr>
                <w:rFonts w:eastAsia="Times New Roman"/>
                <w:color w:val="000000" w:themeColor="text1"/>
                <w:sz w:val="24"/>
                <w:szCs w:val="24"/>
                <w:lang w:eastAsia="en-GB"/>
              </w:rPr>
            </w:pPr>
            <w:r w:rsidRPr="00DE13EE">
              <w:rPr>
                <w:rFonts w:eastAsia="Times New Roman"/>
                <w:color w:val="000000" w:themeColor="text1"/>
                <w:sz w:val="24"/>
                <w:szCs w:val="24"/>
                <w:lang w:eastAsia="en-GB"/>
              </w:rPr>
              <w:t xml:space="preserve">Aim </w:t>
            </w:r>
          </w:p>
          <w:p w14:paraId="2CCC21D7" w14:textId="77777777" w:rsidR="0024014C" w:rsidRPr="00DE13EE" w:rsidRDefault="0024014C" w:rsidP="00304A8D">
            <w:pPr>
              <w:autoSpaceDE w:val="0"/>
              <w:autoSpaceDN w:val="0"/>
              <w:adjustRightInd w:val="0"/>
              <w:jc w:val="both"/>
              <w:rPr>
                <w:rFonts w:eastAsia="Times New Roman"/>
                <w:color w:val="000000" w:themeColor="text1"/>
                <w:sz w:val="24"/>
                <w:szCs w:val="24"/>
                <w:lang w:eastAsia="en-GB"/>
              </w:rPr>
            </w:pPr>
            <w:r w:rsidRPr="00DE13EE">
              <w:rPr>
                <w:rFonts w:eastAsia="Times New Roman"/>
                <w:color w:val="000000" w:themeColor="text1"/>
                <w:sz w:val="24"/>
                <w:szCs w:val="24"/>
                <w:lang w:eastAsia="en-GB"/>
              </w:rPr>
              <w:t xml:space="preserve">Anticipate </w:t>
            </w:r>
          </w:p>
          <w:p w14:paraId="2E3B0A4D" w14:textId="77777777" w:rsidR="0024014C" w:rsidRPr="00DE13EE" w:rsidRDefault="0024014C" w:rsidP="00304A8D">
            <w:pPr>
              <w:autoSpaceDE w:val="0"/>
              <w:autoSpaceDN w:val="0"/>
              <w:adjustRightInd w:val="0"/>
              <w:jc w:val="both"/>
              <w:rPr>
                <w:rFonts w:eastAsia="Times New Roman"/>
                <w:color w:val="000000" w:themeColor="text1"/>
                <w:sz w:val="24"/>
                <w:szCs w:val="24"/>
                <w:lang w:eastAsia="en-GB"/>
              </w:rPr>
            </w:pPr>
            <w:r w:rsidRPr="00DE13EE">
              <w:rPr>
                <w:rFonts w:eastAsia="Times New Roman"/>
                <w:color w:val="000000" w:themeColor="text1"/>
                <w:sz w:val="24"/>
                <w:szCs w:val="24"/>
                <w:lang w:eastAsia="en-GB"/>
              </w:rPr>
              <w:t xml:space="preserve">Believe </w:t>
            </w:r>
          </w:p>
          <w:p w14:paraId="2A06F39B" w14:textId="057B6DCE" w:rsidR="0024014C" w:rsidRPr="00DE13EE" w:rsidRDefault="0024014C" w:rsidP="00304A8D">
            <w:pPr>
              <w:autoSpaceDE w:val="0"/>
              <w:autoSpaceDN w:val="0"/>
              <w:adjustRightInd w:val="0"/>
              <w:jc w:val="both"/>
              <w:rPr>
                <w:rFonts w:eastAsia="Times New Roman"/>
                <w:color w:val="000000" w:themeColor="text1"/>
                <w:sz w:val="24"/>
                <w:szCs w:val="24"/>
                <w:lang w:eastAsia="en-GB"/>
              </w:rPr>
            </w:pPr>
            <w:r w:rsidRPr="00DE13EE">
              <w:rPr>
                <w:rFonts w:eastAsia="Times New Roman"/>
                <w:color w:val="000000" w:themeColor="text1"/>
                <w:sz w:val="24"/>
                <w:szCs w:val="24"/>
                <w:lang w:eastAsia="en-GB"/>
              </w:rPr>
              <w:t>Coming</w:t>
            </w:r>
            <w:r w:rsidR="001D1EC5" w:rsidRPr="00DE13EE">
              <w:rPr>
                <w:rFonts w:eastAsia="Times New Roman"/>
                <w:color w:val="000000" w:themeColor="text1"/>
                <w:sz w:val="24"/>
                <w:szCs w:val="24"/>
                <w:lang w:eastAsia="en-GB"/>
              </w:rPr>
              <w:t xml:space="preserve"> </w:t>
            </w:r>
          </w:p>
          <w:p w14:paraId="67BC4DA9" w14:textId="77777777" w:rsidR="0024014C" w:rsidRPr="00DE13EE" w:rsidRDefault="0024014C" w:rsidP="00304A8D">
            <w:pPr>
              <w:autoSpaceDE w:val="0"/>
              <w:autoSpaceDN w:val="0"/>
              <w:adjustRightInd w:val="0"/>
              <w:jc w:val="both"/>
              <w:rPr>
                <w:rFonts w:eastAsia="Times New Roman"/>
                <w:color w:val="000000" w:themeColor="text1"/>
                <w:sz w:val="24"/>
                <w:szCs w:val="24"/>
                <w:lang w:eastAsia="en-GB"/>
              </w:rPr>
            </w:pPr>
            <w:r w:rsidRPr="00DE13EE">
              <w:rPr>
                <w:rFonts w:eastAsia="Times New Roman"/>
                <w:color w:val="000000" w:themeColor="text1"/>
                <w:sz w:val="24"/>
                <w:szCs w:val="24"/>
                <w:lang w:eastAsia="en-GB"/>
              </w:rPr>
              <w:t>Estimate</w:t>
            </w:r>
          </w:p>
          <w:p w14:paraId="3DFC29C1" w14:textId="77777777" w:rsidR="0024014C" w:rsidRPr="00DE13EE" w:rsidRDefault="0024014C" w:rsidP="00304A8D">
            <w:pPr>
              <w:autoSpaceDE w:val="0"/>
              <w:autoSpaceDN w:val="0"/>
              <w:adjustRightInd w:val="0"/>
              <w:jc w:val="both"/>
              <w:rPr>
                <w:rFonts w:eastAsia="Times New Roman"/>
                <w:color w:val="000000" w:themeColor="text1"/>
                <w:sz w:val="24"/>
                <w:szCs w:val="24"/>
                <w:lang w:eastAsia="en-GB"/>
              </w:rPr>
            </w:pPr>
            <w:r w:rsidRPr="00DE13EE">
              <w:rPr>
                <w:rFonts w:eastAsia="Times New Roman"/>
                <w:color w:val="000000" w:themeColor="text1"/>
                <w:sz w:val="24"/>
                <w:szCs w:val="24"/>
                <w:lang w:eastAsia="en-GB"/>
              </w:rPr>
              <w:t xml:space="preserve">Eventual </w:t>
            </w:r>
          </w:p>
          <w:p w14:paraId="0DDAB765" w14:textId="77777777" w:rsidR="0024014C" w:rsidRPr="00DE13EE" w:rsidRDefault="0024014C" w:rsidP="00304A8D">
            <w:pPr>
              <w:autoSpaceDE w:val="0"/>
              <w:autoSpaceDN w:val="0"/>
              <w:adjustRightInd w:val="0"/>
              <w:jc w:val="both"/>
              <w:rPr>
                <w:rFonts w:eastAsia="Times New Roman"/>
                <w:color w:val="000000" w:themeColor="text1"/>
                <w:sz w:val="24"/>
                <w:szCs w:val="24"/>
                <w:lang w:eastAsia="en-GB"/>
              </w:rPr>
            </w:pPr>
            <w:r w:rsidRPr="00DE13EE">
              <w:rPr>
                <w:rFonts w:eastAsia="Times New Roman"/>
                <w:color w:val="000000" w:themeColor="text1"/>
                <w:sz w:val="24"/>
                <w:szCs w:val="24"/>
                <w:lang w:eastAsia="en-GB"/>
              </w:rPr>
              <w:t xml:space="preserve">Expect </w:t>
            </w:r>
          </w:p>
          <w:p w14:paraId="1ABA4ED9" w14:textId="6B301D26" w:rsidR="0024014C" w:rsidRPr="00DE13EE" w:rsidRDefault="0024014C" w:rsidP="00304A8D">
            <w:pPr>
              <w:autoSpaceDE w:val="0"/>
              <w:autoSpaceDN w:val="0"/>
              <w:adjustRightInd w:val="0"/>
              <w:jc w:val="both"/>
              <w:rPr>
                <w:rFonts w:eastAsia="Times New Roman"/>
                <w:color w:val="000000" w:themeColor="text1"/>
                <w:sz w:val="24"/>
                <w:szCs w:val="24"/>
                <w:lang w:eastAsia="en-GB"/>
              </w:rPr>
            </w:pPr>
            <w:r w:rsidRPr="00DE13EE">
              <w:rPr>
                <w:rFonts w:eastAsia="Times New Roman"/>
                <w:color w:val="000000" w:themeColor="text1"/>
                <w:sz w:val="24"/>
                <w:szCs w:val="24"/>
                <w:lang w:eastAsia="en-GB"/>
              </w:rPr>
              <w:t>Following</w:t>
            </w:r>
            <w:r w:rsidR="001D1EC5" w:rsidRPr="00DE13EE">
              <w:rPr>
                <w:rFonts w:eastAsia="Times New Roman"/>
                <w:color w:val="000000" w:themeColor="text1"/>
                <w:sz w:val="24"/>
                <w:szCs w:val="24"/>
                <w:lang w:eastAsia="en-GB"/>
              </w:rPr>
              <w:t xml:space="preserve"> </w:t>
            </w:r>
          </w:p>
          <w:p w14:paraId="786F944D" w14:textId="77777777" w:rsidR="0024014C" w:rsidRPr="00DE13EE" w:rsidRDefault="0024014C" w:rsidP="00304A8D">
            <w:pPr>
              <w:autoSpaceDE w:val="0"/>
              <w:autoSpaceDN w:val="0"/>
              <w:adjustRightInd w:val="0"/>
              <w:jc w:val="both"/>
              <w:rPr>
                <w:rFonts w:eastAsia="Times New Roman"/>
                <w:color w:val="000000" w:themeColor="text1"/>
                <w:sz w:val="24"/>
                <w:szCs w:val="24"/>
                <w:lang w:eastAsia="en-GB"/>
              </w:rPr>
            </w:pPr>
            <w:r w:rsidRPr="00DE13EE">
              <w:rPr>
                <w:rFonts w:eastAsia="Times New Roman"/>
                <w:color w:val="000000" w:themeColor="text1"/>
                <w:sz w:val="24"/>
                <w:szCs w:val="24"/>
                <w:lang w:eastAsia="en-GB"/>
              </w:rPr>
              <w:t xml:space="preserve">Forecast </w:t>
            </w:r>
          </w:p>
          <w:p w14:paraId="6B993406" w14:textId="77777777" w:rsidR="0024014C" w:rsidRPr="00DE13EE" w:rsidRDefault="0024014C" w:rsidP="00304A8D">
            <w:pPr>
              <w:autoSpaceDE w:val="0"/>
              <w:autoSpaceDN w:val="0"/>
              <w:adjustRightInd w:val="0"/>
              <w:jc w:val="both"/>
              <w:rPr>
                <w:rFonts w:eastAsia="Times New Roman"/>
                <w:color w:val="000000" w:themeColor="text1"/>
                <w:sz w:val="24"/>
                <w:szCs w:val="24"/>
                <w:lang w:eastAsia="en-GB"/>
              </w:rPr>
            </w:pPr>
            <w:r w:rsidRPr="00DE13EE">
              <w:rPr>
                <w:rFonts w:eastAsia="Times New Roman"/>
                <w:color w:val="000000" w:themeColor="text1"/>
                <w:sz w:val="24"/>
                <w:szCs w:val="24"/>
                <w:lang w:eastAsia="en-GB"/>
              </w:rPr>
              <w:t xml:space="preserve">Forthcoming </w:t>
            </w:r>
          </w:p>
          <w:p w14:paraId="6F6DB34D" w14:textId="2FDB262E" w:rsidR="0024014C" w:rsidRPr="00DE13EE" w:rsidRDefault="0024014C" w:rsidP="00304A8D">
            <w:pPr>
              <w:autoSpaceDE w:val="0"/>
              <w:autoSpaceDN w:val="0"/>
              <w:adjustRightInd w:val="0"/>
              <w:jc w:val="both"/>
              <w:rPr>
                <w:rFonts w:eastAsia="Times New Roman"/>
                <w:color w:val="000000" w:themeColor="text1"/>
                <w:sz w:val="24"/>
                <w:szCs w:val="24"/>
                <w:lang w:eastAsia="en-GB"/>
              </w:rPr>
            </w:pPr>
            <w:r w:rsidRPr="00DE13EE">
              <w:rPr>
                <w:rFonts w:eastAsia="Times New Roman"/>
                <w:color w:val="000000" w:themeColor="text1"/>
                <w:sz w:val="24"/>
                <w:szCs w:val="24"/>
                <w:lang w:eastAsia="en-GB"/>
              </w:rPr>
              <w:t>Future</w:t>
            </w:r>
            <w:r w:rsidR="001D1EC5" w:rsidRPr="00DE13EE">
              <w:rPr>
                <w:rFonts w:eastAsia="Times New Roman"/>
                <w:color w:val="000000" w:themeColor="text1"/>
                <w:sz w:val="24"/>
                <w:szCs w:val="24"/>
                <w:lang w:eastAsia="en-GB"/>
              </w:rPr>
              <w:t xml:space="preserve"> </w:t>
            </w:r>
          </w:p>
          <w:p w14:paraId="5E848B2E" w14:textId="77777777" w:rsidR="0024014C" w:rsidRPr="00DE13EE" w:rsidRDefault="0024014C" w:rsidP="00304A8D">
            <w:pPr>
              <w:autoSpaceDE w:val="0"/>
              <w:autoSpaceDN w:val="0"/>
              <w:adjustRightInd w:val="0"/>
              <w:jc w:val="both"/>
              <w:rPr>
                <w:rFonts w:eastAsia="Times New Roman"/>
                <w:color w:val="000000" w:themeColor="text1"/>
                <w:sz w:val="24"/>
                <w:szCs w:val="24"/>
                <w:lang w:eastAsia="en-GB"/>
              </w:rPr>
            </w:pPr>
            <w:r w:rsidRPr="00DE13EE">
              <w:rPr>
                <w:rFonts w:eastAsia="Times New Roman"/>
                <w:color w:val="000000" w:themeColor="text1"/>
                <w:sz w:val="24"/>
                <w:szCs w:val="24"/>
                <w:lang w:eastAsia="en-GB"/>
              </w:rPr>
              <w:t xml:space="preserve">Hope </w:t>
            </w:r>
          </w:p>
          <w:p w14:paraId="1DDC4771" w14:textId="0554716E" w:rsidR="0024014C" w:rsidRPr="00DE13EE" w:rsidRDefault="0024014C" w:rsidP="00304A8D">
            <w:pPr>
              <w:autoSpaceDE w:val="0"/>
              <w:autoSpaceDN w:val="0"/>
              <w:adjustRightInd w:val="0"/>
              <w:jc w:val="both"/>
              <w:rPr>
                <w:rFonts w:eastAsia="Times New Roman"/>
                <w:color w:val="000000" w:themeColor="text1"/>
                <w:sz w:val="24"/>
                <w:szCs w:val="24"/>
                <w:lang w:eastAsia="en-GB"/>
              </w:rPr>
            </w:pPr>
            <w:r w:rsidRPr="00DE13EE">
              <w:rPr>
                <w:rFonts w:eastAsia="Times New Roman"/>
                <w:color w:val="000000" w:themeColor="text1"/>
                <w:sz w:val="24"/>
                <w:szCs w:val="24"/>
                <w:lang w:eastAsia="en-GB"/>
              </w:rPr>
              <w:t>Incoming</w:t>
            </w:r>
            <w:r w:rsidR="001D1EC5" w:rsidRPr="00DE13EE">
              <w:rPr>
                <w:rFonts w:eastAsia="Times New Roman"/>
                <w:color w:val="000000" w:themeColor="text1"/>
                <w:sz w:val="24"/>
                <w:szCs w:val="24"/>
                <w:lang w:eastAsia="en-GB"/>
              </w:rPr>
              <w:t xml:space="preserve"> </w:t>
            </w:r>
          </w:p>
          <w:p w14:paraId="26AD8AD3" w14:textId="77777777" w:rsidR="0024014C" w:rsidRPr="00DE13EE" w:rsidRDefault="0024014C" w:rsidP="00304A8D">
            <w:pPr>
              <w:autoSpaceDE w:val="0"/>
              <w:autoSpaceDN w:val="0"/>
              <w:adjustRightInd w:val="0"/>
              <w:jc w:val="both"/>
              <w:rPr>
                <w:rFonts w:eastAsia="Times New Roman"/>
                <w:color w:val="000000" w:themeColor="text1"/>
                <w:sz w:val="24"/>
                <w:szCs w:val="24"/>
                <w:lang w:eastAsia="en-GB"/>
              </w:rPr>
            </w:pPr>
            <w:r w:rsidRPr="00DE13EE">
              <w:rPr>
                <w:rFonts w:eastAsia="Times New Roman"/>
                <w:color w:val="000000" w:themeColor="text1"/>
                <w:sz w:val="24"/>
                <w:szCs w:val="24"/>
                <w:lang w:eastAsia="en-GB"/>
              </w:rPr>
              <w:t xml:space="preserve">Intend </w:t>
            </w:r>
          </w:p>
          <w:p w14:paraId="6AB39325" w14:textId="77777777" w:rsidR="0024014C" w:rsidRPr="00DE13EE" w:rsidRDefault="0024014C" w:rsidP="00304A8D">
            <w:pPr>
              <w:autoSpaceDE w:val="0"/>
              <w:autoSpaceDN w:val="0"/>
              <w:adjustRightInd w:val="0"/>
              <w:jc w:val="both"/>
              <w:rPr>
                <w:rFonts w:eastAsia="Times New Roman"/>
                <w:color w:val="000000" w:themeColor="text1"/>
                <w:sz w:val="24"/>
                <w:szCs w:val="24"/>
                <w:lang w:eastAsia="en-GB"/>
              </w:rPr>
            </w:pPr>
            <w:r w:rsidRPr="00DE13EE">
              <w:rPr>
                <w:rFonts w:eastAsia="Times New Roman"/>
                <w:color w:val="000000" w:themeColor="text1"/>
                <w:sz w:val="24"/>
                <w:szCs w:val="24"/>
                <w:lang w:eastAsia="en-GB"/>
              </w:rPr>
              <w:t xml:space="preserve">Intention </w:t>
            </w:r>
          </w:p>
          <w:p w14:paraId="0620F220" w14:textId="77777777" w:rsidR="0024014C" w:rsidRPr="00DE13EE" w:rsidRDefault="0024014C" w:rsidP="00304A8D">
            <w:pPr>
              <w:autoSpaceDE w:val="0"/>
              <w:autoSpaceDN w:val="0"/>
              <w:adjustRightInd w:val="0"/>
              <w:jc w:val="both"/>
              <w:rPr>
                <w:rFonts w:eastAsia="Times New Roman"/>
                <w:color w:val="000000" w:themeColor="text1"/>
                <w:sz w:val="24"/>
                <w:szCs w:val="24"/>
                <w:lang w:eastAsia="en-GB"/>
              </w:rPr>
            </w:pPr>
            <w:r w:rsidRPr="00DE13EE">
              <w:rPr>
                <w:rFonts w:eastAsia="Times New Roman"/>
                <w:color w:val="000000" w:themeColor="text1"/>
                <w:sz w:val="24"/>
                <w:szCs w:val="24"/>
                <w:lang w:eastAsia="en-GB"/>
              </w:rPr>
              <w:t xml:space="preserve">Likely </w:t>
            </w:r>
          </w:p>
          <w:p w14:paraId="38F55685" w14:textId="77777777" w:rsidR="0024014C" w:rsidRPr="00DE13EE" w:rsidRDefault="0024014C" w:rsidP="00304A8D">
            <w:pPr>
              <w:autoSpaceDE w:val="0"/>
              <w:autoSpaceDN w:val="0"/>
              <w:adjustRightInd w:val="0"/>
              <w:jc w:val="both"/>
              <w:rPr>
                <w:rFonts w:eastAsia="Times New Roman"/>
                <w:color w:val="000000" w:themeColor="text1"/>
                <w:sz w:val="24"/>
                <w:szCs w:val="24"/>
                <w:lang w:eastAsia="en-GB"/>
              </w:rPr>
            </w:pPr>
            <w:r w:rsidRPr="00DE13EE">
              <w:rPr>
                <w:rFonts w:eastAsia="Times New Roman"/>
                <w:color w:val="000000" w:themeColor="text1"/>
                <w:sz w:val="24"/>
                <w:szCs w:val="24"/>
                <w:lang w:eastAsia="en-GB"/>
              </w:rPr>
              <w:t xml:space="preserve">Look-ahead </w:t>
            </w:r>
          </w:p>
          <w:p w14:paraId="3704FC31" w14:textId="77777777" w:rsidR="0024014C" w:rsidRPr="00DE13EE" w:rsidRDefault="0024014C" w:rsidP="00304A8D">
            <w:pPr>
              <w:autoSpaceDE w:val="0"/>
              <w:autoSpaceDN w:val="0"/>
              <w:adjustRightInd w:val="0"/>
              <w:jc w:val="both"/>
              <w:rPr>
                <w:rFonts w:eastAsia="Times New Roman"/>
                <w:color w:val="000000" w:themeColor="text1"/>
                <w:sz w:val="24"/>
                <w:szCs w:val="24"/>
                <w:lang w:eastAsia="en-GB"/>
              </w:rPr>
            </w:pPr>
            <w:r w:rsidRPr="00DE13EE">
              <w:rPr>
                <w:rFonts w:eastAsia="Times New Roman"/>
                <w:color w:val="000000" w:themeColor="text1"/>
                <w:sz w:val="24"/>
                <w:szCs w:val="24"/>
                <w:lang w:eastAsia="en-GB"/>
              </w:rPr>
              <w:t xml:space="preserve">Look-forward </w:t>
            </w:r>
          </w:p>
        </w:tc>
        <w:tc>
          <w:tcPr>
            <w:tcW w:w="4745" w:type="dxa"/>
            <w:tcBorders>
              <w:left w:val="nil"/>
              <w:right w:val="nil"/>
            </w:tcBorders>
          </w:tcPr>
          <w:p w14:paraId="554BAF67" w14:textId="77777777" w:rsidR="0024014C" w:rsidRPr="00DE13EE" w:rsidRDefault="0024014C" w:rsidP="00304A8D">
            <w:pPr>
              <w:autoSpaceDE w:val="0"/>
              <w:autoSpaceDN w:val="0"/>
              <w:adjustRightInd w:val="0"/>
              <w:jc w:val="both"/>
              <w:rPr>
                <w:rFonts w:eastAsia="Times New Roman"/>
                <w:color w:val="000000" w:themeColor="text1"/>
                <w:sz w:val="24"/>
                <w:szCs w:val="24"/>
                <w:lang w:eastAsia="en-GB"/>
              </w:rPr>
            </w:pPr>
            <w:r w:rsidRPr="00DE13EE">
              <w:rPr>
                <w:rFonts w:eastAsia="Times New Roman"/>
                <w:color w:val="000000" w:themeColor="text1"/>
                <w:sz w:val="24"/>
                <w:szCs w:val="24"/>
                <w:lang w:eastAsia="en-GB"/>
              </w:rPr>
              <w:t xml:space="preserve">Next </w:t>
            </w:r>
          </w:p>
          <w:p w14:paraId="5394E6D2" w14:textId="77777777" w:rsidR="0024014C" w:rsidRPr="00DE13EE" w:rsidRDefault="0024014C" w:rsidP="00304A8D">
            <w:pPr>
              <w:autoSpaceDE w:val="0"/>
              <w:autoSpaceDN w:val="0"/>
              <w:adjustRightInd w:val="0"/>
              <w:jc w:val="both"/>
              <w:rPr>
                <w:rFonts w:eastAsia="Times New Roman"/>
                <w:color w:val="000000" w:themeColor="text1"/>
                <w:sz w:val="24"/>
                <w:szCs w:val="24"/>
                <w:lang w:eastAsia="en-GB"/>
              </w:rPr>
            </w:pPr>
            <w:r w:rsidRPr="00DE13EE">
              <w:rPr>
                <w:rFonts w:eastAsia="Times New Roman"/>
                <w:color w:val="000000" w:themeColor="text1"/>
                <w:sz w:val="24"/>
                <w:szCs w:val="24"/>
                <w:lang w:eastAsia="en-GB"/>
              </w:rPr>
              <w:t xml:space="preserve">Plan </w:t>
            </w:r>
          </w:p>
          <w:p w14:paraId="1267EF6B" w14:textId="77777777" w:rsidR="0024014C" w:rsidRPr="00DE13EE" w:rsidRDefault="0024014C" w:rsidP="00304A8D">
            <w:pPr>
              <w:autoSpaceDE w:val="0"/>
              <w:autoSpaceDN w:val="0"/>
              <w:adjustRightInd w:val="0"/>
              <w:jc w:val="both"/>
              <w:rPr>
                <w:rFonts w:eastAsia="Times New Roman"/>
                <w:color w:val="000000" w:themeColor="text1"/>
                <w:sz w:val="24"/>
                <w:szCs w:val="24"/>
                <w:lang w:eastAsia="en-GB"/>
              </w:rPr>
            </w:pPr>
            <w:r w:rsidRPr="00DE13EE">
              <w:rPr>
                <w:rFonts w:eastAsia="Times New Roman"/>
                <w:color w:val="000000" w:themeColor="text1"/>
                <w:sz w:val="24"/>
                <w:szCs w:val="24"/>
                <w:lang w:eastAsia="en-GB"/>
              </w:rPr>
              <w:t xml:space="preserve">Predict </w:t>
            </w:r>
          </w:p>
          <w:p w14:paraId="38588947" w14:textId="77777777" w:rsidR="0024014C" w:rsidRPr="00DE13EE" w:rsidRDefault="0024014C" w:rsidP="00304A8D">
            <w:pPr>
              <w:autoSpaceDE w:val="0"/>
              <w:autoSpaceDN w:val="0"/>
              <w:adjustRightInd w:val="0"/>
              <w:jc w:val="both"/>
              <w:rPr>
                <w:rFonts w:eastAsia="Times New Roman"/>
                <w:color w:val="000000" w:themeColor="text1"/>
                <w:sz w:val="24"/>
                <w:szCs w:val="24"/>
                <w:lang w:eastAsia="en-GB"/>
              </w:rPr>
            </w:pPr>
            <w:r w:rsidRPr="00DE13EE">
              <w:rPr>
                <w:rFonts w:eastAsia="Times New Roman"/>
                <w:color w:val="000000" w:themeColor="text1"/>
                <w:sz w:val="24"/>
                <w:szCs w:val="24"/>
                <w:lang w:eastAsia="en-GB"/>
              </w:rPr>
              <w:t xml:space="preserve">Project </w:t>
            </w:r>
          </w:p>
          <w:p w14:paraId="3797457B" w14:textId="77777777" w:rsidR="0024014C" w:rsidRPr="00DE13EE" w:rsidRDefault="0024014C" w:rsidP="00304A8D">
            <w:pPr>
              <w:autoSpaceDE w:val="0"/>
              <w:autoSpaceDN w:val="0"/>
              <w:adjustRightInd w:val="0"/>
              <w:jc w:val="both"/>
              <w:rPr>
                <w:rFonts w:eastAsia="Times New Roman"/>
                <w:color w:val="000000" w:themeColor="text1"/>
                <w:sz w:val="24"/>
                <w:szCs w:val="24"/>
                <w:lang w:eastAsia="en-GB"/>
              </w:rPr>
            </w:pPr>
            <w:r w:rsidRPr="00DE13EE">
              <w:rPr>
                <w:rFonts w:eastAsia="Times New Roman"/>
                <w:color w:val="000000" w:themeColor="text1"/>
                <w:sz w:val="24"/>
                <w:szCs w:val="24"/>
                <w:lang w:eastAsia="en-GB"/>
              </w:rPr>
              <w:t xml:space="preserve">Prospect </w:t>
            </w:r>
          </w:p>
          <w:p w14:paraId="41514D9C" w14:textId="77777777" w:rsidR="0024014C" w:rsidRPr="00DE13EE" w:rsidRDefault="0024014C" w:rsidP="00304A8D">
            <w:pPr>
              <w:autoSpaceDE w:val="0"/>
              <w:autoSpaceDN w:val="0"/>
              <w:adjustRightInd w:val="0"/>
              <w:jc w:val="both"/>
              <w:rPr>
                <w:rFonts w:eastAsia="Times New Roman"/>
                <w:color w:val="000000" w:themeColor="text1"/>
                <w:sz w:val="24"/>
                <w:szCs w:val="24"/>
                <w:lang w:eastAsia="en-GB"/>
              </w:rPr>
            </w:pPr>
            <w:r w:rsidRPr="00DE13EE">
              <w:rPr>
                <w:rFonts w:eastAsia="Times New Roman"/>
                <w:color w:val="000000" w:themeColor="text1"/>
                <w:sz w:val="24"/>
                <w:szCs w:val="24"/>
                <w:lang w:eastAsia="en-GB"/>
              </w:rPr>
              <w:t xml:space="preserve">Seek </w:t>
            </w:r>
          </w:p>
          <w:p w14:paraId="671B2FEA" w14:textId="77777777" w:rsidR="0024014C" w:rsidRPr="00DE13EE" w:rsidRDefault="0024014C" w:rsidP="00304A8D">
            <w:pPr>
              <w:autoSpaceDE w:val="0"/>
              <w:autoSpaceDN w:val="0"/>
              <w:adjustRightInd w:val="0"/>
              <w:jc w:val="both"/>
              <w:rPr>
                <w:rFonts w:eastAsia="Times New Roman"/>
                <w:color w:val="000000" w:themeColor="text1"/>
                <w:sz w:val="24"/>
                <w:szCs w:val="24"/>
                <w:lang w:eastAsia="en-GB"/>
              </w:rPr>
            </w:pPr>
            <w:r w:rsidRPr="00DE13EE">
              <w:rPr>
                <w:rFonts w:eastAsia="Times New Roman"/>
                <w:color w:val="000000" w:themeColor="text1"/>
                <w:sz w:val="24"/>
                <w:szCs w:val="24"/>
                <w:lang w:eastAsia="en-GB"/>
              </w:rPr>
              <w:t xml:space="preserve">Shortly </w:t>
            </w:r>
          </w:p>
          <w:p w14:paraId="190A0079" w14:textId="77777777" w:rsidR="0024014C" w:rsidRPr="00DE13EE" w:rsidRDefault="0024014C" w:rsidP="00304A8D">
            <w:pPr>
              <w:autoSpaceDE w:val="0"/>
              <w:autoSpaceDN w:val="0"/>
              <w:adjustRightInd w:val="0"/>
              <w:jc w:val="both"/>
              <w:rPr>
                <w:rFonts w:eastAsia="Times New Roman"/>
                <w:color w:val="000000" w:themeColor="text1"/>
                <w:sz w:val="24"/>
                <w:szCs w:val="24"/>
                <w:lang w:eastAsia="en-GB"/>
              </w:rPr>
            </w:pPr>
            <w:r w:rsidRPr="00DE13EE">
              <w:rPr>
                <w:rFonts w:eastAsia="Times New Roman"/>
                <w:color w:val="000000" w:themeColor="text1"/>
                <w:sz w:val="24"/>
                <w:szCs w:val="24"/>
                <w:lang w:eastAsia="en-GB"/>
              </w:rPr>
              <w:t xml:space="preserve">Soon </w:t>
            </w:r>
          </w:p>
          <w:p w14:paraId="2FC0DAFB" w14:textId="13903DB7" w:rsidR="0024014C" w:rsidRPr="00DE13EE" w:rsidRDefault="0024014C" w:rsidP="00304A8D">
            <w:pPr>
              <w:autoSpaceDE w:val="0"/>
              <w:autoSpaceDN w:val="0"/>
              <w:adjustRightInd w:val="0"/>
              <w:jc w:val="both"/>
              <w:rPr>
                <w:rFonts w:eastAsia="Times New Roman"/>
                <w:color w:val="000000" w:themeColor="text1"/>
                <w:sz w:val="24"/>
                <w:szCs w:val="24"/>
                <w:lang w:eastAsia="en-GB"/>
              </w:rPr>
            </w:pPr>
            <w:r w:rsidRPr="00DE13EE">
              <w:rPr>
                <w:rFonts w:eastAsia="Times New Roman"/>
                <w:color w:val="000000" w:themeColor="text1"/>
                <w:sz w:val="24"/>
                <w:szCs w:val="24"/>
                <w:lang w:eastAsia="en-GB"/>
              </w:rPr>
              <w:t>Subsequent</w:t>
            </w:r>
            <w:r w:rsidR="001D1EC5" w:rsidRPr="00DE13EE">
              <w:rPr>
                <w:rFonts w:eastAsia="Times New Roman"/>
                <w:color w:val="000000" w:themeColor="text1"/>
                <w:sz w:val="24"/>
                <w:szCs w:val="24"/>
                <w:lang w:eastAsia="en-GB"/>
              </w:rPr>
              <w:t xml:space="preserve"> </w:t>
            </w:r>
          </w:p>
          <w:p w14:paraId="149D8B6E" w14:textId="77777777" w:rsidR="0024014C" w:rsidRPr="00DE13EE" w:rsidRDefault="0024014C" w:rsidP="00304A8D">
            <w:pPr>
              <w:autoSpaceDE w:val="0"/>
              <w:autoSpaceDN w:val="0"/>
              <w:adjustRightInd w:val="0"/>
              <w:jc w:val="both"/>
              <w:rPr>
                <w:rFonts w:eastAsia="Times New Roman"/>
                <w:color w:val="000000" w:themeColor="text1"/>
                <w:sz w:val="24"/>
                <w:szCs w:val="24"/>
                <w:lang w:eastAsia="en-GB"/>
              </w:rPr>
            </w:pPr>
            <w:r w:rsidRPr="00DE13EE">
              <w:rPr>
                <w:rFonts w:eastAsia="Times New Roman"/>
                <w:color w:val="000000" w:themeColor="text1"/>
                <w:sz w:val="24"/>
                <w:szCs w:val="24"/>
                <w:lang w:eastAsia="en-GB"/>
              </w:rPr>
              <w:t xml:space="preserve">Unlikely </w:t>
            </w:r>
          </w:p>
          <w:p w14:paraId="7AFAAFEF" w14:textId="77777777" w:rsidR="0024014C" w:rsidRPr="00DE13EE" w:rsidRDefault="0024014C" w:rsidP="00304A8D">
            <w:pPr>
              <w:autoSpaceDE w:val="0"/>
              <w:autoSpaceDN w:val="0"/>
              <w:adjustRightInd w:val="0"/>
              <w:jc w:val="both"/>
              <w:rPr>
                <w:rFonts w:eastAsia="Times New Roman"/>
                <w:color w:val="000000" w:themeColor="text1"/>
                <w:sz w:val="24"/>
                <w:szCs w:val="24"/>
                <w:lang w:eastAsia="en-GB"/>
              </w:rPr>
            </w:pPr>
            <w:r w:rsidRPr="00DE13EE">
              <w:rPr>
                <w:rFonts w:eastAsia="Times New Roman"/>
                <w:color w:val="000000" w:themeColor="text1"/>
                <w:sz w:val="24"/>
                <w:szCs w:val="24"/>
                <w:lang w:eastAsia="en-GB"/>
              </w:rPr>
              <w:t xml:space="preserve">Upcoming </w:t>
            </w:r>
          </w:p>
          <w:p w14:paraId="7E3C4DC5" w14:textId="77777777" w:rsidR="0024014C" w:rsidRPr="00DE13EE" w:rsidRDefault="0024014C" w:rsidP="00304A8D">
            <w:pPr>
              <w:autoSpaceDE w:val="0"/>
              <w:autoSpaceDN w:val="0"/>
              <w:adjustRightInd w:val="0"/>
              <w:jc w:val="both"/>
              <w:rPr>
                <w:rFonts w:eastAsia="Times New Roman"/>
                <w:color w:val="000000" w:themeColor="text1"/>
                <w:sz w:val="24"/>
                <w:szCs w:val="24"/>
                <w:lang w:eastAsia="en-GB"/>
              </w:rPr>
            </w:pPr>
            <w:r w:rsidRPr="00DE13EE">
              <w:rPr>
                <w:rFonts w:eastAsia="Times New Roman"/>
                <w:color w:val="000000" w:themeColor="text1"/>
                <w:sz w:val="24"/>
                <w:szCs w:val="24"/>
                <w:lang w:eastAsia="en-GB"/>
              </w:rPr>
              <w:t xml:space="preserve">Well-placed </w:t>
            </w:r>
          </w:p>
          <w:p w14:paraId="6A8078C6" w14:textId="77777777" w:rsidR="0024014C" w:rsidRPr="00DE13EE" w:rsidRDefault="0024014C" w:rsidP="00304A8D">
            <w:pPr>
              <w:autoSpaceDE w:val="0"/>
              <w:autoSpaceDN w:val="0"/>
              <w:adjustRightInd w:val="0"/>
              <w:jc w:val="both"/>
              <w:rPr>
                <w:rFonts w:eastAsia="Times New Roman"/>
                <w:color w:val="000000" w:themeColor="text1"/>
                <w:sz w:val="24"/>
                <w:szCs w:val="24"/>
                <w:lang w:eastAsia="en-GB"/>
              </w:rPr>
            </w:pPr>
            <w:r w:rsidRPr="00DE13EE">
              <w:rPr>
                <w:rFonts w:eastAsia="Times New Roman"/>
                <w:color w:val="000000" w:themeColor="text1"/>
                <w:sz w:val="24"/>
                <w:szCs w:val="24"/>
                <w:lang w:eastAsia="en-GB"/>
              </w:rPr>
              <w:t xml:space="preserve">Well-positioned </w:t>
            </w:r>
          </w:p>
          <w:p w14:paraId="5DA627A8" w14:textId="77777777" w:rsidR="0024014C" w:rsidRPr="00DE13EE" w:rsidRDefault="0024014C" w:rsidP="00304A8D">
            <w:pPr>
              <w:autoSpaceDE w:val="0"/>
              <w:autoSpaceDN w:val="0"/>
              <w:adjustRightInd w:val="0"/>
              <w:jc w:val="both"/>
              <w:rPr>
                <w:rFonts w:eastAsia="Times New Roman"/>
                <w:color w:val="000000" w:themeColor="text1"/>
                <w:sz w:val="24"/>
                <w:szCs w:val="24"/>
                <w:lang w:eastAsia="en-GB"/>
              </w:rPr>
            </w:pPr>
            <w:r w:rsidRPr="00DE13EE">
              <w:rPr>
                <w:rFonts w:eastAsia="Times New Roman"/>
                <w:color w:val="000000" w:themeColor="text1"/>
                <w:sz w:val="24"/>
                <w:szCs w:val="24"/>
                <w:lang w:eastAsia="en-GB"/>
              </w:rPr>
              <w:t xml:space="preserve">Will </w:t>
            </w:r>
          </w:p>
          <w:p w14:paraId="4A4C4F2B" w14:textId="77777777" w:rsidR="0024014C" w:rsidRPr="00DE13EE" w:rsidRDefault="0024014C" w:rsidP="00304A8D">
            <w:pPr>
              <w:autoSpaceDE w:val="0"/>
              <w:autoSpaceDN w:val="0"/>
              <w:adjustRightInd w:val="0"/>
              <w:jc w:val="both"/>
              <w:rPr>
                <w:rFonts w:eastAsia="Times New Roman"/>
                <w:color w:val="000000" w:themeColor="text1"/>
                <w:sz w:val="24"/>
                <w:szCs w:val="24"/>
                <w:lang w:eastAsia="en-GB"/>
              </w:rPr>
            </w:pPr>
            <w:r w:rsidRPr="00DE13EE">
              <w:rPr>
                <w:rFonts w:eastAsia="Times New Roman"/>
                <w:color w:val="000000" w:themeColor="text1"/>
                <w:sz w:val="24"/>
                <w:szCs w:val="24"/>
                <w:lang w:eastAsia="en-GB"/>
              </w:rPr>
              <w:t>Year-ahead</w:t>
            </w:r>
          </w:p>
        </w:tc>
      </w:tr>
      <w:tr w:rsidR="00DE13EE" w:rsidRPr="00DE13EE" w14:paraId="68FBEC3C" w14:textId="77777777" w:rsidTr="00304A8D">
        <w:trPr>
          <w:jc w:val="center"/>
        </w:trPr>
        <w:tc>
          <w:tcPr>
            <w:tcW w:w="8233" w:type="dxa"/>
            <w:gridSpan w:val="2"/>
            <w:tcBorders>
              <w:left w:val="nil"/>
              <w:right w:val="nil"/>
            </w:tcBorders>
          </w:tcPr>
          <w:p w14:paraId="6A661336" w14:textId="762F04E0" w:rsidR="0024014C" w:rsidRPr="00DE13EE" w:rsidRDefault="0024014C" w:rsidP="00304A8D">
            <w:pPr>
              <w:autoSpaceDE w:val="0"/>
              <w:autoSpaceDN w:val="0"/>
              <w:adjustRightInd w:val="0"/>
              <w:jc w:val="both"/>
              <w:rPr>
                <w:rFonts w:eastAsia="Times New Roman"/>
                <w:color w:val="000000" w:themeColor="text1"/>
                <w:lang w:eastAsia="en-GB"/>
              </w:rPr>
            </w:pPr>
            <w:r w:rsidRPr="00DE13EE">
              <w:rPr>
                <w:rFonts w:eastAsia="Times New Roman"/>
                <w:color w:val="000000" w:themeColor="text1"/>
                <w:lang w:eastAsia="en-GB"/>
              </w:rPr>
              <w:t>The order of the keywords is alphabetical</w:t>
            </w:r>
            <w:r w:rsidR="00A702CC" w:rsidRPr="00DE13EE">
              <w:rPr>
                <w:rFonts w:eastAsia="Times New Roman"/>
                <w:color w:val="000000" w:themeColor="text1"/>
                <w:lang w:eastAsia="en-GB"/>
              </w:rPr>
              <w:t>.</w:t>
            </w:r>
          </w:p>
        </w:tc>
      </w:tr>
      <w:tr w:rsidR="00DE13EE" w:rsidRPr="00DE13EE" w14:paraId="334814E0" w14:textId="77777777" w:rsidTr="00304A8D">
        <w:trPr>
          <w:jc w:val="center"/>
        </w:trPr>
        <w:tc>
          <w:tcPr>
            <w:tcW w:w="8233" w:type="dxa"/>
            <w:gridSpan w:val="2"/>
            <w:tcBorders>
              <w:left w:val="nil"/>
              <w:bottom w:val="single" w:sz="4" w:space="0" w:color="auto"/>
              <w:right w:val="nil"/>
            </w:tcBorders>
          </w:tcPr>
          <w:p w14:paraId="23A2B009" w14:textId="69B04BD3" w:rsidR="0024014C" w:rsidRPr="00DE13EE" w:rsidRDefault="0024014C" w:rsidP="00304A8D">
            <w:pPr>
              <w:autoSpaceDE w:val="0"/>
              <w:autoSpaceDN w:val="0"/>
              <w:adjustRightInd w:val="0"/>
              <w:jc w:val="both"/>
              <w:rPr>
                <w:rFonts w:eastAsia="Times New Roman"/>
                <w:color w:val="000000" w:themeColor="text1"/>
                <w:lang w:eastAsia="en-GB"/>
              </w:rPr>
            </w:pPr>
            <w:r w:rsidRPr="00DE13EE">
              <w:rPr>
                <w:rFonts w:eastAsia="Times New Roman"/>
                <w:color w:val="000000" w:themeColor="text1"/>
                <w:lang w:eastAsia="en-GB"/>
              </w:rPr>
              <w:t xml:space="preserve">In addition to this list of keywords, time indicators, </w:t>
            </w:r>
            <w:r w:rsidRPr="00DE13EE">
              <w:rPr>
                <w:color w:val="000000" w:themeColor="text1"/>
                <w:lang w:eastAsia="en-GB"/>
              </w:rPr>
              <w:t xml:space="preserve">conjugations, </w:t>
            </w:r>
            <w:r w:rsidRPr="00DE13EE">
              <w:rPr>
                <w:rFonts w:eastAsia="Times New Roman"/>
                <w:color w:val="000000" w:themeColor="text1"/>
                <w:lang w:eastAsia="en-GB"/>
              </w:rPr>
              <w:t>and reference to future year</w:t>
            </w:r>
            <w:r w:rsidR="00626722" w:rsidRPr="00DE13EE">
              <w:rPr>
                <w:rFonts w:eastAsia="Times New Roman"/>
                <w:color w:val="000000" w:themeColor="text1"/>
                <w:lang w:eastAsia="en-GB"/>
              </w:rPr>
              <w:t>s</w:t>
            </w:r>
            <w:r w:rsidRPr="00DE13EE">
              <w:rPr>
                <w:rFonts w:eastAsia="Times New Roman"/>
                <w:color w:val="000000" w:themeColor="text1"/>
                <w:lang w:eastAsia="en-GB"/>
              </w:rPr>
              <w:t xml:space="preserve"> are added in the coding process. </w:t>
            </w:r>
          </w:p>
        </w:tc>
      </w:tr>
      <w:tr w:rsidR="0024014C" w:rsidRPr="00DE13EE" w14:paraId="410532A2" w14:textId="77777777" w:rsidTr="00304A8D">
        <w:trPr>
          <w:jc w:val="center"/>
        </w:trPr>
        <w:tc>
          <w:tcPr>
            <w:tcW w:w="8233" w:type="dxa"/>
            <w:gridSpan w:val="2"/>
            <w:tcBorders>
              <w:left w:val="nil"/>
              <w:bottom w:val="nil"/>
              <w:right w:val="nil"/>
            </w:tcBorders>
          </w:tcPr>
          <w:p w14:paraId="6F55936A" w14:textId="215EEDA2" w:rsidR="0024014C" w:rsidRPr="00DE13EE" w:rsidRDefault="0024014C" w:rsidP="00B148E9">
            <w:pPr>
              <w:autoSpaceDE w:val="0"/>
              <w:autoSpaceDN w:val="0"/>
              <w:adjustRightInd w:val="0"/>
              <w:jc w:val="both"/>
              <w:rPr>
                <w:rFonts w:eastAsia="Times New Roman"/>
                <w:color w:val="000000" w:themeColor="text1"/>
                <w:lang w:eastAsia="en-GB"/>
              </w:rPr>
            </w:pPr>
            <w:r w:rsidRPr="00DE13EE">
              <w:rPr>
                <w:rFonts w:eastAsia="Times New Roman"/>
                <w:color w:val="000000" w:themeColor="text1"/>
                <w:lang w:eastAsia="en-GB"/>
              </w:rPr>
              <w:t xml:space="preserve">This Table </w:t>
            </w:r>
            <w:r w:rsidR="00626722" w:rsidRPr="00DE13EE">
              <w:rPr>
                <w:rFonts w:eastAsia="Times New Roman"/>
                <w:color w:val="000000" w:themeColor="text1"/>
                <w:lang w:eastAsia="en-GB"/>
              </w:rPr>
              <w:t xml:space="preserve">includes </w:t>
            </w:r>
            <w:r w:rsidRPr="00DE13EE">
              <w:rPr>
                <w:rFonts w:eastAsia="Times New Roman"/>
                <w:color w:val="000000" w:themeColor="text1"/>
                <w:lang w:eastAsia="en-GB"/>
              </w:rPr>
              <w:t xml:space="preserve">the list of </w:t>
            </w:r>
            <w:r w:rsidR="00626722" w:rsidRPr="00DE13EE">
              <w:rPr>
                <w:rFonts w:eastAsia="Times New Roman"/>
                <w:color w:val="000000" w:themeColor="text1"/>
                <w:lang w:eastAsia="en-GB"/>
              </w:rPr>
              <w:t xml:space="preserve">33 </w:t>
            </w:r>
            <w:r w:rsidRPr="00DE13EE">
              <w:rPr>
                <w:rFonts w:eastAsia="Times New Roman"/>
                <w:color w:val="000000" w:themeColor="text1"/>
                <w:lang w:eastAsia="en-GB"/>
              </w:rPr>
              <w:t>forward-looking keywords.</w:t>
            </w:r>
          </w:p>
        </w:tc>
      </w:tr>
    </w:tbl>
    <w:p w14:paraId="7F7444B1" w14:textId="77777777" w:rsidR="0024014C" w:rsidRPr="00DE13EE" w:rsidRDefault="0024014C" w:rsidP="0024014C">
      <w:pPr>
        <w:rPr>
          <w:rFonts w:ascii="Times New Roman" w:hAnsi="Times New Roman" w:cs="Times New Roman"/>
          <w:color w:val="000000" w:themeColor="text1"/>
          <w:sz w:val="24"/>
          <w:szCs w:val="24"/>
          <w:lang w:val="en-US"/>
        </w:rPr>
      </w:pPr>
    </w:p>
    <w:p w14:paraId="2A7C4452" w14:textId="77777777" w:rsidR="0024014C" w:rsidRPr="00DE13EE" w:rsidRDefault="0024014C" w:rsidP="0024014C">
      <w:pPr>
        <w:rPr>
          <w:rFonts w:ascii="Times New Roman" w:hAnsi="Times New Roman" w:cs="Times New Roman"/>
          <w:color w:val="000000" w:themeColor="text1"/>
          <w:sz w:val="24"/>
          <w:szCs w:val="24"/>
          <w:lang w:val="en-US"/>
        </w:rPr>
      </w:pPr>
    </w:p>
    <w:p w14:paraId="7C55C7BD" w14:textId="77777777" w:rsidR="0024014C" w:rsidRPr="00DE13EE" w:rsidRDefault="0024014C" w:rsidP="0024014C">
      <w:pPr>
        <w:rPr>
          <w:rFonts w:ascii="Times New Roman" w:hAnsi="Times New Roman" w:cs="Times New Roman"/>
          <w:color w:val="000000" w:themeColor="text1"/>
          <w:sz w:val="24"/>
          <w:szCs w:val="24"/>
          <w:lang w:val="en-US"/>
        </w:rPr>
      </w:pPr>
    </w:p>
    <w:p w14:paraId="2102DE2B" w14:textId="77777777" w:rsidR="001D23F9" w:rsidRPr="00DE13EE" w:rsidRDefault="001D23F9" w:rsidP="0024014C">
      <w:pPr>
        <w:rPr>
          <w:rFonts w:ascii="Times New Roman" w:hAnsi="Times New Roman" w:cs="Times New Roman"/>
          <w:color w:val="000000" w:themeColor="text1"/>
          <w:sz w:val="24"/>
          <w:szCs w:val="24"/>
          <w:lang w:val="en-US"/>
        </w:rPr>
      </w:pPr>
    </w:p>
    <w:p w14:paraId="0611EC5E" w14:textId="77777777" w:rsidR="001D23F9" w:rsidRPr="00DE13EE" w:rsidRDefault="001D23F9" w:rsidP="0024014C">
      <w:pPr>
        <w:rPr>
          <w:rFonts w:ascii="Times New Roman" w:hAnsi="Times New Roman" w:cs="Times New Roman"/>
          <w:color w:val="000000" w:themeColor="text1"/>
          <w:sz w:val="24"/>
          <w:szCs w:val="24"/>
          <w:lang w:val="en-US"/>
        </w:rPr>
      </w:pPr>
    </w:p>
    <w:p w14:paraId="78A59654" w14:textId="77777777" w:rsidR="001D23F9" w:rsidRPr="00DE13EE" w:rsidRDefault="001D23F9" w:rsidP="0024014C">
      <w:pPr>
        <w:rPr>
          <w:rFonts w:ascii="Times New Roman" w:hAnsi="Times New Roman" w:cs="Times New Roman"/>
          <w:color w:val="000000" w:themeColor="text1"/>
          <w:sz w:val="24"/>
          <w:szCs w:val="24"/>
          <w:lang w:val="en-US"/>
        </w:rPr>
      </w:pPr>
    </w:p>
    <w:p w14:paraId="03851FF6" w14:textId="77777777" w:rsidR="001D23F9" w:rsidRPr="00DE13EE" w:rsidRDefault="001D23F9" w:rsidP="0024014C">
      <w:pPr>
        <w:rPr>
          <w:rFonts w:ascii="Times New Roman" w:hAnsi="Times New Roman" w:cs="Times New Roman"/>
          <w:color w:val="000000" w:themeColor="text1"/>
          <w:sz w:val="24"/>
          <w:szCs w:val="24"/>
          <w:lang w:val="en-US"/>
        </w:rPr>
      </w:pPr>
    </w:p>
    <w:p w14:paraId="2527D532" w14:textId="77777777" w:rsidR="001D23F9" w:rsidRPr="00DE13EE" w:rsidRDefault="001D23F9" w:rsidP="0024014C">
      <w:pPr>
        <w:rPr>
          <w:rFonts w:ascii="Times New Roman" w:hAnsi="Times New Roman" w:cs="Times New Roman"/>
          <w:color w:val="000000" w:themeColor="text1"/>
          <w:sz w:val="24"/>
          <w:szCs w:val="24"/>
          <w:lang w:val="en-US"/>
        </w:rPr>
      </w:pPr>
    </w:p>
    <w:p w14:paraId="042A94D1" w14:textId="77777777" w:rsidR="001D23F9" w:rsidRPr="00DE13EE" w:rsidRDefault="001D23F9" w:rsidP="0024014C">
      <w:pPr>
        <w:rPr>
          <w:rFonts w:ascii="Times New Roman" w:hAnsi="Times New Roman" w:cs="Times New Roman"/>
          <w:color w:val="000000" w:themeColor="text1"/>
          <w:sz w:val="24"/>
          <w:szCs w:val="24"/>
          <w:lang w:val="en-US"/>
        </w:rPr>
      </w:pPr>
    </w:p>
    <w:p w14:paraId="709BCB7F" w14:textId="77777777" w:rsidR="001D23F9" w:rsidRPr="00DE13EE" w:rsidRDefault="001D23F9" w:rsidP="0024014C">
      <w:pPr>
        <w:rPr>
          <w:rFonts w:ascii="Times New Roman" w:hAnsi="Times New Roman" w:cs="Times New Roman"/>
          <w:color w:val="000000" w:themeColor="text1"/>
          <w:sz w:val="24"/>
          <w:szCs w:val="24"/>
          <w:lang w:val="en-US"/>
        </w:rPr>
      </w:pPr>
    </w:p>
    <w:p w14:paraId="23DAC279" w14:textId="77777777" w:rsidR="001D23F9" w:rsidRPr="00DE13EE" w:rsidRDefault="001D23F9" w:rsidP="0024014C">
      <w:pPr>
        <w:rPr>
          <w:rFonts w:ascii="Times New Roman" w:hAnsi="Times New Roman" w:cs="Times New Roman"/>
          <w:color w:val="000000" w:themeColor="text1"/>
          <w:sz w:val="24"/>
          <w:szCs w:val="24"/>
          <w:lang w:val="en-US"/>
        </w:rPr>
      </w:pPr>
    </w:p>
    <w:p w14:paraId="01DCA895" w14:textId="77777777" w:rsidR="0024014C" w:rsidRPr="00DE13EE" w:rsidRDefault="0024014C" w:rsidP="0024014C">
      <w:pPr>
        <w:rPr>
          <w:rFonts w:ascii="Times New Roman" w:hAnsi="Times New Roman" w:cs="Times New Roman"/>
          <w:color w:val="000000" w:themeColor="text1"/>
          <w:sz w:val="24"/>
          <w:szCs w:val="24"/>
          <w:lang w:val="en-US"/>
        </w:rPr>
      </w:pPr>
    </w:p>
    <w:p w14:paraId="093C069E" w14:textId="77777777" w:rsidR="0024014C" w:rsidRPr="00DE13EE" w:rsidRDefault="0024014C" w:rsidP="0024014C">
      <w:pPr>
        <w:rPr>
          <w:rFonts w:ascii="Times New Roman" w:hAnsi="Times New Roman" w:cs="Times New Roman"/>
          <w:color w:val="000000" w:themeColor="text1"/>
          <w:sz w:val="24"/>
          <w:szCs w:val="24"/>
          <w:lang w:val="en-US"/>
        </w:rPr>
      </w:pPr>
    </w:p>
    <w:tbl>
      <w:tblPr>
        <w:tblStyle w:val="TableGrid52"/>
        <w:tblW w:w="11057" w:type="dxa"/>
        <w:jc w:val="center"/>
        <w:tblLook w:val="04A0" w:firstRow="1" w:lastRow="0" w:firstColumn="1" w:lastColumn="0" w:noHBand="0" w:noVBand="1"/>
      </w:tblPr>
      <w:tblGrid>
        <w:gridCol w:w="2127"/>
        <w:gridCol w:w="1441"/>
        <w:gridCol w:w="7489"/>
      </w:tblGrid>
      <w:tr w:rsidR="00DE13EE" w:rsidRPr="00DE13EE" w14:paraId="033A200D" w14:textId="77777777" w:rsidTr="00A15E54">
        <w:trPr>
          <w:trHeight w:val="140"/>
          <w:jc w:val="center"/>
        </w:trPr>
        <w:tc>
          <w:tcPr>
            <w:tcW w:w="11057" w:type="dxa"/>
            <w:gridSpan w:val="3"/>
            <w:tcBorders>
              <w:top w:val="nil"/>
              <w:left w:val="nil"/>
              <w:bottom w:val="single" w:sz="4" w:space="0" w:color="auto"/>
              <w:right w:val="nil"/>
            </w:tcBorders>
          </w:tcPr>
          <w:p w14:paraId="0620B174" w14:textId="77777777" w:rsidR="000D166F" w:rsidRPr="00DE13EE" w:rsidRDefault="000D166F" w:rsidP="000D166F">
            <w:pPr>
              <w:widowControl w:val="0"/>
              <w:autoSpaceDE w:val="0"/>
              <w:autoSpaceDN w:val="0"/>
              <w:adjustRightInd w:val="0"/>
              <w:jc w:val="both"/>
              <w:rPr>
                <w:rFonts w:ascii="Times New Roman" w:eastAsia="Times New Roman" w:hAnsi="Times New Roman" w:cs="Times New Roman"/>
                <w:b/>
                <w:color w:val="000000" w:themeColor="text1"/>
                <w:sz w:val="24"/>
                <w:szCs w:val="24"/>
                <w:lang w:val="en-US" w:eastAsia="en-GB"/>
              </w:rPr>
            </w:pPr>
            <w:r w:rsidRPr="00DE13EE">
              <w:rPr>
                <w:rFonts w:ascii="Times New Roman" w:eastAsia="Times New Roman" w:hAnsi="Times New Roman" w:cs="Times New Roman"/>
                <w:b/>
                <w:color w:val="000000" w:themeColor="text1"/>
                <w:sz w:val="24"/>
                <w:szCs w:val="24"/>
                <w:lang w:val="en-US" w:eastAsia="en-GB"/>
              </w:rPr>
              <w:lastRenderedPageBreak/>
              <w:t>Appendix (2): Definitions and measurements of variables</w:t>
            </w:r>
          </w:p>
          <w:p w14:paraId="22AA8842" w14:textId="77777777" w:rsidR="000D166F" w:rsidRPr="00DE13EE" w:rsidRDefault="000D166F" w:rsidP="00304A8D">
            <w:pPr>
              <w:rPr>
                <w:rFonts w:ascii="Times New Roman" w:hAnsi="Times New Roman" w:cs="Times New Roman"/>
                <w:b/>
                <w:iCs/>
                <w:color w:val="000000" w:themeColor="text1"/>
                <w:sz w:val="24"/>
                <w:szCs w:val="24"/>
                <w:lang w:val="en-US"/>
              </w:rPr>
            </w:pPr>
          </w:p>
        </w:tc>
      </w:tr>
      <w:tr w:rsidR="00DE13EE" w:rsidRPr="00DE13EE" w14:paraId="6E70B4D5" w14:textId="77777777" w:rsidTr="00A15E54">
        <w:trPr>
          <w:trHeight w:val="140"/>
          <w:jc w:val="center"/>
        </w:trPr>
        <w:tc>
          <w:tcPr>
            <w:tcW w:w="2127" w:type="dxa"/>
            <w:tcBorders>
              <w:left w:val="nil"/>
              <w:bottom w:val="single" w:sz="4" w:space="0" w:color="auto"/>
              <w:right w:val="nil"/>
            </w:tcBorders>
            <w:hideMark/>
          </w:tcPr>
          <w:p w14:paraId="438BBDD8" w14:textId="77777777" w:rsidR="0024014C" w:rsidRPr="00DE13EE" w:rsidRDefault="0024014C" w:rsidP="00304A8D">
            <w:pPr>
              <w:rPr>
                <w:rFonts w:ascii="Times New Roman" w:hAnsi="Times New Roman" w:cs="Times New Roman"/>
                <w:b/>
                <w:iCs/>
                <w:color w:val="000000" w:themeColor="text1"/>
                <w:sz w:val="24"/>
                <w:szCs w:val="24"/>
                <w:lang w:val="en-US"/>
              </w:rPr>
            </w:pPr>
            <w:r w:rsidRPr="00DE13EE">
              <w:rPr>
                <w:rFonts w:ascii="Times New Roman" w:hAnsi="Times New Roman" w:cs="Times New Roman"/>
                <w:b/>
                <w:iCs/>
                <w:color w:val="000000" w:themeColor="text1"/>
                <w:sz w:val="24"/>
                <w:szCs w:val="24"/>
                <w:lang w:val="en-US"/>
              </w:rPr>
              <w:t>Definition</w:t>
            </w:r>
          </w:p>
        </w:tc>
        <w:tc>
          <w:tcPr>
            <w:tcW w:w="1441" w:type="dxa"/>
            <w:tcBorders>
              <w:left w:val="nil"/>
              <w:bottom w:val="single" w:sz="4" w:space="0" w:color="auto"/>
              <w:right w:val="nil"/>
            </w:tcBorders>
            <w:hideMark/>
          </w:tcPr>
          <w:p w14:paraId="62FED385" w14:textId="77777777" w:rsidR="0024014C" w:rsidRPr="00DE13EE" w:rsidRDefault="0024014C" w:rsidP="00304A8D">
            <w:pPr>
              <w:rPr>
                <w:rFonts w:ascii="Times New Roman" w:hAnsi="Times New Roman" w:cs="Times New Roman"/>
                <w:b/>
                <w:iCs/>
                <w:color w:val="000000" w:themeColor="text1"/>
                <w:sz w:val="24"/>
                <w:szCs w:val="24"/>
                <w:lang w:val="en-US"/>
              </w:rPr>
            </w:pPr>
            <w:r w:rsidRPr="00DE13EE">
              <w:rPr>
                <w:rFonts w:ascii="Times New Roman" w:hAnsi="Times New Roman" w:cs="Times New Roman"/>
                <w:b/>
                <w:iCs/>
                <w:color w:val="000000" w:themeColor="text1"/>
                <w:sz w:val="24"/>
                <w:szCs w:val="24"/>
                <w:lang w:val="en-US"/>
              </w:rPr>
              <w:t>Acronym</w:t>
            </w:r>
          </w:p>
        </w:tc>
        <w:tc>
          <w:tcPr>
            <w:tcW w:w="7489" w:type="dxa"/>
            <w:tcBorders>
              <w:left w:val="nil"/>
              <w:bottom w:val="single" w:sz="4" w:space="0" w:color="auto"/>
              <w:right w:val="nil"/>
            </w:tcBorders>
            <w:hideMark/>
          </w:tcPr>
          <w:p w14:paraId="65057D2A" w14:textId="77777777" w:rsidR="0024014C" w:rsidRPr="00DE13EE" w:rsidRDefault="0024014C" w:rsidP="00304A8D">
            <w:pPr>
              <w:rPr>
                <w:rFonts w:ascii="Times New Roman" w:hAnsi="Times New Roman" w:cs="Times New Roman"/>
                <w:b/>
                <w:iCs/>
                <w:color w:val="000000" w:themeColor="text1"/>
                <w:sz w:val="24"/>
                <w:szCs w:val="24"/>
                <w:lang w:val="en-US"/>
              </w:rPr>
            </w:pPr>
            <w:r w:rsidRPr="00DE13EE">
              <w:rPr>
                <w:rFonts w:ascii="Times New Roman" w:hAnsi="Times New Roman" w:cs="Times New Roman"/>
                <w:b/>
                <w:iCs/>
                <w:color w:val="000000" w:themeColor="text1"/>
                <w:sz w:val="24"/>
                <w:szCs w:val="24"/>
                <w:lang w:val="en-US"/>
              </w:rPr>
              <w:t>Operationalization</w:t>
            </w:r>
          </w:p>
          <w:p w14:paraId="1E9FAB06" w14:textId="77777777" w:rsidR="0024014C" w:rsidRPr="00DE13EE" w:rsidRDefault="0024014C" w:rsidP="00304A8D">
            <w:pPr>
              <w:rPr>
                <w:rFonts w:ascii="Times New Roman" w:hAnsi="Times New Roman" w:cs="Times New Roman"/>
                <w:b/>
                <w:iCs/>
                <w:color w:val="000000" w:themeColor="text1"/>
                <w:sz w:val="20"/>
                <w:szCs w:val="24"/>
                <w:lang w:val="en-US"/>
              </w:rPr>
            </w:pPr>
          </w:p>
        </w:tc>
      </w:tr>
      <w:tr w:rsidR="00DE13EE" w:rsidRPr="00DE13EE" w14:paraId="12B5AE8E" w14:textId="77777777" w:rsidTr="00A15E54">
        <w:trPr>
          <w:jc w:val="center"/>
        </w:trPr>
        <w:tc>
          <w:tcPr>
            <w:tcW w:w="2127" w:type="dxa"/>
            <w:tcBorders>
              <w:left w:val="nil"/>
              <w:bottom w:val="nil"/>
              <w:right w:val="nil"/>
            </w:tcBorders>
          </w:tcPr>
          <w:p w14:paraId="74D63D4C" w14:textId="77777777" w:rsidR="0024014C" w:rsidRPr="00DE13EE" w:rsidRDefault="0024014C" w:rsidP="000D166F">
            <w:pPr>
              <w:rPr>
                <w:rFonts w:ascii="Times New Roman" w:hAnsi="Times New Roman" w:cs="Times New Roman"/>
                <w:iCs/>
                <w:color w:val="000000" w:themeColor="text1"/>
                <w:sz w:val="24"/>
                <w:szCs w:val="24"/>
                <w:lang w:val="en-US"/>
              </w:rPr>
            </w:pPr>
            <w:r w:rsidRPr="00DE13EE">
              <w:rPr>
                <w:rFonts w:ascii="Times New Roman" w:hAnsi="Times New Roman" w:cs="Times New Roman"/>
                <w:iCs/>
                <w:color w:val="000000" w:themeColor="text1"/>
                <w:sz w:val="24"/>
                <w:szCs w:val="24"/>
                <w:lang w:val="en-US"/>
              </w:rPr>
              <w:t xml:space="preserve">Forward-looking disclosure </w:t>
            </w:r>
          </w:p>
        </w:tc>
        <w:tc>
          <w:tcPr>
            <w:tcW w:w="1441" w:type="dxa"/>
            <w:tcBorders>
              <w:left w:val="nil"/>
              <w:bottom w:val="nil"/>
              <w:right w:val="nil"/>
            </w:tcBorders>
          </w:tcPr>
          <w:p w14:paraId="59FA786E" w14:textId="77777777" w:rsidR="0024014C" w:rsidRPr="00DE13EE" w:rsidRDefault="0024014C" w:rsidP="000D166F">
            <w:pPr>
              <w:rPr>
                <w:rFonts w:ascii="Times New Roman" w:hAnsi="Times New Roman" w:cs="Times New Roman"/>
                <w:iCs/>
                <w:color w:val="000000" w:themeColor="text1"/>
                <w:sz w:val="24"/>
                <w:szCs w:val="24"/>
                <w:lang w:val="en-US"/>
              </w:rPr>
            </w:pPr>
            <w:r w:rsidRPr="00DE13EE">
              <w:rPr>
                <w:rFonts w:ascii="Times New Roman" w:hAnsi="Times New Roman" w:cs="Times New Roman"/>
                <w:iCs/>
                <w:color w:val="000000" w:themeColor="text1"/>
                <w:sz w:val="24"/>
                <w:szCs w:val="24"/>
                <w:lang w:val="en-US"/>
              </w:rPr>
              <w:t>FLD</w:t>
            </w:r>
          </w:p>
        </w:tc>
        <w:tc>
          <w:tcPr>
            <w:tcW w:w="7489" w:type="dxa"/>
            <w:tcBorders>
              <w:left w:val="nil"/>
              <w:bottom w:val="nil"/>
              <w:right w:val="nil"/>
            </w:tcBorders>
          </w:tcPr>
          <w:p w14:paraId="63558CE4" w14:textId="7DB75B56" w:rsidR="0024014C" w:rsidRPr="00DE13EE" w:rsidRDefault="0024014C" w:rsidP="000D166F">
            <w:pPr>
              <w:rPr>
                <w:rFonts w:ascii="Times New Roman" w:hAnsi="Times New Roman" w:cs="Times New Roman"/>
                <w:iCs/>
                <w:color w:val="000000" w:themeColor="text1"/>
                <w:sz w:val="24"/>
                <w:szCs w:val="24"/>
                <w:lang w:val="en-US"/>
              </w:rPr>
            </w:pPr>
            <w:r w:rsidRPr="00DE13EE">
              <w:rPr>
                <w:rFonts w:ascii="Times New Roman" w:hAnsi="Times New Roman" w:cs="Times New Roman"/>
                <w:iCs/>
                <w:color w:val="000000" w:themeColor="text1"/>
                <w:sz w:val="24"/>
                <w:szCs w:val="24"/>
                <w:lang w:val="en-US"/>
              </w:rPr>
              <w:t>Total frequency of forward-looking statements divided by the total number of sentences in the narrative section of the annual report. For details, see section 3.</w:t>
            </w:r>
            <w:r w:rsidR="009202D9" w:rsidRPr="00DE13EE">
              <w:rPr>
                <w:rFonts w:ascii="Times New Roman" w:hAnsi="Times New Roman" w:cs="Times New Roman"/>
                <w:iCs/>
                <w:color w:val="000000" w:themeColor="text1"/>
                <w:sz w:val="24"/>
                <w:szCs w:val="24"/>
                <w:lang w:val="en-US"/>
              </w:rPr>
              <w:t>2</w:t>
            </w:r>
            <w:r w:rsidRPr="00DE13EE">
              <w:rPr>
                <w:rFonts w:ascii="Times New Roman" w:hAnsi="Times New Roman" w:cs="Times New Roman"/>
                <w:iCs/>
                <w:color w:val="000000" w:themeColor="text1"/>
                <w:sz w:val="24"/>
                <w:szCs w:val="24"/>
                <w:lang w:val="en-US"/>
              </w:rPr>
              <w:t>.1.</w:t>
            </w:r>
          </w:p>
          <w:p w14:paraId="69E509CB" w14:textId="488C1EAC" w:rsidR="000D166F" w:rsidRPr="00DE13EE" w:rsidRDefault="000D166F" w:rsidP="000D166F">
            <w:pPr>
              <w:rPr>
                <w:rFonts w:ascii="Times New Roman" w:hAnsi="Times New Roman" w:cs="Times New Roman"/>
                <w:iCs/>
                <w:color w:val="000000" w:themeColor="text1"/>
                <w:sz w:val="14"/>
                <w:szCs w:val="24"/>
                <w:lang w:val="en-US"/>
              </w:rPr>
            </w:pPr>
          </w:p>
        </w:tc>
      </w:tr>
      <w:tr w:rsidR="00DE13EE" w:rsidRPr="00DE13EE" w14:paraId="08E4DD0B" w14:textId="77777777" w:rsidTr="00A15E54">
        <w:trPr>
          <w:jc w:val="center"/>
        </w:trPr>
        <w:tc>
          <w:tcPr>
            <w:tcW w:w="2127" w:type="dxa"/>
            <w:tcBorders>
              <w:top w:val="nil"/>
              <w:left w:val="nil"/>
              <w:bottom w:val="nil"/>
              <w:right w:val="nil"/>
            </w:tcBorders>
            <w:hideMark/>
          </w:tcPr>
          <w:p w14:paraId="5EF63016" w14:textId="77777777" w:rsidR="0024014C" w:rsidRPr="00DE13EE" w:rsidRDefault="0024014C" w:rsidP="000D166F">
            <w:pPr>
              <w:rPr>
                <w:rFonts w:ascii="Times New Roman" w:hAnsi="Times New Roman" w:cs="Times New Roman"/>
                <w:bCs/>
                <w:iCs/>
                <w:color w:val="000000" w:themeColor="text1"/>
                <w:sz w:val="24"/>
                <w:szCs w:val="24"/>
                <w:lang w:val="en-US"/>
              </w:rPr>
            </w:pPr>
            <w:r w:rsidRPr="00DE13EE">
              <w:rPr>
                <w:rFonts w:ascii="Times New Roman" w:hAnsi="Times New Roman" w:cs="Times New Roman"/>
                <w:bCs/>
                <w:iCs/>
                <w:color w:val="000000" w:themeColor="text1"/>
                <w:sz w:val="24"/>
                <w:szCs w:val="24"/>
                <w:lang w:val="en-US"/>
              </w:rPr>
              <w:t xml:space="preserve">Firm value </w:t>
            </w:r>
          </w:p>
        </w:tc>
        <w:tc>
          <w:tcPr>
            <w:tcW w:w="1441" w:type="dxa"/>
            <w:tcBorders>
              <w:top w:val="nil"/>
              <w:left w:val="nil"/>
              <w:bottom w:val="nil"/>
              <w:right w:val="nil"/>
            </w:tcBorders>
            <w:hideMark/>
          </w:tcPr>
          <w:p w14:paraId="259FA62B" w14:textId="77777777" w:rsidR="0024014C" w:rsidRPr="00DE13EE" w:rsidRDefault="0024014C" w:rsidP="000D166F">
            <w:pPr>
              <w:rPr>
                <w:rFonts w:ascii="Times New Roman" w:hAnsi="Times New Roman" w:cs="Times New Roman"/>
                <w:bCs/>
                <w:iCs/>
                <w:color w:val="000000" w:themeColor="text1"/>
                <w:sz w:val="24"/>
                <w:szCs w:val="24"/>
                <w:lang w:val="en-US"/>
              </w:rPr>
            </w:pPr>
            <w:r w:rsidRPr="00DE13EE">
              <w:rPr>
                <w:rFonts w:ascii="Times New Roman" w:eastAsia="MS Mincho" w:hAnsi="Times New Roman" w:cs="Times New Roman"/>
                <w:bCs/>
                <w:iCs/>
                <w:color w:val="000000" w:themeColor="text1"/>
                <w:sz w:val="24"/>
                <w:szCs w:val="24"/>
                <w:lang w:val="en-US" w:eastAsia="ja-JP"/>
              </w:rPr>
              <w:t>IMadj.TQ</w:t>
            </w:r>
            <w:r w:rsidRPr="00DE13EE">
              <w:rPr>
                <w:rFonts w:ascii="Times New Roman" w:eastAsia="MS Mincho" w:hAnsi="Times New Roman" w:cs="Times New Roman"/>
                <w:bCs/>
                <w:iCs/>
                <w:color w:val="000000" w:themeColor="text1"/>
                <w:sz w:val="24"/>
                <w:szCs w:val="24"/>
                <w:vertAlign w:val="subscript"/>
                <w:lang w:val="en-US" w:eastAsia="ja-JP"/>
              </w:rPr>
              <w:t>+3</w:t>
            </w:r>
          </w:p>
        </w:tc>
        <w:tc>
          <w:tcPr>
            <w:tcW w:w="7489" w:type="dxa"/>
            <w:tcBorders>
              <w:top w:val="nil"/>
              <w:left w:val="nil"/>
              <w:bottom w:val="nil"/>
              <w:right w:val="nil"/>
            </w:tcBorders>
            <w:hideMark/>
          </w:tcPr>
          <w:p w14:paraId="640B0528" w14:textId="27FA4C0A" w:rsidR="0024014C" w:rsidRPr="00DE13EE" w:rsidRDefault="0024014C" w:rsidP="000D166F">
            <w:pPr>
              <w:jc w:val="both"/>
              <w:rPr>
                <w:rFonts w:ascii="Times New Roman" w:eastAsia="MS Mincho" w:hAnsi="Times New Roman" w:cs="Times New Roman"/>
                <w:bCs/>
                <w:iCs/>
                <w:color w:val="000000" w:themeColor="text1"/>
                <w:sz w:val="24"/>
                <w:szCs w:val="24"/>
                <w:lang w:val="en-US" w:eastAsia="ja-JP"/>
              </w:rPr>
            </w:pPr>
            <w:r w:rsidRPr="00DE13EE">
              <w:rPr>
                <w:rFonts w:ascii="Times New Roman" w:hAnsi="Times New Roman" w:cs="Times New Roman"/>
                <w:bCs/>
                <w:iCs/>
                <w:color w:val="000000" w:themeColor="text1"/>
                <w:sz w:val="24"/>
                <w:szCs w:val="24"/>
                <w:lang w:val="en-US"/>
              </w:rPr>
              <w:t xml:space="preserve">Industry median adjusted Tobin’s Q ratio at three months after the date of </w:t>
            </w:r>
            <w:r w:rsidR="00640678" w:rsidRPr="00DE13EE">
              <w:rPr>
                <w:rFonts w:ascii="Times New Roman" w:hAnsi="Times New Roman" w:cs="Times New Roman"/>
                <w:bCs/>
                <w:iCs/>
                <w:color w:val="000000" w:themeColor="text1"/>
                <w:sz w:val="24"/>
                <w:szCs w:val="24"/>
                <w:lang w:val="en-US"/>
              </w:rPr>
              <w:t xml:space="preserve">the </w:t>
            </w:r>
            <w:r w:rsidRPr="00DE13EE">
              <w:rPr>
                <w:rFonts w:ascii="Times New Roman" w:hAnsi="Times New Roman" w:cs="Times New Roman"/>
                <w:bCs/>
                <w:iCs/>
                <w:color w:val="000000" w:themeColor="text1"/>
                <w:sz w:val="24"/>
                <w:szCs w:val="24"/>
                <w:lang w:val="en-US"/>
              </w:rPr>
              <w:t xml:space="preserve">annual report. It </w:t>
            </w:r>
            <w:r w:rsidRPr="00DE13EE">
              <w:rPr>
                <w:rFonts w:ascii="Times New Roman" w:eastAsia="MS Mincho" w:hAnsi="Times New Roman" w:cs="Times New Roman"/>
                <w:bCs/>
                <w:iCs/>
                <w:color w:val="000000" w:themeColor="text1"/>
                <w:sz w:val="24"/>
                <w:szCs w:val="24"/>
                <w:lang w:val="en-US" w:eastAsia="ja-JP"/>
              </w:rPr>
              <w:t xml:space="preserve">is computed as </w:t>
            </w:r>
            <w:r w:rsidR="00640678" w:rsidRPr="00DE13EE">
              <w:rPr>
                <w:rFonts w:ascii="Times New Roman" w:eastAsia="MS Mincho" w:hAnsi="Times New Roman" w:cs="Times New Roman"/>
                <w:bCs/>
                <w:iCs/>
                <w:color w:val="000000" w:themeColor="text1"/>
                <w:sz w:val="24"/>
                <w:szCs w:val="24"/>
                <w:lang w:val="en-US" w:eastAsia="ja-JP"/>
              </w:rPr>
              <w:t>the</w:t>
            </w:r>
            <w:r w:rsidRPr="00DE13EE">
              <w:rPr>
                <w:rFonts w:ascii="Times New Roman" w:eastAsia="MS Mincho" w:hAnsi="Times New Roman" w:cs="Times New Roman"/>
                <w:bCs/>
                <w:iCs/>
                <w:color w:val="000000" w:themeColor="text1"/>
                <w:sz w:val="24"/>
                <w:szCs w:val="24"/>
                <w:lang w:val="en-US" w:eastAsia="ja-JP"/>
              </w:rPr>
              <w:t xml:space="preserve"> firm’s Tobin’s Q minus the median Tobin’s Q in the firm’s industry in the observation year. The Tobin’s Q = [(total debt + market value of equity) / book value of total assets].</w:t>
            </w:r>
            <w:r w:rsidR="000D166F" w:rsidRPr="00DE13EE">
              <w:rPr>
                <w:rFonts w:ascii="Times New Roman" w:eastAsia="MS Mincho" w:hAnsi="Times New Roman" w:cs="Times New Roman"/>
                <w:bCs/>
                <w:iCs/>
                <w:color w:val="000000" w:themeColor="text1"/>
                <w:sz w:val="24"/>
                <w:szCs w:val="24"/>
                <w:lang w:val="en-US" w:eastAsia="ja-JP"/>
              </w:rPr>
              <w:t xml:space="preserve"> Market value of equity is </w:t>
            </w:r>
            <w:r w:rsidR="00D66BF5" w:rsidRPr="00DE13EE">
              <w:rPr>
                <w:rFonts w:ascii="Times New Roman" w:eastAsia="MS Mincho" w:hAnsi="Times New Roman" w:cs="Times New Roman"/>
                <w:bCs/>
                <w:iCs/>
                <w:color w:val="000000" w:themeColor="text1"/>
                <w:sz w:val="24"/>
                <w:szCs w:val="24"/>
                <w:lang w:val="en-US" w:eastAsia="ja-JP"/>
              </w:rPr>
              <w:t>calculated as the number of outstanding shares at year-end multiplied by the mean of the stock prices at three months after the annual report date.</w:t>
            </w:r>
          </w:p>
          <w:p w14:paraId="0CA09E48" w14:textId="42817996" w:rsidR="000D166F" w:rsidRPr="00DE13EE" w:rsidRDefault="000D166F" w:rsidP="000D166F">
            <w:pPr>
              <w:jc w:val="both"/>
              <w:rPr>
                <w:rFonts w:ascii="Times New Roman" w:eastAsia="MS Mincho" w:hAnsi="Times New Roman" w:cs="Times New Roman"/>
                <w:bCs/>
                <w:iCs/>
                <w:color w:val="000000" w:themeColor="text1"/>
                <w:sz w:val="14"/>
                <w:szCs w:val="24"/>
                <w:lang w:val="en-US" w:eastAsia="ja-JP"/>
              </w:rPr>
            </w:pPr>
          </w:p>
        </w:tc>
      </w:tr>
      <w:tr w:rsidR="00DE13EE" w:rsidRPr="00DE13EE" w14:paraId="2762AA37" w14:textId="77777777" w:rsidTr="00A15E54">
        <w:trPr>
          <w:jc w:val="center"/>
        </w:trPr>
        <w:tc>
          <w:tcPr>
            <w:tcW w:w="2127" w:type="dxa"/>
            <w:tcBorders>
              <w:top w:val="nil"/>
              <w:left w:val="nil"/>
              <w:bottom w:val="nil"/>
              <w:right w:val="nil"/>
            </w:tcBorders>
            <w:hideMark/>
          </w:tcPr>
          <w:p w14:paraId="4F009AE7" w14:textId="77777777" w:rsidR="0024014C" w:rsidRPr="00DE13EE" w:rsidRDefault="0024014C" w:rsidP="000D166F">
            <w:pPr>
              <w:rPr>
                <w:rFonts w:ascii="Times New Roman" w:hAnsi="Times New Roman" w:cs="Times New Roman"/>
                <w:bCs/>
                <w:iCs/>
                <w:color w:val="000000" w:themeColor="text1"/>
                <w:sz w:val="24"/>
                <w:szCs w:val="24"/>
                <w:lang w:val="en-US"/>
              </w:rPr>
            </w:pPr>
            <w:r w:rsidRPr="00DE13EE">
              <w:rPr>
                <w:rFonts w:ascii="Times New Roman" w:hAnsi="Times New Roman" w:cs="Times New Roman"/>
                <w:bCs/>
                <w:iCs/>
                <w:color w:val="000000" w:themeColor="text1"/>
                <w:sz w:val="24"/>
                <w:szCs w:val="24"/>
                <w:lang w:val="en-US"/>
              </w:rPr>
              <w:t xml:space="preserve">Firm size </w:t>
            </w:r>
          </w:p>
        </w:tc>
        <w:tc>
          <w:tcPr>
            <w:tcW w:w="1441" w:type="dxa"/>
            <w:tcBorders>
              <w:top w:val="nil"/>
              <w:left w:val="nil"/>
              <w:bottom w:val="nil"/>
              <w:right w:val="nil"/>
            </w:tcBorders>
            <w:hideMark/>
          </w:tcPr>
          <w:p w14:paraId="65437AB0" w14:textId="77777777" w:rsidR="0024014C" w:rsidRPr="00DE13EE" w:rsidRDefault="0024014C" w:rsidP="000D166F">
            <w:pPr>
              <w:rPr>
                <w:rFonts w:ascii="Times New Roman" w:hAnsi="Times New Roman" w:cs="Times New Roman"/>
                <w:bCs/>
                <w:iCs/>
                <w:color w:val="000000" w:themeColor="text1"/>
                <w:sz w:val="24"/>
                <w:szCs w:val="24"/>
                <w:lang w:val="en-US"/>
              </w:rPr>
            </w:pPr>
            <w:r w:rsidRPr="00DE13EE">
              <w:rPr>
                <w:rFonts w:ascii="Times New Roman" w:hAnsi="Times New Roman" w:cs="Times New Roman"/>
                <w:bCs/>
                <w:iCs/>
                <w:color w:val="000000" w:themeColor="text1"/>
                <w:sz w:val="24"/>
                <w:szCs w:val="24"/>
                <w:lang w:val="en-US"/>
              </w:rPr>
              <w:t>LnMK</w:t>
            </w:r>
          </w:p>
        </w:tc>
        <w:tc>
          <w:tcPr>
            <w:tcW w:w="7489" w:type="dxa"/>
            <w:tcBorders>
              <w:top w:val="nil"/>
              <w:left w:val="nil"/>
              <w:bottom w:val="nil"/>
              <w:right w:val="nil"/>
            </w:tcBorders>
            <w:hideMark/>
          </w:tcPr>
          <w:p w14:paraId="15D1B2D0" w14:textId="7E37E720" w:rsidR="0024014C" w:rsidRPr="00DE13EE" w:rsidRDefault="0024014C" w:rsidP="000D166F">
            <w:pPr>
              <w:jc w:val="both"/>
              <w:rPr>
                <w:rFonts w:ascii="Times New Roman" w:hAnsi="Times New Roman" w:cs="Times New Roman"/>
                <w:color w:val="000000" w:themeColor="text1"/>
                <w:sz w:val="24"/>
                <w:szCs w:val="24"/>
                <w:lang w:val="en-US"/>
              </w:rPr>
            </w:pPr>
            <w:r w:rsidRPr="00DE13EE">
              <w:rPr>
                <w:rFonts w:ascii="Times New Roman" w:hAnsi="Times New Roman" w:cs="Times New Roman"/>
                <w:bCs/>
                <w:iCs/>
                <w:color w:val="000000" w:themeColor="text1"/>
                <w:sz w:val="24"/>
                <w:szCs w:val="24"/>
                <w:lang w:val="en-US"/>
              </w:rPr>
              <w:t xml:space="preserve">Natural logarithm of </w:t>
            </w:r>
            <w:r w:rsidR="009202D9" w:rsidRPr="00DE13EE">
              <w:rPr>
                <w:rFonts w:ascii="Times New Roman" w:hAnsi="Times New Roman" w:cs="Times New Roman"/>
                <w:bCs/>
                <w:iCs/>
                <w:color w:val="000000" w:themeColor="text1"/>
                <w:sz w:val="24"/>
                <w:szCs w:val="24"/>
                <w:lang w:val="en-US"/>
              </w:rPr>
              <w:t xml:space="preserve">the </w:t>
            </w:r>
            <w:r w:rsidRPr="00DE13EE">
              <w:rPr>
                <w:rFonts w:ascii="Times New Roman" w:hAnsi="Times New Roman" w:cs="Times New Roman"/>
                <w:bCs/>
                <w:iCs/>
                <w:color w:val="000000" w:themeColor="text1"/>
                <w:sz w:val="24"/>
                <w:szCs w:val="24"/>
                <w:lang w:val="en-US"/>
              </w:rPr>
              <w:t xml:space="preserve">market value of equity at the end of the current year. </w:t>
            </w:r>
            <w:r w:rsidR="009202D9" w:rsidRPr="00DE13EE">
              <w:rPr>
                <w:rFonts w:ascii="Times New Roman" w:hAnsi="Times New Roman" w:cs="Times New Roman"/>
                <w:bCs/>
                <w:iCs/>
                <w:color w:val="000000" w:themeColor="text1"/>
                <w:sz w:val="24"/>
                <w:szCs w:val="24"/>
                <w:lang w:val="en-US"/>
              </w:rPr>
              <w:t xml:space="preserve">Datastream </w:t>
            </w:r>
            <w:r w:rsidRPr="00DE13EE">
              <w:rPr>
                <w:rFonts w:ascii="Times New Roman" w:hAnsi="Times New Roman" w:cs="Times New Roman"/>
                <w:bCs/>
                <w:iCs/>
                <w:color w:val="000000" w:themeColor="text1"/>
                <w:sz w:val="24"/>
                <w:szCs w:val="24"/>
                <w:lang w:val="en-US"/>
              </w:rPr>
              <w:t xml:space="preserve">code: </w:t>
            </w:r>
            <w:r w:rsidRPr="00DE13EE">
              <w:rPr>
                <w:rFonts w:ascii="Times New Roman" w:hAnsi="Times New Roman" w:cs="Times New Roman"/>
                <w:color w:val="000000" w:themeColor="text1"/>
                <w:sz w:val="24"/>
                <w:szCs w:val="24"/>
                <w:lang w:val="en-US"/>
              </w:rPr>
              <w:t>WC08001.</w:t>
            </w:r>
          </w:p>
          <w:p w14:paraId="28BE4B7C" w14:textId="7C2245CE" w:rsidR="000D166F" w:rsidRPr="00DE13EE" w:rsidRDefault="000D166F" w:rsidP="000D166F">
            <w:pPr>
              <w:jc w:val="both"/>
              <w:rPr>
                <w:rFonts w:ascii="Times New Roman" w:hAnsi="Times New Roman" w:cs="Times New Roman"/>
                <w:color w:val="000000" w:themeColor="text1"/>
                <w:sz w:val="14"/>
                <w:szCs w:val="24"/>
                <w:lang w:val="en-US"/>
              </w:rPr>
            </w:pPr>
          </w:p>
        </w:tc>
      </w:tr>
      <w:tr w:rsidR="00DE13EE" w:rsidRPr="00DE13EE" w14:paraId="4320D5BE" w14:textId="77777777" w:rsidTr="00A15E54">
        <w:trPr>
          <w:jc w:val="center"/>
        </w:trPr>
        <w:tc>
          <w:tcPr>
            <w:tcW w:w="2127" w:type="dxa"/>
            <w:tcBorders>
              <w:top w:val="nil"/>
              <w:left w:val="nil"/>
              <w:bottom w:val="nil"/>
              <w:right w:val="nil"/>
            </w:tcBorders>
          </w:tcPr>
          <w:p w14:paraId="0F28D57A" w14:textId="77777777" w:rsidR="0024014C" w:rsidRPr="00DE13EE" w:rsidRDefault="0024014C" w:rsidP="000D166F">
            <w:pPr>
              <w:rPr>
                <w:rFonts w:ascii="Times New Roman" w:hAnsi="Times New Roman" w:cs="Times New Roman"/>
                <w:bCs/>
                <w:iCs/>
                <w:color w:val="000000" w:themeColor="text1"/>
                <w:sz w:val="24"/>
                <w:szCs w:val="24"/>
                <w:lang w:val="en-US"/>
              </w:rPr>
            </w:pPr>
            <w:r w:rsidRPr="00DE13EE">
              <w:rPr>
                <w:rFonts w:ascii="Times New Roman" w:hAnsi="Times New Roman" w:cs="Times New Roman"/>
                <w:bCs/>
                <w:iCs/>
                <w:color w:val="000000" w:themeColor="text1"/>
                <w:sz w:val="24"/>
                <w:szCs w:val="24"/>
                <w:lang w:val="en-US"/>
              </w:rPr>
              <w:t>Dividend</w:t>
            </w:r>
          </w:p>
        </w:tc>
        <w:tc>
          <w:tcPr>
            <w:tcW w:w="1441" w:type="dxa"/>
            <w:tcBorders>
              <w:top w:val="nil"/>
              <w:left w:val="nil"/>
              <w:bottom w:val="nil"/>
              <w:right w:val="nil"/>
            </w:tcBorders>
          </w:tcPr>
          <w:p w14:paraId="2C926677" w14:textId="77777777" w:rsidR="0024014C" w:rsidRPr="00DE13EE" w:rsidRDefault="0024014C" w:rsidP="000D166F">
            <w:pPr>
              <w:rPr>
                <w:rFonts w:ascii="Times New Roman" w:hAnsi="Times New Roman" w:cs="Times New Roman"/>
                <w:bCs/>
                <w:iCs/>
                <w:color w:val="000000" w:themeColor="text1"/>
                <w:sz w:val="24"/>
                <w:szCs w:val="24"/>
                <w:lang w:val="en-US"/>
              </w:rPr>
            </w:pPr>
            <w:r w:rsidRPr="00DE13EE">
              <w:rPr>
                <w:rFonts w:ascii="Times New Roman" w:hAnsi="Times New Roman" w:cs="Times New Roman"/>
                <w:bCs/>
                <w:iCs/>
                <w:color w:val="000000" w:themeColor="text1"/>
                <w:sz w:val="24"/>
                <w:szCs w:val="24"/>
                <w:lang w:val="en-US"/>
              </w:rPr>
              <w:t>DY</w:t>
            </w:r>
          </w:p>
        </w:tc>
        <w:tc>
          <w:tcPr>
            <w:tcW w:w="7489" w:type="dxa"/>
            <w:tcBorders>
              <w:top w:val="nil"/>
              <w:left w:val="nil"/>
              <w:bottom w:val="nil"/>
              <w:right w:val="nil"/>
            </w:tcBorders>
          </w:tcPr>
          <w:p w14:paraId="28C5A2E4" w14:textId="41AAC49D" w:rsidR="0024014C" w:rsidRPr="00DE13EE" w:rsidRDefault="0024014C" w:rsidP="000D166F">
            <w:pPr>
              <w:jc w:val="both"/>
              <w:rPr>
                <w:rFonts w:ascii="Times New Roman" w:hAnsi="Times New Roman" w:cs="Times New Roman"/>
                <w:color w:val="000000" w:themeColor="text1"/>
                <w:sz w:val="24"/>
                <w:szCs w:val="24"/>
                <w:lang w:val="en-US"/>
              </w:rPr>
            </w:pPr>
            <w:r w:rsidRPr="00DE13EE">
              <w:rPr>
                <w:rFonts w:ascii="Times New Roman" w:hAnsi="Times New Roman" w:cs="Times New Roman"/>
                <w:color w:val="000000" w:themeColor="text1"/>
                <w:sz w:val="24"/>
                <w:szCs w:val="24"/>
                <w:lang w:val="en-US"/>
              </w:rPr>
              <w:t xml:space="preserve">Dividend yield ratio. </w:t>
            </w:r>
            <w:r w:rsidR="009202D9" w:rsidRPr="00DE13EE">
              <w:rPr>
                <w:rFonts w:ascii="Times New Roman" w:hAnsi="Times New Roman" w:cs="Times New Roman"/>
                <w:color w:val="000000" w:themeColor="text1"/>
                <w:sz w:val="24"/>
                <w:szCs w:val="24"/>
                <w:lang w:val="en-US"/>
              </w:rPr>
              <w:t xml:space="preserve">Datastream </w:t>
            </w:r>
            <w:r w:rsidRPr="00DE13EE">
              <w:rPr>
                <w:rFonts w:ascii="Times New Roman" w:hAnsi="Times New Roman" w:cs="Times New Roman"/>
                <w:color w:val="000000" w:themeColor="text1"/>
                <w:sz w:val="24"/>
                <w:szCs w:val="24"/>
                <w:lang w:val="en-US"/>
              </w:rPr>
              <w:t>code: WC09402.</w:t>
            </w:r>
          </w:p>
          <w:p w14:paraId="2CF160F1" w14:textId="49DCF9A1" w:rsidR="000D166F" w:rsidRPr="00DE13EE" w:rsidRDefault="000D166F" w:rsidP="000D166F">
            <w:pPr>
              <w:jc w:val="both"/>
              <w:rPr>
                <w:rFonts w:ascii="Times New Roman" w:hAnsi="Times New Roman" w:cs="Times New Roman"/>
                <w:color w:val="000000" w:themeColor="text1"/>
                <w:sz w:val="14"/>
                <w:szCs w:val="24"/>
                <w:lang w:val="en-US"/>
              </w:rPr>
            </w:pPr>
          </w:p>
        </w:tc>
      </w:tr>
      <w:tr w:rsidR="00DE13EE" w:rsidRPr="00DE13EE" w14:paraId="3224CC62" w14:textId="77777777" w:rsidTr="00A15E54">
        <w:trPr>
          <w:jc w:val="center"/>
        </w:trPr>
        <w:tc>
          <w:tcPr>
            <w:tcW w:w="2127" w:type="dxa"/>
            <w:tcBorders>
              <w:top w:val="nil"/>
              <w:left w:val="nil"/>
              <w:bottom w:val="nil"/>
              <w:right w:val="nil"/>
            </w:tcBorders>
            <w:hideMark/>
          </w:tcPr>
          <w:p w14:paraId="5DB4ABD8" w14:textId="77777777" w:rsidR="0024014C" w:rsidRPr="00DE13EE" w:rsidRDefault="0024014C" w:rsidP="000D166F">
            <w:pPr>
              <w:rPr>
                <w:rFonts w:ascii="Times New Roman" w:hAnsi="Times New Roman" w:cs="Times New Roman"/>
                <w:bCs/>
                <w:iCs/>
                <w:color w:val="000000" w:themeColor="text1"/>
                <w:sz w:val="24"/>
                <w:szCs w:val="24"/>
                <w:lang w:val="en-US"/>
              </w:rPr>
            </w:pPr>
            <w:r w:rsidRPr="00DE13EE">
              <w:rPr>
                <w:rFonts w:ascii="Times New Roman" w:hAnsi="Times New Roman" w:cs="Times New Roman"/>
                <w:bCs/>
                <w:iCs/>
                <w:color w:val="000000" w:themeColor="text1"/>
                <w:sz w:val="24"/>
                <w:szCs w:val="24"/>
                <w:lang w:val="en-US"/>
              </w:rPr>
              <w:t xml:space="preserve">Current earnings </w:t>
            </w:r>
          </w:p>
        </w:tc>
        <w:tc>
          <w:tcPr>
            <w:tcW w:w="1441" w:type="dxa"/>
            <w:tcBorders>
              <w:top w:val="nil"/>
              <w:left w:val="nil"/>
              <w:bottom w:val="nil"/>
              <w:right w:val="nil"/>
            </w:tcBorders>
            <w:hideMark/>
          </w:tcPr>
          <w:p w14:paraId="773164CB" w14:textId="77777777" w:rsidR="0024014C" w:rsidRPr="00DE13EE" w:rsidRDefault="0024014C" w:rsidP="000D166F">
            <w:pPr>
              <w:rPr>
                <w:rFonts w:ascii="Times New Roman" w:hAnsi="Times New Roman" w:cs="Times New Roman"/>
                <w:bCs/>
                <w:iCs/>
                <w:color w:val="000000" w:themeColor="text1"/>
                <w:sz w:val="24"/>
                <w:szCs w:val="24"/>
                <w:lang w:val="en-US"/>
              </w:rPr>
            </w:pPr>
            <w:r w:rsidRPr="00DE13EE">
              <w:rPr>
                <w:rFonts w:ascii="Times New Roman" w:hAnsi="Times New Roman" w:cs="Times New Roman"/>
                <w:bCs/>
                <w:iCs/>
                <w:color w:val="000000" w:themeColor="text1"/>
                <w:sz w:val="24"/>
                <w:szCs w:val="24"/>
                <w:lang w:val="en-US"/>
              </w:rPr>
              <w:t>ROA</w:t>
            </w:r>
          </w:p>
        </w:tc>
        <w:tc>
          <w:tcPr>
            <w:tcW w:w="7489" w:type="dxa"/>
            <w:tcBorders>
              <w:top w:val="nil"/>
              <w:left w:val="nil"/>
              <w:bottom w:val="nil"/>
              <w:right w:val="nil"/>
            </w:tcBorders>
            <w:hideMark/>
          </w:tcPr>
          <w:p w14:paraId="4106C9B0" w14:textId="4F459CF7" w:rsidR="0024014C" w:rsidRPr="00DE13EE" w:rsidRDefault="0024014C" w:rsidP="000D166F">
            <w:pPr>
              <w:jc w:val="both"/>
              <w:rPr>
                <w:rFonts w:ascii="Times New Roman" w:hAnsi="Times New Roman" w:cs="Times New Roman"/>
                <w:bCs/>
                <w:iCs/>
                <w:color w:val="000000" w:themeColor="text1"/>
                <w:sz w:val="24"/>
                <w:szCs w:val="24"/>
                <w:lang w:val="en-US"/>
              </w:rPr>
            </w:pPr>
            <w:r w:rsidRPr="00DE13EE">
              <w:rPr>
                <w:rFonts w:ascii="Times New Roman" w:hAnsi="Times New Roman" w:cs="Times New Roman"/>
                <w:bCs/>
                <w:iCs/>
                <w:color w:val="000000" w:themeColor="text1"/>
                <w:sz w:val="24"/>
                <w:szCs w:val="24"/>
                <w:lang w:val="en-US"/>
              </w:rPr>
              <w:t xml:space="preserve">Firm return of equity ratio. </w:t>
            </w:r>
            <w:r w:rsidR="009202D9" w:rsidRPr="00DE13EE">
              <w:rPr>
                <w:rFonts w:ascii="Times New Roman" w:hAnsi="Times New Roman" w:cs="Times New Roman"/>
                <w:bCs/>
                <w:iCs/>
                <w:color w:val="000000" w:themeColor="text1"/>
                <w:sz w:val="24"/>
                <w:szCs w:val="24"/>
                <w:lang w:val="en-US"/>
              </w:rPr>
              <w:t xml:space="preserve">Datastream </w:t>
            </w:r>
            <w:r w:rsidRPr="00DE13EE">
              <w:rPr>
                <w:rFonts w:ascii="Times New Roman" w:hAnsi="Times New Roman" w:cs="Times New Roman"/>
                <w:bCs/>
                <w:iCs/>
                <w:color w:val="000000" w:themeColor="text1"/>
                <w:sz w:val="24"/>
                <w:szCs w:val="24"/>
                <w:lang w:val="en-US"/>
              </w:rPr>
              <w:t>code: WC08301.</w:t>
            </w:r>
          </w:p>
          <w:p w14:paraId="117AE160" w14:textId="3D6170D4" w:rsidR="000D166F" w:rsidRPr="00DE13EE" w:rsidRDefault="000D166F" w:rsidP="000D166F">
            <w:pPr>
              <w:jc w:val="both"/>
              <w:rPr>
                <w:rFonts w:ascii="Times New Roman" w:hAnsi="Times New Roman" w:cs="Times New Roman"/>
                <w:bCs/>
                <w:iCs/>
                <w:color w:val="000000" w:themeColor="text1"/>
                <w:sz w:val="14"/>
                <w:szCs w:val="24"/>
                <w:lang w:val="en-US"/>
              </w:rPr>
            </w:pPr>
          </w:p>
        </w:tc>
      </w:tr>
      <w:tr w:rsidR="00DE13EE" w:rsidRPr="00DE13EE" w14:paraId="08AF6908" w14:textId="77777777" w:rsidTr="00A15E54">
        <w:trPr>
          <w:jc w:val="center"/>
        </w:trPr>
        <w:tc>
          <w:tcPr>
            <w:tcW w:w="2127" w:type="dxa"/>
            <w:tcBorders>
              <w:top w:val="nil"/>
              <w:left w:val="nil"/>
              <w:bottom w:val="nil"/>
              <w:right w:val="nil"/>
            </w:tcBorders>
          </w:tcPr>
          <w:p w14:paraId="48C1A165" w14:textId="77777777" w:rsidR="0024014C" w:rsidRPr="00DE13EE" w:rsidRDefault="0024014C" w:rsidP="000D166F">
            <w:pPr>
              <w:rPr>
                <w:rFonts w:ascii="Times New Roman" w:hAnsi="Times New Roman" w:cs="Times New Roman"/>
                <w:bCs/>
                <w:iCs/>
                <w:color w:val="000000" w:themeColor="text1"/>
                <w:sz w:val="24"/>
                <w:szCs w:val="24"/>
                <w:lang w:val="en-US"/>
              </w:rPr>
            </w:pPr>
            <w:r w:rsidRPr="00DE13EE">
              <w:rPr>
                <w:rFonts w:ascii="Times New Roman" w:hAnsi="Times New Roman" w:cs="Times New Roman"/>
                <w:bCs/>
                <w:iCs/>
                <w:color w:val="000000" w:themeColor="text1"/>
                <w:sz w:val="24"/>
                <w:szCs w:val="24"/>
                <w:lang w:val="en-US"/>
              </w:rPr>
              <w:t>Leverage</w:t>
            </w:r>
          </w:p>
        </w:tc>
        <w:tc>
          <w:tcPr>
            <w:tcW w:w="1441" w:type="dxa"/>
            <w:tcBorders>
              <w:top w:val="nil"/>
              <w:left w:val="nil"/>
              <w:bottom w:val="nil"/>
              <w:right w:val="nil"/>
            </w:tcBorders>
          </w:tcPr>
          <w:p w14:paraId="475978B5" w14:textId="77777777" w:rsidR="0024014C" w:rsidRPr="00DE13EE" w:rsidRDefault="0024014C" w:rsidP="000D166F">
            <w:pPr>
              <w:rPr>
                <w:rFonts w:ascii="Times New Roman" w:hAnsi="Times New Roman" w:cs="Times New Roman"/>
                <w:bCs/>
                <w:iCs/>
                <w:color w:val="000000" w:themeColor="text1"/>
                <w:sz w:val="24"/>
                <w:szCs w:val="24"/>
                <w:lang w:val="en-US"/>
              </w:rPr>
            </w:pPr>
            <w:r w:rsidRPr="00DE13EE">
              <w:rPr>
                <w:rFonts w:ascii="Times New Roman" w:hAnsi="Times New Roman" w:cs="Times New Roman"/>
                <w:bCs/>
                <w:iCs/>
                <w:color w:val="000000" w:themeColor="text1"/>
                <w:sz w:val="24"/>
                <w:szCs w:val="24"/>
                <w:lang w:val="en-US"/>
              </w:rPr>
              <w:t>Lev</w:t>
            </w:r>
          </w:p>
        </w:tc>
        <w:tc>
          <w:tcPr>
            <w:tcW w:w="7489" w:type="dxa"/>
            <w:tcBorders>
              <w:top w:val="nil"/>
              <w:left w:val="nil"/>
              <w:bottom w:val="nil"/>
              <w:right w:val="nil"/>
            </w:tcBorders>
          </w:tcPr>
          <w:p w14:paraId="3C743C01" w14:textId="3CA39915" w:rsidR="0024014C" w:rsidRPr="00DE13EE" w:rsidRDefault="0024014C" w:rsidP="000D166F">
            <w:pPr>
              <w:jc w:val="both"/>
              <w:rPr>
                <w:rFonts w:ascii="Times New Roman" w:hAnsi="Times New Roman" w:cs="Times New Roman"/>
                <w:color w:val="000000" w:themeColor="text1"/>
                <w:sz w:val="24"/>
                <w:szCs w:val="24"/>
                <w:lang w:val="en-US"/>
              </w:rPr>
            </w:pPr>
            <w:r w:rsidRPr="00DE13EE">
              <w:rPr>
                <w:rFonts w:ascii="Times New Roman" w:hAnsi="Times New Roman" w:cs="Times New Roman"/>
                <w:color w:val="000000" w:themeColor="text1"/>
                <w:sz w:val="24"/>
                <w:szCs w:val="24"/>
                <w:lang w:val="en-US"/>
              </w:rPr>
              <w:t xml:space="preserve">Firm debt to equity ratio. </w:t>
            </w:r>
            <w:r w:rsidR="009202D9" w:rsidRPr="00DE13EE">
              <w:rPr>
                <w:rFonts w:ascii="Times New Roman" w:hAnsi="Times New Roman" w:cs="Times New Roman"/>
                <w:color w:val="000000" w:themeColor="text1"/>
                <w:sz w:val="24"/>
                <w:szCs w:val="24"/>
                <w:lang w:val="en-US"/>
              </w:rPr>
              <w:t xml:space="preserve">Datastream </w:t>
            </w:r>
            <w:r w:rsidRPr="00DE13EE">
              <w:rPr>
                <w:rFonts w:ascii="Times New Roman" w:hAnsi="Times New Roman" w:cs="Times New Roman"/>
                <w:color w:val="000000" w:themeColor="text1"/>
                <w:sz w:val="24"/>
                <w:szCs w:val="24"/>
                <w:lang w:val="en-US"/>
              </w:rPr>
              <w:t>code: WC08231.</w:t>
            </w:r>
          </w:p>
          <w:p w14:paraId="013FD3DD" w14:textId="5E323899" w:rsidR="000D166F" w:rsidRPr="00DE13EE" w:rsidRDefault="000D166F" w:rsidP="000D166F">
            <w:pPr>
              <w:jc w:val="both"/>
              <w:rPr>
                <w:rFonts w:ascii="Times New Roman" w:hAnsi="Times New Roman" w:cs="Times New Roman"/>
                <w:color w:val="000000" w:themeColor="text1"/>
                <w:sz w:val="14"/>
                <w:szCs w:val="24"/>
                <w:lang w:val="en-US"/>
              </w:rPr>
            </w:pPr>
          </w:p>
        </w:tc>
      </w:tr>
      <w:tr w:rsidR="00DE13EE" w:rsidRPr="00DE13EE" w14:paraId="698A5F3F" w14:textId="77777777" w:rsidTr="00A15E54">
        <w:trPr>
          <w:jc w:val="center"/>
        </w:trPr>
        <w:tc>
          <w:tcPr>
            <w:tcW w:w="2127" w:type="dxa"/>
            <w:tcBorders>
              <w:top w:val="nil"/>
              <w:left w:val="nil"/>
              <w:bottom w:val="nil"/>
              <w:right w:val="nil"/>
            </w:tcBorders>
          </w:tcPr>
          <w:p w14:paraId="4C5CFDAC" w14:textId="77777777" w:rsidR="0024014C" w:rsidRPr="00DE13EE" w:rsidRDefault="0024014C" w:rsidP="000D166F">
            <w:pPr>
              <w:rPr>
                <w:rFonts w:ascii="Times New Roman" w:hAnsi="Times New Roman" w:cs="Times New Roman"/>
                <w:bCs/>
                <w:iCs/>
                <w:color w:val="000000" w:themeColor="text1"/>
                <w:sz w:val="24"/>
                <w:szCs w:val="24"/>
                <w:lang w:val="en-US"/>
              </w:rPr>
            </w:pPr>
            <w:r w:rsidRPr="00DE13EE">
              <w:rPr>
                <w:rFonts w:ascii="Times New Roman" w:hAnsi="Times New Roman" w:cs="Times New Roman"/>
                <w:bCs/>
                <w:iCs/>
                <w:color w:val="000000" w:themeColor="text1"/>
                <w:sz w:val="24"/>
                <w:szCs w:val="24"/>
                <w:lang w:val="en-US"/>
              </w:rPr>
              <w:t>Liquidity</w:t>
            </w:r>
          </w:p>
        </w:tc>
        <w:tc>
          <w:tcPr>
            <w:tcW w:w="1441" w:type="dxa"/>
            <w:tcBorders>
              <w:top w:val="nil"/>
              <w:left w:val="nil"/>
              <w:bottom w:val="nil"/>
              <w:right w:val="nil"/>
            </w:tcBorders>
          </w:tcPr>
          <w:p w14:paraId="267C8372" w14:textId="77777777" w:rsidR="0024014C" w:rsidRPr="00DE13EE" w:rsidRDefault="0024014C" w:rsidP="000D166F">
            <w:pPr>
              <w:rPr>
                <w:rFonts w:ascii="Times New Roman" w:hAnsi="Times New Roman" w:cs="Times New Roman"/>
                <w:bCs/>
                <w:iCs/>
                <w:color w:val="000000" w:themeColor="text1"/>
                <w:sz w:val="24"/>
                <w:szCs w:val="24"/>
                <w:lang w:val="en-US"/>
              </w:rPr>
            </w:pPr>
            <w:r w:rsidRPr="00DE13EE">
              <w:rPr>
                <w:rFonts w:ascii="Times New Roman" w:hAnsi="Times New Roman" w:cs="Times New Roman"/>
                <w:bCs/>
                <w:iCs/>
                <w:color w:val="000000" w:themeColor="text1"/>
                <w:sz w:val="24"/>
                <w:szCs w:val="24"/>
                <w:lang w:val="en-US"/>
              </w:rPr>
              <w:t>CR</w:t>
            </w:r>
          </w:p>
        </w:tc>
        <w:tc>
          <w:tcPr>
            <w:tcW w:w="7489" w:type="dxa"/>
            <w:tcBorders>
              <w:top w:val="nil"/>
              <w:left w:val="nil"/>
              <w:bottom w:val="nil"/>
              <w:right w:val="nil"/>
            </w:tcBorders>
          </w:tcPr>
          <w:p w14:paraId="522ECEC0" w14:textId="6B347CF0" w:rsidR="0024014C" w:rsidRPr="00DE13EE" w:rsidRDefault="0024014C" w:rsidP="000D166F">
            <w:pPr>
              <w:jc w:val="both"/>
              <w:rPr>
                <w:rFonts w:ascii="Times New Roman" w:hAnsi="Times New Roman" w:cs="Times New Roman"/>
                <w:color w:val="000000" w:themeColor="text1"/>
                <w:sz w:val="24"/>
                <w:szCs w:val="24"/>
                <w:lang w:val="en-US"/>
              </w:rPr>
            </w:pPr>
            <w:r w:rsidRPr="00DE13EE">
              <w:rPr>
                <w:rFonts w:ascii="Times New Roman" w:hAnsi="Times New Roman" w:cs="Times New Roman"/>
                <w:color w:val="000000" w:themeColor="text1"/>
                <w:sz w:val="24"/>
                <w:szCs w:val="24"/>
                <w:lang w:val="en-US"/>
              </w:rPr>
              <w:t xml:space="preserve">Firm current </w:t>
            </w:r>
            <w:r w:rsidR="00B93D4F" w:rsidRPr="00DE13EE">
              <w:rPr>
                <w:rFonts w:ascii="Times New Roman" w:hAnsi="Times New Roman" w:cs="Times New Roman"/>
                <w:color w:val="000000" w:themeColor="text1"/>
                <w:sz w:val="24"/>
                <w:szCs w:val="24"/>
                <w:lang w:val="en-US"/>
              </w:rPr>
              <w:t xml:space="preserve">assets to current liabilities </w:t>
            </w:r>
            <w:r w:rsidRPr="00DE13EE">
              <w:rPr>
                <w:rFonts w:ascii="Times New Roman" w:hAnsi="Times New Roman" w:cs="Times New Roman"/>
                <w:color w:val="000000" w:themeColor="text1"/>
                <w:sz w:val="24"/>
                <w:szCs w:val="24"/>
                <w:lang w:val="en-US"/>
              </w:rPr>
              <w:t xml:space="preserve">ratio. </w:t>
            </w:r>
            <w:r w:rsidR="009202D9" w:rsidRPr="00DE13EE">
              <w:rPr>
                <w:rFonts w:ascii="Times New Roman" w:hAnsi="Times New Roman" w:cs="Times New Roman"/>
                <w:color w:val="000000" w:themeColor="text1"/>
                <w:sz w:val="24"/>
                <w:szCs w:val="24"/>
                <w:lang w:val="en-US"/>
              </w:rPr>
              <w:t xml:space="preserve">Datastream </w:t>
            </w:r>
            <w:r w:rsidRPr="00DE13EE">
              <w:rPr>
                <w:rFonts w:ascii="Times New Roman" w:hAnsi="Times New Roman" w:cs="Times New Roman"/>
                <w:color w:val="000000" w:themeColor="text1"/>
                <w:sz w:val="24"/>
                <w:szCs w:val="24"/>
                <w:lang w:val="en-US"/>
              </w:rPr>
              <w:t>code: WC08106.</w:t>
            </w:r>
          </w:p>
          <w:p w14:paraId="42559D8F" w14:textId="47B23FA4" w:rsidR="000D166F" w:rsidRPr="00DE13EE" w:rsidRDefault="000D166F" w:rsidP="000D166F">
            <w:pPr>
              <w:jc w:val="both"/>
              <w:rPr>
                <w:rFonts w:ascii="Times New Roman" w:hAnsi="Times New Roman" w:cs="Times New Roman"/>
                <w:color w:val="000000" w:themeColor="text1"/>
                <w:sz w:val="14"/>
                <w:szCs w:val="24"/>
                <w:lang w:val="en-US"/>
              </w:rPr>
            </w:pPr>
          </w:p>
        </w:tc>
      </w:tr>
      <w:tr w:rsidR="00DE13EE" w:rsidRPr="00DE13EE" w14:paraId="4AAE5CBD" w14:textId="77777777" w:rsidTr="00A15E54">
        <w:trPr>
          <w:jc w:val="center"/>
        </w:trPr>
        <w:tc>
          <w:tcPr>
            <w:tcW w:w="2127" w:type="dxa"/>
            <w:tcBorders>
              <w:top w:val="nil"/>
              <w:left w:val="nil"/>
              <w:bottom w:val="nil"/>
              <w:right w:val="nil"/>
            </w:tcBorders>
          </w:tcPr>
          <w:p w14:paraId="7C74EE17" w14:textId="77777777" w:rsidR="0024014C" w:rsidRPr="00DE13EE" w:rsidRDefault="0024014C" w:rsidP="000D166F">
            <w:pPr>
              <w:rPr>
                <w:rFonts w:ascii="Times New Roman" w:hAnsi="Times New Roman" w:cs="Times New Roman"/>
                <w:bCs/>
                <w:iCs/>
                <w:color w:val="000000" w:themeColor="text1"/>
                <w:sz w:val="24"/>
                <w:szCs w:val="24"/>
                <w:lang w:val="en-US"/>
              </w:rPr>
            </w:pPr>
            <w:r w:rsidRPr="00DE13EE">
              <w:rPr>
                <w:rFonts w:ascii="Times New Roman" w:hAnsi="Times New Roman" w:cs="Times New Roman"/>
                <w:bCs/>
                <w:iCs/>
                <w:color w:val="000000" w:themeColor="text1"/>
                <w:sz w:val="24"/>
                <w:szCs w:val="24"/>
                <w:lang w:val="en-US"/>
              </w:rPr>
              <w:t xml:space="preserve">Earnings volatility </w:t>
            </w:r>
          </w:p>
        </w:tc>
        <w:tc>
          <w:tcPr>
            <w:tcW w:w="1441" w:type="dxa"/>
            <w:tcBorders>
              <w:top w:val="nil"/>
              <w:left w:val="nil"/>
              <w:bottom w:val="nil"/>
              <w:right w:val="nil"/>
            </w:tcBorders>
          </w:tcPr>
          <w:p w14:paraId="2CDEF260" w14:textId="77777777" w:rsidR="0024014C" w:rsidRPr="00DE13EE" w:rsidRDefault="0024014C" w:rsidP="000D166F">
            <w:pPr>
              <w:rPr>
                <w:rFonts w:ascii="Times New Roman" w:hAnsi="Times New Roman" w:cs="Times New Roman"/>
                <w:bCs/>
                <w:iCs/>
                <w:color w:val="000000" w:themeColor="text1"/>
                <w:sz w:val="24"/>
                <w:szCs w:val="24"/>
                <w:lang w:val="en-US"/>
              </w:rPr>
            </w:pPr>
            <w:r w:rsidRPr="00DE13EE">
              <w:rPr>
                <w:rFonts w:ascii="Times New Roman" w:hAnsi="Times New Roman" w:cs="Times New Roman"/>
                <w:bCs/>
                <w:iCs/>
                <w:color w:val="000000" w:themeColor="text1"/>
                <w:sz w:val="24"/>
                <w:szCs w:val="24"/>
                <w:lang w:val="en-US"/>
              </w:rPr>
              <w:t>Ear.Vol</w:t>
            </w:r>
          </w:p>
        </w:tc>
        <w:tc>
          <w:tcPr>
            <w:tcW w:w="7489" w:type="dxa"/>
            <w:tcBorders>
              <w:top w:val="nil"/>
              <w:left w:val="nil"/>
              <w:bottom w:val="nil"/>
              <w:right w:val="nil"/>
            </w:tcBorders>
          </w:tcPr>
          <w:p w14:paraId="68BE742A" w14:textId="77777777" w:rsidR="0024014C" w:rsidRPr="00DE13EE" w:rsidRDefault="0024014C" w:rsidP="000D166F">
            <w:pPr>
              <w:rPr>
                <w:rFonts w:ascii="Times New Roman" w:hAnsi="Times New Roman" w:cs="Times New Roman"/>
                <w:color w:val="000000" w:themeColor="text1"/>
                <w:sz w:val="24"/>
                <w:szCs w:val="24"/>
                <w:lang w:val="en-US"/>
              </w:rPr>
            </w:pPr>
            <w:r w:rsidRPr="00DE13EE">
              <w:rPr>
                <w:rFonts w:ascii="Times New Roman" w:hAnsi="Times New Roman" w:cs="Times New Roman"/>
                <w:color w:val="000000" w:themeColor="text1"/>
                <w:sz w:val="24"/>
                <w:szCs w:val="24"/>
                <w:lang w:val="en-US"/>
              </w:rPr>
              <w:t>Earnings volatility is measured as the coefficient of variation over the four years. The coefficient of variation is widely used in the related literature (</w:t>
            </w:r>
            <w:r w:rsidR="007D6938" w:rsidRPr="00DE13EE">
              <w:rPr>
                <w:rFonts w:ascii="Times New Roman" w:hAnsi="Times New Roman" w:cs="Times New Roman"/>
                <w:color w:val="000000" w:themeColor="text1"/>
                <w:sz w:val="24"/>
                <w:szCs w:val="24"/>
                <w:lang w:val="en-US"/>
              </w:rPr>
              <w:t xml:space="preserve">e.g., </w:t>
            </w:r>
            <w:r w:rsidRPr="00DE13EE">
              <w:rPr>
                <w:rFonts w:ascii="Times New Roman" w:hAnsi="Times New Roman" w:cs="Times New Roman"/>
                <w:color w:val="000000" w:themeColor="text1"/>
                <w:sz w:val="24"/>
                <w:szCs w:val="24"/>
                <w:lang w:val="en-US"/>
              </w:rPr>
              <w:t xml:space="preserve">MSW; Michelson et al., 1995) and is calculated as the standard deviation of the unscaled earnings series divided by the mean values. </w:t>
            </w:r>
          </w:p>
          <w:p w14:paraId="5E49A791" w14:textId="1C404C4C" w:rsidR="000D166F" w:rsidRPr="00DE13EE" w:rsidRDefault="000D166F" w:rsidP="000D166F">
            <w:pPr>
              <w:rPr>
                <w:rFonts w:ascii="Times New Roman" w:hAnsi="Times New Roman" w:cs="Times New Roman"/>
                <w:color w:val="000000" w:themeColor="text1"/>
                <w:sz w:val="14"/>
                <w:szCs w:val="24"/>
                <w:lang w:val="en-US"/>
              </w:rPr>
            </w:pPr>
          </w:p>
        </w:tc>
      </w:tr>
      <w:tr w:rsidR="00DE13EE" w:rsidRPr="00DE13EE" w14:paraId="3D0F42FC" w14:textId="77777777" w:rsidTr="00A15E54">
        <w:trPr>
          <w:jc w:val="center"/>
        </w:trPr>
        <w:tc>
          <w:tcPr>
            <w:tcW w:w="2127" w:type="dxa"/>
            <w:tcBorders>
              <w:top w:val="nil"/>
              <w:left w:val="nil"/>
              <w:bottom w:val="nil"/>
              <w:right w:val="nil"/>
            </w:tcBorders>
          </w:tcPr>
          <w:p w14:paraId="1E28980D" w14:textId="77777777" w:rsidR="0024014C" w:rsidRPr="00DE13EE" w:rsidRDefault="0024014C" w:rsidP="000D166F">
            <w:pPr>
              <w:rPr>
                <w:rFonts w:ascii="Times New Roman" w:hAnsi="Times New Roman" w:cs="Times New Roman"/>
                <w:bCs/>
                <w:iCs/>
                <w:color w:val="000000" w:themeColor="text1"/>
                <w:sz w:val="24"/>
                <w:szCs w:val="24"/>
                <w:lang w:val="en-US"/>
              </w:rPr>
            </w:pPr>
            <w:r w:rsidRPr="00DE13EE">
              <w:rPr>
                <w:rFonts w:ascii="Times New Roman" w:hAnsi="Times New Roman" w:cs="Times New Roman"/>
                <w:bCs/>
                <w:iCs/>
                <w:color w:val="000000" w:themeColor="text1"/>
                <w:sz w:val="24"/>
                <w:szCs w:val="24"/>
                <w:lang w:val="en-US"/>
              </w:rPr>
              <w:t>Managerial ownership</w:t>
            </w:r>
          </w:p>
        </w:tc>
        <w:tc>
          <w:tcPr>
            <w:tcW w:w="1441" w:type="dxa"/>
            <w:tcBorders>
              <w:top w:val="nil"/>
              <w:left w:val="nil"/>
              <w:bottom w:val="nil"/>
              <w:right w:val="nil"/>
            </w:tcBorders>
          </w:tcPr>
          <w:p w14:paraId="165DF8F3" w14:textId="77777777" w:rsidR="0024014C" w:rsidRPr="00DE13EE" w:rsidRDefault="0024014C" w:rsidP="000D166F">
            <w:pPr>
              <w:rPr>
                <w:rFonts w:ascii="Times New Roman" w:hAnsi="Times New Roman" w:cs="Times New Roman"/>
                <w:bCs/>
                <w:iCs/>
                <w:color w:val="000000" w:themeColor="text1"/>
                <w:sz w:val="24"/>
                <w:szCs w:val="24"/>
                <w:lang w:val="en-US"/>
              </w:rPr>
            </w:pPr>
            <w:r w:rsidRPr="00DE13EE">
              <w:rPr>
                <w:rFonts w:ascii="Times New Roman" w:hAnsi="Times New Roman" w:cs="Times New Roman"/>
                <w:bCs/>
                <w:iCs/>
                <w:color w:val="000000" w:themeColor="text1"/>
                <w:sz w:val="24"/>
                <w:szCs w:val="24"/>
                <w:lang w:val="en-US"/>
              </w:rPr>
              <w:t>%MO</w:t>
            </w:r>
          </w:p>
        </w:tc>
        <w:tc>
          <w:tcPr>
            <w:tcW w:w="7489" w:type="dxa"/>
            <w:tcBorders>
              <w:top w:val="nil"/>
              <w:left w:val="nil"/>
              <w:bottom w:val="nil"/>
              <w:right w:val="nil"/>
            </w:tcBorders>
          </w:tcPr>
          <w:p w14:paraId="6D7B55FB" w14:textId="2EE3D56D" w:rsidR="0024014C" w:rsidRPr="00DE13EE" w:rsidRDefault="0024014C" w:rsidP="000D166F">
            <w:pPr>
              <w:rPr>
                <w:rFonts w:ascii="Times New Roman" w:hAnsi="Times New Roman" w:cs="Times New Roman"/>
                <w:bCs/>
                <w:color w:val="000000" w:themeColor="text1"/>
                <w:sz w:val="24"/>
                <w:szCs w:val="24"/>
                <w:lang w:val="en-US"/>
              </w:rPr>
            </w:pPr>
            <w:r w:rsidRPr="00DE13EE">
              <w:rPr>
                <w:rFonts w:ascii="Times New Roman" w:hAnsi="Times New Roman" w:cs="Times New Roman"/>
                <w:bCs/>
                <w:color w:val="000000" w:themeColor="text1"/>
                <w:sz w:val="24"/>
                <w:szCs w:val="24"/>
                <w:lang w:val="en-US"/>
              </w:rPr>
              <w:t>The percentage of total shares held by employees</w:t>
            </w:r>
            <w:r w:rsidR="00CB20AF" w:rsidRPr="00DE13EE">
              <w:rPr>
                <w:rFonts w:ascii="Times New Roman" w:hAnsi="Times New Roman" w:cs="Times New Roman"/>
                <w:bCs/>
                <w:color w:val="000000" w:themeColor="text1"/>
                <w:sz w:val="24"/>
                <w:szCs w:val="24"/>
                <w:lang w:val="en-US"/>
              </w:rPr>
              <w:t xml:space="preserve"> </w:t>
            </w:r>
            <w:r w:rsidRPr="00DE13EE">
              <w:rPr>
                <w:rFonts w:ascii="Times New Roman" w:hAnsi="Times New Roman" w:cs="Times New Roman"/>
                <w:bCs/>
                <w:color w:val="000000" w:themeColor="text1"/>
                <w:sz w:val="24"/>
                <w:szCs w:val="24"/>
                <w:lang w:val="en-US"/>
              </w:rPr>
              <w:t xml:space="preserve">or those </w:t>
            </w:r>
            <w:r w:rsidR="00455555" w:rsidRPr="00DE13EE">
              <w:rPr>
                <w:rFonts w:ascii="Times New Roman" w:hAnsi="Times New Roman" w:cs="Times New Roman"/>
                <w:bCs/>
                <w:color w:val="000000" w:themeColor="text1"/>
                <w:sz w:val="24"/>
                <w:szCs w:val="24"/>
                <w:lang w:val="en-US"/>
              </w:rPr>
              <w:t xml:space="preserve">who </w:t>
            </w:r>
            <w:r w:rsidR="009202D9" w:rsidRPr="00DE13EE">
              <w:rPr>
                <w:rFonts w:ascii="Times New Roman" w:hAnsi="Times New Roman" w:cs="Times New Roman"/>
                <w:bCs/>
                <w:color w:val="000000" w:themeColor="text1"/>
                <w:sz w:val="24"/>
                <w:szCs w:val="24"/>
                <w:lang w:val="en-US"/>
              </w:rPr>
              <w:t xml:space="preserve">have </w:t>
            </w:r>
            <w:r w:rsidRPr="00DE13EE">
              <w:rPr>
                <w:rFonts w:ascii="Times New Roman" w:hAnsi="Times New Roman" w:cs="Times New Roman"/>
                <w:bCs/>
                <w:color w:val="000000" w:themeColor="text1"/>
                <w:sz w:val="24"/>
                <w:szCs w:val="24"/>
                <w:lang w:val="en-US"/>
              </w:rPr>
              <w:t xml:space="preserve">a substantial position that provides significant voting power at an annual general meeting. </w:t>
            </w:r>
            <w:r w:rsidR="009202D9" w:rsidRPr="00DE13EE">
              <w:rPr>
                <w:rFonts w:ascii="Times New Roman" w:hAnsi="Times New Roman" w:cs="Times New Roman"/>
                <w:bCs/>
                <w:color w:val="000000" w:themeColor="text1"/>
                <w:sz w:val="24"/>
                <w:szCs w:val="24"/>
                <w:lang w:val="en-US"/>
              </w:rPr>
              <w:t xml:space="preserve">Datastream </w:t>
            </w:r>
            <w:r w:rsidRPr="00DE13EE">
              <w:rPr>
                <w:rFonts w:ascii="Times New Roman" w:hAnsi="Times New Roman" w:cs="Times New Roman"/>
                <w:bCs/>
                <w:color w:val="000000" w:themeColor="text1"/>
                <w:sz w:val="24"/>
                <w:szCs w:val="24"/>
                <w:lang w:val="en-US"/>
              </w:rPr>
              <w:t>code: NOSHEM.</w:t>
            </w:r>
          </w:p>
          <w:p w14:paraId="41D254E2" w14:textId="69BBD1A7" w:rsidR="000D166F" w:rsidRPr="00DE13EE" w:rsidRDefault="000D166F" w:rsidP="000D166F">
            <w:pPr>
              <w:rPr>
                <w:rFonts w:ascii="Times New Roman" w:hAnsi="Times New Roman" w:cs="Times New Roman"/>
                <w:bCs/>
                <w:color w:val="000000" w:themeColor="text1"/>
                <w:sz w:val="14"/>
                <w:szCs w:val="24"/>
                <w:lang w:val="en-US"/>
              </w:rPr>
            </w:pPr>
          </w:p>
        </w:tc>
      </w:tr>
      <w:tr w:rsidR="00DE13EE" w:rsidRPr="00DE13EE" w14:paraId="18DBC011" w14:textId="77777777" w:rsidTr="00A15E54">
        <w:trPr>
          <w:jc w:val="center"/>
        </w:trPr>
        <w:tc>
          <w:tcPr>
            <w:tcW w:w="2127" w:type="dxa"/>
            <w:tcBorders>
              <w:top w:val="nil"/>
              <w:left w:val="nil"/>
              <w:bottom w:val="nil"/>
              <w:right w:val="nil"/>
            </w:tcBorders>
          </w:tcPr>
          <w:p w14:paraId="0D899212" w14:textId="77777777" w:rsidR="0024014C" w:rsidRPr="00DE13EE" w:rsidRDefault="0024014C" w:rsidP="000D166F">
            <w:pPr>
              <w:rPr>
                <w:rFonts w:ascii="Times New Roman" w:hAnsi="Times New Roman" w:cs="Times New Roman"/>
                <w:bCs/>
                <w:iCs/>
                <w:color w:val="000000" w:themeColor="text1"/>
                <w:sz w:val="24"/>
                <w:szCs w:val="24"/>
                <w:lang w:val="en-US"/>
              </w:rPr>
            </w:pPr>
            <w:r w:rsidRPr="00DE13EE">
              <w:rPr>
                <w:rFonts w:ascii="Times New Roman" w:hAnsi="Times New Roman" w:cs="Times New Roman"/>
                <w:bCs/>
                <w:iCs/>
                <w:color w:val="000000" w:themeColor="text1"/>
                <w:sz w:val="24"/>
                <w:szCs w:val="24"/>
                <w:lang w:val="en-US"/>
              </w:rPr>
              <w:t>Firm growth</w:t>
            </w:r>
          </w:p>
        </w:tc>
        <w:tc>
          <w:tcPr>
            <w:tcW w:w="1441" w:type="dxa"/>
            <w:tcBorders>
              <w:top w:val="nil"/>
              <w:left w:val="nil"/>
              <w:bottom w:val="nil"/>
              <w:right w:val="nil"/>
            </w:tcBorders>
          </w:tcPr>
          <w:p w14:paraId="71B56BD1" w14:textId="77777777" w:rsidR="0024014C" w:rsidRPr="00DE13EE" w:rsidRDefault="0024014C" w:rsidP="000D166F">
            <w:pPr>
              <w:rPr>
                <w:rFonts w:ascii="Times New Roman" w:hAnsi="Times New Roman" w:cs="Times New Roman"/>
                <w:bCs/>
                <w:iCs/>
                <w:color w:val="000000" w:themeColor="text1"/>
                <w:sz w:val="24"/>
                <w:szCs w:val="24"/>
                <w:lang w:val="en-US"/>
              </w:rPr>
            </w:pPr>
            <w:r w:rsidRPr="00DE13EE">
              <w:rPr>
                <w:rFonts w:ascii="Times New Roman" w:hAnsi="Times New Roman" w:cs="Times New Roman"/>
                <w:bCs/>
                <w:iCs/>
                <w:color w:val="000000" w:themeColor="text1"/>
                <w:sz w:val="24"/>
                <w:szCs w:val="24"/>
                <w:lang w:val="en-US"/>
              </w:rPr>
              <w:t>GRTH</w:t>
            </w:r>
          </w:p>
        </w:tc>
        <w:tc>
          <w:tcPr>
            <w:tcW w:w="7489" w:type="dxa"/>
            <w:tcBorders>
              <w:top w:val="nil"/>
              <w:left w:val="nil"/>
              <w:bottom w:val="nil"/>
              <w:right w:val="nil"/>
            </w:tcBorders>
          </w:tcPr>
          <w:p w14:paraId="2F9E7F83" w14:textId="757F8246" w:rsidR="0024014C" w:rsidRPr="00DE13EE" w:rsidRDefault="0024014C" w:rsidP="000D166F">
            <w:pPr>
              <w:rPr>
                <w:rFonts w:ascii="Times New Roman" w:hAnsi="Times New Roman" w:cs="Times New Roman"/>
                <w:color w:val="000000" w:themeColor="text1"/>
                <w:sz w:val="24"/>
                <w:szCs w:val="24"/>
                <w:lang w:val="en-US"/>
              </w:rPr>
            </w:pPr>
            <w:r w:rsidRPr="00DE13EE">
              <w:rPr>
                <w:rFonts w:ascii="Times New Roman" w:hAnsi="Times New Roman" w:cs="Times New Roman"/>
                <w:color w:val="000000" w:themeColor="text1"/>
                <w:sz w:val="24"/>
                <w:szCs w:val="24"/>
                <w:lang w:val="en-US"/>
              </w:rPr>
              <w:t xml:space="preserve">Firm sales growth ratio. </w:t>
            </w:r>
            <w:r w:rsidR="009202D9" w:rsidRPr="00DE13EE">
              <w:rPr>
                <w:rFonts w:ascii="Times New Roman" w:hAnsi="Times New Roman" w:cs="Times New Roman"/>
                <w:color w:val="000000" w:themeColor="text1"/>
                <w:sz w:val="24"/>
                <w:szCs w:val="24"/>
                <w:lang w:val="en-US"/>
              </w:rPr>
              <w:t xml:space="preserve">Datastream </w:t>
            </w:r>
            <w:r w:rsidRPr="00DE13EE">
              <w:rPr>
                <w:rFonts w:ascii="Times New Roman" w:hAnsi="Times New Roman" w:cs="Times New Roman"/>
                <w:color w:val="000000" w:themeColor="text1"/>
                <w:sz w:val="24"/>
                <w:szCs w:val="24"/>
                <w:lang w:val="en-US"/>
              </w:rPr>
              <w:t>code: WC08633.</w:t>
            </w:r>
          </w:p>
          <w:p w14:paraId="18914A4A" w14:textId="6566EFE6" w:rsidR="000D166F" w:rsidRPr="00DE13EE" w:rsidRDefault="000D166F" w:rsidP="000D166F">
            <w:pPr>
              <w:rPr>
                <w:rFonts w:ascii="Times New Roman" w:hAnsi="Times New Roman" w:cs="Times New Roman"/>
                <w:color w:val="000000" w:themeColor="text1"/>
                <w:sz w:val="14"/>
                <w:szCs w:val="24"/>
                <w:lang w:val="en-US"/>
              </w:rPr>
            </w:pPr>
          </w:p>
        </w:tc>
      </w:tr>
      <w:tr w:rsidR="00DE13EE" w:rsidRPr="00DE13EE" w14:paraId="16E4D293" w14:textId="77777777" w:rsidTr="00A15E54">
        <w:trPr>
          <w:jc w:val="center"/>
        </w:trPr>
        <w:tc>
          <w:tcPr>
            <w:tcW w:w="2127" w:type="dxa"/>
            <w:tcBorders>
              <w:top w:val="nil"/>
              <w:left w:val="nil"/>
              <w:bottom w:val="nil"/>
              <w:right w:val="nil"/>
            </w:tcBorders>
            <w:hideMark/>
          </w:tcPr>
          <w:p w14:paraId="41641515" w14:textId="77777777" w:rsidR="0024014C" w:rsidRPr="00DE13EE" w:rsidRDefault="0024014C" w:rsidP="000D166F">
            <w:pPr>
              <w:rPr>
                <w:rFonts w:ascii="Times New Roman" w:hAnsi="Times New Roman" w:cs="Times New Roman"/>
                <w:bCs/>
                <w:iCs/>
                <w:color w:val="000000" w:themeColor="text1"/>
                <w:sz w:val="24"/>
                <w:szCs w:val="24"/>
                <w:lang w:val="en-US"/>
              </w:rPr>
            </w:pPr>
            <w:r w:rsidRPr="00DE13EE">
              <w:rPr>
                <w:rFonts w:ascii="Times New Roman" w:hAnsi="Times New Roman" w:cs="Times New Roman"/>
                <w:bCs/>
                <w:iCs/>
                <w:color w:val="000000" w:themeColor="text1"/>
                <w:sz w:val="24"/>
                <w:szCs w:val="24"/>
                <w:lang w:val="en-US"/>
              </w:rPr>
              <w:t xml:space="preserve">Capital expenditure </w:t>
            </w:r>
          </w:p>
        </w:tc>
        <w:tc>
          <w:tcPr>
            <w:tcW w:w="1441" w:type="dxa"/>
            <w:tcBorders>
              <w:top w:val="nil"/>
              <w:left w:val="nil"/>
              <w:bottom w:val="nil"/>
              <w:right w:val="nil"/>
            </w:tcBorders>
            <w:hideMark/>
          </w:tcPr>
          <w:p w14:paraId="3789965A" w14:textId="77777777" w:rsidR="0024014C" w:rsidRPr="00DE13EE" w:rsidRDefault="0024014C" w:rsidP="000D166F">
            <w:pPr>
              <w:rPr>
                <w:rFonts w:ascii="Times New Roman" w:hAnsi="Times New Roman" w:cs="Times New Roman"/>
                <w:bCs/>
                <w:iCs/>
                <w:color w:val="000000" w:themeColor="text1"/>
                <w:sz w:val="24"/>
                <w:szCs w:val="24"/>
                <w:lang w:val="en-US"/>
              </w:rPr>
            </w:pPr>
            <w:r w:rsidRPr="00DE13EE">
              <w:rPr>
                <w:rFonts w:ascii="Times New Roman" w:hAnsi="Times New Roman" w:cs="Times New Roman"/>
                <w:bCs/>
                <w:iCs/>
                <w:color w:val="000000" w:themeColor="text1"/>
                <w:sz w:val="24"/>
                <w:szCs w:val="24"/>
                <w:lang w:val="en-US"/>
              </w:rPr>
              <w:t>CAPEX</w:t>
            </w:r>
          </w:p>
        </w:tc>
        <w:tc>
          <w:tcPr>
            <w:tcW w:w="7489" w:type="dxa"/>
            <w:tcBorders>
              <w:top w:val="nil"/>
              <w:left w:val="nil"/>
              <w:bottom w:val="nil"/>
              <w:right w:val="nil"/>
            </w:tcBorders>
            <w:hideMark/>
          </w:tcPr>
          <w:p w14:paraId="6E8E8BD8" w14:textId="37B5A2CE" w:rsidR="0024014C" w:rsidRPr="00DE13EE" w:rsidRDefault="0024014C" w:rsidP="000D166F">
            <w:pPr>
              <w:jc w:val="both"/>
              <w:rPr>
                <w:rFonts w:ascii="Times New Roman" w:hAnsi="Times New Roman" w:cs="Times New Roman"/>
                <w:color w:val="000000" w:themeColor="text1"/>
                <w:sz w:val="24"/>
                <w:szCs w:val="24"/>
                <w:lang w:val="en-US"/>
              </w:rPr>
            </w:pPr>
            <w:r w:rsidRPr="00DE13EE">
              <w:rPr>
                <w:rFonts w:ascii="Times New Roman" w:hAnsi="Times New Roman" w:cs="Times New Roman"/>
                <w:color w:val="000000" w:themeColor="text1"/>
                <w:sz w:val="24"/>
                <w:szCs w:val="24"/>
                <w:lang w:val="en-US"/>
              </w:rPr>
              <w:t xml:space="preserve">Capital expenditure to assets ratio. </w:t>
            </w:r>
            <w:r w:rsidR="009202D9" w:rsidRPr="00DE13EE">
              <w:rPr>
                <w:rFonts w:ascii="Times New Roman" w:hAnsi="Times New Roman" w:cs="Times New Roman"/>
                <w:color w:val="000000" w:themeColor="text1"/>
                <w:sz w:val="24"/>
                <w:szCs w:val="24"/>
                <w:lang w:val="en-US"/>
              </w:rPr>
              <w:t xml:space="preserve">Datastream </w:t>
            </w:r>
            <w:r w:rsidRPr="00DE13EE">
              <w:rPr>
                <w:rFonts w:ascii="Times New Roman" w:hAnsi="Times New Roman" w:cs="Times New Roman"/>
                <w:color w:val="000000" w:themeColor="text1"/>
                <w:sz w:val="24"/>
                <w:szCs w:val="24"/>
                <w:lang w:val="en-US"/>
              </w:rPr>
              <w:t>code: WC08420.</w:t>
            </w:r>
          </w:p>
          <w:p w14:paraId="76C24BDA" w14:textId="390E2A8A" w:rsidR="000D166F" w:rsidRPr="00DE13EE" w:rsidRDefault="000D166F" w:rsidP="000D166F">
            <w:pPr>
              <w:jc w:val="both"/>
              <w:rPr>
                <w:rFonts w:ascii="Times New Roman" w:hAnsi="Times New Roman" w:cs="Times New Roman"/>
                <w:color w:val="000000" w:themeColor="text1"/>
                <w:sz w:val="14"/>
                <w:szCs w:val="24"/>
                <w:lang w:val="en-US"/>
              </w:rPr>
            </w:pPr>
          </w:p>
        </w:tc>
      </w:tr>
      <w:tr w:rsidR="00DE13EE" w:rsidRPr="00DE13EE" w14:paraId="567A8FC1" w14:textId="77777777" w:rsidTr="00A15E54">
        <w:trPr>
          <w:jc w:val="center"/>
        </w:trPr>
        <w:tc>
          <w:tcPr>
            <w:tcW w:w="2127" w:type="dxa"/>
            <w:tcBorders>
              <w:top w:val="nil"/>
              <w:left w:val="nil"/>
              <w:bottom w:val="nil"/>
              <w:right w:val="nil"/>
            </w:tcBorders>
          </w:tcPr>
          <w:p w14:paraId="3C2C8449" w14:textId="1F6D0A57" w:rsidR="000D166F" w:rsidRPr="00DE13EE" w:rsidRDefault="000D166F" w:rsidP="000D166F">
            <w:pPr>
              <w:rPr>
                <w:rFonts w:ascii="Times New Roman" w:hAnsi="Times New Roman" w:cs="Times New Roman"/>
                <w:bCs/>
                <w:iCs/>
                <w:color w:val="000000" w:themeColor="text1"/>
                <w:sz w:val="24"/>
                <w:szCs w:val="24"/>
                <w:lang w:val="en-US"/>
              </w:rPr>
            </w:pPr>
            <w:r w:rsidRPr="00DE13EE">
              <w:rPr>
                <w:rFonts w:ascii="Times New Roman" w:hAnsi="Times New Roman" w:cs="Times New Roman"/>
                <w:bCs/>
                <w:iCs/>
                <w:color w:val="000000" w:themeColor="text1"/>
                <w:sz w:val="24"/>
                <w:szCs w:val="24"/>
                <w:lang w:val="en-US"/>
              </w:rPr>
              <w:t xml:space="preserve">Length of narrative document </w:t>
            </w:r>
          </w:p>
        </w:tc>
        <w:tc>
          <w:tcPr>
            <w:tcW w:w="1441" w:type="dxa"/>
            <w:tcBorders>
              <w:top w:val="nil"/>
              <w:left w:val="nil"/>
              <w:bottom w:val="nil"/>
              <w:right w:val="nil"/>
            </w:tcBorders>
          </w:tcPr>
          <w:p w14:paraId="12DBAABB" w14:textId="0E5AF203" w:rsidR="000D166F" w:rsidRPr="00DE13EE" w:rsidRDefault="000D166F" w:rsidP="000D166F">
            <w:pPr>
              <w:rPr>
                <w:rFonts w:ascii="Times New Roman" w:hAnsi="Times New Roman" w:cs="Times New Roman"/>
                <w:bCs/>
                <w:iCs/>
                <w:color w:val="000000" w:themeColor="text1"/>
                <w:sz w:val="24"/>
                <w:szCs w:val="24"/>
                <w:lang w:val="en-US"/>
              </w:rPr>
            </w:pPr>
            <w:r w:rsidRPr="00DE13EE">
              <w:rPr>
                <w:rFonts w:ascii="Times New Roman" w:hAnsi="Times New Roman" w:cs="Times New Roman"/>
                <w:bCs/>
                <w:iCs/>
                <w:color w:val="000000" w:themeColor="text1"/>
                <w:sz w:val="24"/>
                <w:szCs w:val="24"/>
                <w:lang w:val="en-US"/>
              </w:rPr>
              <w:t>LNGTH</w:t>
            </w:r>
          </w:p>
        </w:tc>
        <w:tc>
          <w:tcPr>
            <w:tcW w:w="7489" w:type="dxa"/>
            <w:tcBorders>
              <w:top w:val="nil"/>
              <w:left w:val="nil"/>
              <w:bottom w:val="nil"/>
              <w:right w:val="nil"/>
            </w:tcBorders>
          </w:tcPr>
          <w:p w14:paraId="6D97D3B4" w14:textId="1925A659" w:rsidR="000D166F" w:rsidRPr="00DE13EE" w:rsidRDefault="000D166F" w:rsidP="000D166F">
            <w:pPr>
              <w:jc w:val="both"/>
              <w:rPr>
                <w:rFonts w:ascii="Times New Roman" w:hAnsi="Times New Roman" w:cs="Times New Roman"/>
                <w:color w:val="000000" w:themeColor="text1"/>
                <w:sz w:val="24"/>
                <w:szCs w:val="24"/>
                <w:lang w:val="en-US"/>
              </w:rPr>
            </w:pPr>
            <w:r w:rsidRPr="00DE13EE">
              <w:rPr>
                <w:rFonts w:ascii="Times New Roman" w:hAnsi="Times New Roman" w:cs="Times New Roman"/>
                <w:color w:val="000000" w:themeColor="text1"/>
                <w:sz w:val="24"/>
                <w:szCs w:val="24"/>
                <w:lang w:val="en-US"/>
              </w:rPr>
              <w:t xml:space="preserve">Total </w:t>
            </w:r>
            <w:r w:rsidR="00B93D4F" w:rsidRPr="00DE13EE">
              <w:rPr>
                <w:rFonts w:ascii="Times New Roman" w:hAnsi="Times New Roman" w:cs="Times New Roman"/>
                <w:color w:val="000000" w:themeColor="text1"/>
                <w:sz w:val="24"/>
                <w:szCs w:val="24"/>
                <w:lang w:val="en-US"/>
              </w:rPr>
              <w:t xml:space="preserve">sentences in the annual report narrative sections. </w:t>
            </w:r>
            <w:r w:rsidRPr="00DE13EE">
              <w:rPr>
                <w:rFonts w:ascii="Times New Roman" w:hAnsi="Times New Roman" w:cs="Times New Roman"/>
                <w:color w:val="000000" w:themeColor="text1"/>
                <w:sz w:val="24"/>
                <w:szCs w:val="24"/>
                <w:lang w:val="en-US"/>
              </w:rPr>
              <w:t xml:space="preserve"> </w:t>
            </w:r>
          </w:p>
          <w:p w14:paraId="74A19281" w14:textId="77777777" w:rsidR="000D166F" w:rsidRPr="00DE13EE" w:rsidRDefault="000D166F" w:rsidP="000D166F">
            <w:pPr>
              <w:jc w:val="both"/>
              <w:rPr>
                <w:rFonts w:ascii="Times New Roman" w:hAnsi="Times New Roman" w:cs="Times New Roman"/>
                <w:color w:val="000000" w:themeColor="text1"/>
                <w:sz w:val="24"/>
                <w:szCs w:val="24"/>
                <w:lang w:val="en-US"/>
              </w:rPr>
            </w:pPr>
          </w:p>
          <w:p w14:paraId="103182FB" w14:textId="77777777" w:rsidR="000D166F" w:rsidRPr="00DE13EE" w:rsidRDefault="000D166F" w:rsidP="000D166F">
            <w:pPr>
              <w:jc w:val="both"/>
              <w:rPr>
                <w:rFonts w:ascii="Times New Roman" w:hAnsi="Times New Roman" w:cs="Times New Roman"/>
                <w:color w:val="000000" w:themeColor="text1"/>
                <w:sz w:val="14"/>
                <w:szCs w:val="24"/>
                <w:lang w:val="en-US"/>
              </w:rPr>
            </w:pPr>
          </w:p>
        </w:tc>
      </w:tr>
      <w:tr w:rsidR="00DE13EE" w:rsidRPr="00DE13EE" w14:paraId="1871A30B" w14:textId="77777777" w:rsidTr="00A15E54">
        <w:trPr>
          <w:jc w:val="center"/>
        </w:trPr>
        <w:tc>
          <w:tcPr>
            <w:tcW w:w="2127" w:type="dxa"/>
            <w:tcBorders>
              <w:top w:val="nil"/>
              <w:left w:val="nil"/>
              <w:bottom w:val="nil"/>
              <w:right w:val="nil"/>
            </w:tcBorders>
          </w:tcPr>
          <w:p w14:paraId="4C82B6C3" w14:textId="35327449" w:rsidR="000D166F" w:rsidRPr="00DE13EE" w:rsidRDefault="000D166F" w:rsidP="000D166F">
            <w:pPr>
              <w:rPr>
                <w:rFonts w:ascii="Times New Roman" w:hAnsi="Times New Roman" w:cs="Times New Roman"/>
                <w:bCs/>
                <w:iCs/>
                <w:color w:val="000000" w:themeColor="text1"/>
                <w:sz w:val="24"/>
                <w:szCs w:val="24"/>
                <w:lang w:val="en-US"/>
              </w:rPr>
            </w:pPr>
            <w:r w:rsidRPr="00DE13EE">
              <w:rPr>
                <w:rFonts w:ascii="Times New Roman" w:hAnsi="Times New Roman" w:cs="Times New Roman"/>
                <w:bCs/>
                <w:iCs/>
                <w:color w:val="000000" w:themeColor="text1"/>
                <w:sz w:val="24"/>
                <w:szCs w:val="24"/>
                <w:lang w:val="en-US"/>
              </w:rPr>
              <w:t xml:space="preserve">Audit firm size </w:t>
            </w:r>
          </w:p>
        </w:tc>
        <w:tc>
          <w:tcPr>
            <w:tcW w:w="1441" w:type="dxa"/>
            <w:tcBorders>
              <w:top w:val="nil"/>
              <w:left w:val="nil"/>
              <w:bottom w:val="nil"/>
              <w:right w:val="nil"/>
            </w:tcBorders>
          </w:tcPr>
          <w:p w14:paraId="4DAA3519" w14:textId="4E33778D" w:rsidR="000D166F" w:rsidRPr="00DE13EE" w:rsidRDefault="000D166F" w:rsidP="000D166F">
            <w:pPr>
              <w:rPr>
                <w:rFonts w:ascii="Times New Roman" w:hAnsi="Times New Roman" w:cs="Times New Roman"/>
                <w:bCs/>
                <w:iCs/>
                <w:color w:val="000000" w:themeColor="text1"/>
                <w:sz w:val="24"/>
                <w:szCs w:val="24"/>
                <w:lang w:val="en-US"/>
              </w:rPr>
            </w:pPr>
            <w:r w:rsidRPr="00DE13EE">
              <w:rPr>
                <w:rFonts w:ascii="Times New Roman" w:hAnsi="Times New Roman" w:cs="Times New Roman"/>
                <w:bCs/>
                <w:iCs/>
                <w:color w:val="000000" w:themeColor="text1"/>
                <w:sz w:val="24"/>
                <w:szCs w:val="24"/>
                <w:lang w:val="en-US"/>
              </w:rPr>
              <w:t>Big-N</w:t>
            </w:r>
            <w:r w:rsidRPr="00DE13EE">
              <w:rPr>
                <w:rFonts w:ascii="Times New Roman" w:hAnsi="Times New Roman" w:cs="Times New Roman"/>
                <w:bCs/>
                <w:iCs/>
                <w:color w:val="000000" w:themeColor="text1"/>
                <w:sz w:val="24"/>
                <w:szCs w:val="24"/>
                <w:lang w:val="en-US"/>
              </w:rPr>
              <w:br/>
              <w:t>Non</w:t>
            </w:r>
            <w:r w:rsidR="009202D9" w:rsidRPr="00DE13EE">
              <w:rPr>
                <w:rFonts w:ascii="Times New Roman" w:hAnsi="Times New Roman" w:cs="Times New Roman"/>
                <w:bCs/>
                <w:iCs/>
                <w:color w:val="000000" w:themeColor="text1"/>
                <w:sz w:val="24"/>
                <w:szCs w:val="24"/>
                <w:lang w:val="en-US"/>
              </w:rPr>
              <w:t>-</w:t>
            </w:r>
            <w:r w:rsidRPr="00DE13EE">
              <w:rPr>
                <w:rFonts w:ascii="Times New Roman" w:hAnsi="Times New Roman" w:cs="Times New Roman"/>
                <w:bCs/>
                <w:iCs/>
                <w:color w:val="000000" w:themeColor="text1"/>
                <w:sz w:val="24"/>
                <w:szCs w:val="24"/>
                <w:lang w:val="en-US"/>
              </w:rPr>
              <w:t>Big-N</w:t>
            </w:r>
          </w:p>
        </w:tc>
        <w:tc>
          <w:tcPr>
            <w:tcW w:w="7489" w:type="dxa"/>
            <w:tcBorders>
              <w:top w:val="nil"/>
              <w:left w:val="nil"/>
              <w:bottom w:val="nil"/>
              <w:right w:val="nil"/>
            </w:tcBorders>
          </w:tcPr>
          <w:p w14:paraId="757E5147" w14:textId="277E3756" w:rsidR="000D166F" w:rsidRPr="00DE13EE" w:rsidRDefault="001D0D30" w:rsidP="000D166F">
            <w:pPr>
              <w:jc w:val="both"/>
              <w:rPr>
                <w:rFonts w:ascii="Times New Roman" w:hAnsi="Times New Roman" w:cs="Times New Roman"/>
                <w:color w:val="000000" w:themeColor="text1"/>
                <w:sz w:val="24"/>
                <w:szCs w:val="24"/>
                <w:lang w:val="en-US"/>
              </w:rPr>
            </w:pPr>
            <w:r w:rsidRPr="00DE13EE">
              <w:rPr>
                <w:rFonts w:ascii="Times New Roman" w:hAnsi="Times New Roman" w:cs="Times New Roman"/>
                <w:color w:val="000000" w:themeColor="text1"/>
                <w:sz w:val="24"/>
                <w:szCs w:val="24"/>
                <w:lang w:val="en-US"/>
              </w:rPr>
              <w:t xml:space="preserve">The sample is divided into two sub-samples based on the size of the auditing firm: firms audited by one of the Big 4 auditing firms (Big-N) and firms audited by a non-Big 4 auditor (Non Big-N). </w:t>
            </w:r>
            <w:r w:rsidR="00B93D4F" w:rsidRPr="00DE13EE">
              <w:rPr>
                <w:rFonts w:ascii="Times New Roman" w:hAnsi="Times New Roman" w:cs="Times New Roman"/>
                <w:color w:val="000000" w:themeColor="text1"/>
                <w:sz w:val="24"/>
                <w:szCs w:val="24"/>
                <w:lang w:val="en-US"/>
              </w:rPr>
              <w:t xml:space="preserve">The Big-N auditing firms are PwC, Deloitte, Ernst &amp; Young, and KPMG. </w:t>
            </w:r>
            <w:r w:rsidRPr="00DE13EE">
              <w:rPr>
                <w:rFonts w:ascii="Times New Roman" w:hAnsi="Times New Roman" w:cs="Times New Roman"/>
                <w:color w:val="000000" w:themeColor="text1"/>
                <w:sz w:val="24"/>
                <w:szCs w:val="24"/>
                <w:lang w:val="en-US"/>
              </w:rPr>
              <w:t xml:space="preserve">The </w:t>
            </w:r>
            <w:r w:rsidR="00B93D4F" w:rsidRPr="00DE13EE">
              <w:rPr>
                <w:rFonts w:ascii="Times New Roman" w:hAnsi="Times New Roman" w:cs="Times New Roman"/>
                <w:color w:val="000000" w:themeColor="text1"/>
                <w:sz w:val="24"/>
                <w:szCs w:val="24"/>
                <w:lang w:val="en-US"/>
              </w:rPr>
              <w:t>Non</w:t>
            </w:r>
            <w:r w:rsidR="009202D9" w:rsidRPr="00DE13EE">
              <w:rPr>
                <w:rFonts w:ascii="Times New Roman" w:hAnsi="Times New Roman" w:cs="Times New Roman"/>
                <w:color w:val="000000" w:themeColor="text1"/>
                <w:sz w:val="24"/>
                <w:szCs w:val="24"/>
                <w:lang w:val="en-US"/>
              </w:rPr>
              <w:t>-</w:t>
            </w:r>
            <w:r w:rsidR="00B93D4F" w:rsidRPr="00DE13EE">
              <w:rPr>
                <w:rFonts w:ascii="Times New Roman" w:hAnsi="Times New Roman" w:cs="Times New Roman"/>
                <w:color w:val="000000" w:themeColor="text1"/>
                <w:sz w:val="24"/>
                <w:szCs w:val="24"/>
                <w:lang w:val="en-US"/>
              </w:rPr>
              <w:t xml:space="preserve">Big-N are all auditors other than the Big-N. </w:t>
            </w:r>
          </w:p>
          <w:p w14:paraId="15C3ED41" w14:textId="77777777" w:rsidR="000D166F" w:rsidRPr="00DE13EE" w:rsidRDefault="000D166F" w:rsidP="000D166F">
            <w:pPr>
              <w:jc w:val="both"/>
              <w:rPr>
                <w:rFonts w:ascii="Times New Roman" w:hAnsi="Times New Roman" w:cs="Times New Roman"/>
                <w:color w:val="000000" w:themeColor="text1"/>
                <w:sz w:val="14"/>
                <w:szCs w:val="24"/>
                <w:lang w:val="en-US"/>
              </w:rPr>
            </w:pPr>
          </w:p>
        </w:tc>
      </w:tr>
      <w:tr w:rsidR="00DE13EE" w:rsidRPr="00DE13EE" w14:paraId="42C189B0" w14:textId="77777777" w:rsidTr="00A15E54">
        <w:trPr>
          <w:jc w:val="center"/>
        </w:trPr>
        <w:tc>
          <w:tcPr>
            <w:tcW w:w="2127" w:type="dxa"/>
            <w:tcBorders>
              <w:top w:val="nil"/>
              <w:left w:val="nil"/>
              <w:bottom w:val="single" w:sz="4" w:space="0" w:color="auto"/>
              <w:right w:val="nil"/>
            </w:tcBorders>
          </w:tcPr>
          <w:p w14:paraId="592D7259" w14:textId="0BA37746" w:rsidR="00B93D4F" w:rsidRPr="00DE13EE" w:rsidRDefault="00B93D4F" w:rsidP="000D166F">
            <w:pPr>
              <w:rPr>
                <w:rFonts w:ascii="Times New Roman" w:hAnsi="Times New Roman" w:cs="Times New Roman"/>
                <w:bCs/>
                <w:iCs/>
                <w:color w:val="000000" w:themeColor="text1"/>
                <w:sz w:val="24"/>
                <w:szCs w:val="24"/>
                <w:lang w:val="en-US"/>
              </w:rPr>
            </w:pPr>
            <w:r w:rsidRPr="00DE13EE">
              <w:rPr>
                <w:rFonts w:ascii="Times New Roman" w:hAnsi="Times New Roman" w:cs="Times New Roman"/>
                <w:bCs/>
                <w:iCs/>
                <w:color w:val="000000" w:themeColor="text1"/>
                <w:sz w:val="24"/>
                <w:szCs w:val="24"/>
                <w:lang w:val="en-US"/>
              </w:rPr>
              <w:t xml:space="preserve">High and low performing firms </w:t>
            </w:r>
          </w:p>
        </w:tc>
        <w:tc>
          <w:tcPr>
            <w:tcW w:w="1441" w:type="dxa"/>
            <w:tcBorders>
              <w:top w:val="nil"/>
              <w:left w:val="nil"/>
              <w:bottom w:val="single" w:sz="4" w:space="0" w:color="auto"/>
              <w:right w:val="nil"/>
            </w:tcBorders>
          </w:tcPr>
          <w:p w14:paraId="5E317338" w14:textId="36B12786" w:rsidR="00B93D4F" w:rsidRPr="00DE13EE" w:rsidRDefault="00B93D4F" w:rsidP="000D166F">
            <w:pPr>
              <w:rPr>
                <w:rFonts w:ascii="Times New Roman" w:hAnsi="Times New Roman" w:cs="Times New Roman"/>
                <w:bCs/>
                <w:iCs/>
                <w:color w:val="000000" w:themeColor="text1"/>
                <w:sz w:val="24"/>
                <w:szCs w:val="24"/>
                <w:lang w:val="en-US"/>
              </w:rPr>
            </w:pPr>
            <w:r w:rsidRPr="00DE13EE">
              <w:rPr>
                <w:rFonts w:ascii="Times New Roman" w:hAnsi="Times New Roman" w:cs="Times New Roman"/>
                <w:bCs/>
                <w:iCs/>
                <w:color w:val="000000" w:themeColor="text1"/>
                <w:sz w:val="24"/>
                <w:szCs w:val="24"/>
                <w:lang w:val="en-US"/>
              </w:rPr>
              <w:t>High-Preforming</w:t>
            </w:r>
          </w:p>
          <w:p w14:paraId="3F88B825" w14:textId="027682A9" w:rsidR="00B93D4F" w:rsidRPr="00DE13EE" w:rsidRDefault="00B93D4F" w:rsidP="000D166F">
            <w:pPr>
              <w:rPr>
                <w:rFonts w:ascii="Times New Roman" w:hAnsi="Times New Roman" w:cs="Times New Roman"/>
                <w:bCs/>
                <w:iCs/>
                <w:color w:val="000000" w:themeColor="text1"/>
                <w:sz w:val="24"/>
                <w:szCs w:val="24"/>
                <w:lang w:val="en-US"/>
              </w:rPr>
            </w:pPr>
            <w:r w:rsidRPr="00DE13EE">
              <w:rPr>
                <w:rFonts w:ascii="Times New Roman" w:hAnsi="Times New Roman" w:cs="Times New Roman"/>
                <w:bCs/>
                <w:iCs/>
                <w:color w:val="000000" w:themeColor="text1"/>
                <w:sz w:val="24"/>
                <w:szCs w:val="24"/>
                <w:lang w:val="en-US"/>
              </w:rPr>
              <w:t>Low-Preforming</w:t>
            </w:r>
          </w:p>
        </w:tc>
        <w:tc>
          <w:tcPr>
            <w:tcW w:w="7489" w:type="dxa"/>
            <w:tcBorders>
              <w:top w:val="nil"/>
              <w:left w:val="nil"/>
              <w:bottom w:val="single" w:sz="4" w:space="0" w:color="auto"/>
              <w:right w:val="nil"/>
            </w:tcBorders>
          </w:tcPr>
          <w:p w14:paraId="0A00F8B9" w14:textId="17006939" w:rsidR="00B93D4F" w:rsidRPr="00DE13EE" w:rsidRDefault="008C5421" w:rsidP="000D166F">
            <w:pPr>
              <w:jc w:val="both"/>
              <w:rPr>
                <w:rFonts w:ascii="Times New Roman" w:hAnsi="Times New Roman" w:cs="Times New Roman"/>
                <w:color w:val="000000" w:themeColor="text1"/>
                <w:sz w:val="24"/>
                <w:szCs w:val="24"/>
                <w:lang w:val="en-US"/>
              </w:rPr>
            </w:pPr>
            <w:r w:rsidRPr="00DE13EE">
              <w:rPr>
                <w:rFonts w:ascii="Times New Roman" w:hAnsi="Times New Roman" w:cs="Times New Roman"/>
                <w:color w:val="000000" w:themeColor="text1"/>
                <w:sz w:val="24"/>
                <w:szCs w:val="24"/>
                <w:lang w:val="en-US"/>
              </w:rPr>
              <w:t xml:space="preserve">High-performing firms are firms with </w:t>
            </w:r>
            <w:r w:rsidR="009202D9" w:rsidRPr="00DE13EE">
              <w:rPr>
                <w:rFonts w:ascii="Times New Roman" w:hAnsi="Times New Roman" w:cs="Times New Roman"/>
                <w:color w:val="000000" w:themeColor="text1"/>
                <w:sz w:val="24"/>
                <w:szCs w:val="24"/>
                <w:lang w:val="en-US"/>
              </w:rPr>
              <w:t xml:space="preserve">a </w:t>
            </w:r>
            <w:r w:rsidRPr="00DE13EE">
              <w:rPr>
                <w:rFonts w:ascii="Times New Roman" w:hAnsi="Times New Roman" w:cs="Times New Roman"/>
                <w:color w:val="000000" w:themeColor="text1"/>
                <w:sz w:val="24"/>
                <w:szCs w:val="24"/>
                <w:lang w:val="en-US"/>
              </w:rPr>
              <w:t xml:space="preserve">positive change in ROA from the previous year (ΔROA&gt;0). While firms with </w:t>
            </w:r>
            <w:r w:rsidR="009202D9" w:rsidRPr="00DE13EE">
              <w:rPr>
                <w:rFonts w:ascii="Times New Roman" w:hAnsi="Times New Roman" w:cs="Times New Roman"/>
                <w:color w:val="000000" w:themeColor="text1"/>
                <w:sz w:val="24"/>
                <w:szCs w:val="24"/>
                <w:lang w:val="en-US"/>
              </w:rPr>
              <w:t xml:space="preserve">a </w:t>
            </w:r>
            <w:r w:rsidRPr="00DE13EE">
              <w:rPr>
                <w:rFonts w:ascii="Times New Roman" w:hAnsi="Times New Roman" w:cs="Times New Roman"/>
                <w:color w:val="000000" w:themeColor="text1"/>
                <w:sz w:val="24"/>
                <w:szCs w:val="24"/>
                <w:lang w:val="en-US"/>
              </w:rPr>
              <w:t>negative change in ROA (ΔROA&lt;0) are regarded as low-performing firms.</w:t>
            </w:r>
          </w:p>
          <w:p w14:paraId="62528249" w14:textId="77777777" w:rsidR="00B93D4F" w:rsidRPr="00DE13EE" w:rsidRDefault="00B93D4F" w:rsidP="000D166F">
            <w:pPr>
              <w:jc w:val="both"/>
              <w:rPr>
                <w:rFonts w:ascii="Times New Roman" w:hAnsi="Times New Roman" w:cs="Times New Roman"/>
                <w:color w:val="000000" w:themeColor="text1"/>
                <w:sz w:val="24"/>
                <w:szCs w:val="24"/>
                <w:lang w:val="en-US"/>
              </w:rPr>
            </w:pPr>
          </w:p>
          <w:p w14:paraId="7B0D27EC" w14:textId="77777777" w:rsidR="00B93D4F" w:rsidRPr="00DE13EE" w:rsidRDefault="00B93D4F" w:rsidP="000D166F">
            <w:pPr>
              <w:jc w:val="both"/>
              <w:rPr>
                <w:rFonts w:ascii="Times New Roman" w:hAnsi="Times New Roman" w:cs="Times New Roman"/>
                <w:color w:val="000000" w:themeColor="text1"/>
                <w:sz w:val="4"/>
                <w:szCs w:val="24"/>
                <w:lang w:val="en-US"/>
              </w:rPr>
            </w:pPr>
          </w:p>
        </w:tc>
      </w:tr>
      <w:tr w:rsidR="00B93D4F" w:rsidRPr="00DE13EE" w14:paraId="5EC3FA7A" w14:textId="77777777" w:rsidTr="00EE509F">
        <w:trPr>
          <w:jc w:val="center"/>
        </w:trPr>
        <w:tc>
          <w:tcPr>
            <w:tcW w:w="11057" w:type="dxa"/>
            <w:gridSpan w:val="3"/>
            <w:tcBorders>
              <w:left w:val="nil"/>
              <w:bottom w:val="nil"/>
              <w:right w:val="nil"/>
            </w:tcBorders>
          </w:tcPr>
          <w:p w14:paraId="6BE22C22" w14:textId="5833C4CA" w:rsidR="00B93D4F" w:rsidRPr="00DE13EE" w:rsidRDefault="00B93D4F" w:rsidP="000D166F">
            <w:pPr>
              <w:jc w:val="both"/>
              <w:rPr>
                <w:rFonts w:ascii="Times New Roman" w:hAnsi="Times New Roman" w:cs="Times New Roman"/>
                <w:color w:val="000000" w:themeColor="text1"/>
                <w:sz w:val="20"/>
                <w:szCs w:val="20"/>
                <w:lang w:val="en-US"/>
              </w:rPr>
            </w:pPr>
            <w:r w:rsidRPr="00DE13EE">
              <w:rPr>
                <w:rFonts w:ascii="Times New Roman" w:hAnsi="Times New Roman" w:cs="Times New Roman"/>
                <w:b/>
                <w:color w:val="000000" w:themeColor="text1"/>
                <w:sz w:val="20"/>
                <w:szCs w:val="20"/>
                <w:lang w:val="en-US"/>
              </w:rPr>
              <w:t>Notes</w:t>
            </w:r>
            <w:r w:rsidRPr="00DE13EE">
              <w:rPr>
                <w:rFonts w:ascii="Times New Roman" w:hAnsi="Times New Roman" w:cs="Times New Roman"/>
                <w:color w:val="000000" w:themeColor="text1"/>
                <w:sz w:val="20"/>
                <w:szCs w:val="20"/>
                <w:lang w:val="en-US"/>
              </w:rPr>
              <w:t>: This Table reports the definitions and measurements of all variables</w:t>
            </w:r>
            <w:r w:rsidR="00A702CC" w:rsidRPr="00DE13EE">
              <w:rPr>
                <w:rFonts w:ascii="Times New Roman" w:hAnsi="Times New Roman" w:cs="Times New Roman"/>
                <w:color w:val="000000" w:themeColor="text1"/>
                <w:sz w:val="20"/>
                <w:szCs w:val="20"/>
                <w:lang w:val="en-US"/>
              </w:rPr>
              <w:t>.</w:t>
            </w:r>
            <w:r w:rsidRPr="00DE13EE">
              <w:rPr>
                <w:rFonts w:ascii="Times New Roman" w:hAnsi="Times New Roman" w:cs="Times New Roman"/>
                <w:color w:val="000000" w:themeColor="text1"/>
                <w:sz w:val="20"/>
                <w:szCs w:val="20"/>
                <w:lang w:val="en-US"/>
              </w:rPr>
              <w:t xml:space="preserve"> </w:t>
            </w:r>
          </w:p>
        </w:tc>
      </w:tr>
    </w:tbl>
    <w:p w14:paraId="3F3A941D" w14:textId="77777777" w:rsidR="0037109E" w:rsidRPr="00DE13EE" w:rsidRDefault="0037109E" w:rsidP="004A3441">
      <w:pPr>
        <w:spacing w:before="120" w:after="400"/>
        <w:rPr>
          <w:rFonts w:ascii="Times New Roman" w:eastAsia="SimHei" w:hAnsi="Times New Roman" w:cs="Times New Roman"/>
          <w:color w:val="000000" w:themeColor="text1"/>
          <w:sz w:val="24"/>
          <w:szCs w:val="24"/>
          <w:lang w:val="en-US"/>
        </w:rPr>
      </w:pPr>
    </w:p>
    <w:p w14:paraId="043AC6E9" w14:textId="77777777" w:rsidR="00FA14FE" w:rsidRPr="00DE13EE" w:rsidRDefault="00FA14FE" w:rsidP="00FA14FE">
      <w:pPr>
        <w:keepNext/>
        <w:spacing w:before="240" w:after="240" w:line="360" w:lineRule="auto"/>
        <w:ind w:left="360"/>
        <w:jc w:val="center"/>
        <w:outlineLvl w:val="0"/>
        <w:rPr>
          <w:rFonts w:ascii="Times New Roman" w:eastAsia="Arial" w:hAnsi="Times New Roman" w:cs="Times New Roman"/>
          <w:b/>
          <w:bCs/>
          <w:caps/>
          <w:color w:val="000000" w:themeColor="text1"/>
          <w:sz w:val="28"/>
          <w:szCs w:val="24"/>
        </w:rPr>
      </w:pPr>
      <w:r w:rsidRPr="00DE13EE">
        <w:rPr>
          <w:rFonts w:ascii="Times New Roman" w:eastAsia="Arial" w:hAnsi="Times New Roman" w:cs="Times New Roman"/>
          <w:b/>
          <w:bCs/>
          <w:caps/>
          <w:color w:val="000000" w:themeColor="text1"/>
          <w:sz w:val="28"/>
          <w:szCs w:val="24"/>
        </w:rPr>
        <w:lastRenderedPageBreak/>
        <w:t>L</w:t>
      </w:r>
      <w:r w:rsidRPr="00DE13EE">
        <w:rPr>
          <w:rFonts w:ascii="Times New Roman" w:eastAsia="Arial" w:hAnsi="Times New Roman" w:cs="Times New Roman"/>
          <w:b/>
          <w:bCs/>
          <w:color w:val="000000" w:themeColor="text1"/>
          <w:sz w:val="28"/>
          <w:szCs w:val="24"/>
        </w:rPr>
        <w:t>ist of Tables</w:t>
      </w:r>
    </w:p>
    <w:tbl>
      <w:tblPr>
        <w:tblpPr w:leftFromText="180" w:rightFromText="180" w:vertAnchor="text" w:horzAnchor="margin" w:tblpXSpec="center" w:tblpY="107"/>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4"/>
        <w:gridCol w:w="1417"/>
        <w:gridCol w:w="1418"/>
      </w:tblGrid>
      <w:tr w:rsidR="00DE13EE" w:rsidRPr="00DE13EE" w14:paraId="6C17B23B" w14:textId="77777777" w:rsidTr="009D0993">
        <w:tc>
          <w:tcPr>
            <w:tcW w:w="9039" w:type="dxa"/>
            <w:gridSpan w:val="3"/>
            <w:tcBorders>
              <w:top w:val="nil"/>
              <w:left w:val="nil"/>
              <w:bottom w:val="single" w:sz="4" w:space="0" w:color="auto"/>
              <w:right w:val="nil"/>
            </w:tcBorders>
            <w:shd w:val="clear" w:color="auto" w:fill="auto"/>
          </w:tcPr>
          <w:p w14:paraId="5DED8F0B" w14:textId="77777777" w:rsidR="00FA14FE" w:rsidRPr="00DE13EE" w:rsidRDefault="00FA14FE" w:rsidP="009D0993">
            <w:pPr>
              <w:widowControl w:val="0"/>
              <w:spacing w:after="0" w:line="240" w:lineRule="auto"/>
              <w:jc w:val="both"/>
              <w:rPr>
                <w:rFonts w:ascii="Times New Roman" w:eastAsia="SimHei" w:hAnsi="Times New Roman" w:cs="Times New Roman"/>
                <w:b/>
                <w:color w:val="000000" w:themeColor="text1"/>
                <w:sz w:val="20"/>
                <w:szCs w:val="20"/>
              </w:rPr>
            </w:pPr>
            <w:r w:rsidRPr="00DE13EE">
              <w:rPr>
                <w:rFonts w:ascii="Times New Roman" w:eastAsia="SimHei" w:hAnsi="Times New Roman" w:cs="Times New Roman"/>
                <w:b/>
                <w:color w:val="000000" w:themeColor="text1"/>
                <w:sz w:val="20"/>
                <w:szCs w:val="20"/>
              </w:rPr>
              <w:t xml:space="preserve">Table (1): Sample selection and allocation over years and industry </w:t>
            </w:r>
          </w:p>
          <w:p w14:paraId="7D9584E1" w14:textId="77777777" w:rsidR="00FA14FE" w:rsidRPr="00DE13EE" w:rsidRDefault="00FA14FE" w:rsidP="009D0993">
            <w:pPr>
              <w:widowControl w:val="0"/>
              <w:spacing w:after="0" w:line="240" w:lineRule="auto"/>
              <w:jc w:val="both"/>
              <w:rPr>
                <w:rFonts w:ascii="Times New Roman" w:eastAsia="SimHei" w:hAnsi="Times New Roman" w:cs="Times New Roman"/>
                <w:b/>
                <w:color w:val="000000" w:themeColor="text1"/>
                <w:sz w:val="20"/>
                <w:szCs w:val="20"/>
              </w:rPr>
            </w:pPr>
          </w:p>
        </w:tc>
      </w:tr>
      <w:tr w:rsidR="00DE13EE" w:rsidRPr="00DE13EE" w14:paraId="5B4818DB" w14:textId="77777777" w:rsidTr="009D0993">
        <w:tc>
          <w:tcPr>
            <w:tcW w:w="9039" w:type="dxa"/>
            <w:gridSpan w:val="3"/>
            <w:tcBorders>
              <w:left w:val="nil"/>
              <w:bottom w:val="single" w:sz="4" w:space="0" w:color="auto"/>
              <w:right w:val="nil"/>
            </w:tcBorders>
            <w:shd w:val="clear" w:color="auto" w:fill="auto"/>
          </w:tcPr>
          <w:p w14:paraId="641D836F" w14:textId="77777777" w:rsidR="00FA14FE" w:rsidRPr="00DE13EE" w:rsidRDefault="00FA14FE" w:rsidP="009D0993">
            <w:pPr>
              <w:widowControl w:val="0"/>
              <w:spacing w:after="0" w:line="240" w:lineRule="auto"/>
              <w:jc w:val="both"/>
              <w:rPr>
                <w:rFonts w:ascii="Times New Roman" w:eastAsia="SimHei" w:hAnsi="Times New Roman" w:cs="Times New Roman"/>
                <w:b/>
                <w:color w:val="000000" w:themeColor="text1"/>
                <w:sz w:val="20"/>
                <w:szCs w:val="20"/>
              </w:rPr>
            </w:pPr>
            <w:r w:rsidRPr="00DE13EE">
              <w:rPr>
                <w:rFonts w:ascii="Times New Roman" w:eastAsia="SimHei" w:hAnsi="Times New Roman" w:cs="Times New Roman"/>
                <w:b/>
                <w:color w:val="000000" w:themeColor="text1"/>
                <w:sz w:val="20"/>
                <w:szCs w:val="20"/>
              </w:rPr>
              <w:t xml:space="preserve">Panel A: Sample distribution over years </w:t>
            </w:r>
          </w:p>
        </w:tc>
      </w:tr>
      <w:tr w:rsidR="00DE13EE" w:rsidRPr="00DE13EE" w14:paraId="07E4A9E8" w14:textId="77777777" w:rsidTr="009D0993">
        <w:trPr>
          <w:trHeight w:val="172"/>
        </w:trPr>
        <w:tc>
          <w:tcPr>
            <w:tcW w:w="6204" w:type="dxa"/>
            <w:tcBorders>
              <w:left w:val="nil"/>
              <w:bottom w:val="single" w:sz="4" w:space="0" w:color="auto"/>
              <w:right w:val="nil"/>
            </w:tcBorders>
            <w:shd w:val="clear" w:color="auto" w:fill="auto"/>
          </w:tcPr>
          <w:p w14:paraId="77EE7A19" w14:textId="77777777" w:rsidR="00FA14FE" w:rsidRPr="00DE13EE" w:rsidRDefault="00FA14FE" w:rsidP="009D0993">
            <w:pPr>
              <w:widowControl w:val="0"/>
              <w:spacing w:after="0" w:line="240" w:lineRule="auto"/>
              <w:jc w:val="both"/>
              <w:rPr>
                <w:rFonts w:ascii="Times New Roman" w:eastAsia="SimHei" w:hAnsi="Times New Roman" w:cs="Times New Roman"/>
                <w:b/>
                <w:color w:val="000000" w:themeColor="text1"/>
                <w:sz w:val="20"/>
                <w:szCs w:val="20"/>
              </w:rPr>
            </w:pPr>
            <w:r w:rsidRPr="00DE13EE">
              <w:rPr>
                <w:rFonts w:ascii="Times New Roman" w:eastAsia="SimHei" w:hAnsi="Times New Roman" w:cs="Times New Roman"/>
                <w:b/>
                <w:color w:val="000000" w:themeColor="text1"/>
                <w:sz w:val="20"/>
                <w:szCs w:val="20"/>
              </w:rPr>
              <w:t xml:space="preserve">Years </w:t>
            </w:r>
          </w:p>
        </w:tc>
        <w:tc>
          <w:tcPr>
            <w:tcW w:w="1417" w:type="dxa"/>
            <w:tcBorders>
              <w:left w:val="nil"/>
              <w:bottom w:val="single" w:sz="4" w:space="0" w:color="auto"/>
              <w:right w:val="nil"/>
            </w:tcBorders>
            <w:shd w:val="clear" w:color="auto" w:fill="auto"/>
          </w:tcPr>
          <w:p w14:paraId="12CF0A8B" w14:textId="77777777" w:rsidR="00FA14FE" w:rsidRPr="00DE13EE" w:rsidRDefault="00FA14FE" w:rsidP="009D0993">
            <w:pPr>
              <w:widowControl w:val="0"/>
              <w:spacing w:after="0" w:line="240" w:lineRule="auto"/>
              <w:rPr>
                <w:rFonts w:ascii="Times New Roman" w:eastAsia="SimHei" w:hAnsi="Times New Roman" w:cs="Times New Roman"/>
                <w:color w:val="000000" w:themeColor="text1"/>
                <w:sz w:val="20"/>
                <w:szCs w:val="20"/>
              </w:rPr>
            </w:pPr>
            <w:r w:rsidRPr="00DE13EE">
              <w:rPr>
                <w:rFonts w:ascii="Times New Roman" w:eastAsia="SimHei" w:hAnsi="Times New Roman" w:cs="Times New Roman"/>
                <w:color w:val="000000" w:themeColor="text1"/>
                <w:sz w:val="20"/>
                <w:szCs w:val="20"/>
              </w:rPr>
              <w:t>Freq.</w:t>
            </w:r>
          </w:p>
        </w:tc>
        <w:tc>
          <w:tcPr>
            <w:tcW w:w="1418" w:type="dxa"/>
            <w:tcBorders>
              <w:left w:val="nil"/>
              <w:bottom w:val="single" w:sz="4" w:space="0" w:color="auto"/>
              <w:right w:val="nil"/>
            </w:tcBorders>
            <w:shd w:val="clear" w:color="auto" w:fill="auto"/>
          </w:tcPr>
          <w:p w14:paraId="2BD43AE8" w14:textId="77777777" w:rsidR="00FA14FE" w:rsidRPr="00DE13EE" w:rsidRDefault="00FA14FE" w:rsidP="009D0993">
            <w:pPr>
              <w:widowControl w:val="0"/>
              <w:spacing w:after="0" w:line="240" w:lineRule="auto"/>
              <w:rPr>
                <w:rFonts w:ascii="Times New Roman" w:eastAsia="SimHei" w:hAnsi="Times New Roman" w:cs="Times New Roman"/>
                <w:color w:val="000000" w:themeColor="text1"/>
                <w:sz w:val="20"/>
                <w:szCs w:val="20"/>
              </w:rPr>
            </w:pPr>
            <w:r w:rsidRPr="00DE13EE">
              <w:rPr>
                <w:rFonts w:ascii="Times New Roman" w:eastAsia="SimHei" w:hAnsi="Times New Roman" w:cs="Times New Roman"/>
                <w:color w:val="000000" w:themeColor="text1"/>
                <w:sz w:val="20"/>
                <w:szCs w:val="20"/>
              </w:rPr>
              <w:t>Percent</w:t>
            </w:r>
          </w:p>
        </w:tc>
      </w:tr>
      <w:tr w:rsidR="00DE13EE" w:rsidRPr="00DE13EE" w14:paraId="6A1EBD61" w14:textId="77777777" w:rsidTr="009D0993">
        <w:trPr>
          <w:trHeight w:val="160"/>
        </w:trPr>
        <w:tc>
          <w:tcPr>
            <w:tcW w:w="6204" w:type="dxa"/>
            <w:tcBorders>
              <w:top w:val="single" w:sz="4" w:space="0" w:color="auto"/>
              <w:left w:val="nil"/>
              <w:bottom w:val="nil"/>
              <w:right w:val="nil"/>
            </w:tcBorders>
            <w:shd w:val="clear" w:color="auto" w:fill="auto"/>
          </w:tcPr>
          <w:p w14:paraId="6A56D1AA" w14:textId="77777777" w:rsidR="00FA14FE" w:rsidRPr="00DE13EE" w:rsidRDefault="00FA14FE" w:rsidP="009D0993">
            <w:pPr>
              <w:widowControl w:val="0"/>
              <w:spacing w:after="0"/>
              <w:jc w:val="both"/>
              <w:rPr>
                <w:rFonts w:ascii="Times New Roman" w:eastAsia="SimHei" w:hAnsi="Times New Roman" w:cs="Times New Roman"/>
                <w:color w:val="000000" w:themeColor="text1"/>
                <w:sz w:val="20"/>
                <w:szCs w:val="20"/>
              </w:rPr>
            </w:pPr>
            <w:r w:rsidRPr="00DE13EE">
              <w:rPr>
                <w:rFonts w:ascii="Times New Roman" w:eastAsia="SimHei" w:hAnsi="Times New Roman" w:cs="Times New Roman"/>
                <w:color w:val="000000" w:themeColor="text1"/>
                <w:sz w:val="20"/>
                <w:szCs w:val="20"/>
              </w:rPr>
              <w:t xml:space="preserve">2005 </w:t>
            </w:r>
          </w:p>
        </w:tc>
        <w:tc>
          <w:tcPr>
            <w:tcW w:w="1417" w:type="dxa"/>
            <w:tcBorders>
              <w:top w:val="single" w:sz="4" w:space="0" w:color="auto"/>
              <w:left w:val="nil"/>
              <w:bottom w:val="nil"/>
              <w:right w:val="nil"/>
            </w:tcBorders>
            <w:shd w:val="clear" w:color="auto" w:fill="auto"/>
          </w:tcPr>
          <w:p w14:paraId="1FB6634A" w14:textId="77777777" w:rsidR="00FA14FE" w:rsidRPr="00DE13EE" w:rsidRDefault="00FA14FE" w:rsidP="009D0993">
            <w:pPr>
              <w:widowControl w:val="0"/>
              <w:spacing w:after="0"/>
              <w:rPr>
                <w:rFonts w:ascii="Times New Roman" w:eastAsia="SimHei" w:hAnsi="Times New Roman" w:cs="Times New Roman"/>
                <w:color w:val="000000" w:themeColor="text1"/>
                <w:sz w:val="20"/>
                <w:szCs w:val="20"/>
              </w:rPr>
            </w:pPr>
            <w:r w:rsidRPr="00DE13EE">
              <w:rPr>
                <w:rFonts w:ascii="Times New Roman" w:eastAsia="SimHei" w:hAnsi="Times New Roman" w:cs="Times New Roman"/>
                <w:color w:val="000000" w:themeColor="text1"/>
                <w:sz w:val="20"/>
                <w:szCs w:val="20"/>
              </w:rPr>
              <w:t>256</w:t>
            </w:r>
          </w:p>
        </w:tc>
        <w:tc>
          <w:tcPr>
            <w:tcW w:w="1418" w:type="dxa"/>
            <w:tcBorders>
              <w:top w:val="single" w:sz="4" w:space="0" w:color="auto"/>
              <w:left w:val="nil"/>
              <w:bottom w:val="nil"/>
              <w:right w:val="nil"/>
            </w:tcBorders>
            <w:shd w:val="clear" w:color="auto" w:fill="auto"/>
          </w:tcPr>
          <w:p w14:paraId="330BE361" w14:textId="77777777" w:rsidR="00FA14FE" w:rsidRPr="00DE13EE" w:rsidRDefault="00FA14FE" w:rsidP="009D0993">
            <w:pPr>
              <w:spacing w:after="0"/>
              <w:rPr>
                <w:rFonts w:ascii="Times New Roman" w:eastAsia="SimHei" w:hAnsi="Times New Roman" w:cs="Times New Roman"/>
                <w:color w:val="000000" w:themeColor="text1"/>
                <w:sz w:val="20"/>
                <w:szCs w:val="20"/>
              </w:rPr>
            </w:pPr>
            <w:r w:rsidRPr="00DE13EE">
              <w:rPr>
                <w:rFonts w:ascii="Times New Roman" w:eastAsia="SimHei" w:hAnsi="Times New Roman" w:cs="Times New Roman"/>
                <w:color w:val="000000" w:themeColor="text1"/>
                <w:sz w:val="20"/>
                <w:szCs w:val="20"/>
              </w:rPr>
              <w:t>8.73</w:t>
            </w:r>
          </w:p>
        </w:tc>
      </w:tr>
      <w:tr w:rsidR="00DE13EE" w:rsidRPr="00DE13EE" w14:paraId="6F202EB3" w14:textId="77777777" w:rsidTr="009D0993">
        <w:tc>
          <w:tcPr>
            <w:tcW w:w="6204" w:type="dxa"/>
            <w:tcBorders>
              <w:top w:val="nil"/>
              <w:left w:val="nil"/>
              <w:bottom w:val="nil"/>
              <w:right w:val="nil"/>
            </w:tcBorders>
            <w:shd w:val="clear" w:color="auto" w:fill="auto"/>
          </w:tcPr>
          <w:p w14:paraId="38541478" w14:textId="77777777" w:rsidR="00FA14FE" w:rsidRPr="00DE13EE" w:rsidRDefault="00FA14FE" w:rsidP="009D0993">
            <w:pPr>
              <w:widowControl w:val="0"/>
              <w:spacing w:after="0"/>
              <w:jc w:val="both"/>
              <w:rPr>
                <w:rFonts w:ascii="Times New Roman" w:eastAsia="SimHei" w:hAnsi="Times New Roman" w:cs="Times New Roman"/>
                <w:color w:val="000000" w:themeColor="text1"/>
                <w:sz w:val="20"/>
                <w:szCs w:val="20"/>
              </w:rPr>
            </w:pPr>
            <w:r w:rsidRPr="00DE13EE">
              <w:rPr>
                <w:rFonts w:ascii="Times New Roman" w:eastAsia="SimHei" w:hAnsi="Times New Roman" w:cs="Times New Roman"/>
                <w:color w:val="000000" w:themeColor="text1"/>
                <w:sz w:val="20"/>
                <w:szCs w:val="20"/>
              </w:rPr>
              <w:t xml:space="preserve">2006 </w:t>
            </w:r>
          </w:p>
        </w:tc>
        <w:tc>
          <w:tcPr>
            <w:tcW w:w="1417" w:type="dxa"/>
            <w:tcBorders>
              <w:top w:val="nil"/>
              <w:left w:val="nil"/>
              <w:bottom w:val="nil"/>
              <w:right w:val="nil"/>
            </w:tcBorders>
            <w:shd w:val="clear" w:color="auto" w:fill="auto"/>
          </w:tcPr>
          <w:p w14:paraId="0CA21E75" w14:textId="77777777" w:rsidR="00FA14FE" w:rsidRPr="00DE13EE" w:rsidRDefault="00FA14FE" w:rsidP="009D0993">
            <w:pPr>
              <w:widowControl w:val="0"/>
              <w:spacing w:after="0"/>
              <w:rPr>
                <w:rFonts w:ascii="Times New Roman" w:eastAsia="SimHei" w:hAnsi="Times New Roman" w:cs="Times New Roman"/>
                <w:color w:val="000000" w:themeColor="text1"/>
                <w:sz w:val="20"/>
                <w:szCs w:val="20"/>
              </w:rPr>
            </w:pPr>
            <w:r w:rsidRPr="00DE13EE">
              <w:rPr>
                <w:rFonts w:ascii="Times New Roman" w:eastAsia="SimHei" w:hAnsi="Times New Roman" w:cs="Times New Roman"/>
                <w:color w:val="000000" w:themeColor="text1"/>
                <w:sz w:val="20"/>
                <w:szCs w:val="20"/>
              </w:rPr>
              <w:t>251</w:t>
            </w:r>
          </w:p>
        </w:tc>
        <w:tc>
          <w:tcPr>
            <w:tcW w:w="1418" w:type="dxa"/>
            <w:tcBorders>
              <w:top w:val="nil"/>
              <w:left w:val="nil"/>
              <w:bottom w:val="nil"/>
              <w:right w:val="nil"/>
            </w:tcBorders>
            <w:shd w:val="clear" w:color="auto" w:fill="auto"/>
          </w:tcPr>
          <w:p w14:paraId="42772055" w14:textId="77777777" w:rsidR="00FA14FE" w:rsidRPr="00DE13EE" w:rsidRDefault="00FA14FE" w:rsidP="009D0993">
            <w:pPr>
              <w:spacing w:after="0"/>
              <w:rPr>
                <w:rFonts w:ascii="Times New Roman" w:eastAsia="SimHei" w:hAnsi="Times New Roman" w:cs="Times New Roman"/>
                <w:color w:val="000000" w:themeColor="text1"/>
                <w:sz w:val="20"/>
                <w:szCs w:val="20"/>
              </w:rPr>
            </w:pPr>
            <w:r w:rsidRPr="00DE13EE">
              <w:rPr>
                <w:rFonts w:ascii="Times New Roman" w:eastAsia="SimHei" w:hAnsi="Times New Roman" w:cs="Times New Roman"/>
                <w:color w:val="000000" w:themeColor="text1"/>
                <w:sz w:val="20"/>
                <w:szCs w:val="20"/>
              </w:rPr>
              <w:t>8.56</w:t>
            </w:r>
          </w:p>
        </w:tc>
      </w:tr>
      <w:tr w:rsidR="00DE13EE" w:rsidRPr="00DE13EE" w14:paraId="6BB16853" w14:textId="77777777" w:rsidTr="009D0993">
        <w:tc>
          <w:tcPr>
            <w:tcW w:w="6204" w:type="dxa"/>
            <w:tcBorders>
              <w:top w:val="nil"/>
              <w:left w:val="nil"/>
              <w:bottom w:val="nil"/>
              <w:right w:val="nil"/>
            </w:tcBorders>
            <w:shd w:val="clear" w:color="auto" w:fill="auto"/>
          </w:tcPr>
          <w:p w14:paraId="40AC705B" w14:textId="77777777" w:rsidR="00FA14FE" w:rsidRPr="00DE13EE" w:rsidRDefault="00FA14FE" w:rsidP="009D0993">
            <w:pPr>
              <w:widowControl w:val="0"/>
              <w:spacing w:after="0"/>
              <w:jc w:val="both"/>
              <w:rPr>
                <w:rFonts w:ascii="Times New Roman" w:eastAsia="SimHei" w:hAnsi="Times New Roman" w:cs="Times New Roman"/>
                <w:color w:val="000000" w:themeColor="text1"/>
                <w:sz w:val="20"/>
                <w:szCs w:val="20"/>
              </w:rPr>
            </w:pPr>
            <w:r w:rsidRPr="00DE13EE">
              <w:rPr>
                <w:rFonts w:ascii="Times New Roman" w:eastAsia="SimHei" w:hAnsi="Times New Roman" w:cs="Times New Roman"/>
                <w:color w:val="000000" w:themeColor="text1"/>
                <w:sz w:val="20"/>
                <w:szCs w:val="20"/>
              </w:rPr>
              <w:t xml:space="preserve">2007 </w:t>
            </w:r>
          </w:p>
        </w:tc>
        <w:tc>
          <w:tcPr>
            <w:tcW w:w="1417" w:type="dxa"/>
            <w:tcBorders>
              <w:top w:val="nil"/>
              <w:left w:val="nil"/>
              <w:bottom w:val="nil"/>
              <w:right w:val="nil"/>
            </w:tcBorders>
            <w:shd w:val="clear" w:color="auto" w:fill="auto"/>
          </w:tcPr>
          <w:p w14:paraId="325F191E" w14:textId="77777777" w:rsidR="00FA14FE" w:rsidRPr="00DE13EE" w:rsidRDefault="00FA14FE" w:rsidP="009D0993">
            <w:pPr>
              <w:widowControl w:val="0"/>
              <w:spacing w:after="0"/>
              <w:rPr>
                <w:rFonts w:ascii="Times New Roman" w:eastAsia="SimHei" w:hAnsi="Times New Roman" w:cs="Times New Roman"/>
                <w:color w:val="000000" w:themeColor="text1"/>
                <w:sz w:val="20"/>
                <w:szCs w:val="20"/>
              </w:rPr>
            </w:pPr>
            <w:r w:rsidRPr="00DE13EE">
              <w:rPr>
                <w:rFonts w:ascii="Times New Roman" w:eastAsia="SimHei" w:hAnsi="Times New Roman" w:cs="Times New Roman"/>
                <w:color w:val="000000" w:themeColor="text1"/>
                <w:sz w:val="20"/>
                <w:szCs w:val="20"/>
              </w:rPr>
              <w:t>259</w:t>
            </w:r>
          </w:p>
        </w:tc>
        <w:tc>
          <w:tcPr>
            <w:tcW w:w="1418" w:type="dxa"/>
            <w:tcBorders>
              <w:top w:val="nil"/>
              <w:left w:val="nil"/>
              <w:bottom w:val="nil"/>
              <w:right w:val="nil"/>
            </w:tcBorders>
            <w:shd w:val="clear" w:color="auto" w:fill="auto"/>
          </w:tcPr>
          <w:p w14:paraId="0553675F" w14:textId="77777777" w:rsidR="00FA14FE" w:rsidRPr="00DE13EE" w:rsidRDefault="00FA14FE" w:rsidP="009D0993">
            <w:pPr>
              <w:spacing w:after="0"/>
              <w:rPr>
                <w:rFonts w:ascii="Times New Roman" w:eastAsia="SimHei" w:hAnsi="Times New Roman" w:cs="Times New Roman"/>
                <w:color w:val="000000" w:themeColor="text1"/>
                <w:sz w:val="20"/>
                <w:szCs w:val="20"/>
              </w:rPr>
            </w:pPr>
            <w:r w:rsidRPr="00DE13EE">
              <w:rPr>
                <w:rFonts w:ascii="Times New Roman" w:eastAsia="SimHei" w:hAnsi="Times New Roman" w:cs="Times New Roman"/>
                <w:color w:val="000000" w:themeColor="text1"/>
                <w:sz w:val="20"/>
                <w:szCs w:val="20"/>
              </w:rPr>
              <w:t>8.83</w:t>
            </w:r>
          </w:p>
        </w:tc>
      </w:tr>
      <w:tr w:rsidR="00DE13EE" w:rsidRPr="00DE13EE" w14:paraId="19B121EF" w14:textId="77777777" w:rsidTr="009D0993">
        <w:trPr>
          <w:trHeight w:val="158"/>
        </w:trPr>
        <w:tc>
          <w:tcPr>
            <w:tcW w:w="6204" w:type="dxa"/>
            <w:tcBorders>
              <w:top w:val="nil"/>
              <w:left w:val="nil"/>
              <w:bottom w:val="nil"/>
              <w:right w:val="nil"/>
            </w:tcBorders>
            <w:shd w:val="clear" w:color="auto" w:fill="auto"/>
          </w:tcPr>
          <w:p w14:paraId="0FFC1691" w14:textId="77777777" w:rsidR="00FA14FE" w:rsidRPr="00DE13EE" w:rsidRDefault="00FA14FE" w:rsidP="009D0993">
            <w:pPr>
              <w:widowControl w:val="0"/>
              <w:spacing w:after="0"/>
              <w:jc w:val="both"/>
              <w:rPr>
                <w:rFonts w:ascii="Times New Roman" w:eastAsia="SimHei" w:hAnsi="Times New Roman" w:cs="Times New Roman"/>
                <w:color w:val="000000" w:themeColor="text1"/>
                <w:sz w:val="20"/>
                <w:szCs w:val="20"/>
              </w:rPr>
            </w:pPr>
            <w:r w:rsidRPr="00DE13EE">
              <w:rPr>
                <w:rFonts w:ascii="Times New Roman" w:eastAsia="SimHei" w:hAnsi="Times New Roman" w:cs="Times New Roman"/>
                <w:color w:val="000000" w:themeColor="text1"/>
                <w:sz w:val="20"/>
                <w:szCs w:val="20"/>
              </w:rPr>
              <w:t xml:space="preserve">2008 </w:t>
            </w:r>
          </w:p>
        </w:tc>
        <w:tc>
          <w:tcPr>
            <w:tcW w:w="1417" w:type="dxa"/>
            <w:tcBorders>
              <w:top w:val="nil"/>
              <w:left w:val="nil"/>
              <w:bottom w:val="nil"/>
              <w:right w:val="nil"/>
            </w:tcBorders>
            <w:shd w:val="clear" w:color="auto" w:fill="auto"/>
          </w:tcPr>
          <w:p w14:paraId="54FA670E" w14:textId="77777777" w:rsidR="00FA14FE" w:rsidRPr="00DE13EE" w:rsidRDefault="00FA14FE" w:rsidP="009D0993">
            <w:pPr>
              <w:widowControl w:val="0"/>
              <w:spacing w:after="0"/>
              <w:rPr>
                <w:rFonts w:ascii="Times New Roman" w:eastAsia="SimHei" w:hAnsi="Times New Roman" w:cs="Times New Roman"/>
                <w:color w:val="000000" w:themeColor="text1"/>
                <w:sz w:val="20"/>
                <w:szCs w:val="20"/>
              </w:rPr>
            </w:pPr>
            <w:r w:rsidRPr="00DE13EE">
              <w:rPr>
                <w:rFonts w:ascii="Times New Roman" w:eastAsia="SimHei" w:hAnsi="Times New Roman" w:cs="Times New Roman"/>
                <w:color w:val="000000" w:themeColor="text1"/>
                <w:sz w:val="20"/>
                <w:szCs w:val="20"/>
              </w:rPr>
              <w:t>278</w:t>
            </w:r>
          </w:p>
        </w:tc>
        <w:tc>
          <w:tcPr>
            <w:tcW w:w="1418" w:type="dxa"/>
            <w:tcBorders>
              <w:top w:val="nil"/>
              <w:left w:val="nil"/>
              <w:bottom w:val="nil"/>
              <w:right w:val="nil"/>
            </w:tcBorders>
            <w:shd w:val="clear" w:color="auto" w:fill="auto"/>
          </w:tcPr>
          <w:p w14:paraId="25506EA3" w14:textId="77777777" w:rsidR="00FA14FE" w:rsidRPr="00DE13EE" w:rsidRDefault="00FA14FE" w:rsidP="009D0993">
            <w:pPr>
              <w:spacing w:after="0"/>
              <w:rPr>
                <w:rFonts w:ascii="Times New Roman" w:eastAsia="SimHei" w:hAnsi="Times New Roman" w:cs="Times New Roman"/>
                <w:color w:val="000000" w:themeColor="text1"/>
                <w:sz w:val="20"/>
                <w:szCs w:val="20"/>
              </w:rPr>
            </w:pPr>
            <w:r w:rsidRPr="00DE13EE">
              <w:rPr>
                <w:rFonts w:ascii="Times New Roman" w:eastAsia="SimHei" w:hAnsi="Times New Roman" w:cs="Times New Roman"/>
                <w:color w:val="000000" w:themeColor="text1"/>
                <w:sz w:val="20"/>
                <w:szCs w:val="20"/>
              </w:rPr>
              <w:t>9.48</w:t>
            </w:r>
          </w:p>
        </w:tc>
      </w:tr>
      <w:tr w:rsidR="00DE13EE" w:rsidRPr="00DE13EE" w14:paraId="02E73D8E" w14:textId="77777777" w:rsidTr="009D0993">
        <w:tc>
          <w:tcPr>
            <w:tcW w:w="6204" w:type="dxa"/>
            <w:tcBorders>
              <w:top w:val="nil"/>
              <w:left w:val="nil"/>
              <w:bottom w:val="nil"/>
              <w:right w:val="nil"/>
            </w:tcBorders>
            <w:shd w:val="clear" w:color="auto" w:fill="auto"/>
          </w:tcPr>
          <w:p w14:paraId="3B6F8293" w14:textId="77777777" w:rsidR="00FA14FE" w:rsidRPr="00DE13EE" w:rsidRDefault="00FA14FE" w:rsidP="009D0993">
            <w:pPr>
              <w:widowControl w:val="0"/>
              <w:spacing w:after="0"/>
              <w:jc w:val="both"/>
              <w:rPr>
                <w:rFonts w:ascii="Times New Roman" w:eastAsia="SimHei" w:hAnsi="Times New Roman" w:cs="Times New Roman"/>
                <w:color w:val="000000" w:themeColor="text1"/>
                <w:sz w:val="20"/>
                <w:szCs w:val="20"/>
              </w:rPr>
            </w:pPr>
            <w:r w:rsidRPr="00DE13EE">
              <w:rPr>
                <w:rFonts w:ascii="Times New Roman" w:eastAsia="SimHei" w:hAnsi="Times New Roman" w:cs="Times New Roman"/>
                <w:color w:val="000000" w:themeColor="text1"/>
                <w:sz w:val="20"/>
                <w:szCs w:val="20"/>
              </w:rPr>
              <w:t xml:space="preserve">2009 </w:t>
            </w:r>
          </w:p>
        </w:tc>
        <w:tc>
          <w:tcPr>
            <w:tcW w:w="1417" w:type="dxa"/>
            <w:tcBorders>
              <w:top w:val="nil"/>
              <w:left w:val="nil"/>
              <w:bottom w:val="nil"/>
              <w:right w:val="nil"/>
            </w:tcBorders>
            <w:shd w:val="clear" w:color="auto" w:fill="auto"/>
          </w:tcPr>
          <w:p w14:paraId="3FF11672" w14:textId="77777777" w:rsidR="00FA14FE" w:rsidRPr="00DE13EE" w:rsidRDefault="00FA14FE" w:rsidP="009D0993">
            <w:pPr>
              <w:widowControl w:val="0"/>
              <w:spacing w:after="0"/>
              <w:rPr>
                <w:rFonts w:ascii="Times New Roman" w:eastAsia="SimHei" w:hAnsi="Times New Roman" w:cs="Times New Roman"/>
                <w:color w:val="000000" w:themeColor="text1"/>
                <w:sz w:val="20"/>
                <w:szCs w:val="20"/>
              </w:rPr>
            </w:pPr>
            <w:r w:rsidRPr="00DE13EE">
              <w:rPr>
                <w:rFonts w:ascii="Times New Roman" w:eastAsia="SimHei" w:hAnsi="Times New Roman" w:cs="Times New Roman"/>
                <w:color w:val="000000" w:themeColor="text1"/>
                <w:sz w:val="20"/>
                <w:szCs w:val="20"/>
              </w:rPr>
              <w:t>297</w:t>
            </w:r>
          </w:p>
        </w:tc>
        <w:tc>
          <w:tcPr>
            <w:tcW w:w="1418" w:type="dxa"/>
            <w:tcBorders>
              <w:top w:val="nil"/>
              <w:left w:val="nil"/>
              <w:bottom w:val="nil"/>
              <w:right w:val="nil"/>
            </w:tcBorders>
            <w:shd w:val="clear" w:color="auto" w:fill="auto"/>
          </w:tcPr>
          <w:p w14:paraId="1EF6F379" w14:textId="77777777" w:rsidR="00FA14FE" w:rsidRPr="00DE13EE" w:rsidRDefault="00FA14FE" w:rsidP="009D0993">
            <w:pPr>
              <w:spacing w:after="0"/>
              <w:rPr>
                <w:rFonts w:ascii="Times New Roman" w:eastAsia="SimHei" w:hAnsi="Times New Roman" w:cs="Times New Roman"/>
                <w:color w:val="000000" w:themeColor="text1"/>
                <w:sz w:val="20"/>
                <w:szCs w:val="20"/>
              </w:rPr>
            </w:pPr>
            <w:r w:rsidRPr="00DE13EE">
              <w:rPr>
                <w:rFonts w:ascii="Times New Roman" w:eastAsia="SimHei" w:hAnsi="Times New Roman" w:cs="Times New Roman"/>
                <w:color w:val="000000" w:themeColor="text1"/>
                <w:sz w:val="20"/>
                <w:szCs w:val="20"/>
              </w:rPr>
              <w:t>10.13</w:t>
            </w:r>
          </w:p>
        </w:tc>
      </w:tr>
      <w:tr w:rsidR="00DE13EE" w:rsidRPr="00DE13EE" w14:paraId="1DF97FB7" w14:textId="77777777" w:rsidTr="009D0993">
        <w:tc>
          <w:tcPr>
            <w:tcW w:w="6204" w:type="dxa"/>
            <w:tcBorders>
              <w:top w:val="nil"/>
              <w:left w:val="nil"/>
              <w:bottom w:val="nil"/>
              <w:right w:val="nil"/>
            </w:tcBorders>
            <w:shd w:val="clear" w:color="auto" w:fill="auto"/>
          </w:tcPr>
          <w:p w14:paraId="7C3126D5" w14:textId="77777777" w:rsidR="00FA14FE" w:rsidRPr="00DE13EE" w:rsidRDefault="00FA14FE" w:rsidP="009D0993">
            <w:pPr>
              <w:widowControl w:val="0"/>
              <w:spacing w:after="0"/>
              <w:jc w:val="both"/>
              <w:rPr>
                <w:rFonts w:ascii="Times New Roman" w:eastAsia="SimHei" w:hAnsi="Times New Roman" w:cs="Times New Roman"/>
                <w:color w:val="000000" w:themeColor="text1"/>
                <w:sz w:val="20"/>
                <w:szCs w:val="20"/>
              </w:rPr>
            </w:pPr>
            <w:r w:rsidRPr="00DE13EE">
              <w:rPr>
                <w:rFonts w:ascii="Times New Roman" w:eastAsia="SimHei" w:hAnsi="Times New Roman" w:cs="Times New Roman"/>
                <w:color w:val="000000" w:themeColor="text1"/>
                <w:sz w:val="20"/>
                <w:szCs w:val="20"/>
              </w:rPr>
              <w:t xml:space="preserve">2010 </w:t>
            </w:r>
          </w:p>
        </w:tc>
        <w:tc>
          <w:tcPr>
            <w:tcW w:w="1417" w:type="dxa"/>
            <w:tcBorders>
              <w:top w:val="nil"/>
              <w:left w:val="nil"/>
              <w:bottom w:val="nil"/>
              <w:right w:val="nil"/>
            </w:tcBorders>
            <w:shd w:val="clear" w:color="auto" w:fill="auto"/>
          </w:tcPr>
          <w:p w14:paraId="04ABA6B5" w14:textId="77777777" w:rsidR="00FA14FE" w:rsidRPr="00DE13EE" w:rsidRDefault="00FA14FE" w:rsidP="009D0993">
            <w:pPr>
              <w:widowControl w:val="0"/>
              <w:spacing w:after="0"/>
              <w:rPr>
                <w:rFonts w:ascii="Times New Roman" w:eastAsia="SimHei" w:hAnsi="Times New Roman" w:cs="Times New Roman"/>
                <w:color w:val="000000" w:themeColor="text1"/>
                <w:sz w:val="20"/>
                <w:szCs w:val="20"/>
              </w:rPr>
            </w:pPr>
            <w:r w:rsidRPr="00DE13EE">
              <w:rPr>
                <w:rFonts w:ascii="Times New Roman" w:eastAsia="SimHei" w:hAnsi="Times New Roman" w:cs="Times New Roman"/>
                <w:color w:val="000000" w:themeColor="text1"/>
                <w:sz w:val="20"/>
                <w:szCs w:val="20"/>
              </w:rPr>
              <w:t>306</w:t>
            </w:r>
          </w:p>
        </w:tc>
        <w:tc>
          <w:tcPr>
            <w:tcW w:w="1418" w:type="dxa"/>
            <w:tcBorders>
              <w:top w:val="nil"/>
              <w:left w:val="nil"/>
              <w:bottom w:val="nil"/>
              <w:right w:val="nil"/>
            </w:tcBorders>
            <w:shd w:val="clear" w:color="auto" w:fill="auto"/>
          </w:tcPr>
          <w:p w14:paraId="48271265" w14:textId="77777777" w:rsidR="00FA14FE" w:rsidRPr="00DE13EE" w:rsidRDefault="00FA14FE" w:rsidP="009D0993">
            <w:pPr>
              <w:spacing w:after="0"/>
              <w:rPr>
                <w:rFonts w:ascii="Times New Roman" w:eastAsia="SimHei" w:hAnsi="Times New Roman" w:cs="Times New Roman"/>
                <w:color w:val="000000" w:themeColor="text1"/>
                <w:sz w:val="20"/>
                <w:szCs w:val="20"/>
              </w:rPr>
            </w:pPr>
            <w:r w:rsidRPr="00DE13EE">
              <w:rPr>
                <w:rFonts w:ascii="Times New Roman" w:eastAsia="SimHei" w:hAnsi="Times New Roman" w:cs="Times New Roman"/>
                <w:color w:val="000000" w:themeColor="text1"/>
                <w:sz w:val="20"/>
                <w:szCs w:val="20"/>
              </w:rPr>
              <w:t>10.44</w:t>
            </w:r>
          </w:p>
        </w:tc>
      </w:tr>
      <w:tr w:rsidR="00DE13EE" w:rsidRPr="00DE13EE" w14:paraId="77FF4D39" w14:textId="77777777" w:rsidTr="009D0993">
        <w:trPr>
          <w:trHeight w:val="214"/>
        </w:trPr>
        <w:tc>
          <w:tcPr>
            <w:tcW w:w="6204" w:type="dxa"/>
            <w:tcBorders>
              <w:top w:val="nil"/>
              <w:left w:val="nil"/>
              <w:bottom w:val="nil"/>
              <w:right w:val="nil"/>
            </w:tcBorders>
            <w:shd w:val="clear" w:color="auto" w:fill="auto"/>
          </w:tcPr>
          <w:p w14:paraId="07A54CDA" w14:textId="77777777" w:rsidR="00FA14FE" w:rsidRPr="00DE13EE" w:rsidRDefault="00FA14FE" w:rsidP="009D0993">
            <w:pPr>
              <w:widowControl w:val="0"/>
              <w:spacing w:after="0"/>
              <w:jc w:val="both"/>
              <w:rPr>
                <w:rFonts w:ascii="Times New Roman" w:eastAsia="SimHei" w:hAnsi="Times New Roman" w:cs="Times New Roman"/>
                <w:color w:val="000000" w:themeColor="text1"/>
                <w:sz w:val="20"/>
                <w:szCs w:val="20"/>
              </w:rPr>
            </w:pPr>
            <w:r w:rsidRPr="00DE13EE">
              <w:rPr>
                <w:rFonts w:ascii="Times New Roman" w:eastAsia="SimHei" w:hAnsi="Times New Roman" w:cs="Times New Roman"/>
                <w:color w:val="000000" w:themeColor="text1"/>
                <w:sz w:val="20"/>
                <w:szCs w:val="20"/>
              </w:rPr>
              <w:t xml:space="preserve">2011 </w:t>
            </w:r>
          </w:p>
        </w:tc>
        <w:tc>
          <w:tcPr>
            <w:tcW w:w="1417" w:type="dxa"/>
            <w:tcBorders>
              <w:top w:val="nil"/>
              <w:left w:val="nil"/>
              <w:bottom w:val="nil"/>
              <w:right w:val="nil"/>
            </w:tcBorders>
            <w:shd w:val="clear" w:color="auto" w:fill="auto"/>
          </w:tcPr>
          <w:p w14:paraId="6B81F19A" w14:textId="77777777" w:rsidR="00FA14FE" w:rsidRPr="00DE13EE" w:rsidRDefault="00FA14FE" w:rsidP="009D0993">
            <w:pPr>
              <w:widowControl w:val="0"/>
              <w:spacing w:after="0"/>
              <w:rPr>
                <w:rFonts w:ascii="Times New Roman" w:eastAsia="SimHei" w:hAnsi="Times New Roman" w:cs="Times New Roman"/>
                <w:color w:val="000000" w:themeColor="text1"/>
                <w:sz w:val="20"/>
                <w:szCs w:val="20"/>
              </w:rPr>
            </w:pPr>
            <w:r w:rsidRPr="00DE13EE">
              <w:rPr>
                <w:rFonts w:ascii="Times New Roman" w:eastAsia="SimHei" w:hAnsi="Times New Roman" w:cs="Times New Roman"/>
                <w:color w:val="000000" w:themeColor="text1"/>
                <w:sz w:val="20"/>
                <w:szCs w:val="20"/>
              </w:rPr>
              <w:t>323</w:t>
            </w:r>
          </w:p>
        </w:tc>
        <w:tc>
          <w:tcPr>
            <w:tcW w:w="1418" w:type="dxa"/>
            <w:tcBorders>
              <w:top w:val="nil"/>
              <w:left w:val="nil"/>
              <w:bottom w:val="nil"/>
              <w:right w:val="nil"/>
            </w:tcBorders>
            <w:shd w:val="clear" w:color="auto" w:fill="auto"/>
          </w:tcPr>
          <w:p w14:paraId="731E99CD" w14:textId="77777777" w:rsidR="00FA14FE" w:rsidRPr="00DE13EE" w:rsidRDefault="00FA14FE" w:rsidP="009D0993">
            <w:pPr>
              <w:spacing w:after="0"/>
              <w:rPr>
                <w:rFonts w:ascii="Times New Roman" w:eastAsia="SimHei" w:hAnsi="Times New Roman" w:cs="Times New Roman"/>
                <w:color w:val="000000" w:themeColor="text1"/>
                <w:sz w:val="20"/>
                <w:szCs w:val="20"/>
              </w:rPr>
            </w:pPr>
            <w:r w:rsidRPr="00DE13EE">
              <w:rPr>
                <w:rFonts w:ascii="Times New Roman" w:eastAsia="SimHei" w:hAnsi="Times New Roman" w:cs="Times New Roman"/>
                <w:color w:val="000000" w:themeColor="text1"/>
                <w:sz w:val="20"/>
                <w:szCs w:val="20"/>
              </w:rPr>
              <w:t>11.02</w:t>
            </w:r>
          </w:p>
        </w:tc>
      </w:tr>
      <w:tr w:rsidR="00DE13EE" w:rsidRPr="00DE13EE" w14:paraId="5DF101D0" w14:textId="77777777" w:rsidTr="009D0993">
        <w:trPr>
          <w:trHeight w:val="254"/>
        </w:trPr>
        <w:tc>
          <w:tcPr>
            <w:tcW w:w="6204" w:type="dxa"/>
            <w:tcBorders>
              <w:top w:val="nil"/>
              <w:left w:val="nil"/>
              <w:bottom w:val="nil"/>
              <w:right w:val="nil"/>
            </w:tcBorders>
            <w:shd w:val="clear" w:color="auto" w:fill="auto"/>
          </w:tcPr>
          <w:p w14:paraId="18427860" w14:textId="77777777" w:rsidR="00FA14FE" w:rsidRPr="00DE13EE" w:rsidRDefault="00FA14FE" w:rsidP="009D0993">
            <w:pPr>
              <w:widowControl w:val="0"/>
              <w:spacing w:after="0"/>
              <w:jc w:val="both"/>
              <w:rPr>
                <w:rFonts w:ascii="Times New Roman" w:eastAsia="SimHei" w:hAnsi="Times New Roman" w:cs="Times New Roman"/>
                <w:color w:val="000000" w:themeColor="text1"/>
                <w:sz w:val="20"/>
                <w:szCs w:val="20"/>
              </w:rPr>
            </w:pPr>
            <w:r w:rsidRPr="00DE13EE">
              <w:rPr>
                <w:rFonts w:ascii="Times New Roman" w:eastAsia="SimHei" w:hAnsi="Times New Roman" w:cs="Times New Roman"/>
                <w:color w:val="000000" w:themeColor="text1"/>
                <w:sz w:val="20"/>
                <w:szCs w:val="20"/>
              </w:rPr>
              <w:t xml:space="preserve">2012 </w:t>
            </w:r>
          </w:p>
        </w:tc>
        <w:tc>
          <w:tcPr>
            <w:tcW w:w="1417" w:type="dxa"/>
            <w:tcBorders>
              <w:top w:val="nil"/>
              <w:left w:val="nil"/>
              <w:bottom w:val="nil"/>
              <w:right w:val="nil"/>
            </w:tcBorders>
            <w:shd w:val="clear" w:color="auto" w:fill="auto"/>
          </w:tcPr>
          <w:p w14:paraId="4910A74F" w14:textId="77777777" w:rsidR="00FA14FE" w:rsidRPr="00DE13EE" w:rsidRDefault="00FA14FE" w:rsidP="009D0993">
            <w:pPr>
              <w:widowControl w:val="0"/>
              <w:spacing w:after="0"/>
              <w:rPr>
                <w:rFonts w:ascii="Times New Roman" w:eastAsia="SimHei" w:hAnsi="Times New Roman" w:cs="Times New Roman"/>
                <w:color w:val="000000" w:themeColor="text1"/>
                <w:sz w:val="20"/>
                <w:szCs w:val="20"/>
              </w:rPr>
            </w:pPr>
            <w:r w:rsidRPr="00DE13EE">
              <w:rPr>
                <w:rFonts w:ascii="Times New Roman" w:eastAsia="SimHei" w:hAnsi="Times New Roman" w:cs="Times New Roman"/>
                <w:color w:val="000000" w:themeColor="text1"/>
                <w:sz w:val="20"/>
                <w:szCs w:val="20"/>
              </w:rPr>
              <w:t>320</w:t>
            </w:r>
          </w:p>
        </w:tc>
        <w:tc>
          <w:tcPr>
            <w:tcW w:w="1418" w:type="dxa"/>
            <w:tcBorders>
              <w:top w:val="nil"/>
              <w:left w:val="nil"/>
              <w:bottom w:val="nil"/>
              <w:right w:val="nil"/>
            </w:tcBorders>
            <w:shd w:val="clear" w:color="auto" w:fill="auto"/>
          </w:tcPr>
          <w:p w14:paraId="1EEF5087" w14:textId="77777777" w:rsidR="00FA14FE" w:rsidRPr="00DE13EE" w:rsidRDefault="00FA14FE" w:rsidP="009D0993">
            <w:pPr>
              <w:spacing w:after="0"/>
              <w:rPr>
                <w:rFonts w:ascii="Times New Roman" w:eastAsia="SimHei" w:hAnsi="Times New Roman" w:cs="Times New Roman"/>
                <w:color w:val="000000" w:themeColor="text1"/>
                <w:sz w:val="20"/>
                <w:szCs w:val="20"/>
              </w:rPr>
            </w:pPr>
            <w:r w:rsidRPr="00DE13EE">
              <w:rPr>
                <w:rFonts w:ascii="Times New Roman" w:eastAsia="SimHei" w:hAnsi="Times New Roman" w:cs="Times New Roman"/>
                <w:color w:val="000000" w:themeColor="text1"/>
                <w:sz w:val="20"/>
                <w:szCs w:val="20"/>
              </w:rPr>
              <w:t>10.91</w:t>
            </w:r>
          </w:p>
        </w:tc>
      </w:tr>
      <w:tr w:rsidR="00DE13EE" w:rsidRPr="00DE13EE" w14:paraId="7740B797" w14:textId="77777777" w:rsidTr="009D0993">
        <w:tc>
          <w:tcPr>
            <w:tcW w:w="6204" w:type="dxa"/>
            <w:tcBorders>
              <w:top w:val="nil"/>
              <w:left w:val="nil"/>
              <w:bottom w:val="nil"/>
              <w:right w:val="nil"/>
            </w:tcBorders>
            <w:shd w:val="clear" w:color="auto" w:fill="auto"/>
          </w:tcPr>
          <w:p w14:paraId="01DF804D" w14:textId="77777777" w:rsidR="00FA14FE" w:rsidRPr="00DE13EE" w:rsidRDefault="00FA14FE" w:rsidP="009D0993">
            <w:pPr>
              <w:widowControl w:val="0"/>
              <w:spacing w:after="0"/>
              <w:jc w:val="both"/>
              <w:rPr>
                <w:rFonts w:ascii="Times New Roman" w:eastAsia="SimHei" w:hAnsi="Times New Roman" w:cs="Times New Roman"/>
                <w:color w:val="000000" w:themeColor="text1"/>
                <w:sz w:val="20"/>
                <w:szCs w:val="20"/>
              </w:rPr>
            </w:pPr>
            <w:r w:rsidRPr="00DE13EE">
              <w:rPr>
                <w:rFonts w:ascii="Times New Roman" w:eastAsia="SimHei" w:hAnsi="Times New Roman" w:cs="Times New Roman"/>
                <w:color w:val="000000" w:themeColor="text1"/>
                <w:sz w:val="20"/>
                <w:szCs w:val="20"/>
              </w:rPr>
              <w:t xml:space="preserve">2013 </w:t>
            </w:r>
          </w:p>
        </w:tc>
        <w:tc>
          <w:tcPr>
            <w:tcW w:w="1417" w:type="dxa"/>
            <w:tcBorders>
              <w:top w:val="nil"/>
              <w:left w:val="nil"/>
              <w:bottom w:val="nil"/>
              <w:right w:val="nil"/>
            </w:tcBorders>
            <w:shd w:val="clear" w:color="auto" w:fill="auto"/>
          </w:tcPr>
          <w:p w14:paraId="7649C77C" w14:textId="77777777" w:rsidR="00FA14FE" w:rsidRPr="00DE13EE" w:rsidRDefault="00FA14FE" w:rsidP="009D0993">
            <w:pPr>
              <w:widowControl w:val="0"/>
              <w:spacing w:after="0"/>
              <w:rPr>
                <w:rFonts w:ascii="Times New Roman" w:eastAsia="SimHei" w:hAnsi="Times New Roman" w:cs="Times New Roman"/>
                <w:color w:val="000000" w:themeColor="text1"/>
                <w:sz w:val="20"/>
                <w:szCs w:val="20"/>
              </w:rPr>
            </w:pPr>
            <w:r w:rsidRPr="00DE13EE">
              <w:rPr>
                <w:rFonts w:ascii="Times New Roman" w:eastAsia="SimHei" w:hAnsi="Times New Roman" w:cs="Times New Roman"/>
                <w:color w:val="000000" w:themeColor="text1"/>
                <w:sz w:val="20"/>
                <w:szCs w:val="20"/>
              </w:rPr>
              <w:t>323</w:t>
            </w:r>
          </w:p>
        </w:tc>
        <w:tc>
          <w:tcPr>
            <w:tcW w:w="1418" w:type="dxa"/>
            <w:tcBorders>
              <w:top w:val="nil"/>
              <w:left w:val="nil"/>
              <w:bottom w:val="nil"/>
              <w:right w:val="nil"/>
            </w:tcBorders>
            <w:shd w:val="clear" w:color="auto" w:fill="auto"/>
          </w:tcPr>
          <w:p w14:paraId="0776E520" w14:textId="77777777" w:rsidR="00FA14FE" w:rsidRPr="00DE13EE" w:rsidRDefault="00FA14FE" w:rsidP="009D0993">
            <w:pPr>
              <w:spacing w:after="0"/>
              <w:rPr>
                <w:rFonts w:ascii="Times New Roman" w:eastAsia="SimHei" w:hAnsi="Times New Roman" w:cs="Times New Roman"/>
                <w:color w:val="000000" w:themeColor="text1"/>
                <w:sz w:val="20"/>
                <w:szCs w:val="20"/>
              </w:rPr>
            </w:pPr>
            <w:r w:rsidRPr="00DE13EE">
              <w:rPr>
                <w:rFonts w:ascii="Times New Roman" w:eastAsia="SimHei" w:hAnsi="Times New Roman" w:cs="Times New Roman"/>
                <w:color w:val="000000" w:themeColor="text1"/>
                <w:sz w:val="20"/>
                <w:szCs w:val="20"/>
              </w:rPr>
              <w:t>11.02</w:t>
            </w:r>
          </w:p>
        </w:tc>
      </w:tr>
      <w:tr w:rsidR="00DE13EE" w:rsidRPr="00DE13EE" w14:paraId="769F7E9A" w14:textId="77777777" w:rsidTr="009D0993">
        <w:tc>
          <w:tcPr>
            <w:tcW w:w="6204" w:type="dxa"/>
            <w:tcBorders>
              <w:top w:val="nil"/>
              <w:left w:val="nil"/>
              <w:bottom w:val="single" w:sz="4" w:space="0" w:color="auto"/>
              <w:right w:val="nil"/>
            </w:tcBorders>
            <w:shd w:val="clear" w:color="auto" w:fill="auto"/>
          </w:tcPr>
          <w:p w14:paraId="08D01A30" w14:textId="77777777" w:rsidR="00FA14FE" w:rsidRPr="00DE13EE" w:rsidRDefault="00FA14FE" w:rsidP="009D0993">
            <w:pPr>
              <w:widowControl w:val="0"/>
              <w:spacing w:after="0"/>
              <w:jc w:val="both"/>
              <w:rPr>
                <w:rFonts w:ascii="Times New Roman" w:eastAsia="SimHei" w:hAnsi="Times New Roman" w:cs="Times New Roman"/>
                <w:color w:val="000000" w:themeColor="text1"/>
                <w:sz w:val="20"/>
                <w:szCs w:val="20"/>
              </w:rPr>
            </w:pPr>
            <w:r w:rsidRPr="00DE13EE">
              <w:rPr>
                <w:rFonts w:ascii="Times New Roman" w:eastAsia="SimHei" w:hAnsi="Times New Roman" w:cs="Times New Roman"/>
                <w:color w:val="000000" w:themeColor="text1"/>
                <w:sz w:val="20"/>
                <w:szCs w:val="20"/>
              </w:rPr>
              <w:t>2014</w:t>
            </w:r>
          </w:p>
        </w:tc>
        <w:tc>
          <w:tcPr>
            <w:tcW w:w="1417" w:type="dxa"/>
            <w:tcBorders>
              <w:top w:val="nil"/>
              <w:left w:val="nil"/>
              <w:bottom w:val="single" w:sz="4" w:space="0" w:color="auto"/>
              <w:right w:val="nil"/>
            </w:tcBorders>
            <w:shd w:val="clear" w:color="auto" w:fill="auto"/>
          </w:tcPr>
          <w:p w14:paraId="32896081" w14:textId="77777777" w:rsidR="00FA14FE" w:rsidRPr="00DE13EE" w:rsidRDefault="00FA14FE" w:rsidP="009D0993">
            <w:pPr>
              <w:widowControl w:val="0"/>
              <w:spacing w:after="0"/>
              <w:rPr>
                <w:rFonts w:ascii="Times New Roman" w:eastAsia="SimHei" w:hAnsi="Times New Roman" w:cs="Times New Roman"/>
                <w:color w:val="000000" w:themeColor="text1"/>
                <w:sz w:val="20"/>
                <w:szCs w:val="20"/>
              </w:rPr>
            </w:pPr>
            <w:r w:rsidRPr="00DE13EE">
              <w:rPr>
                <w:rFonts w:ascii="Times New Roman" w:eastAsia="SimHei" w:hAnsi="Times New Roman" w:cs="Times New Roman"/>
                <w:color w:val="000000" w:themeColor="text1"/>
                <w:sz w:val="20"/>
                <w:szCs w:val="20"/>
              </w:rPr>
              <w:t>319</w:t>
            </w:r>
          </w:p>
        </w:tc>
        <w:tc>
          <w:tcPr>
            <w:tcW w:w="1418" w:type="dxa"/>
            <w:tcBorders>
              <w:top w:val="nil"/>
              <w:left w:val="nil"/>
              <w:bottom w:val="single" w:sz="4" w:space="0" w:color="auto"/>
              <w:right w:val="nil"/>
            </w:tcBorders>
            <w:shd w:val="clear" w:color="auto" w:fill="auto"/>
          </w:tcPr>
          <w:p w14:paraId="5B481020" w14:textId="77777777" w:rsidR="00FA14FE" w:rsidRPr="00DE13EE" w:rsidRDefault="00FA14FE" w:rsidP="009D0993">
            <w:pPr>
              <w:spacing w:after="0"/>
              <w:rPr>
                <w:rFonts w:ascii="Times New Roman" w:eastAsia="SimHei" w:hAnsi="Times New Roman" w:cs="Times New Roman"/>
                <w:color w:val="000000" w:themeColor="text1"/>
                <w:sz w:val="20"/>
                <w:szCs w:val="20"/>
              </w:rPr>
            </w:pPr>
            <w:r w:rsidRPr="00DE13EE">
              <w:rPr>
                <w:rFonts w:ascii="Times New Roman" w:eastAsia="SimHei" w:hAnsi="Times New Roman" w:cs="Times New Roman"/>
                <w:color w:val="000000" w:themeColor="text1"/>
                <w:sz w:val="20"/>
                <w:szCs w:val="20"/>
              </w:rPr>
              <w:t>10.88</w:t>
            </w:r>
          </w:p>
        </w:tc>
      </w:tr>
      <w:tr w:rsidR="00DE13EE" w:rsidRPr="00DE13EE" w14:paraId="5BCCB8DE" w14:textId="77777777" w:rsidTr="009D0993">
        <w:tc>
          <w:tcPr>
            <w:tcW w:w="6204" w:type="dxa"/>
            <w:tcBorders>
              <w:left w:val="nil"/>
              <w:bottom w:val="single" w:sz="4" w:space="0" w:color="auto"/>
              <w:right w:val="nil"/>
            </w:tcBorders>
            <w:shd w:val="clear" w:color="auto" w:fill="auto"/>
          </w:tcPr>
          <w:p w14:paraId="5FC8D81F" w14:textId="77777777" w:rsidR="00FA14FE" w:rsidRPr="00DE13EE" w:rsidRDefault="00FA14FE" w:rsidP="009D0993">
            <w:pPr>
              <w:widowControl w:val="0"/>
              <w:spacing w:after="0" w:line="240" w:lineRule="auto"/>
              <w:jc w:val="both"/>
              <w:rPr>
                <w:rFonts w:ascii="Times New Roman" w:eastAsia="SimHei" w:hAnsi="Times New Roman" w:cs="Times New Roman"/>
                <w:color w:val="000000" w:themeColor="text1"/>
                <w:sz w:val="20"/>
                <w:szCs w:val="20"/>
              </w:rPr>
            </w:pPr>
            <w:r w:rsidRPr="00DE13EE">
              <w:rPr>
                <w:rFonts w:ascii="Times New Roman" w:eastAsia="SimHei" w:hAnsi="Times New Roman" w:cs="Times New Roman"/>
                <w:color w:val="000000" w:themeColor="text1"/>
                <w:sz w:val="20"/>
                <w:szCs w:val="20"/>
              </w:rPr>
              <w:t xml:space="preserve">Total </w:t>
            </w:r>
          </w:p>
        </w:tc>
        <w:tc>
          <w:tcPr>
            <w:tcW w:w="1417" w:type="dxa"/>
            <w:tcBorders>
              <w:left w:val="nil"/>
              <w:bottom w:val="single" w:sz="4" w:space="0" w:color="auto"/>
              <w:right w:val="nil"/>
            </w:tcBorders>
            <w:shd w:val="clear" w:color="auto" w:fill="auto"/>
          </w:tcPr>
          <w:p w14:paraId="371818F8" w14:textId="77777777" w:rsidR="00FA14FE" w:rsidRPr="00DE13EE" w:rsidRDefault="00FA14FE" w:rsidP="009D0993">
            <w:pPr>
              <w:widowControl w:val="0"/>
              <w:spacing w:after="0" w:line="240" w:lineRule="auto"/>
              <w:rPr>
                <w:rFonts w:ascii="Times New Roman" w:eastAsia="SimHei" w:hAnsi="Times New Roman" w:cs="Times New Roman"/>
                <w:color w:val="000000" w:themeColor="text1"/>
                <w:sz w:val="20"/>
                <w:szCs w:val="20"/>
              </w:rPr>
            </w:pPr>
            <w:r w:rsidRPr="00DE13EE">
              <w:rPr>
                <w:rFonts w:ascii="Times New Roman" w:eastAsia="SimHei" w:hAnsi="Times New Roman" w:cs="Times New Roman"/>
                <w:color w:val="000000" w:themeColor="text1"/>
                <w:sz w:val="20"/>
                <w:szCs w:val="20"/>
              </w:rPr>
              <w:t>2932</w:t>
            </w:r>
          </w:p>
        </w:tc>
        <w:tc>
          <w:tcPr>
            <w:tcW w:w="1418" w:type="dxa"/>
            <w:tcBorders>
              <w:left w:val="nil"/>
              <w:bottom w:val="single" w:sz="4" w:space="0" w:color="auto"/>
              <w:right w:val="nil"/>
            </w:tcBorders>
            <w:shd w:val="clear" w:color="auto" w:fill="auto"/>
          </w:tcPr>
          <w:p w14:paraId="3282B7AA" w14:textId="77777777" w:rsidR="00FA14FE" w:rsidRPr="00DE13EE" w:rsidRDefault="00FA14FE" w:rsidP="009D0993">
            <w:pPr>
              <w:spacing w:after="0" w:line="240" w:lineRule="auto"/>
              <w:rPr>
                <w:rFonts w:ascii="Times New Roman" w:eastAsia="SimHei" w:hAnsi="Times New Roman" w:cs="Times New Roman"/>
                <w:color w:val="000000" w:themeColor="text1"/>
                <w:sz w:val="20"/>
                <w:szCs w:val="20"/>
              </w:rPr>
            </w:pPr>
            <w:r w:rsidRPr="00DE13EE">
              <w:rPr>
                <w:rFonts w:ascii="Times New Roman" w:eastAsia="SimHei" w:hAnsi="Times New Roman" w:cs="Times New Roman"/>
                <w:color w:val="000000" w:themeColor="text1"/>
                <w:sz w:val="20"/>
                <w:szCs w:val="20"/>
              </w:rPr>
              <w:t>100</w:t>
            </w:r>
          </w:p>
        </w:tc>
      </w:tr>
      <w:tr w:rsidR="00DE13EE" w:rsidRPr="00DE13EE" w14:paraId="6F148F99" w14:textId="77777777" w:rsidTr="009D0993">
        <w:tc>
          <w:tcPr>
            <w:tcW w:w="6204" w:type="dxa"/>
            <w:tcBorders>
              <w:left w:val="nil"/>
              <w:bottom w:val="single" w:sz="4" w:space="0" w:color="auto"/>
              <w:right w:val="nil"/>
            </w:tcBorders>
            <w:shd w:val="clear" w:color="auto" w:fill="auto"/>
          </w:tcPr>
          <w:p w14:paraId="57DCFAC2" w14:textId="77777777" w:rsidR="00FA14FE" w:rsidRPr="00DE13EE" w:rsidRDefault="00FA14FE" w:rsidP="009D0993">
            <w:pPr>
              <w:widowControl w:val="0"/>
              <w:spacing w:after="0" w:line="240" w:lineRule="auto"/>
              <w:jc w:val="both"/>
              <w:rPr>
                <w:rFonts w:ascii="Times New Roman" w:eastAsia="SimHei" w:hAnsi="Times New Roman" w:cs="Times New Roman"/>
                <w:color w:val="000000" w:themeColor="text1"/>
                <w:sz w:val="26"/>
                <w:szCs w:val="20"/>
              </w:rPr>
            </w:pPr>
          </w:p>
        </w:tc>
        <w:tc>
          <w:tcPr>
            <w:tcW w:w="1417" w:type="dxa"/>
            <w:tcBorders>
              <w:left w:val="nil"/>
              <w:bottom w:val="single" w:sz="4" w:space="0" w:color="auto"/>
              <w:right w:val="nil"/>
            </w:tcBorders>
            <w:shd w:val="clear" w:color="auto" w:fill="auto"/>
          </w:tcPr>
          <w:p w14:paraId="538CC3B6" w14:textId="77777777" w:rsidR="00FA14FE" w:rsidRPr="00DE13EE" w:rsidRDefault="00FA14FE" w:rsidP="009D0993">
            <w:pPr>
              <w:widowControl w:val="0"/>
              <w:spacing w:after="0" w:line="240" w:lineRule="auto"/>
              <w:jc w:val="right"/>
              <w:rPr>
                <w:rFonts w:ascii="Times New Roman" w:eastAsia="SimHei" w:hAnsi="Times New Roman" w:cs="Times New Roman"/>
                <w:color w:val="000000" w:themeColor="text1"/>
                <w:sz w:val="20"/>
                <w:szCs w:val="20"/>
              </w:rPr>
            </w:pPr>
          </w:p>
        </w:tc>
        <w:tc>
          <w:tcPr>
            <w:tcW w:w="1418" w:type="dxa"/>
            <w:tcBorders>
              <w:left w:val="nil"/>
              <w:bottom w:val="single" w:sz="4" w:space="0" w:color="auto"/>
              <w:right w:val="nil"/>
            </w:tcBorders>
            <w:shd w:val="clear" w:color="auto" w:fill="auto"/>
          </w:tcPr>
          <w:p w14:paraId="5A3CF1C9" w14:textId="77777777" w:rsidR="00FA14FE" w:rsidRPr="00DE13EE" w:rsidRDefault="00FA14FE" w:rsidP="009D0993">
            <w:pPr>
              <w:spacing w:after="0" w:line="240" w:lineRule="auto"/>
              <w:jc w:val="right"/>
              <w:rPr>
                <w:rFonts w:ascii="Times New Roman" w:eastAsia="SimHei" w:hAnsi="Times New Roman" w:cs="Times New Roman"/>
                <w:color w:val="000000" w:themeColor="text1"/>
                <w:sz w:val="20"/>
                <w:szCs w:val="20"/>
              </w:rPr>
            </w:pPr>
          </w:p>
        </w:tc>
      </w:tr>
      <w:tr w:rsidR="00DE13EE" w:rsidRPr="00DE13EE" w14:paraId="5EAAD865" w14:textId="77777777" w:rsidTr="009D0993">
        <w:tc>
          <w:tcPr>
            <w:tcW w:w="9039" w:type="dxa"/>
            <w:gridSpan w:val="3"/>
            <w:tcBorders>
              <w:left w:val="nil"/>
              <w:bottom w:val="single" w:sz="4" w:space="0" w:color="auto"/>
              <w:right w:val="nil"/>
            </w:tcBorders>
            <w:shd w:val="clear" w:color="auto" w:fill="auto"/>
          </w:tcPr>
          <w:p w14:paraId="02D5C9C9" w14:textId="77777777" w:rsidR="00FA14FE" w:rsidRPr="00DE13EE" w:rsidRDefault="00FA14FE" w:rsidP="009D0993">
            <w:pPr>
              <w:widowControl w:val="0"/>
              <w:spacing w:after="0" w:line="240" w:lineRule="auto"/>
              <w:jc w:val="both"/>
              <w:rPr>
                <w:rFonts w:ascii="Times New Roman" w:eastAsia="SimHei" w:hAnsi="Times New Roman" w:cs="Times New Roman"/>
                <w:b/>
                <w:color w:val="000000" w:themeColor="text1"/>
                <w:sz w:val="20"/>
                <w:szCs w:val="20"/>
              </w:rPr>
            </w:pPr>
            <w:r w:rsidRPr="00DE13EE">
              <w:rPr>
                <w:rFonts w:ascii="Times New Roman" w:eastAsia="SimHei" w:hAnsi="Times New Roman" w:cs="Times New Roman"/>
                <w:b/>
                <w:color w:val="000000" w:themeColor="text1"/>
                <w:sz w:val="20"/>
                <w:szCs w:val="20"/>
              </w:rPr>
              <w:t xml:space="preserve">Panel B: Sample distribution over industries </w:t>
            </w:r>
          </w:p>
        </w:tc>
      </w:tr>
      <w:tr w:rsidR="00DE13EE" w:rsidRPr="00DE13EE" w14:paraId="4BDD6B3E" w14:textId="77777777" w:rsidTr="009D0993">
        <w:trPr>
          <w:trHeight w:val="172"/>
        </w:trPr>
        <w:tc>
          <w:tcPr>
            <w:tcW w:w="6204" w:type="dxa"/>
            <w:tcBorders>
              <w:left w:val="nil"/>
              <w:bottom w:val="single" w:sz="4" w:space="0" w:color="auto"/>
              <w:right w:val="nil"/>
            </w:tcBorders>
            <w:shd w:val="clear" w:color="auto" w:fill="auto"/>
          </w:tcPr>
          <w:p w14:paraId="5B3C7342" w14:textId="77777777" w:rsidR="00FA14FE" w:rsidRPr="00DE13EE" w:rsidRDefault="00FA14FE" w:rsidP="009D0993">
            <w:pPr>
              <w:widowControl w:val="0"/>
              <w:spacing w:after="0" w:line="240" w:lineRule="auto"/>
              <w:jc w:val="both"/>
              <w:rPr>
                <w:rFonts w:ascii="Times New Roman" w:eastAsia="SimHei" w:hAnsi="Times New Roman" w:cs="Times New Roman"/>
                <w:b/>
                <w:color w:val="000000" w:themeColor="text1"/>
                <w:sz w:val="20"/>
                <w:szCs w:val="20"/>
              </w:rPr>
            </w:pPr>
            <w:r w:rsidRPr="00DE13EE">
              <w:rPr>
                <w:rFonts w:ascii="Times New Roman" w:eastAsia="SimHei" w:hAnsi="Times New Roman" w:cs="Times New Roman"/>
                <w:b/>
                <w:color w:val="000000" w:themeColor="text1"/>
                <w:sz w:val="20"/>
                <w:szCs w:val="20"/>
              </w:rPr>
              <w:t xml:space="preserve">Industries </w:t>
            </w:r>
          </w:p>
        </w:tc>
        <w:tc>
          <w:tcPr>
            <w:tcW w:w="1417" w:type="dxa"/>
            <w:tcBorders>
              <w:left w:val="nil"/>
              <w:bottom w:val="single" w:sz="4" w:space="0" w:color="auto"/>
              <w:right w:val="nil"/>
            </w:tcBorders>
            <w:shd w:val="clear" w:color="auto" w:fill="auto"/>
          </w:tcPr>
          <w:p w14:paraId="391E9048" w14:textId="77777777" w:rsidR="00FA14FE" w:rsidRPr="00DE13EE" w:rsidRDefault="00FA14FE" w:rsidP="009D0993">
            <w:pPr>
              <w:widowControl w:val="0"/>
              <w:spacing w:after="0" w:line="240" w:lineRule="auto"/>
              <w:rPr>
                <w:rFonts w:ascii="Times New Roman" w:eastAsia="SimHei" w:hAnsi="Times New Roman" w:cs="Times New Roman"/>
                <w:color w:val="000000" w:themeColor="text1"/>
                <w:sz w:val="20"/>
                <w:szCs w:val="20"/>
              </w:rPr>
            </w:pPr>
            <w:r w:rsidRPr="00DE13EE">
              <w:rPr>
                <w:rFonts w:ascii="Times New Roman" w:eastAsia="SimHei" w:hAnsi="Times New Roman" w:cs="Times New Roman"/>
                <w:color w:val="000000" w:themeColor="text1"/>
                <w:sz w:val="20"/>
                <w:szCs w:val="20"/>
              </w:rPr>
              <w:t>Freq.</w:t>
            </w:r>
          </w:p>
        </w:tc>
        <w:tc>
          <w:tcPr>
            <w:tcW w:w="1418" w:type="dxa"/>
            <w:tcBorders>
              <w:left w:val="nil"/>
              <w:bottom w:val="single" w:sz="4" w:space="0" w:color="auto"/>
              <w:right w:val="nil"/>
            </w:tcBorders>
            <w:shd w:val="clear" w:color="auto" w:fill="auto"/>
          </w:tcPr>
          <w:p w14:paraId="6491E3CF" w14:textId="77777777" w:rsidR="00FA14FE" w:rsidRPr="00DE13EE" w:rsidRDefault="00FA14FE" w:rsidP="009D0993">
            <w:pPr>
              <w:widowControl w:val="0"/>
              <w:spacing w:after="0" w:line="240" w:lineRule="auto"/>
              <w:rPr>
                <w:rFonts w:ascii="Times New Roman" w:eastAsia="SimHei" w:hAnsi="Times New Roman" w:cs="Times New Roman"/>
                <w:color w:val="000000" w:themeColor="text1"/>
                <w:sz w:val="20"/>
                <w:szCs w:val="20"/>
              </w:rPr>
            </w:pPr>
            <w:r w:rsidRPr="00DE13EE">
              <w:rPr>
                <w:rFonts w:ascii="Times New Roman" w:eastAsia="SimHei" w:hAnsi="Times New Roman" w:cs="Times New Roman"/>
                <w:color w:val="000000" w:themeColor="text1"/>
                <w:sz w:val="20"/>
                <w:szCs w:val="20"/>
              </w:rPr>
              <w:t>Percent</w:t>
            </w:r>
          </w:p>
        </w:tc>
      </w:tr>
      <w:tr w:rsidR="00DE13EE" w:rsidRPr="00DE13EE" w14:paraId="27B3A84A" w14:textId="77777777" w:rsidTr="009D0993">
        <w:trPr>
          <w:trHeight w:val="160"/>
        </w:trPr>
        <w:tc>
          <w:tcPr>
            <w:tcW w:w="6204" w:type="dxa"/>
            <w:tcBorders>
              <w:top w:val="nil"/>
              <w:left w:val="nil"/>
              <w:bottom w:val="nil"/>
              <w:right w:val="nil"/>
            </w:tcBorders>
            <w:shd w:val="clear" w:color="auto" w:fill="auto"/>
          </w:tcPr>
          <w:p w14:paraId="08680AB6" w14:textId="77777777" w:rsidR="00FA14FE" w:rsidRPr="00DE13EE" w:rsidRDefault="00FA14FE" w:rsidP="009D0993">
            <w:pPr>
              <w:widowControl w:val="0"/>
              <w:spacing w:after="0"/>
              <w:jc w:val="both"/>
              <w:rPr>
                <w:rFonts w:ascii="Times New Roman" w:eastAsia="SimHei" w:hAnsi="Times New Roman" w:cs="Times New Roman"/>
                <w:color w:val="000000" w:themeColor="text1"/>
                <w:sz w:val="20"/>
                <w:szCs w:val="20"/>
              </w:rPr>
            </w:pPr>
            <w:r w:rsidRPr="00DE13EE">
              <w:rPr>
                <w:rFonts w:ascii="Times New Roman" w:eastAsia="SimHei" w:hAnsi="Times New Roman" w:cs="Times New Roman"/>
                <w:color w:val="000000" w:themeColor="text1"/>
                <w:sz w:val="20"/>
                <w:szCs w:val="20"/>
              </w:rPr>
              <w:t>Oil and gas (0001)</w:t>
            </w:r>
          </w:p>
        </w:tc>
        <w:tc>
          <w:tcPr>
            <w:tcW w:w="1417" w:type="dxa"/>
            <w:tcBorders>
              <w:top w:val="nil"/>
              <w:left w:val="nil"/>
              <w:bottom w:val="nil"/>
              <w:right w:val="nil"/>
            </w:tcBorders>
            <w:shd w:val="clear" w:color="auto" w:fill="auto"/>
          </w:tcPr>
          <w:p w14:paraId="1A6F8BC9" w14:textId="77777777" w:rsidR="00FA14FE" w:rsidRPr="00DE13EE" w:rsidRDefault="00FA14FE" w:rsidP="009D0993">
            <w:pPr>
              <w:widowControl w:val="0"/>
              <w:spacing w:after="0"/>
              <w:rPr>
                <w:rFonts w:ascii="Times New Roman" w:eastAsia="SimHei" w:hAnsi="Times New Roman" w:cs="Times New Roman"/>
                <w:color w:val="000000" w:themeColor="text1"/>
                <w:sz w:val="20"/>
                <w:szCs w:val="20"/>
              </w:rPr>
            </w:pPr>
            <w:r w:rsidRPr="00DE13EE">
              <w:rPr>
                <w:rFonts w:ascii="Times New Roman" w:eastAsia="SimHei" w:hAnsi="Times New Roman" w:cs="Times New Roman"/>
                <w:color w:val="000000" w:themeColor="text1"/>
                <w:sz w:val="20"/>
                <w:szCs w:val="20"/>
              </w:rPr>
              <w:t>147</w:t>
            </w:r>
          </w:p>
        </w:tc>
        <w:tc>
          <w:tcPr>
            <w:tcW w:w="1418" w:type="dxa"/>
            <w:tcBorders>
              <w:top w:val="nil"/>
              <w:left w:val="nil"/>
              <w:bottom w:val="nil"/>
              <w:right w:val="nil"/>
            </w:tcBorders>
            <w:shd w:val="clear" w:color="auto" w:fill="auto"/>
          </w:tcPr>
          <w:p w14:paraId="4452632E" w14:textId="77777777" w:rsidR="00FA14FE" w:rsidRPr="00DE13EE" w:rsidRDefault="00FA14FE" w:rsidP="009D0993">
            <w:pPr>
              <w:spacing w:after="0"/>
              <w:rPr>
                <w:rFonts w:ascii="Times New Roman" w:eastAsia="SimHei" w:hAnsi="Times New Roman" w:cs="Times New Roman"/>
                <w:color w:val="000000" w:themeColor="text1"/>
                <w:sz w:val="20"/>
                <w:szCs w:val="20"/>
              </w:rPr>
            </w:pPr>
            <w:r w:rsidRPr="00DE13EE">
              <w:rPr>
                <w:rFonts w:ascii="Times New Roman" w:eastAsia="SimHei" w:hAnsi="Times New Roman" w:cs="Times New Roman"/>
                <w:color w:val="000000" w:themeColor="text1"/>
                <w:sz w:val="20"/>
                <w:szCs w:val="20"/>
              </w:rPr>
              <w:t>5</w:t>
            </w:r>
          </w:p>
        </w:tc>
      </w:tr>
      <w:tr w:rsidR="00DE13EE" w:rsidRPr="00DE13EE" w14:paraId="7302597F" w14:textId="77777777" w:rsidTr="009D0993">
        <w:tc>
          <w:tcPr>
            <w:tcW w:w="6204" w:type="dxa"/>
            <w:tcBorders>
              <w:top w:val="nil"/>
              <w:left w:val="nil"/>
              <w:bottom w:val="nil"/>
              <w:right w:val="nil"/>
            </w:tcBorders>
            <w:shd w:val="clear" w:color="auto" w:fill="auto"/>
          </w:tcPr>
          <w:p w14:paraId="324BEAC9" w14:textId="77777777" w:rsidR="00FA14FE" w:rsidRPr="00DE13EE" w:rsidRDefault="00FA14FE" w:rsidP="009D0993">
            <w:pPr>
              <w:widowControl w:val="0"/>
              <w:spacing w:after="0"/>
              <w:jc w:val="both"/>
              <w:rPr>
                <w:rFonts w:ascii="Times New Roman" w:eastAsia="SimHei" w:hAnsi="Times New Roman" w:cs="Times New Roman"/>
                <w:color w:val="000000" w:themeColor="text1"/>
                <w:sz w:val="20"/>
                <w:szCs w:val="20"/>
              </w:rPr>
            </w:pPr>
            <w:r w:rsidRPr="00DE13EE">
              <w:rPr>
                <w:rFonts w:ascii="Times New Roman" w:eastAsia="SimHei" w:hAnsi="Times New Roman" w:cs="Times New Roman"/>
                <w:color w:val="000000" w:themeColor="text1"/>
                <w:sz w:val="20"/>
                <w:szCs w:val="20"/>
              </w:rPr>
              <w:t>Basic materials (1000)</w:t>
            </w:r>
          </w:p>
        </w:tc>
        <w:tc>
          <w:tcPr>
            <w:tcW w:w="1417" w:type="dxa"/>
            <w:tcBorders>
              <w:top w:val="nil"/>
              <w:left w:val="nil"/>
              <w:bottom w:val="nil"/>
              <w:right w:val="nil"/>
            </w:tcBorders>
            <w:shd w:val="clear" w:color="auto" w:fill="auto"/>
          </w:tcPr>
          <w:p w14:paraId="257AFAEF" w14:textId="77777777" w:rsidR="00FA14FE" w:rsidRPr="00DE13EE" w:rsidRDefault="00FA14FE" w:rsidP="009D0993">
            <w:pPr>
              <w:widowControl w:val="0"/>
              <w:spacing w:after="0"/>
              <w:rPr>
                <w:rFonts w:ascii="Times New Roman" w:eastAsia="SimHei" w:hAnsi="Times New Roman" w:cs="Times New Roman"/>
                <w:color w:val="000000" w:themeColor="text1"/>
                <w:sz w:val="20"/>
                <w:szCs w:val="20"/>
              </w:rPr>
            </w:pPr>
            <w:r w:rsidRPr="00DE13EE">
              <w:rPr>
                <w:rFonts w:ascii="Times New Roman" w:eastAsia="SimHei" w:hAnsi="Times New Roman" w:cs="Times New Roman"/>
                <w:color w:val="000000" w:themeColor="text1"/>
                <w:sz w:val="20"/>
                <w:szCs w:val="20"/>
              </w:rPr>
              <w:t>234</w:t>
            </w:r>
          </w:p>
        </w:tc>
        <w:tc>
          <w:tcPr>
            <w:tcW w:w="1418" w:type="dxa"/>
            <w:tcBorders>
              <w:top w:val="nil"/>
              <w:left w:val="nil"/>
              <w:bottom w:val="nil"/>
              <w:right w:val="nil"/>
            </w:tcBorders>
            <w:shd w:val="clear" w:color="auto" w:fill="auto"/>
          </w:tcPr>
          <w:p w14:paraId="79F97B76" w14:textId="77777777" w:rsidR="00FA14FE" w:rsidRPr="00DE13EE" w:rsidRDefault="00FA14FE" w:rsidP="009D0993">
            <w:pPr>
              <w:spacing w:after="0"/>
              <w:rPr>
                <w:rFonts w:ascii="Times New Roman" w:eastAsia="SimHei" w:hAnsi="Times New Roman" w:cs="Times New Roman"/>
                <w:color w:val="000000" w:themeColor="text1"/>
                <w:sz w:val="20"/>
                <w:szCs w:val="20"/>
              </w:rPr>
            </w:pPr>
            <w:r w:rsidRPr="00DE13EE">
              <w:rPr>
                <w:rFonts w:ascii="Times New Roman" w:eastAsia="SimHei" w:hAnsi="Times New Roman" w:cs="Times New Roman"/>
                <w:color w:val="000000" w:themeColor="text1"/>
                <w:sz w:val="20"/>
                <w:szCs w:val="20"/>
              </w:rPr>
              <w:t>8</w:t>
            </w:r>
          </w:p>
        </w:tc>
      </w:tr>
      <w:tr w:rsidR="00DE13EE" w:rsidRPr="00DE13EE" w14:paraId="54E8122E" w14:textId="77777777" w:rsidTr="009D0993">
        <w:tc>
          <w:tcPr>
            <w:tcW w:w="6204" w:type="dxa"/>
            <w:tcBorders>
              <w:top w:val="nil"/>
              <w:left w:val="nil"/>
              <w:bottom w:val="nil"/>
              <w:right w:val="nil"/>
            </w:tcBorders>
            <w:shd w:val="clear" w:color="auto" w:fill="auto"/>
          </w:tcPr>
          <w:p w14:paraId="3C305240" w14:textId="77777777" w:rsidR="00FA14FE" w:rsidRPr="00DE13EE" w:rsidRDefault="00FA14FE" w:rsidP="009D0993">
            <w:pPr>
              <w:widowControl w:val="0"/>
              <w:spacing w:after="0"/>
              <w:jc w:val="both"/>
              <w:rPr>
                <w:rFonts w:ascii="Times New Roman" w:eastAsia="SimHei" w:hAnsi="Times New Roman" w:cs="Times New Roman"/>
                <w:color w:val="000000" w:themeColor="text1"/>
                <w:sz w:val="20"/>
                <w:szCs w:val="20"/>
              </w:rPr>
            </w:pPr>
            <w:r w:rsidRPr="00DE13EE">
              <w:rPr>
                <w:rFonts w:ascii="Times New Roman" w:eastAsia="SimHei" w:hAnsi="Times New Roman" w:cs="Times New Roman"/>
                <w:color w:val="000000" w:themeColor="text1"/>
                <w:sz w:val="20"/>
                <w:szCs w:val="20"/>
              </w:rPr>
              <w:t>Industrial (2000)</w:t>
            </w:r>
          </w:p>
        </w:tc>
        <w:tc>
          <w:tcPr>
            <w:tcW w:w="1417" w:type="dxa"/>
            <w:tcBorders>
              <w:top w:val="nil"/>
              <w:left w:val="nil"/>
              <w:bottom w:val="nil"/>
              <w:right w:val="nil"/>
            </w:tcBorders>
            <w:shd w:val="clear" w:color="auto" w:fill="auto"/>
          </w:tcPr>
          <w:p w14:paraId="24D0377F" w14:textId="77777777" w:rsidR="00FA14FE" w:rsidRPr="00DE13EE" w:rsidRDefault="00FA14FE" w:rsidP="009D0993">
            <w:pPr>
              <w:widowControl w:val="0"/>
              <w:spacing w:after="0"/>
              <w:jc w:val="both"/>
              <w:rPr>
                <w:rFonts w:ascii="Times New Roman" w:eastAsia="SimHei" w:hAnsi="Times New Roman" w:cs="Times New Roman"/>
                <w:color w:val="000000" w:themeColor="text1"/>
                <w:sz w:val="20"/>
                <w:szCs w:val="20"/>
              </w:rPr>
            </w:pPr>
            <w:r w:rsidRPr="00DE13EE">
              <w:rPr>
                <w:rFonts w:ascii="Times New Roman" w:eastAsia="SimHei" w:hAnsi="Times New Roman" w:cs="Times New Roman"/>
                <w:color w:val="000000" w:themeColor="text1"/>
                <w:sz w:val="20"/>
                <w:szCs w:val="20"/>
              </w:rPr>
              <w:t>1026</w:t>
            </w:r>
          </w:p>
        </w:tc>
        <w:tc>
          <w:tcPr>
            <w:tcW w:w="1418" w:type="dxa"/>
            <w:tcBorders>
              <w:top w:val="nil"/>
              <w:left w:val="nil"/>
              <w:bottom w:val="nil"/>
              <w:right w:val="nil"/>
            </w:tcBorders>
            <w:shd w:val="clear" w:color="auto" w:fill="auto"/>
          </w:tcPr>
          <w:p w14:paraId="62EDB93C" w14:textId="77777777" w:rsidR="00FA14FE" w:rsidRPr="00DE13EE" w:rsidRDefault="00FA14FE" w:rsidP="009D0993">
            <w:pPr>
              <w:widowControl w:val="0"/>
              <w:spacing w:after="0"/>
              <w:jc w:val="both"/>
              <w:rPr>
                <w:rFonts w:ascii="Times New Roman" w:eastAsia="SimHei" w:hAnsi="Times New Roman" w:cs="Times New Roman"/>
                <w:color w:val="000000" w:themeColor="text1"/>
                <w:sz w:val="20"/>
                <w:szCs w:val="20"/>
              </w:rPr>
            </w:pPr>
            <w:r w:rsidRPr="00DE13EE">
              <w:rPr>
                <w:rFonts w:ascii="Times New Roman" w:eastAsia="SimHei" w:hAnsi="Times New Roman" w:cs="Times New Roman"/>
                <w:color w:val="000000" w:themeColor="text1"/>
                <w:sz w:val="20"/>
                <w:szCs w:val="20"/>
              </w:rPr>
              <w:t>35</w:t>
            </w:r>
          </w:p>
        </w:tc>
      </w:tr>
      <w:tr w:rsidR="00DE13EE" w:rsidRPr="00DE13EE" w14:paraId="673A7613" w14:textId="77777777" w:rsidTr="009D0993">
        <w:trPr>
          <w:trHeight w:val="158"/>
        </w:trPr>
        <w:tc>
          <w:tcPr>
            <w:tcW w:w="6204" w:type="dxa"/>
            <w:tcBorders>
              <w:top w:val="nil"/>
              <w:left w:val="nil"/>
              <w:bottom w:val="nil"/>
              <w:right w:val="nil"/>
            </w:tcBorders>
            <w:shd w:val="clear" w:color="auto" w:fill="auto"/>
          </w:tcPr>
          <w:p w14:paraId="660E5151" w14:textId="77777777" w:rsidR="00FA14FE" w:rsidRPr="00DE13EE" w:rsidRDefault="00FA14FE" w:rsidP="009D0993">
            <w:pPr>
              <w:widowControl w:val="0"/>
              <w:spacing w:after="0"/>
              <w:jc w:val="both"/>
              <w:rPr>
                <w:rFonts w:ascii="Times New Roman" w:eastAsia="SimHei" w:hAnsi="Times New Roman" w:cs="Times New Roman"/>
                <w:color w:val="000000" w:themeColor="text1"/>
                <w:sz w:val="20"/>
                <w:szCs w:val="20"/>
              </w:rPr>
            </w:pPr>
            <w:r w:rsidRPr="00DE13EE">
              <w:rPr>
                <w:rFonts w:ascii="Times New Roman" w:eastAsia="SimHei" w:hAnsi="Times New Roman" w:cs="Times New Roman"/>
                <w:color w:val="000000" w:themeColor="text1"/>
                <w:sz w:val="20"/>
                <w:szCs w:val="20"/>
              </w:rPr>
              <w:t>Consumer goods (3000)</w:t>
            </w:r>
          </w:p>
        </w:tc>
        <w:tc>
          <w:tcPr>
            <w:tcW w:w="1417" w:type="dxa"/>
            <w:tcBorders>
              <w:top w:val="nil"/>
              <w:left w:val="nil"/>
              <w:bottom w:val="nil"/>
              <w:right w:val="nil"/>
            </w:tcBorders>
            <w:shd w:val="clear" w:color="auto" w:fill="auto"/>
          </w:tcPr>
          <w:p w14:paraId="4E526BC3" w14:textId="77777777" w:rsidR="00FA14FE" w:rsidRPr="00DE13EE" w:rsidRDefault="00FA14FE" w:rsidP="009D0993">
            <w:pPr>
              <w:widowControl w:val="0"/>
              <w:spacing w:after="0"/>
              <w:rPr>
                <w:rFonts w:ascii="Times New Roman" w:eastAsia="SimHei" w:hAnsi="Times New Roman" w:cs="Times New Roman"/>
                <w:color w:val="000000" w:themeColor="text1"/>
                <w:sz w:val="20"/>
                <w:szCs w:val="20"/>
              </w:rPr>
            </w:pPr>
            <w:r w:rsidRPr="00DE13EE">
              <w:rPr>
                <w:rFonts w:ascii="Times New Roman" w:eastAsia="SimHei" w:hAnsi="Times New Roman" w:cs="Times New Roman"/>
                <w:color w:val="000000" w:themeColor="text1"/>
                <w:sz w:val="20"/>
                <w:szCs w:val="20"/>
              </w:rPr>
              <w:t>323</w:t>
            </w:r>
          </w:p>
        </w:tc>
        <w:tc>
          <w:tcPr>
            <w:tcW w:w="1418" w:type="dxa"/>
            <w:tcBorders>
              <w:top w:val="nil"/>
              <w:left w:val="nil"/>
              <w:bottom w:val="nil"/>
              <w:right w:val="nil"/>
            </w:tcBorders>
            <w:shd w:val="clear" w:color="auto" w:fill="auto"/>
          </w:tcPr>
          <w:p w14:paraId="4AFD01CA" w14:textId="77777777" w:rsidR="00FA14FE" w:rsidRPr="00DE13EE" w:rsidRDefault="00FA14FE" w:rsidP="009D0993">
            <w:pPr>
              <w:spacing w:after="0"/>
              <w:rPr>
                <w:rFonts w:ascii="Times New Roman" w:eastAsia="SimHei" w:hAnsi="Times New Roman" w:cs="Times New Roman"/>
                <w:color w:val="000000" w:themeColor="text1"/>
                <w:sz w:val="20"/>
                <w:szCs w:val="20"/>
              </w:rPr>
            </w:pPr>
            <w:r w:rsidRPr="00DE13EE">
              <w:rPr>
                <w:rFonts w:ascii="Times New Roman" w:eastAsia="SimHei" w:hAnsi="Times New Roman" w:cs="Times New Roman"/>
                <w:color w:val="000000" w:themeColor="text1"/>
                <w:sz w:val="20"/>
                <w:szCs w:val="20"/>
              </w:rPr>
              <w:t>11</w:t>
            </w:r>
          </w:p>
        </w:tc>
      </w:tr>
      <w:tr w:rsidR="00DE13EE" w:rsidRPr="00DE13EE" w14:paraId="4B29ABFA" w14:textId="77777777" w:rsidTr="009D0993">
        <w:tc>
          <w:tcPr>
            <w:tcW w:w="6204" w:type="dxa"/>
            <w:tcBorders>
              <w:top w:val="nil"/>
              <w:left w:val="nil"/>
              <w:bottom w:val="nil"/>
              <w:right w:val="nil"/>
            </w:tcBorders>
            <w:shd w:val="clear" w:color="auto" w:fill="auto"/>
          </w:tcPr>
          <w:p w14:paraId="48D0B2FC" w14:textId="77777777" w:rsidR="00FA14FE" w:rsidRPr="00DE13EE" w:rsidRDefault="00FA14FE" w:rsidP="009D0993">
            <w:pPr>
              <w:widowControl w:val="0"/>
              <w:spacing w:after="0"/>
              <w:jc w:val="both"/>
              <w:rPr>
                <w:rFonts w:ascii="Times New Roman" w:eastAsia="SimHei" w:hAnsi="Times New Roman" w:cs="Times New Roman"/>
                <w:color w:val="000000" w:themeColor="text1"/>
                <w:sz w:val="20"/>
                <w:szCs w:val="20"/>
              </w:rPr>
            </w:pPr>
            <w:r w:rsidRPr="00DE13EE">
              <w:rPr>
                <w:rFonts w:ascii="Times New Roman" w:eastAsia="SimHei" w:hAnsi="Times New Roman" w:cs="Times New Roman"/>
                <w:color w:val="000000" w:themeColor="text1"/>
                <w:sz w:val="20"/>
                <w:szCs w:val="20"/>
              </w:rPr>
              <w:t>Health care (4000)</w:t>
            </w:r>
          </w:p>
        </w:tc>
        <w:tc>
          <w:tcPr>
            <w:tcW w:w="1417" w:type="dxa"/>
            <w:tcBorders>
              <w:top w:val="nil"/>
              <w:left w:val="nil"/>
              <w:bottom w:val="nil"/>
              <w:right w:val="nil"/>
            </w:tcBorders>
            <w:shd w:val="clear" w:color="auto" w:fill="auto"/>
          </w:tcPr>
          <w:p w14:paraId="096F3F99" w14:textId="77777777" w:rsidR="00FA14FE" w:rsidRPr="00DE13EE" w:rsidRDefault="00FA14FE" w:rsidP="009D0993">
            <w:pPr>
              <w:widowControl w:val="0"/>
              <w:spacing w:after="0"/>
              <w:rPr>
                <w:rFonts w:ascii="Times New Roman" w:eastAsia="SimHei" w:hAnsi="Times New Roman" w:cs="Times New Roman"/>
                <w:color w:val="000000" w:themeColor="text1"/>
                <w:sz w:val="20"/>
                <w:szCs w:val="20"/>
              </w:rPr>
            </w:pPr>
            <w:r w:rsidRPr="00DE13EE">
              <w:rPr>
                <w:rFonts w:ascii="Times New Roman" w:eastAsia="SimHei" w:hAnsi="Times New Roman" w:cs="Times New Roman"/>
                <w:color w:val="000000" w:themeColor="text1"/>
                <w:sz w:val="20"/>
                <w:szCs w:val="20"/>
              </w:rPr>
              <w:t>176</w:t>
            </w:r>
          </w:p>
        </w:tc>
        <w:tc>
          <w:tcPr>
            <w:tcW w:w="1418" w:type="dxa"/>
            <w:tcBorders>
              <w:top w:val="nil"/>
              <w:left w:val="nil"/>
              <w:bottom w:val="nil"/>
              <w:right w:val="nil"/>
            </w:tcBorders>
            <w:shd w:val="clear" w:color="auto" w:fill="auto"/>
          </w:tcPr>
          <w:p w14:paraId="0BE78017" w14:textId="77777777" w:rsidR="00FA14FE" w:rsidRPr="00DE13EE" w:rsidRDefault="00FA14FE" w:rsidP="009D0993">
            <w:pPr>
              <w:spacing w:after="0"/>
              <w:rPr>
                <w:rFonts w:ascii="Times New Roman" w:eastAsia="SimHei" w:hAnsi="Times New Roman" w:cs="Times New Roman"/>
                <w:color w:val="000000" w:themeColor="text1"/>
                <w:sz w:val="20"/>
                <w:szCs w:val="20"/>
              </w:rPr>
            </w:pPr>
            <w:r w:rsidRPr="00DE13EE">
              <w:rPr>
                <w:rFonts w:ascii="Times New Roman" w:eastAsia="SimHei" w:hAnsi="Times New Roman" w:cs="Times New Roman"/>
                <w:color w:val="000000" w:themeColor="text1"/>
                <w:sz w:val="20"/>
                <w:szCs w:val="20"/>
              </w:rPr>
              <w:t>6</w:t>
            </w:r>
          </w:p>
        </w:tc>
      </w:tr>
      <w:tr w:rsidR="00DE13EE" w:rsidRPr="00DE13EE" w14:paraId="7BB260D9" w14:textId="77777777" w:rsidTr="009D0993">
        <w:tc>
          <w:tcPr>
            <w:tcW w:w="6204" w:type="dxa"/>
            <w:tcBorders>
              <w:top w:val="nil"/>
              <w:left w:val="nil"/>
              <w:bottom w:val="nil"/>
              <w:right w:val="nil"/>
            </w:tcBorders>
            <w:shd w:val="clear" w:color="auto" w:fill="auto"/>
          </w:tcPr>
          <w:p w14:paraId="18B76373" w14:textId="77777777" w:rsidR="00FA14FE" w:rsidRPr="00DE13EE" w:rsidRDefault="00FA14FE" w:rsidP="009D0993">
            <w:pPr>
              <w:widowControl w:val="0"/>
              <w:spacing w:after="0"/>
              <w:jc w:val="both"/>
              <w:rPr>
                <w:rFonts w:ascii="Times New Roman" w:eastAsia="SimHei" w:hAnsi="Times New Roman" w:cs="Times New Roman"/>
                <w:color w:val="000000" w:themeColor="text1"/>
                <w:sz w:val="20"/>
                <w:szCs w:val="20"/>
              </w:rPr>
            </w:pPr>
            <w:r w:rsidRPr="00DE13EE">
              <w:rPr>
                <w:rFonts w:ascii="Times New Roman" w:eastAsia="SimHei" w:hAnsi="Times New Roman" w:cs="Times New Roman"/>
                <w:color w:val="000000" w:themeColor="text1"/>
                <w:sz w:val="20"/>
                <w:szCs w:val="20"/>
              </w:rPr>
              <w:t>Consumer services (5000)</w:t>
            </w:r>
          </w:p>
        </w:tc>
        <w:tc>
          <w:tcPr>
            <w:tcW w:w="1417" w:type="dxa"/>
            <w:tcBorders>
              <w:top w:val="nil"/>
              <w:left w:val="nil"/>
              <w:bottom w:val="nil"/>
              <w:right w:val="nil"/>
            </w:tcBorders>
            <w:shd w:val="clear" w:color="auto" w:fill="auto"/>
          </w:tcPr>
          <w:p w14:paraId="4E6EED25" w14:textId="77777777" w:rsidR="00FA14FE" w:rsidRPr="00DE13EE" w:rsidRDefault="00FA14FE" w:rsidP="009D0993">
            <w:pPr>
              <w:widowControl w:val="0"/>
              <w:spacing w:after="0"/>
              <w:rPr>
                <w:rFonts w:ascii="Times New Roman" w:eastAsia="SimHei" w:hAnsi="Times New Roman" w:cs="Times New Roman"/>
                <w:color w:val="000000" w:themeColor="text1"/>
                <w:sz w:val="20"/>
                <w:szCs w:val="20"/>
              </w:rPr>
            </w:pPr>
            <w:r w:rsidRPr="00DE13EE">
              <w:rPr>
                <w:rFonts w:ascii="Times New Roman" w:eastAsia="SimHei" w:hAnsi="Times New Roman" w:cs="Times New Roman"/>
                <w:color w:val="000000" w:themeColor="text1"/>
                <w:sz w:val="20"/>
                <w:szCs w:val="20"/>
              </w:rPr>
              <w:t>645</w:t>
            </w:r>
          </w:p>
        </w:tc>
        <w:tc>
          <w:tcPr>
            <w:tcW w:w="1418" w:type="dxa"/>
            <w:tcBorders>
              <w:top w:val="nil"/>
              <w:left w:val="nil"/>
              <w:bottom w:val="nil"/>
              <w:right w:val="nil"/>
            </w:tcBorders>
            <w:shd w:val="clear" w:color="auto" w:fill="auto"/>
          </w:tcPr>
          <w:p w14:paraId="108C9164" w14:textId="77777777" w:rsidR="00FA14FE" w:rsidRPr="00DE13EE" w:rsidRDefault="00FA14FE" w:rsidP="009D0993">
            <w:pPr>
              <w:spacing w:after="0"/>
              <w:rPr>
                <w:rFonts w:ascii="Times New Roman" w:eastAsia="SimHei" w:hAnsi="Times New Roman" w:cs="Times New Roman"/>
                <w:color w:val="000000" w:themeColor="text1"/>
                <w:sz w:val="20"/>
                <w:szCs w:val="20"/>
              </w:rPr>
            </w:pPr>
            <w:r w:rsidRPr="00DE13EE">
              <w:rPr>
                <w:rFonts w:ascii="Times New Roman" w:eastAsia="SimHei" w:hAnsi="Times New Roman" w:cs="Times New Roman"/>
                <w:color w:val="000000" w:themeColor="text1"/>
                <w:sz w:val="20"/>
                <w:szCs w:val="20"/>
              </w:rPr>
              <w:t>22</w:t>
            </w:r>
          </w:p>
        </w:tc>
      </w:tr>
      <w:tr w:rsidR="00DE13EE" w:rsidRPr="00DE13EE" w14:paraId="16F662CE" w14:textId="77777777" w:rsidTr="009D0993">
        <w:trPr>
          <w:trHeight w:val="214"/>
        </w:trPr>
        <w:tc>
          <w:tcPr>
            <w:tcW w:w="6204" w:type="dxa"/>
            <w:tcBorders>
              <w:top w:val="nil"/>
              <w:left w:val="nil"/>
              <w:bottom w:val="nil"/>
              <w:right w:val="nil"/>
            </w:tcBorders>
            <w:shd w:val="clear" w:color="auto" w:fill="auto"/>
          </w:tcPr>
          <w:p w14:paraId="053A5587" w14:textId="77777777" w:rsidR="00FA14FE" w:rsidRPr="00DE13EE" w:rsidRDefault="00FA14FE" w:rsidP="009D0993">
            <w:pPr>
              <w:widowControl w:val="0"/>
              <w:spacing w:after="0"/>
              <w:jc w:val="both"/>
              <w:rPr>
                <w:rFonts w:ascii="Times New Roman" w:eastAsia="SimHei" w:hAnsi="Times New Roman" w:cs="Times New Roman"/>
                <w:color w:val="000000" w:themeColor="text1"/>
                <w:sz w:val="20"/>
                <w:szCs w:val="20"/>
              </w:rPr>
            </w:pPr>
            <w:r w:rsidRPr="00DE13EE">
              <w:rPr>
                <w:rFonts w:ascii="Times New Roman" w:eastAsia="SimHei" w:hAnsi="Times New Roman" w:cs="Times New Roman"/>
                <w:color w:val="000000" w:themeColor="text1"/>
                <w:sz w:val="20"/>
                <w:szCs w:val="20"/>
              </w:rPr>
              <w:t>Telecommunication (6000)</w:t>
            </w:r>
          </w:p>
        </w:tc>
        <w:tc>
          <w:tcPr>
            <w:tcW w:w="1417" w:type="dxa"/>
            <w:tcBorders>
              <w:top w:val="nil"/>
              <w:left w:val="nil"/>
              <w:bottom w:val="nil"/>
              <w:right w:val="nil"/>
            </w:tcBorders>
            <w:shd w:val="clear" w:color="auto" w:fill="auto"/>
          </w:tcPr>
          <w:p w14:paraId="29EFD6B7" w14:textId="77777777" w:rsidR="00FA14FE" w:rsidRPr="00DE13EE" w:rsidRDefault="00FA14FE" w:rsidP="009D0993">
            <w:pPr>
              <w:widowControl w:val="0"/>
              <w:spacing w:after="0"/>
              <w:rPr>
                <w:rFonts w:ascii="Times New Roman" w:eastAsia="SimHei" w:hAnsi="Times New Roman" w:cs="Times New Roman"/>
                <w:color w:val="000000" w:themeColor="text1"/>
                <w:sz w:val="20"/>
                <w:szCs w:val="20"/>
              </w:rPr>
            </w:pPr>
            <w:r w:rsidRPr="00DE13EE">
              <w:rPr>
                <w:rFonts w:ascii="Times New Roman" w:eastAsia="SimHei" w:hAnsi="Times New Roman" w:cs="Times New Roman"/>
                <w:color w:val="000000" w:themeColor="text1"/>
                <w:sz w:val="20"/>
                <w:szCs w:val="20"/>
              </w:rPr>
              <w:t>29</w:t>
            </w:r>
          </w:p>
        </w:tc>
        <w:tc>
          <w:tcPr>
            <w:tcW w:w="1418" w:type="dxa"/>
            <w:tcBorders>
              <w:top w:val="nil"/>
              <w:left w:val="nil"/>
              <w:bottom w:val="nil"/>
              <w:right w:val="nil"/>
            </w:tcBorders>
            <w:shd w:val="clear" w:color="auto" w:fill="auto"/>
          </w:tcPr>
          <w:p w14:paraId="710CE692" w14:textId="77777777" w:rsidR="00FA14FE" w:rsidRPr="00DE13EE" w:rsidRDefault="00FA14FE" w:rsidP="009D0993">
            <w:pPr>
              <w:spacing w:after="0"/>
              <w:rPr>
                <w:rFonts w:ascii="Times New Roman" w:eastAsia="SimHei" w:hAnsi="Times New Roman" w:cs="Times New Roman"/>
                <w:color w:val="000000" w:themeColor="text1"/>
                <w:sz w:val="20"/>
                <w:szCs w:val="20"/>
              </w:rPr>
            </w:pPr>
            <w:r w:rsidRPr="00DE13EE">
              <w:rPr>
                <w:rFonts w:ascii="Times New Roman" w:eastAsia="SimHei" w:hAnsi="Times New Roman" w:cs="Times New Roman"/>
                <w:color w:val="000000" w:themeColor="text1"/>
                <w:sz w:val="20"/>
                <w:szCs w:val="20"/>
              </w:rPr>
              <w:t>1</w:t>
            </w:r>
          </w:p>
        </w:tc>
      </w:tr>
      <w:tr w:rsidR="00DE13EE" w:rsidRPr="00DE13EE" w14:paraId="1407BB45" w14:textId="77777777" w:rsidTr="009D0993">
        <w:trPr>
          <w:trHeight w:val="254"/>
        </w:trPr>
        <w:tc>
          <w:tcPr>
            <w:tcW w:w="6204" w:type="dxa"/>
            <w:tcBorders>
              <w:top w:val="nil"/>
              <w:left w:val="nil"/>
              <w:bottom w:val="nil"/>
              <w:right w:val="nil"/>
            </w:tcBorders>
            <w:shd w:val="clear" w:color="auto" w:fill="auto"/>
          </w:tcPr>
          <w:p w14:paraId="053944BE" w14:textId="77777777" w:rsidR="00FA14FE" w:rsidRPr="00DE13EE" w:rsidRDefault="00FA14FE" w:rsidP="009D0993">
            <w:pPr>
              <w:widowControl w:val="0"/>
              <w:spacing w:after="0"/>
              <w:jc w:val="both"/>
              <w:rPr>
                <w:rFonts w:ascii="Times New Roman" w:eastAsia="SimHei" w:hAnsi="Times New Roman" w:cs="Times New Roman"/>
                <w:color w:val="000000" w:themeColor="text1"/>
                <w:sz w:val="20"/>
                <w:szCs w:val="20"/>
              </w:rPr>
            </w:pPr>
            <w:r w:rsidRPr="00DE13EE">
              <w:rPr>
                <w:rFonts w:ascii="Times New Roman" w:eastAsia="SimHei" w:hAnsi="Times New Roman" w:cs="Times New Roman"/>
                <w:color w:val="000000" w:themeColor="text1"/>
                <w:sz w:val="20"/>
                <w:szCs w:val="20"/>
              </w:rPr>
              <w:t>Utilities (7000)</w:t>
            </w:r>
          </w:p>
        </w:tc>
        <w:tc>
          <w:tcPr>
            <w:tcW w:w="1417" w:type="dxa"/>
            <w:tcBorders>
              <w:top w:val="nil"/>
              <w:left w:val="nil"/>
              <w:bottom w:val="nil"/>
              <w:right w:val="nil"/>
            </w:tcBorders>
            <w:shd w:val="clear" w:color="auto" w:fill="auto"/>
          </w:tcPr>
          <w:p w14:paraId="010EE094" w14:textId="77777777" w:rsidR="00FA14FE" w:rsidRPr="00DE13EE" w:rsidRDefault="00FA14FE" w:rsidP="009D0993">
            <w:pPr>
              <w:widowControl w:val="0"/>
              <w:spacing w:after="0"/>
              <w:rPr>
                <w:rFonts w:ascii="Times New Roman" w:eastAsia="SimHei" w:hAnsi="Times New Roman" w:cs="Times New Roman"/>
                <w:color w:val="000000" w:themeColor="text1"/>
                <w:sz w:val="20"/>
                <w:szCs w:val="20"/>
              </w:rPr>
            </w:pPr>
            <w:r w:rsidRPr="00DE13EE">
              <w:rPr>
                <w:rFonts w:ascii="Times New Roman" w:eastAsia="SimHei" w:hAnsi="Times New Roman" w:cs="Times New Roman"/>
                <w:color w:val="000000" w:themeColor="text1"/>
                <w:sz w:val="20"/>
                <w:szCs w:val="20"/>
              </w:rPr>
              <w:t>59</w:t>
            </w:r>
          </w:p>
        </w:tc>
        <w:tc>
          <w:tcPr>
            <w:tcW w:w="1418" w:type="dxa"/>
            <w:tcBorders>
              <w:top w:val="nil"/>
              <w:left w:val="nil"/>
              <w:bottom w:val="nil"/>
              <w:right w:val="nil"/>
            </w:tcBorders>
            <w:shd w:val="clear" w:color="auto" w:fill="auto"/>
          </w:tcPr>
          <w:p w14:paraId="32CA400B" w14:textId="77777777" w:rsidR="00FA14FE" w:rsidRPr="00DE13EE" w:rsidRDefault="00FA14FE" w:rsidP="009D0993">
            <w:pPr>
              <w:spacing w:after="0"/>
              <w:rPr>
                <w:rFonts w:ascii="Times New Roman" w:eastAsia="SimHei" w:hAnsi="Times New Roman" w:cs="Times New Roman"/>
                <w:color w:val="000000" w:themeColor="text1"/>
                <w:sz w:val="20"/>
                <w:szCs w:val="20"/>
              </w:rPr>
            </w:pPr>
            <w:r w:rsidRPr="00DE13EE">
              <w:rPr>
                <w:rFonts w:ascii="Times New Roman" w:eastAsia="SimHei" w:hAnsi="Times New Roman" w:cs="Times New Roman"/>
                <w:color w:val="000000" w:themeColor="text1"/>
                <w:sz w:val="20"/>
                <w:szCs w:val="20"/>
              </w:rPr>
              <w:t>2</w:t>
            </w:r>
          </w:p>
        </w:tc>
      </w:tr>
      <w:tr w:rsidR="00DE13EE" w:rsidRPr="00DE13EE" w14:paraId="3485CC10" w14:textId="77777777" w:rsidTr="009D0993">
        <w:tc>
          <w:tcPr>
            <w:tcW w:w="6204" w:type="dxa"/>
            <w:tcBorders>
              <w:top w:val="nil"/>
              <w:left w:val="nil"/>
              <w:bottom w:val="nil"/>
              <w:right w:val="nil"/>
            </w:tcBorders>
            <w:shd w:val="clear" w:color="auto" w:fill="auto"/>
          </w:tcPr>
          <w:p w14:paraId="07A7F9CF" w14:textId="77777777" w:rsidR="00FA14FE" w:rsidRPr="00DE13EE" w:rsidRDefault="00FA14FE" w:rsidP="009D0993">
            <w:pPr>
              <w:widowControl w:val="0"/>
              <w:spacing w:after="0"/>
              <w:jc w:val="both"/>
              <w:rPr>
                <w:rFonts w:ascii="Times New Roman" w:eastAsia="SimHei" w:hAnsi="Times New Roman" w:cs="Times New Roman"/>
                <w:color w:val="000000" w:themeColor="text1"/>
                <w:sz w:val="20"/>
                <w:szCs w:val="20"/>
              </w:rPr>
            </w:pPr>
            <w:r w:rsidRPr="00DE13EE">
              <w:rPr>
                <w:rFonts w:ascii="Times New Roman" w:eastAsia="SimHei" w:hAnsi="Times New Roman" w:cs="Times New Roman"/>
                <w:color w:val="000000" w:themeColor="text1"/>
                <w:sz w:val="20"/>
                <w:szCs w:val="20"/>
              </w:rPr>
              <w:t>Technology (9000)</w:t>
            </w:r>
          </w:p>
        </w:tc>
        <w:tc>
          <w:tcPr>
            <w:tcW w:w="1417" w:type="dxa"/>
            <w:tcBorders>
              <w:top w:val="nil"/>
              <w:left w:val="nil"/>
              <w:bottom w:val="nil"/>
              <w:right w:val="nil"/>
            </w:tcBorders>
            <w:shd w:val="clear" w:color="auto" w:fill="auto"/>
          </w:tcPr>
          <w:p w14:paraId="52272AB7" w14:textId="77777777" w:rsidR="00FA14FE" w:rsidRPr="00DE13EE" w:rsidRDefault="00FA14FE" w:rsidP="009D0993">
            <w:pPr>
              <w:widowControl w:val="0"/>
              <w:spacing w:after="0"/>
              <w:rPr>
                <w:rFonts w:ascii="Times New Roman" w:eastAsia="SimHei" w:hAnsi="Times New Roman" w:cs="Times New Roman"/>
                <w:color w:val="000000" w:themeColor="text1"/>
                <w:sz w:val="20"/>
                <w:szCs w:val="20"/>
              </w:rPr>
            </w:pPr>
            <w:r w:rsidRPr="00DE13EE">
              <w:rPr>
                <w:rFonts w:ascii="Times New Roman" w:eastAsia="SimHei" w:hAnsi="Times New Roman" w:cs="Times New Roman"/>
                <w:color w:val="000000" w:themeColor="text1"/>
                <w:sz w:val="20"/>
                <w:szCs w:val="20"/>
              </w:rPr>
              <w:t>293</w:t>
            </w:r>
          </w:p>
        </w:tc>
        <w:tc>
          <w:tcPr>
            <w:tcW w:w="1418" w:type="dxa"/>
            <w:tcBorders>
              <w:top w:val="nil"/>
              <w:left w:val="nil"/>
              <w:bottom w:val="nil"/>
              <w:right w:val="nil"/>
            </w:tcBorders>
            <w:shd w:val="clear" w:color="auto" w:fill="auto"/>
          </w:tcPr>
          <w:p w14:paraId="439E8CA1" w14:textId="77777777" w:rsidR="00FA14FE" w:rsidRPr="00DE13EE" w:rsidRDefault="00FA14FE" w:rsidP="009D0993">
            <w:pPr>
              <w:spacing w:after="0"/>
              <w:rPr>
                <w:rFonts w:ascii="Times New Roman" w:eastAsia="SimHei" w:hAnsi="Times New Roman" w:cs="Times New Roman"/>
                <w:color w:val="000000" w:themeColor="text1"/>
                <w:sz w:val="20"/>
                <w:szCs w:val="20"/>
              </w:rPr>
            </w:pPr>
            <w:r w:rsidRPr="00DE13EE">
              <w:rPr>
                <w:rFonts w:ascii="Times New Roman" w:eastAsia="SimHei" w:hAnsi="Times New Roman" w:cs="Times New Roman"/>
                <w:color w:val="000000" w:themeColor="text1"/>
                <w:sz w:val="20"/>
                <w:szCs w:val="20"/>
              </w:rPr>
              <w:t>10</w:t>
            </w:r>
          </w:p>
        </w:tc>
      </w:tr>
      <w:tr w:rsidR="00DE13EE" w:rsidRPr="00DE13EE" w14:paraId="2340D3CD" w14:textId="77777777" w:rsidTr="009D0993">
        <w:tc>
          <w:tcPr>
            <w:tcW w:w="6204" w:type="dxa"/>
            <w:tcBorders>
              <w:left w:val="nil"/>
              <w:bottom w:val="single" w:sz="4" w:space="0" w:color="auto"/>
              <w:right w:val="nil"/>
            </w:tcBorders>
            <w:shd w:val="clear" w:color="auto" w:fill="auto"/>
          </w:tcPr>
          <w:p w14:paraId="0BF257E9" w14:textId="77777777" w:rsidR="00FA14FE" w:rsidRPr="00DE13EE" w:rsidRDefault="00FA14FE" w:rsidP="009D0993">
            <w:pPr>
              <w:widowControl w:val="0"/>
              <w:spacing w:after="0" w:line="240" w:lineRule="auto"/>
              <w:jc w:val="both"/>
              <w:rPr>
                <w:rFonts w:ascii="Times New Roman" w:eastAsia="SimHei" w:hAnsi="Times New Roman" w:cs="Times New Roman"/>
                <w:color w:val="000000" w:themeColor="text1"/>
                <w:sz w:val="20"/>
                <w:szCs w:val="20"/>
              </w:rPr>
            </w:pPr>
            <w:r w:rsidRPr="00DE13EE">
              <w:rPr>
                <w:rFonts w:ascii="Times New Roman" w:eastAsia="SimHei" w:hAnsi="Times New Roman" w:cs="Times New Roman"/>
                <w:color w:val="000000" w:themeColor="text1"/>
                <w:sz w:val="20"/>
                <w:szCs w:val="20"/>
              </w:rPr>
              <w:t xml:space="preserve">Total </w:t>
            </w:r>
          </w:p>
        </w:tc>
        <w:tc>
          <w:tcPr>
            <w:tcW w:w="1417" w:type="dxa"/>
            <w:tcBorders>
              <w:left w:val="nil"/>
              <w:bottom w:val="single" w:sz="4" w:space="0" w:color="auto"/>
              <w:right w:val="nil"/>
            </w:tcBorders>
            <w:shd w:val="clear" w:color="auto" w:fill="auto"/>
          </w:tcPr>
          <w:p w14:paraId="6B232DCE" w14:textId="77777777" w:rsidR="00FA14FE" w:rsidRPr="00DE13EE" w:rsidRDefault="00FA14FE" w:rsidP="009D0993">
            <w:pPr>
              <w:widowControl w:val="0"/>
              <w:spacing w:after="0" w:line="240" w:lineRule="auto"/>
              <w:rPr>
                <w:rFonts w:ascii="Times New Roman" w:eastAsia="SimHei" w:hAnsi="Times New Roman" w:cs="Times New Roman"/>
                <w:color w:val="000000" w:themeColor="text1"/>
                <w:sz w:val="20"/>
                <w:szCs w:val="20"/>
              </w:rPr>
            </w:pPr>
            <w:r w:rsidRPr="00DE13EE">
              <w:rPr>
                <w:rFonts w:ascii="Times New Roman" w:eastAsia="SimHei" w:hAnsi="Times New Roman" w:cs="Times New Roman"/>
                <w:color w:val="000000" w:themeColor="text1"/>
                <w:sz w:val="20"/>
                <w:szCs w:val="20"/>
              </w:rPr>
              <w:t>2932</w:t>
            </w:r>
          </w:p>
        </w:tc>
        <w:tc>
          <w:tcPr>
            <w:tcW w:w="1418" w:type="dxa"/>
            <w:tcBorders>
              <w:left w:val="nil"/>
              <w:bottom w:val="single" w:sz="4" w:space="0" w:color="auto"/>
              <w:right w:val="nil"/>
            </w:tcBorders>
            <w:shd w:val="clear" w:color="auto" w:fill="auto"/>
          </w:tcPr>
          <w:p w14:paraId="3FA11F76" w14:textId="77777777" w:rsidR="00FA14FE" w:rsidRPr="00DE13EE" w:rsidRDefault="00FA14FE" w:rsidP="009D0993">
            <w:pPr>
              <w:spacing w:after="0" w:line="240" w:lineRule="auto"/>
              <w:rPr>
                <w:rFonts w:ascii="Times New Roman" w:eastAsia="SimHei" w:hAnsi="Times New Roman" w:cs="Times New Roman"/>
                <w:color w:val="000000" w:themeColor="text1"/>
                <w:sz w:val="20"/>
                <w:szCs w:val="20"/>
              </w:rPr>
            </w:pPr>
            <w:r w:rsidRPr="00DE13EE">
              <w:rPr>
                <w:rFonts w:ascii="Times New Roman" w:eastAsia="SimHei" w:hAnsi="Times New Roman" w:cs="Times New Roman"/>
                <w:color w:val="000000" w:themeColor="text1"/>
                <w:sz w:val="20"/>
                <w:szCs w:val="20"/>
              </w:rPr>
              <w:t>100</w:t>
            </w:r>
          </w:p>
        </w:tc>
      </w:tr>
      <w:tr w:rsidR="00DE13EE" w:rsidRPr="00DE13EE" w14:paraId="64D8CB2D" w14:textId="77777777" w:rsidTr="009D0993">
        <w:tc>
          <w:tcPr>
            <w:tcW w:w="9039" w:type="dxa"/>
            <w:gridSpan w:val="3"/>
            <w:tcBorders>
              <w:left w:val="nil"/>
              <w:bottom w:val="nil"/>
              <w:right w:val="nil"/>
            </w:tcBorders>
            <w:shd w:val="clear" w:color="auto" w:fill="auto"/>
          </w:tcPr>
          <w:p w14:paraId="090A2276" w14:textId="77777777" w:rsidR="00FA14FE" w:rsidRPr="00DE13EE" w:rsidRDefault="00FA14FE" w:rsidP="009D0993">
            <w:pPr>
              <w:spacing w:after="0" w:line="240" w:lineRule="auto"/>
              <w:jc w:val="both"/>
              <w:rPr>
                <w:rFonts w:ascii="Times New Roman" w:eastAsia="SimHei" w:hAnsi="Times New Roman" w:cs="Times New Roman"/>
                <w:color w:val="000000" w:themeColor="text1"/>
                <w:sz w:val="20"/>
                <w:szCs w:val="20"/>
              </w:rPr>
            </w:pPr>
            <w:r w:rsidRPr="00DE13EE">
              <w:rPr>
                <w:rFonts w:ascii="Times New Roman" w:eastAsia="SimHei" w:hAnsi="Times New Roman" w:cs="Times New Roman"/>
                <w:b/>
                <w:color w:val="000000" w:themeColor="text1"/>
                <w:sz w:val="20"/>
                <w:szCs w:val="20"/>
              </w:rPr>
              <w:t>Notes</w:t>
            </w:r>
            <w:r w:rsidRPr="00DE13EE">
              <w:rPr>
                <w:rFonts w:ascii="Times New Roman" w:eastAsia="SimHei" w:hAnsi="Times New Roman" w:cs="Times New Roman"/>
                <w:color w:val="000000" w:themeColor="text1"/>
                <w:sz w:val="20"/>
                <w:szCs w:val="20"/>
              </w:rPr>
              <w:t>: This Table provides the distribution of the sample among years industries. Our sample consists of 2932 firm-year observations distributed over 10 years period (2005-2014) and 9 industries. The definition of the industry is based on the Industry Classification Benchmark (ICB).</w:t>
            </w:r>
          </w:p>
        </w:tc>
      </w:tr>
    </w:tbl>
    <w:p w14:paraId="6BF77408" w14:textId="77777777" w:rsidR="00FA14FE" w:rsidRPr="00DE13EE" w:rsidRDefault="00FA14FE" w:rsidP="00FA14FE">
      <w:pPr>
        <w:spacing w:before="120" w:after="400"/>
        <w:rPr>
          <w:rFonts w:ascii="Times New Roman" w:eastAsia="SimHei" w:hAnsi="Times New Roman" w:cs="Times New Roman"/>
          <w:color w:val="000000" w:themeColor="text1"/>
          <w:sz w:val="24"/>
          <w:szCs w:val="24"/>
        </w:rPr>
      </w:pPr>
    </w:p>
    <w:p w14:paraId="0F2B4C52" w14:textId="77777777" w:rsidR="00FA14FE" w:rsidRPr="00DE13EE" w:rsidRDefault="00FA14FE" w:rsidP="00FA14FE">
      <w:pPr>
        <w:spacing w:before="120" w:after="400"/>
        <w:rPr>
          <w:rFonts w:ascii="Times New Roman" w:eastAsia="SimHei" w:hAnsi="Times New Roman" w:cs="Times New Roman"/>
          <w:color w:val="000000" w:themeColor="text1"/>
          <w:sz w:val="24"/>
          <w:szCs w:val="24"/>
        </w:rPr>
      </w:pPr>
    </w:p>
    <w:p w14:paraId="0B1BB18C" w14:textId="77777777" w:rsidR="00FA14FE" w:rsidRPr="00DE13EE" w:rsidRDefault="00FA14FE" w:rsidP="00FA14FE">
      <w:pPr>
        <w:spacing w:before="120" w:after="400"/>
        <w:rPr>
          <w:rFonts w:ascii="Times New Roman" w:eastAsia="SimHei" w:hAnsi="Times New Roman" w:cs="Times New Roman"/>
          <w:color w:val="000000" w:themeColor="text1"/>
          <w:sz w:val="24"/>
          <w:szCs w:val="24"/>
        </w:rPr>
      </w:pPr>
    </w:p>
    <w:p w14:paraId="4076ED79" w14:textId="77777777" w:rsidR="00FA14FE" w:rsidRPr="00DE13EE" w:rsidRDefault="00FA14FE" w:rsidP="00FA14FE">
      <w:pPr>
        <w:spacing w:before="120" w:after="400"/>
        <w:rPr>
          <w:rFonts w:ascii="Times New Roman" w:eastAsia="SimHei" w:hAnsi="Times New Roman" w:cs="Times New Roman"/>
          <w:color w:val="000000" w:themeColor="text1"/>
          <w:sz w:val="24"/>
          <w:szCs w:val="24"/>
        </w:rPr>
      </w:pPr>
    </w:p>
    <w:p w14:paraId="2D811BD7" w14:textId="77777777" w:rsidR="00FA14FE" w:rsidRPr="00DE13EE" w:rsidRDefault="00FA14FE" w:rsidP="00FA14FE">
      <w:pPr>
        <w:spacing w:before="120" w:after="400"/>
        <w:rPr>
          <w:rFonts w:ascii="Times New Roman" w:eastAsia="SimHei" w:hAnsi="Times New Roman" w:cs="Times New Roman"/>
          <w:color w:val="000000" w:themeColor="text1"/>
          <w:sz w:val="24"/>
          <w:szCs w:val="24"/>
        </w:rPr>
      </w:pPr>
    </w:p>
    <w:p w14:paraId="4D15DBA0" w14:textId="77777777" w:rsidR="00FA14FE" w:rsidRPr="00DE13EE" w:rsidRDefault="00FA14FE" w:rsidP="00FA14FE">
      <w:pPr>
        <w:spacing w:before="120" w:after="400"/>
        <w:rPr>
          <w:rFonts w:ascii="Times New Roman" w:eastAsia="SimHei" w:hAnsi="Times New Roman" w:cs="Times New Roman"/>
          <w:color w:val="000000" w:themeColor="text1"/>
          <w:sz w:val="24"/>
          <w:szCs w:val="24"/>
        </w:rPr>
      </w:pPr>
    </w:p>
    <w:p w14:paraId="5A975EC4" w14:textId="77777777" w:rsidR="00FA14FE" w:rsidRPr="00DE13EE" w:rsidRDefault="00FA14FE" w:rsidP="00FA14FE">
      <w:pPr>
        <w:spacing w:before="120" w:after="400"/>
        <w:rPr>
          <w:rFonts w:ascii="Times New Roman" w:eastAsia="SimHei" w:hAnsi="Times New Roman" w:cs="Times New Roman"/>
          <w:color w:val="000000" w:themeColor="text1"/>
          <w:sz w:val="24"/>
          <w:szCs w:val="24"/>
        </w:rPr>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5"/>
        <w:gridCol w:w="987"/>
        <w:gridCol w:w="351"/>
        <w:gridCol w:w="611"/>
        <w:gridCol w:w="129"/>
        <w:gridCol w:w="1247"/>
        <w:gridCol w:w="29"/>
        <w:gridCol w:w="1134"/>
        <w:gridCol w:w="441"/>
        <w:gridCol w:w="370"/>
        <w:gridCol w:w="464"/>
        <w:gridCol w:w="562"/>
        <w:gridCol w:w="1248"/>
      </w:tblGrid>
      <w:tr w:rsidR="00DE13EE" w:rsidRPr="00DE13EE" w14:paraId="44A371EE" w14:textId="77777777" w:rsidTr="009D0993">
        <w:trPr>
          <w:trHeight w:val="373"/>
        </w:trPr>
        <w:tc>
          <w:tcPr>
            <w:tcW w:w="9748" w:type="dxa"/>
            <w:gridSpan w:val="13"/>
            <w:tcBorders>
              <w:top w:val="nil"/>
              <w:left w:val="nil"/>
              <w:bottom w:val="single" w:sz="4" w:space="0" w:color="auto"/>
              <w:right w:val="nil"/>
            </w:tcBorders>
            <w:shd w:val="clear" w:color="auto" w:fill="auto"/>
          </w:tcPr>
          <w:p w14:paraId="7C1B76A4" w14:textId="77777777" w:rsidR="00FA14FE" w:rsidRPr="00DE13EE" w:rsidRDefault="00FA14FE" w:rsidP="009D0993">
            <w:pPr>
              <w:widowControl w:val="0"/>
              <w:spacing w:after="0" w:line="240" w:lineRule="auto"/>
              <w:jc w:val="both"/>
              <w:rPr>
                <w:rFonts w:ascii="Times New Roman" w:hAnsi="Times New Roman" w:cs="Times New Roman"/>
                <w:color w:val="000000" w:themeColor="text1"/>
                <w:sz w:val="20"/>
                <w:szCs w:val="20"/>
              </w:rPr>
            </w:pPr>
            <w:r w:rsidRPr="00DE13EE">
              <w:rPr>
                <w:rFonts w:ascii="Times New Roman" w:eastAsia="SimHei" w:hAnsi="Times New Roman" w:cs="Times New Roman"/>
                <w:b/>
                <w:color w:val="000000" w:themeColor="text1"/>
                <w:sz w:val="20"/>
                <w:szCs w:val="20"/>
              </w:rPr>
              <w:lastRenderedPageBreak/>
              <w:t>Table (2): Descriptive statistics of variables</w:t>
            </w:r>
            <w:r w:rsidRPr="00DE13EE">
              <w:rPr>
                <w:rFonts w:ascii="Times New Roman" w:hAnsi="Times New Roman" w:cs="Times New Roman"/>
                <w:color w:val="000000" w:themeColor="text1"/>
                <w:sz w:val="20"/>
                <w:szCs w:val="20"/>
              </w:rPr>
              <w:t xml:space="preserve"> </w:t>
            </w:r>
          </w:p>
        </w:tc>
      </w:tr>
      <w:tr w:rsidR="00DE13EE" w:rsidRPr="00DE13EE" w14:paraId="0DF13E8F" w14:textId="77777777" w:rsidTr="009D0993">
        <w:trPr>
          <w:trHeight w:val="204"/>
        </w:trPr>
        <w:tc>
          <w:tcPr>
            <w:tcW w:w="9748" w:type="dxa"/>
            <w:gridSpan w:val="13"/>
            <w:tcBorders>
              <w:left w:val="nil"/>
              <w:bottom w:val="single" w:sz="4" w:space="0" w:color="auto"/>
              <w:right w:val="nil"/>
            </w:tcBorders>
            <w:shd w:val="clear" w:color="auto" w:fill="auto"/>
          </w:tcPr>
          <w:p w14:paraId="4D569725" w14:textId="77777777" w:rsidR="00FA14FE" w:rsidRPr="00DE13EE" w:rsidRDefault="00FA14FE" w:rsidP="009D0993">
            <w:pPr>
              <w:widowControl w:val="0"/>
              <w:autoSpaceDE w:val="0"/>
              <w:autoSpaceDN w:val="0"/>
              <w:adjustRightInd w:val="0"/>
              <w:spacing w:after="0" w:line="240" w:lineRule="auto"/>
              <w:rPr>
                <w:rFonts w:ascii="Times New Roman" w:hAnsi="Times New Roman" w:cs="Times New Roman"/>
                <w:b/>
                <w:color w:val="000000" w:themeColor="text1"/>
                <w:sz w:val="20"/>
                <w:szCs w:val="20"/>
              </w:rPr>
            </w:pPr>
            <w:r w:rsidRPr="00DE13EE">
              <w:rPr>
                <w:rFonts w:ascii="Times New Roman" w:hAnsi="Times New Roman" w:cs="Times New Roman"/>
                <w:b/>
                <w:color w:val="000000" w:themeColor="text1"/>
                <w:sz w:val="20"/>
                <w:szCs w:val="20"/>
              </w:rPr>
              <w:t xml:space="preserve">Panel A: Descriptive - Continues variables </w:t>
            </w:r>
          </w:p>
        </w:tc>
      </w:tr>
      <w:tr w:rsidR="00DE13EE" w:rsidRPr="00DE13EE" w14:paraId="49C02C21" w14:textId="77777777" w:rsidTr="009D0993">
        <w:trPr>
          <w:trHeight w:val="204"/>
        </w:trPr>
        <w:tc>
          <w:tcPr>
            <w:tcW w:w="4124" w:type="dxa"/>
            <w:gridSpan w:val="4"/>
            <w:tcBorders>
              <w:left w:val="nil"/>
              <w:bottom w:val="single" w:sz="4" w:space="0" w:color="auto"/>
              <w:right w:val="nil"/>
            </w:tcBorders>
            <w:shd w:val="clear" w:color="auto" w:fill="auto"/>
          </w:tcPr>
          <w:p w14:paraId="7AF9BECD" w14:textId="77777777" w:rsidR="00FA14FE" w:rsidRPr="00DE13EE" w:rsidRDefault="00FA14FE" w:rsidP="009D0993">
            <w:pPr>
              <w:widowControl w:val="0"/>
              <w:autoSpaceDE w:val="0"/>
              <w:autoSpaceDN w:val="0"/>
              <w:adjustRightInd w:val="0"/>
              <w:spacing w:after="0" w:line="240" w:lineRule="auto"/>
              <w:rPr>
                <w:rFonts w:ascii="Times New Roman" w:hAnsi="Times New Roman" w:cs="Times New Roman"/>
                <w:color w:val="000000" w:themeColor="text1"/>
                <w:sz w:val="20"/>
                <w:szCs w:val="20"/>
              </w:rPr>
            </w:pPr>
          </w:p>
        </w:tc>
        <w:tc>
          <w:tcPr>
            <w:tcW w:w="1376" w:type="dxa"/>
            <w:gridSpan w:val="2"/>
            <w:tcBorders>
              <w:left w:val="nil"/>
              <w:bottom w:val="single" w:sz="4" w:space="0" w:color="auto"/>
              <w:right w:val="nil"/>
            </w:tcBorders>
            <w:shd w:val="clear" w:color="auto" w:fill="auto"/>
          </w:tcPr>
          <w:p w14:paraId="5A19A9EB" w14:textId="77777777" w:rsidR="00FA14FE" w:rsidRPr="00DE13EE" w:rsidRDefault="00FA14FE" w:rsidP="009D0993">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Mean</w:t>
            </w:r>
          </w:p>
        </w:tc>
        <w:tc>
          <w:tcPr>
            <w:tcW w:w="1604" w:type="dxa"/>
            <w:gridSpan w:val="3"/>
            <w:tcBorders>
              <w:left w:val="nil"/>
              <w:bottom w:val="single" w:sz="4" w:space="0" w:color="auto"/>
              <w:right w:val="nil"/>
            </w:tcBorders>
            <w:shd w:val="clear" w:color="auto" w:fill="auto"/>
          </w:tcPr>
          <w:p w14:paraId="2598887F" w14:textId="77777777" w:rsidR="00FA14FE" w:rsidRPr="00DE13EE" w:rsidRDefault="00FA14FE" w:rsidP="009D0993">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Std. Dev.</w:t>
            </w:r>
          </w:p>
        </w:tc>
        <w:tc>
          <w:tcPr>
            <w:tcW w:w="1396" w:type="dxa"/>
            <w:gridSpan w:val="3"/>
            <w:tcBorders>
              <w:left w:val="nil"/>
              <w:bottom w:val="single" w:sz="4" w:space="0" w:color="auto"/>
              <w:right w:val="nil"/>
            </w:tcBorders>
            <w:shd w:val="clear" w:color="auto" w:fill="auto"/>
          </w:tcPr>
          <w:p w14:paraId="67B927BB" w14:textId="77777777" w:rsidR="00FA14FE" w:rsidRPr="00DE13EE" w:rsidRDefault="00FA14FE" w:rsidP="009D0993">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Min.</w:t>
            </w:r>
          </w:p>
        </w:tc>
        <w:tc>
          <w:tcPr>
            <w:tcW w:w="1248" w:type="dxa"/>
            <w:tcBorders>
              <w:left w:val="nil"/>
              <w:bottom w:val="single" w:sz="4" w:space="0" w:color="auto"/>
              <w:right w:val="nil"/>
            </w:tcBorders>
            <w:shd w:val="clear" w:color="auto" w:fill="auto"/>
          </w:tcPr>
          <w:p w14:paraId="45362898" w14:textId="77777777" w:rsidR="00FA14FE" w:rsidRPr="00DE13EE" w:rsidRDefault="00FA14FE" w:rsidP="009D0993">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Max.</w:t>
            </w:r>
          </w:p>
        </w:tc>
      </w:tr>
      <w:tr w:rsidR="00DE13EE" w:rsidRPr="00DE13EE" w14:paraId="06AF6132" w14:textId="77777777" w:rsidTr="009D0993">
        <w:trPr>
          <w:trHeight w:val="242"/>
        </w:trPr>
        <w:tc>
          <w:tcPr>
            <w:tcW w:w="4124" w:type="dxa"/>
            <w:gridSpan w:val="4"/>
            <w:tcBorders>
              <w:left w:val="nil"/>
              <w:bottom w:val="nil"/>
              <w:right w:val="nil"/>
            </w:tcBorders>
            <w:shd w:val="clear" w:color="auto" w:fill="auto"/>
            <w:vAlign w:val="center"/>
          </w:tcPr>
          <w:p w14:paraId="6C69D0D1" w14:textId="77777777" w:rsidR="00FA14FE" w:rsidRPr="00DE13EE" w:rsidRDefault="00FA14FE" w:rsidP="009D0993">
            <w:pPr>
              <w:widowControl w:val="0"/>
              <w:autoSpaceDE w:val="0"/>
              <w:autoSpaceDN w:val="0"/>
              <w:adjustRightInd w:val="0"/>
              <w:spacing w:after="0"/>
              <w:rPr>
                <w:rFonts w:ascii="Times New Roman" w:hAnsi="Times New Roman" w:cs="Times New Roman"/>
                <w:i/>
                <w:color w:val="000000" w:themeColor="text1"/>
                <w:sz w:val="20"/>
                <w:szCs w:val="20"/>
              </w:rPr>
            </w:pPr>
            <w:r w:rsidRPr="00DE13EE">
              <w:rPr>
                <w:rFonts w:ascii="Times New Roman" w:hAnsi="Times New Roman" w:cs="Times New Roman"/>
                <w:color w:val="000000" w:themeColor="text1"/>
                <w:sz w:val="20"/>
                <w:szCs w:val="20"/>
              </w:rPr>
              <w:t>Firm value [IMadj.TQ</w:t>
            </w:r>
            <w:r w:rsidRPr="00DE13EE">
              <w:rPr>
                <w:rFonts w:ascii="Times New Roman" w:hAnsi="Times New Roman" w:cs="Times New Roman"/>
                <w:color w:val="000000" w:themeColor="text1"/>
                <w:sz w:val="20"/>
                <w:szCs w:val="20"/>
                <w:vertAlign w:val="subscript"/>
              </w:rPr>
              <w:t>+3</w:t>
            </w:r>
            <w:r w:rsidRPr="00DE13EE">
              <w:rPr>
                <w:rFonts w:ascii="Times New Roman" w:hAnsi="Times New Roman" w:cs="Times New Roman"/>
                <w:color w:val="000000" w:themeColor="text1"/>
                <w:sz w:val="20"/>
                <w:szCs w:val="20"/>
              </w:rPr>
              <w:t>]</w:t>
            </w:r>
          </w:p>
        </w:tc>
        <w:tc>
          <w:tcPr>
            <w:tcW w:w="1376" w:type="dxa"/>
            <w:gridSpan w:val="2"/>
            <w:tcBorders>
              <w:left w:val="nil"/>
              <w:bottom w:val="nil"/>
              <w:right w:val="nil"/>
            </w:tcBorders>
            <w:shd w:val="clear" w:color="auto" w:fill="auto"/>
            <w:vAlign w:val="bottom"/>
          </w:tcPr>
          <w:p w14:paraId="327CD22B" w14:textId="77777777" w:rsidR="00FA14FE" w:rsidRPr="00DE13EE" w:rsidRDefault="00FA14FE" w:rsidP="009D0993">
            <w:pPr>
              <w:widowControl w:val="0"/>
              <w:autoSpaceDE w:val="0"/>
              <w:autoSpaceDN w:val="0"/>
              <w:adjustRightInd w:val="0"/>
              <w:spacing w:after="0"/>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0.663</w:t>
            </w:r>
          </w:p>
        </w:tc>
        <w:tc>
          <w:tcPr>
            <w:tcW w:w="1604" w:type="dxa"/>
            <w:gridSpan w:val="3"/>
            <w:tcBorders>
              <w:left w:val="nil"/>
              <w:bottom w:val="nil"/>
              <w:right w:val="nil"/>
            </w:tcBorders>
            <w:shd w:val="clear" w:color="auto" w:fill="auto"/>
            <w:vAlign w:val="bottom"/>
          </w:tcPr>
          <w:p w14:paraId="7997995A" w14:textId="77777777" w:rsidR="00FA14FE" w:rsidRPr="00DE13EE" w:rsidRDefault="00FA14FE" w:rsidP="009D0993">
            <w:pPr>
              <w:widowControl w:val="0"/>
              <w:autoSpaceDE w:val="0"/>
              <w:autoSpaceDN w:val="0"/>
              <w:adjustRightInd w:val="0"/>
              <w:spacing w:after="0"/>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8.684</w:t>
            </w:r>
          </w:p>
        </w:tc>
        <w:tc>
          <w:tcPr>
            <w:tcW w:w="1396" w:type="dxa"/>
            <w:gridSpan w:val="3"/>
            <w:tcBorders>
              <w:left w:val="nil"/>
              <w:bottom w:val="nil"/>
              <w:right w:val="nil"/>
            </w:tcBorders>
            <w:shd w:val="clear" w:color="auto" w:fill="auto"/>
            <w:vAlign w:val="bottom"/>
          </w:tcPr>
          <w:p w14:paraId="47E31AD0" w14:textId="77777777" w:rsidR="00FA14FE" w:rsidRPr="00DE13EE" w:rsidRDefault="00FA14FE" w:rsidP="009D0993">
            <w:pPr>
              <w:widowControl w:val="0"/>
              <w:autoSpaceDE w:val="0"/>
              <w:autoSpaceDN w:val="0"/>
              <w:adjustRightInd w:val="0"/>
              <w:spacing w:after="0"/>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-2.423</w:t>
            </w:r>
          </w:p>
        </w:tc>
        <w:tc>
          <w:tcPr>
            <w:tcW w:w="1248" w:type="dxa"/>
            <w:tcBorders>
              <w:left w:val="nil"/>
              <w:bottom w:val="nil"/>
              <w:right w:val="nil"/>
            </w:tcBorders>
            <w:shd w:val="clear" w:color="auto" w:fill="auto"/>
            <w:vAlign w:val="bottom"/>
          </w:tcPr>
          <w:p w14:paraId="6E8886FC" w14:textId="77777777" w:rsidR="00FA14FE" w:rsidRPr="00DE13EE" w:rsidRDefault="00FA14FE" w:rsidP="009D0993">
            <w:pPr>
              <w:widowControl w:val="0"/>
              <w:autoSpaceDE w:val="0"/>
              <w:autoSpaceDN w:val="0"/>
              <w:adjustRightInd w:val="0"/>
              <w:spacing w:after="0"/>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377.636</w:t>
            </w:r>
          </w:p>
        </w:tc>
      </w:tr>
      <w:tr w:rsidR="00DE13EE" w:rsidRPr="00DE13EE" w14:paraId="4803C7AC" w14:textId="77777777" w:rsidTr="009D0993">
        <w:trPr>
          <w:trHeight w:val="314"/>
        </w:trPr>
        <w:tc>
          <w:tcPr>
            <w:tcW w:w="4124" w:type="dxa"/>
            <w:gridSpan w:val="4"/>
            <w:tcBorders>
              <w:top w:val="nil"/>
              <w:left w:val="nil"/>
              <w:bottom w:val="nil"/>
              <w:right w:val="nil"/>
            </w:tcBorders>
            <w:shd w:val="clear" w:color="auto" w:fill="auto"/>
            <w:vAlign w:val="center"/>
          </w:tcPr>
          <w:p w14:paraId="11306128" w14:textId="77777777" w:rsidR="00FA14FE" w:rsidRPr="00DE13EE" w:rsidRDefault="00FA14FE" w:rsidP="009D0993">
            <w:pPr>
              <w:widowControl w:val="0"/>
              <w:autoSpaceDE w:val="0"/>
              <w:autoSpaceDN w:val="0"/>
              <w:adjustRightInd w:val="0"/>
              <w:spacing w:after="0"/>
              <w:rPr>
                <w:rFonts w:ascii="Times New Roman" w:hAnsi="Times New Roman" w:cs="Times New Roman"/>
                <w:i/>
                <w:color w:val="000000" w:themeColor="text1"/>
                <w:sz w:val="20"/>
                <w:szCs w:val="20"/>
              </w:rPr>
            </w:pPr>
            <w:r w:rsidRPr="00DE13EE">
              <w:rPr>
                <w:rFonts w:ascii="Times New Roman" w:hAnsi="Times New Roman" w:cs="Times New Roman"/>
                <w:color w:val="000000" w:themeColor="text1"/>
                <w:sz w:val="20"/>
                <w:szCs w:val="20"/>
              </w:rPr>
              <w:t>Forward-looking disclosure [FLD Score]</w:t>
            </w:r>
          </w:p>
        </w:tc>
        <w:tc>
          <w:tcPr>
            <w:tcW w:w="1376" w:type="dxa"/>
            <w:gridSpan w:val="2"/>
            <w:tcBorders>
              <w:top w:val="nil"/>
              <w:left w:val="nil"/>
              <w:bottom w:val="nil"/>
              <w:right w:val="nil"/>
            </w:tcBorders>
            <w:shd w:val="clear" w:color="auto" w:fill="auto"/>
            <w:vAlign w:val="bottom"/>
          </w:tcPr>
          <w:p w14:paraId="080BF288" w14:textId="77777777" w:rsidR="00FA14FE" w:rsidRPr="00DE13EE" w:rsidRDefault="00FA14FE" w:rsidP="009D0993">
            <w:pPr>
              <w:widowControl w:val="0"/>
              <w:autoSpaceDE w:val="0"/>
              <w:autoSpaceDN w:val="0"/>
              <w:adjustRightInd w:val="0"/>
              <w:spacing w:after="0"/>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0.158</w:t>
            </w:r>
          </w:p>
        </w:tc>
        <w:tc>
          <w:tcPr>
            <w:tcW w:w="1604" w:type="dxa"/>
            <w:gridSpan w:val="3"/>
            <w:tcBorders>
              <w:top w:val="nil"/>
              <w:left w:val="nil"/>
              <w:bottom w:val="nil"/>
              <w:right w:val="nil"/>
            </w:tcBorders>
            <w:shd w:val="clear" w:color="auto" w:fill="auto"/>
            <w:vAlign w:val="bottom"/>
          </w:tcPr>
          <w:p w14:paraId="4D640B52" w14:textId="77777777" w:rsidR="00FA14FE" w:rsidRPr="00DE13EE" w:rsidRDefault="00FA14FE" w:rsidP="009D0993">
            <w:pPr>
              <w:widowControl w:val="0"/>
              <w:autoSpaceDE w:val="0"/>
              <w:autoSpaceDN w:val="0"/>
              <w:adjustRightInd w:val="0"/>
              <w:spacing w:after="0"/>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0.055</w:t>
            </w:r>
          </w:p>
        </w:tc>
        <w:tc>
          <w:tcPr>
            <w:tcW w:w="1396" w:type="dxa"/>
            <w:gridSpan w:val="3"/>
            <w:tcBorders>
              <w:top w:val="nil"/>
              <w:left w:val="nil"/>
              <w:bottom w:val="nil"/>
              <w:right w:val="nil"/>
            </w:tcBorders>
            <w:shd w:val="clear" w:color="auto" w:fill="auto"/>
            <w:vAlign w:val="bottom"/>
          </w:tcPr>
          <w:p w14:paraId="1213204F" w14:textId="77777777" w:rsidR="00FA14FE" w:rsidRPr="00DE13EE" w:rsidRDefault="00FA14FE" w:rsidP="009D0993">
            <w:pPr>
              <w:widowControl w:val="0"/>
              <w:autoSpaceDE w:val="0"/>
              <w:autoSpaceDN w:val="0"/>
              <w:adjustRightInd w:val="0"/>
              <w:spacing w:after="0"/>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 xml:space="preserve"> 0.003</w:t>
            </w:r>
          </w:p>
        </w:tc>
        <w:tc>
          <w:tcPr>
            <w:tcW w:w="1248" w:type="dxa"/>
            <w:tcBorders>
              <w:top w:val="nil"/>
              <w:left w:val="nil"/>
              <w:bottom w:val="nil"/>
              <w:right w:val="nil"/>
            </w:tcBorders>
            <w:shd w:val="clear" w:color="auto" w:fill="auto"/>
            <w:vAlign w:val="bottom"/>
          </w:tcPr>
          <w:p w14:paraId="02CB302C" w14:textId="77777777" w:rsidR="00FA14FE" w:rsidRPr="00DE13EE" w:rsidRDefault="00FA14FE" w:rsidP="009D0993">
            <w:pPr>
              <w:widowControl w:val="0"/>
              <w:autoSpaceDE w:val="0"/>
              <w:autoSpaceDN w:val="0"/>
              <w:adjustRightInd w:val="0"/>
              <w:spacing w:after="0"/>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0.363</w:t>
            </w:r>
          </w:p>
        </w:tc>
      </w:tr>
      <w:tr w:rsidR="00DE13EE" w:rsidRPr="00DE13EE" w14:paraId="79E6D639" w14:textId="77777777" w:rsidTr="009D0993">
        <w:trPr>
          <w:trHeight w:val="280"/>
        </w:trPr>
        <w:tc>
          <w:tcPr>
            <w:tcW w:w="4124" w:type="dxa"/>
            <w:gridSpan w:val="4"/>
            <w:tcBorders>
              <w:top w:val="nil"/>
              <w:left w:val="nil"/>
              <w:bottom w:val="nil"/>
              <w:right w:val="nil"/>
            </w:tcBorders>
            <w:shd w:val="clear" w:color="auto" w:fill="auto"/>
            <w:vAlign w:val="center"/>
          </w:tcPr>
          <w:p w14:paraId="540FFA76" w14:textId="77777777" w:rsidR="00FA14FE" w:rsidRPr="00DE13EE" w:rsidRDefault="00FA14FE" w:rsidP="009D0993">
            <w:pPr>
              <w:widowControl w:val="0"/>
              <w:autoSpaceDE w:val="0"/>
              <w:autoSpaceDN w:val="0"/>
              <w:adjustRightInd w:val="0"/>
              <w:spacing w:after="0"/>
              <w:rPr>
                <w:rFonts w:ascii="Times New Roman" w:hAnsi="Times New Roman" w:cs="Times New Roman"/>
                <w:i/>
                <w:color w:val="000000" w:themeColor="text1"/>
                <w:sz w:val="20"/>
                <w:szCs w:val="20"/>
              </w:rPr>
            </w:pPr>
            <w:r w:rsidRPr="00DE13EE">
              <w:rPr>
                <w:rFonts w:ascii="Times New Roman" w:hAnsi="Times New Roman" w:cs="Times New Roman"/>
                <w:color w:val="000000" w:themeColor="text1"/>
                <w:sz w:val="20"/>
                <w:szCs w:val="20"/>
              </w:rPr>
              <w:t xml:space="preserve">Firm size [LnMK] </w:t>
            </w:r>
          </w:p>
        </w:tc>
        <w:tc>
          <w:tcPr>
            <w:tcW w:w="1376" w:type="dxa"/>
            <w:gridSpan w:val="2"/>
            <w:tcBorders>
              <w:top w:val="nil"/>
              <w:left w:val="nil"/>
              <w:bottom w:val="nil"/>
              <w:right w:val="nil"/>
            </w:tcBorders>
          </w:tcPr>
          <w:p w14:paraId="04085DB5" w14:textId="77777777" w:rsidR="00FA14FE" w:rsidRPr="00DE13EE" w:rsidRDefault="00FA14FE" w:rsidP="009D0993">
            <w:pPr>
              <w:widowControl w:val="0"/>
              <w:autoSpaceDE w:val="0"/>
              <w:autoSpaceDN w:val="0"/>
              <w:adjustRightInd w:val="0"/>
              <w:spacing w:after="0"/>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12.434</w:t>
            </w:r>
          </w:p>
        </w:tc>
        <w:tc>
          <w:tcPr>
            <w:tcW w:w="1604" w:type="dxa"/>
            <w:gridSpan w:val="3"/>
            <w:tcBorders>
              <w:top w:val="nil"/>
              <w:left w:val="nil"/>
              <w:bottom w:val="nil"/>
              <w:right w:val="nil"/>
            </w:tcBorders>
          </w:tcPr>
          <w:p w14:paraId="4FFF9E41" w14:textId="77777777" w:rsidR="00FA14FE" w:rsidRPr="00DE13EE" w:rsidRDefault="00FA14FE" w:rsidP="009D0993">
            <w:pPr>
              <w:widowControl w:val="0"/>
              <w:autoSpaceDE w:val="0"/>
              <w:autoSpaceDN w:val="0"/>
              <w:adjustRightInd w:val="0"/>
              <w:spacing w:after="0"/>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2.215</w:t>
            </w:r>
          </w:p>
        </w:tc>
        <w:tc>
          <w:tcPr>
            <w:tcW w:w="1396" w:type="dxa"/>
            <w:gridSpan w:val="3"/>
            <w:tcBorders>
              <w:top w:val="nil"/>
              <w:left w:val="nil"/>
              <w:bottom w:val="nil"/>
              <w:right w:val="nil"/>
            </w:tcBorders>
          </w:tcPr>
          <w:p w14:paraId="1C66F19E" w14:textId="77777777" w:rsidR="00FA14FE" w:rsidRPr="00DE13EE" w:rsidRDefault="00FA14FE" w:rsidP="009D0993">
            <w:pPr>
              <w:widowControl w:val="0"/>
              <w:autoSpaceDE w:val="0"/>
              <w:autoSpaceDN w:val="0"/>
              <w:adjustRightInd w:val="0"/>
              <w:spacing w:after="0"/>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 xml:space="preserve"> 7.870</w:t>
            </w:r>
          </w:p>
        </w:tc>
        <w:tc>
          <w:tcPr>
            <w:tcW w:w="1248" w:type="dxa"/>
            <w:tcBorders>
              <w:top w:val="nil"/>
              <w:left w:val="nil"/>
              <w:bottom w:val="nil"/>
              <w:right w:val="nil"/>
            </w:tcBorders>
          </w:tcPr>
          <w:p w14:paraId="344FF13F" w14:textId="77777777" w:rsidR="00FA14FE" w:rsidRPr="00DE13EE" w:rsidRDefault="00FA14FE" w:rsidP="009D0993">
            <w:pPr>
              <w:widowControl w:val="0"/>
              <w:autoSpaceDE w:val="0"/>
              <w:autoSpaceDN w:val="0"/>
              <w:adjustRightInd w:val="0"/>
              <w:spacing w:after="0"/>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18.038</w:t>
            </w:r>
          </w:p>
        </w:tc>
      </w:tr>
      <w:tr w:rsidR="00DE13EE" w:rsidRPr="00DE13EE" w14:paraId="3A76B8D7" w14:textId="77777777" w:rsidTr="009D0993">
        <w:trPr>
          <w:trHeight w:val="242"/>
        </w:trPr>
        <w:tc>
          <w:tcPr>
            <w:tcW w:w="4124" w:type="dxa"/>
            <w:gridSpan w:val="4"/>
            <w:tcBorders>
              <w:top w:val="nil"/>
              <w:left w:val="nil"/>
              <w:bottom w:val="nil"/>
              <w:right w:val="nil"/>
            </w:tcBorders>
            <w:shd w:val="clear" w:color="auto" w:fill="auto"/>
            <w:vAlign w:val="center"/>
          </w:tcPr>
          <w:p w14:paraId="27B54ED5" w14:textId="77777777" w:rsidR="00FA14FE" w:rsidRPr="00DE13EE" w:rsidRDefault="00FA14FE" w:rsidP="009D0993">
            <w:pPr>
              <w:widowControl w:val="0"/>
              <w:autoSpaceDE w:val="0"/>
              <w:autoSpaceDN w:val="0"/>
              <w:adjustRightInd w:val="0"/>
              <w:spacing w:after="0"/>
              <w:rPr>
                <w:rFonts w:ascii="Times New Roman" w:hAnsi="Times New Roman" w:cs="Times New Roman"/>
                <w:i/>
                <w:color w:val="000000" w:themeColor="text1"/>
                <w:sz w:val="20"/>
                <w:szCs w:val="20"/>
              </w:rPr>
            </w:pPr>
            <w:r w:rsidRPr="00DE13EE">
              <w:rPr>
                <w:rFonts w:ascii="Times New Roman" w:hAnsi="Times New Roman" w:cs="Times New Roman"/>
                <w:color w:val="000000" w:themeColor="text1"/>
                <w:sz w:val="20"/>
                <w:szCs w:val="20"/>
              </w:rPr>
              <w:t>Firm Dividends [DY]</w:t>
            </w:r>
          </w:p>
        </w:tc>
        <w:tc>
          <w:tcPr>
            <w:tcW w:w="1376" w:type="dxa"/>
            <w:gridSpan w:val="2"/>
            <w:tcBorders>
              <w:top w:val="nil"/>
              <w:left w:val="nil"/>
              <w:bottom w:val="nil"/>
              <w:right w:val="nil"/>
            </w:tcBorders>
          </w:tcPr>
          <w:p w14:paraId="719DFA3F" w14:textId="77777777" w:rsidR="00FA14FE" w:rsidRPr="00DE13EE" w:rsidRDefault="00FA14FE" w:rsidP="009D0993">
            <w:pPr>
              <w:widowControl w:val="0"/>
              <w:autoSpaceDE w:val="0"/>
              <w:autoSpaceDN w:val="0"/>
              <w:adjustRightInd w:val="0"/>
              <w:spacing w:after="0"/>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2.921</w:t>
            </w:r>
          </w:p>
        </w:tc>
        <w:tc>
          <w:tcPr>
            <w:tcW w:w="1604" w:type="dxa"/>
            <w:gridSpan w:val="3"/>
            <w:tcBorders>
              <w:top w:val="nil"/>
              <w:left w:val="nil"/>
              <w:bottom w:val="nil"/>
              <w:right w:val="nil"/>
            </w:tcBorders>
          </w:tcPr>
          <w:p w14:paraId="54963DEB" w14:textId="77777777" w:rsidR="00FA14FE" w:rsidRPr="00DE13EE" w:rsidRDefault="00FA14FE" w:rsidP="009D0993">
            <w:pPr>
              <w:widowControl w:val="0"/>
              <w:autoSpaceDE w:val="0"/>
              <w:autoSpaceDN w:val="0"/>
              <w:adjustRightInd w:val="0"/>
              <w:spacing w:after="0"/>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1.983</w:t>
            </w:r>
          </w:p>
        </w:tc>
        <w:tc>
          <w:tcPr>
            <w:tcW w:w="1396" w:type="dxa"/>
            <w:gridSpan w:val="3"/>
            <w:tcBorders>
              <w:top w:val="nil"/>
              <w:left w:val="nil"/>
              <w:bottom w:val="nil"/>
              <w:right w:val="nil"/>
            </w:tcBorders>
          </w:tcPr>
          <w:p w14:paraId="22D2441A" w14:textId="77777777" w:rsidR="00FA14FE" w:rsidRPr="00DE13EE" w:rsidRDefault="00FA14FE" w:rsidP="009D0993">
            <w:pPr>
              <w:widowControl w:val="0"/>
              <w:autoSpaceDE w:val="0"/>
              <w:autoSpaceDN w:val="0"/>
              <w:adjustRightInd w:val="0"/>
              <w:spacing w:after="0"/>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 xml:space="preserve"> 0.000</w:t>
            </w:r>
          </w:p>
        </w:tc>
        <w:tc>
          <w:tcPr>
            <w:tcW w:w="1248" w:type="dxa"/>
            <w:tcBorders>
              <w:top w:val="nil"/>
              <w:left w:val="nil"/>
              <w:bottom w:val="nil"/>
              <w:right w:val="nil"/>
            </w:tcBorders>
          </w:tcPr>
          <w:p w14:paraId="778B6A37" w14:textId="77777777" w:rsidR="00FA14FE" w:rsidRPr="00DE13EE" w:rsidRDefault="00FA14FE" w:rsidP="009D0993">
            <w:pPr>
              <w:widowControl w:val="0"/>
              <w:autoSpaceDE w:val="0"/>
              <w:autoSpaceDN w:val="0"/>
              <w:adjustRightInd w:val="0"/>
              <w:spacing w:after="0"/>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20.590</w:t>
            </w:r>
          </w:p>
        </w:tc>
      </w:tr>
      <w:tr w:rsidR="00DE13EE" w:rsidRPr="00DE13EE" w14:paraId="567D9104" w14:textId="77777777" w:rsidTr="009D0993">
        <w:trPr>
          <w:trHeight w:val="242"/>
        </w:trPr>
        <w:tc>
          <w:tcPr>
            <w:tcW w:w="4124" w:type="dxa"/>
            <w:gridSpan w:val="4"/>
            <w:tcBorders>
              <w:top w:val="nil"/>
              <w:left w:val="nil"/>
              <w:bottom w:val="nil"/>
              <w:right w:val="nil"/>
            </w:tcBorders>
            <w:shd w:val="clear" w:color="auto" w:fill="auto"/>
            <w:vAlign w:val="center"/>
          </w:tcPr>
          <w:p w14:paraId="779DE97E" w14:textId="77777777" w:rsidR="00FA14FE" w:rsidRPr="00DE13EE" w:rsidRDefault="00FA14FE" w:rsidP="009D0993">
            <w:pPr>
              <w:widowControl w:val="0"/>
              <w:autoSpaceDE w:val="0"/>
              <w:autoSpaceDN w:val="0"/>
              <w:adjustRightInd w:val="0"/>
              <w:spacing w:after="0"/>
              <w:rPr>
                <w:rFonts w:ascii="Times New Roman" w:hAnsi="Times New Roman" w:cs="Times New Roman"/>
                <w:i/>
                <w:color w:val="000000" w:themeColor="text1"/>
                <w:sz w:val="20"/>
                <w:szCs w:val="20"/>
              </w:rPr>
            </w:pPr>
            <w:r w:rsidRPr="00DE13EE">
              <w:rPr>
                <w:rFonts w:ascii="Times New Roman" w:hAnsi="Times New Roman" w:cs="Times New Roman"/>
                <w:color w:val="000000" w:themeColor="text1"/>
                <w:sz w:val="20"/>
                <w:szCs w:val="20"/>
              </w:rPr>
              <w:t xml:space="preserve">Current Earnings [ROA] </w:t>
            </w:r>
          </w:p>
        </w:tc>
        <w:tc>
          <w:tcPr>
            <w:tcW w:w="1376" w:type="dxa"/>
            <w:gridSpan w:val="2"/>
            <w:tcBorders>
              <w:top w:val="nil"/>
              <w:left w:val="nil"/>
              <w:bottom w:val="nil"/>
              <w:right w:val="nil"/>
            </w:tcBorders>
          </w:tcPr>
          <w:p w14:paraId="00137B5E" w14:textId="77777777" w:rsidR="00FA14FE" w:rsidRPr="00DE13EE" w:rsidRDefault="00FA14FE" w:rsidP="009D0993">
            <w:pPr>
              <w:widowControl w:val="0"/>
              <w:autoSpaceDE w:val="0"/>
              <w:autoSpaceDN w:val="0"/>
              <w:adjustRightInd w:val="0"/>
              <w:spacing w:after="0"/>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5.552</w:t>
            </w:r>
          </w:p>
        </w:tc>
        <w:tc>
          <w:tcPr>
            <w:tcW w:w="1604" w:type="dxa"/>
            <w:gridSpan w:val="3"/>
            <w:tcBorders>
              <w:top w:val="nil"/>
              <w:left w:val="nil"/>
              <w:bottom w:val="nil"/>
              <w:right w:val="nil"/>
            </w:tcBorders>
          </w:tcPr>
          <w:p w14:paraId="06706A8B" w14:textId="77777777" w:rsidR="00FA14FE" w:rsidRPr="00DE13EE" w:rsidRDefault="00FA14FE" w:rsidP="009D0993">
            <w:pPr>
              <w:widowControl w:val="0"/>
              <w:autoSpaceDE w:val="0"/>
              <w:autoSpaceDN w:val="0"/>
              <w:adjustRightInd w:val="0"/>
              <w:spacing w:after="0"/>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6.046</w:t>
            </w:r>
          </w:p>
        </w:tc>
        <w:tc>
          <w:tcPr>
            <w:tcW w:w="1396" w:type="dxa"/>
            <w:gridSpan w:val="3"/>
            <w:tcBorders>
              <w:top w:val="nil"/>
              <w:left w:val="nil"/>
              <w:bottom w:val="nil"/>
              <w:right w:val="nil"/>
            </w:tcBorders>
          </w:tcPr>
          <w:p w14:paraId="21B3FC1D" w14:textId="77777777" w:rsidR="00FA14FE" w:rsidRPr="00DE13EE" w:rsidRDefault="00FA14FE" w:rsidP="009D0993">
            <w:pPr>
              <w:widowControl w:val="0"/>
              <w:autoSpaceDE w:val="0"/>
              <w:autoSpaceDN w:val="0"/>
              <w:adjustRightInd w:val="0"/>
              <w:spacing w:after="0"/>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 xml:space="preserve"> -51.940</w:t>
            </w:r>
          </w:p>
        </w:tc>
        <w:tc>
          <w:tcPr>
            <w:tcW w:w="1248" w:type="dxa"/>
            <w:tcBorders>
              <w:top w:val="nil"/>
              <w:left w:val="nil"/>
              <w:bottom w:val="nil"/>
              <w:right w:val="nil"/>
            </w:tcBorders>
          </w:tcPr>
          <w:p w14:paraId="10DBACB7" w14:textId="77777777" w:rsidR="00FA14FE" w:rsidRPr="00DE13EE" w:rsidRDefault="00FA14FE" w:rsidP="009D0993">
            <w:pPr>
              <w:widowControl w:val="0"/>
              <w:autoSpaceDE w:val="0"/>
              <w:autoSpaceDN w:val="0"/>
              <w:adjustRightInd w:val="0"/>
              <w:spacing w:after="0"/>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36.660</w:t>
            </w:r>
          </w:p>
        </w:tc>
      </w:tr>
      <w:tr w:rsidR="00DE13EE" w:rsidRPr="00DE13EE" w14:paraId="3D41BC9F" w14:textId="77777777" w:rsidTr="009D0993">
        <w:trPr>
          <w:trHeight w:val="242"/>
        </w:trPr>
        <w:tc>
          <w:tcPr>
            <w:tcW w:w="4124" w:type="dxa"/>
            <w:gridSpan w:val="4"/>
            <w:tcBorders>
              <w:top w:val="nil"/>
              <w:left w:val="nil"/>
              <w:bottom w:val="nil"/>
              <w:right w:val="nil"/>
            </w:tcBorders>
            <w:shd w:val="clear" w:color="auto" w:fill="auto"/>
            <w:vAlign w:val="center"/>
          </w:tcPr>
          <w:p w14:paraId="2A312A8F" w14:textId="77777777" w:rsidR="00FA14FE" w:rsidRPr="00DE13EE" w:rsidRDefault="00FA14FE" w:rsidP="009D0993">
            <w:pPr>
              <w:widowControl w:val="0"/>
              <w:autoSpaceDE w:val="0"/>
              <w:autoSpaceDN w:val="0"/>
              <w:adjustRightInd w:val="0"/>
              <w:spacing w:after="0"/>
              <w:rPr>
                <w:rFonts w:ascii="Times New Roman" w:hAnsi="Times New Roman" w:cs="Times New Roman"/>
                <w:i/>
                <w:color w:val="000000" w:themeColor="text1"/>
                <w:sz w:val="20"/>
                <w:szCs w:val="20"/>
              </w:rPr>
            </w:pPr>
            <w:r w:rsidRPr="00DE13EE">
              <w:rPr>
                <w:rFonts w:ascii="Times New Roman" w:hAnsi="Times New Roman" w:cs="Times New Roman"/>
                <w:color w:val="000000" w:themeColor="text1"/>
                <w:sz w:val="20"/>
                <w:szCs w:val="20"/>
              </w:rPr>
              <w:t xml:space="preserve">Firm leverage [Lev] </w:t>
            </w:r>
          </w:p>
        </w:tc>
        <w:tc>
          <w:tcPr>
            <w:tcW w:w="1376" w:type="dxa"/>
            <w:gridSpan w:val="2"/>
            <w:tcBorders>
              <w:top w:val="nil"/>
              <w:left w:val="nil"/>
              <w:bottom w:val="nil"/>
              <w:right w:val="nil"/>
            </w:tcBorders>
          </w:tcPr>
          <w:p w14:paraId="3B3A7D33" w14:textId="77777777" w:rsidR="00FA14FE" w:rsidRPr="00DE13EE" w:rsidRDefault="00FA14FE" w:rsidP="009D0993">
            <w:pPr>
              <w:widowControl w:val="0"/>
              <w:autoSpaceDE w:val="0"/>
              <w:autoSpaceDN w:val="0"/>
              <w:adjustRightInd w:val="0"/>
              <w:spacing w:after="0"/>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21.452</w:t>
            </w:r>
          </w:p>
        </w:tc>
        <w:tc>
          <w:tcPr>
            <w:tcW w:w="1604" w:type="dxa"/>
            <w:gridSpan w:val="3"/>
            <w:tcBorders>
              <w:top w:val="nil"/>
              <w:left w:val="nil"/>
              <w:bottom w:val="nil"/>
              <w:right w:val="nil"/>
            </w:tcBorders>
          </w:tcPr>
          <w:p w14:paraId="4DE1F1C8" w14:textId="77777777" w:rsidR="00FA14FE" w:rsidRPr="00DE13EE" w:rsidRDefault="00FA14FE" w:rsidP="009D0993">
            <w:pPr>
              <w:widowControl w:val="0"/>
              <w:autoSpaceDE w:val="0"/>
              <w:autoSpaceDN w:val="0"/>
              <w:adjustRightInd w:val="0"/>
              <w:spacing w:after="0"/>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72.298</w:t>
            </w:r>
          </w:p>
        </w:tc>
        <w:tc>
          <w:tcPr>
            <w:tcW w:w="1396" w:type="dxa"/>
            <w:gridSpan w:val="3"/>
            <w:tcBorders>
              <w:top w:val="nil"/>
              <w:left w:val="nil"/>
              <w:bottom w:val="nil"/>
              <w:right w:val="nil"/>
            </w:tcBorders>
          </w:tcPr>
          <w:p w14:paraId="700560D7" w14:textId="77777777" w:rsidR="00FA14FE" w:rsidRPr="00DE13EE" w:rsidRDefault="00FA14FE" w:rsidP="009D0993">
            <w:pPr>
              <w:widowControl w:val="0"/>
              <w:autoSpaceDE w:val="0"/>
              <w:autoSpaceDN w:val="0"/>
              <w:adjustRightInd w:val="0"/>
              <w:spacing w:after="0"/>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 xml:space="preserve"> 0.0000</w:t>
            </w:r>
          </w:p>
        </w:tc>
        <w:tc>
          <w:tcPr>
            <w:tcW w:w="1248" w:type="dxa"/>
            <w:tcBorders>
              <w:top w:val="nil"/>
              <w:left w:val="nil"/>
              <w:bottom w:val="nil"/>
              <w:right w:val="nil"/>
            </w:tcBorders>
          </w:tcPr>
          <w:p w14:paraId="19611A7C" w14:textId="77777777" w:rsidR="00FA14FE" w:rsidRPr="00DE13EE" w:rsidRDefault="00FA14FE" w:rsidP="009D0993">
            <w:pPr>
              <w:widowControl w:val="0"/>
              <w:autoSpaceDE w:val="0"/>
              <w:autoSpaceDN w:val="0"/>
              <w:adjustRightInd w:val="0"/>
              <w:spacing w:after="0"/>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242.190</w:t>
            </w:r>
          </w:p>
        </w:tc>
      </w:tr>
      <w:tr w:rsidR="00DE13EE" w:rsidRPr="00DE13EE" w14:paraId="34AE23CF" w14:textId="77777777" w:rsidTr="009D0993">
        <w:trPr>
          <w:trHeight w:val="242"/>
        </w:trPr>
        <w:tc>
          <w:tcPr>
            <w:tcW w:w="4124" w:type="dxa"/>
            <w:gridSpan w:val="4"/>
            <w:tcBorders>
              <w:top w:val="nil"/>
              <w:left w:val="nil"/>
              <w:bottom w:val="nil"/>
              <w:right w:val="nil"/>
            </w:tcBorders>
            <w:shd w:val="clear" w:color="auto" w:fill="auto"/>
            <w:vAlign w:val="center"/>
          </w:tcPr>
          <w:p w14:paraId="1DEDF4BC" w14:textId="77777777" w:rsidR="00FA14FE" w:rsidRPr="00DE13EE" w:rsidRDefault="00FA14FE" w:rsidP="009D0993">
            <w:pPr>
              <w:widowControl w:val="0"/>
              <w:autoSpaceDE w:val="0"/>
              <w:autoSpaceDN w:val="0"/>
              <w:adjustRightInd w:val="0"/>
              <w:spacing w:after="0"/>
              <w:rPr>
                <w:rFonts w:ascii="Times New Roman" w:hAnsi="Times New Roman" w:cs="Times New Roman"/>
                <w:i/>
                <w:color w:val="000000" w:themeColor="text1"/>
                <w:sz w:val="20"/>
                <w:szCs w:val="20"/>
              </w:rPr>
            </w:pPr>
            <w:r w:rsidRPr="00DE13EE">
              <w:rPr>
                <w:rFonts w:ascii="Times New Roman" w:hAnsi="Times New Roman" w:cs="Times New Roman"/>
                <w:color w:val="000000" w:themeColor="text1"/>
                <w:sz w:val="20"/>
                <w:szCs w:val="20"/>
              </w:rPr>
              <w:t>Firm Liquidity [CR]</w:t>
            </w:r>
          </w:p>
        </w:tc>
        <w:tc>
          <w:tcPr>
            <w:tcW w:w="1376" w:type="dxa"/>
            <w:gridSpan w:val="2"/>
            <w:tcBorders>
              <w:top w:val="nil"/>
              <w:left w:val="nil"/>
              <w:bottom w:val="nil"/>
              <w:right w:val="nil"/>
            </w:tcBorders>
          </w:tcPr>
          <w:p w14:paraId="4CD28306" w14:textId="77777777" w:rsidR="00FA14FE" w:rsidRPr="00DE13EE" w:rsidRDefault="00FA14FE" w:rsidP="009D0993">
            <w:pPr>
              <w:widowControl w:val="0"/>
              <w:autoSpaceDE w:val="0"/>
              <w:autoSpaceDN w:val="0"/>
              <w:adjustRightInd w:val="0"/>
              <w:spacing w:after="0"/>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1.817</w:t>
            </w:r>
          </w:p>
        </w:tc>
        <w:tc>
          <w:tcPr>
            <w:tcW w:w="1604" w:type="dxa"/>
            <w:gridSpan w:val="3"/>
            <w:tcBorders>
              <w:top w:val="nil"/>
              <w:left w:val="nil"/>
              <w:bottom w:val="nil"/>
              <w:right w:val="nil"/>
            </w:tcBorders>
          </w:tcPr>
          <w:p w14:paraId="42F955E5" w14:textId="77777777" w:rsidR="00FA14FE" w:rsidRPr="00DE13EE" w:rsidRDefault="00FA14FE" w:rsidP="009D0993">
            <w:pPr>
              <w:widowControl w:val="0"/>
              <w:autoSpaceDE w:val="0"/>
              <w:autoSpaceDN w:val="0"/>
              <w:adjustRightInd w:val="0"/>
              <w:spacing w:after="0"/>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1.651</w:t>
            </w:r>
          </w:p>
        </w:tc>
        <w:tc>
          <w:tcPr>
            <w:tcW w:w="1396" w:type="dxa"/>
            <w:gridSpan w:val="3"/>
            <w:tcBorders>
              <w:top w:val="nil"/>
              <w:left w:val="nil"/>
              <w:bottom w:val="nil"/>
              <w:right w:val="nil"/>
            </w:tcBorders>
          </w:tcPr>
          <w:p w14:paraId="72610E6D" w14:textId="77777777" w:rsidR="00FA14FE" w:rsidRPr="00DE13EE" w:rsidRDefault="00FA14FE" w:rsidP="009D0993">
            <w:pPr>
              <w:widowControl w:val="0"/>
              <w:autoSpaceDE w:val="0"/>
              <w:autoSpaceDN w:val="0"/>
              <w:adjustRightInd w:val="0"/>
              <w:spacing w:after="0"/>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 xml:space="preserve"> 0.300</w:t>
            </w:r>
          </w:p>
        </w:tc>
        <w:tc>
          <w:tcPr>
            <w:tcW w:w="1248" w:type="dxa"/>
            <w:tcBorders>
              <w:top w:val="nil"/>
              <w:left w:val="nil"/>
              <w:bottom w:val="nil"/>
              <w:right w:val="nil"/>
            </w:tcBorders>
          </w:tcPr>
          <w:p w14:paraId="10735C71" w14:textId="77777777" w:rsidR="00FA14FE" w:rsidRPr="00DE13EE" w:rsidRDefault="00FA14FE" w:rsidP="009D0993">
            <w:pPr>
              <w:widowControl w:val="0"/>
              <w:autoSpaceDE w:val="0"/>
              <w:autoSpaceDN w:val="0"/>
              <w:adjustRightInd w:val="0"/>
              <w:spacing w:after="0"/>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11.730</w:t>
            </w:r>
          </w:p>
        </w:tc>
      </w:tr>
      <w:tr w:rsidR="00DE13EE" w:rsidRPr="00DE13EE" w14:paraId="6B3AC797" w14:textId="77777777" w:rsidTr="009D0993">
        <w:trPr>
          <w:trHeight w:val="242"/>
        </w:trPr>
        <w:tc>
          <w:tcPr>
            <w:tcW w:w="4124" w:type="dxa"/>
            <w:gridSpan w:val="4"/>
            <w:tcBorders>
              <w:top w:val="nil"/>
              <w:left w:val="nil"/>
              <w:bottom w:val="nil"/>
              <w:right w:val="nil"/>
            </w:tcBorders>
            <w:shd w:val="clear" w:color="auto" w:fill="auto"/>
            <w:vAlign w:val="center"/>
          </w:tcPr>
          <w:p w14:paraId="17A07DFD" w14:textId="77777777" w:rsidR="00FA14FE" w:rsidRPr="00DE13EE" w:rsidRDefault="00FA14FE" w:rsidP="009D0993">
            <w:pPr>
              <w:widowControl w:val="0"/>
              <w:autoSpaceDE w:val="0"/>
              <w:autoSpaceDN w:val="0"/>
              <w:adjustRightInd w:val="0"/>
              <w:spacing w:after="0"/>
              <w:rPr>
                <w:rFonts w:ascii="Times New Roman" w:hAnsi="Times New Roman" w:cs="Times New Roman"/>
                <w:i/>
                <w:color w:val="000000" w:themeColor="text1"/>
                <w:sz w:val="20"/>
                <w:szCs w:val="20"/>
              </w:rPr>
            </w:pPr>
            <w:r w:rsidRPr="00DE13EE">
              <w:rPr>
                <w:rFonts w:ascii="Times New Roman" w:hAnsi="Times New Roman" w:cs="Times New Roman"/>
                <w:color w:val="000000" w:themeColor="text1"/>
                <w:sz w:val="20"/>
                <w:szCs w:val="20"/>
              </w:rPr>
              <w:t>Earnings volatility [Ear.Vol]</w:t>
            </w:r>
          </w:p>
        </w:tc>
        <w:tc>
          <w:tcPr>
            <w:tcW w:w="1376" w:type="dxa"/>
            <w:gridSpan w:val="2"/>
            <w:tcBorders>
              <w:top w:val="nil"/>
              <w:left w:val="nil"/>
              <w:bottom w:val="nil"/>
              <w:right w:val="nil"/>
            </w:tcBorders>
          </w:tcPr>
          <w:p w14:paraId="030E18D3" w14:textId="77777777" w:rsidR="00FA14FE" w:rsidRPr="00DE13EE" w:rsidRDefault="00FA14FE" w:rsidP="009D0993">
            <w:pPr>
              <w:widowControl w:val="0"/>
              <w:autoSpaceDE w:val="0"/>
              <w:autoSpaceDN w:val="0"/>
              <w:adjustRightInd w:val="0"/>
              <w:spacing w:after="0"/>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0.946</w:t>
            </w:r>
          </w:p>
        </w:tc>
        <w:tc>
          <w:tcPr>
            <w:tcW w:w="1604" w:type="dxa"/>
            <w:gridSpan w:val="3"/>
            <w:tcBorders>
              <w:top w:val="nil"/>
              <w:left w:val="nil"/>
              <w:bottom w:val="nil"/>
              <w:right w:val="nil"/>
            </w:tcBorders>
          </w:tcPr>
          <w:p w14:paraId="4EDAF5D2" w14:textId="77777777" w:rsidR="00FA14FE" w:rsidRPr="00DE13EE" w:rsidRDefault="00FA14FE" w:rsidP="009D0993">
            <w:pPr>
              <w:widowControl w:val="0"/>
              <w:autoSpaceDE w:val="0"/>
              <w:autoSpaceDN w:val="0"/>
              <w:adjustRightInd w:val="0"/>
              <w:spacing w:after="0"/>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0.622</w:t>
            </w:r>
          </w:p>
        </w:tc>
        <w:tc>
          <w:tcPr>
            <w:tcW w:w="1396" w:type="dxa"/>
            <w:gridSpan w:val="3"/>
            <w:tcBorders>
              <w:top w:val="nil"/>
              <w:left w:val="nil"/>
              <w:bottom w:val="nil"/>
              <w:right w:val="nil"/>
            </w:tcBorders>
          </w:tcPr>
          <w:p w14:paraId="411568B6" w14:textId="77777777" w:rsidR="00FA14FE" w:rsidRPr="00DE13EE" w:rsidRDefault="00FA14FE" w:rsidP="009D0993">
            <w:pPr>
              <w:widowControl w:val="0"/>
              <w:autoSpaceDE w:val="0"/>
              <w:autoSpaceDN w:val="0"/>
              <w:adjustRightInd w:val="0"/>
              <w:spacing w:after="0"/>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 xml:space="preserve"> -0.220</w:t>
            </w:r>
          </w:p>
        </w:tc>
        <w:tc>
          <w:tcPr>
            <w:tcW w:w="1248" w:type="dxa"/>
            <w:tcBorders>
              <w:top w:val="nil"/>
              <w:left w:val="nil"/>
              <w:bottom w:val="nil"/>
              <w:right w:val="nil"/>
            </w:tcBorders>
          </w:tcPr>
          <w:p w14:paraId="6D5EDC6A" w14:textId="77777777" w:rsidR="00FA14FE" w:rsidRPr="00DE13EE" w:rsidRDefault="00FA14FE" w:rsidP="009D0993">
            <w:pPr>
              <w:widowControl w:val="0"/>
              <w:autoSpaceDE w:val="0"/>
              <w:autoSpaceDN w:val="0"/>
              <w:adjustRightInd w:val="0"/>
              <w:spacing w:after="0"/>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2.900</w:t>
            </w:r>
          </w:p>
        </w:tc>
      </w:tr>
      <w:tr w:rsidR="00DE13EE" w:rsidRPr="00DE13EE" w14:paraId="3300A0B7" w14:textId="77777777" w:rsidTr="009D0993">
        <w:trPr>
          <w:trHeight w:val="242"/>
        </w:trPr>
        <w:tc>
          <w:tcPr>
            <w:tcW w:w="4124" w:type="dxa"/>
            <w:gridSpan w:val="4"/>
            <w:tcBorders>
              <w:top w:val="nil"/>
              <w:left w:val="nil"/>
              <w:bottom w:val="nil"/>
              <w:right w:val="nil"/>
            </w:tcBorders>
            <w:shd w:val="clear" w:color="auto" w:fill="auto"/>
            <w:vAlign w:val="center"/>
          </w:tcPr>
          <w:p w14:paraId="4907DA13" w14:textId="77777777" w:rsidR="00FA14FE" w:rsidRPr="00DE13EE" w:rsidRDefault="00FA14FE" w:rsidP="009D0993">
            <w:pPr>
              <w:widowControl w:val="0"/>
              <w:autoSpaceDE w:val="0"/>
              <w:autoSpaceDN w:val="0"/>
              <w:adjustRightInd w:val="0"/>
              <w:spacing w:after="0"/>
              <w:rPr>
                <w:rFonts w:ascii="Times New Roman" w:hAnsi="Times New Roman" w:cs="Times New Roman"/>
                <w:i/>
                <w:color w:val="000000" w:themeColor="text1"/>
                <w:sz w:val="20"/>
                <w:szCs w:val="20"/>
              </w:rPr>
            </w:pPr>
            <w:r w:rsidRPr="00DE13EE">
              <w:rPr>
                <w:rFonts w:ascii="Times New Roman" w:hAnsi="Times New Roman" w:cs="Times New Roman"/>
                <w:color w:val="000000" w:themeColor="text1"/>
                <w:sz w:val="20"/>
                <w:szCs w:val="20"/>
              </w:rPr>
              <w:t>Managerial ownership [MO%]</w:t>
            </w:r>
          </w:p>
        </w:tc>
        <w:tc>
          <w:tcPr>
            <w:tcW w:w="1376" w:type="dxa"/>
            <w:gridSpan w:val="2"/>
            <w:tcBorders>
              <w:top w:val="nil"/>
              <w:left w:val="nil"/>
              <w:bottom w:val="nil"/>
              <w:right w:val="nil"/>
            </w:tcBorders>
          </w:tcPr>
          <w:p w14:paraId="4D45EC3C" w14:textId="77777777" w:rsidR="00FA14FE" w:rsidRPr="00DE13EE" w:rsidRDefault="00FA14FE" w:rsidP="009D0993">
            <w:pPr>
              <w:widowControl w:val="0"/>
              <w:autoSpaceDE w:val="0"/>
              <w:autoSpaceDN w:val="0"/>
              <w:adjustRightInd w:val="0"/>
              <w:spacing w:after="0"/>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8.649</w:t>
            </w:r>
          </w:p>
        </w:tc>
        <w:tc>
          <w:tcPr>
            <w:tcW w:w="1604" w:type="dxa"/>
            <w:gridSpan w:val="3"/>
            <w:tcBorders>
              <w:top w:val="nil"/>
              <w:left w:val="nil"/>
              <w:bottom w:val="nil"/>
              <w:right w:val="nil"/>
            </w:tcBorders>
          </w:tcPr>
          <w:p w14:paraId="0E8491C4" w14:textId="77777777" w:rsidR="00FA14FE" w:rsidRPr="00DE13EE" w:rsidRDefault="00FA14FE" w:rsidP="009D0993">
            <w:pPr>
              <w:widowControl w:val="0"/>
              <w:autoSpaceDE w:val="0"/>
              <w:autoSpaceDN w:val="0"/>
              <w:adjustRightInd w:val="0"/>
              <w:spacing w:after="0"/>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15.678</w:t>
            </w:r>
          </w:p>
        </w:tc>
        <w:tc>
          <w:tcPr>
            <w:tcW w:w="1396" w:type="dxa"/>
            <w:gridSpan w:val="3"/>
            <w:tcBorders>
              <w:top w:val="nil"/>
              <w:left w:val="nil"/>
              <w:bottom w:val="nil"/>
              <w:right w:val="nil"/>
            </w:tcBorders>
          </w:tcPr>
          <w:p w14:paraId="0ED8C920" w14:textId="77777777" w:rsidR="00FA14FE" w:rsidRPr="00DE13EE" w:rsidRDefault="00FA14FE" w:rsidP="009D0993">
            <w:pPr>
              <w:widowControl w:val="0"/>
              <w:autoSpaceDE w:val="0"/>
              <w:autoSpaceDN w:val="0"/>
              <w:adjustRightInd w:val="0"/>
              <w:spacing w:after="0"/>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 xml:space="preserve"> 0.000</w:t>
            </w:r>
          </w:p>
        </w:tc>
        <w:tc>
          <w:tcPr>
            <w:tcW w:w="1248" w:type="dxa"/>
            <w:tcBorders>
              <w:top w:val="nil"/>
              <w:left w:val="nil"/>
              <w:bottom w:val="nil"/>
              <w:right w:val="nil"/>
            </w:tcBorders>
          </w:tcPr>
          <w:p w14:paraId="2DA87797" w14:textId="77777777" w:rsidR="00FA14FE" w:rsidRPr="00DE13EE" w:rsidRDefault="00FA14FE" w:rsidP="009D0993">
            <w:pPr>
              <w:widowControl w:val="0"/>
              <w:autoSpaceDE w:val="0"/>
              <w:autoSpaceDN w:val="0"/>
              <w:adjustRightInd w:val="0"/>
              <w:spacing w:after="0"/>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99.000</w:t>
            </w:r>
          </w:p>
        </w:tc>
      </w:tr>
      <w:tr w:rsidR="00DE13EE" w:rsidRPr="00DE13EE" w14:paraId="594D3B61" w14:textId="77777777" w:rsidTr="009D0993">
        <w:trPr>
          <w:trHeight w:val="242"/>
        </w:trPr>
        <w:tc>
          <w:tcPr>
            <w:tcW w:w="4124" w:type="dxa"/>
            <w:gridSpan w:val="4"/>
            <w:tcBorders>
              <w:top w:val="nil"/>
              <w:left w:val="nil"/>
              <w:bottom w:val="nil"/>
              <w:right w:val="nil"/>
            </w:tcBorders>
            <w:shd w:val="clear" w:color="auto" w:fill="auto"/>
            <w:vAlign w:val="center"/>
          </w:tcPr>
          <w:p w14:paraId="3A22638C" w14:textId="77777777" w:rsidR="00FA14FE" w:rsidRPr="00DE13EE" w:rsidRDefault="00FA14FE" w:rsidP="009D0993">
            <w:pPr>
              <w:widowControl w:val="0"/>
              <w:autoSpaceDE w:val="0"/>
              <w:autoSpaceDN w:val="0"/>
              <w:adjustRightInd w:val="0"/>
              <w:spacing w:after="0"/>
              <w:rPr>
                <w:rFonts w:ascii="Times New Roman" w:hAnsi="Times New Roman" w:cs="Times New Roman"/>
                <w:i/>
                <w:color w:val="000000" w:themeColor="text1"/>
                <w:sz w:val="20"/>
                <w:szCs w:val="20"/>
              </w:rPr>
            </w:pPr>
            <w:r w:rsidRPr="00DE13EE">
              <w:rPr>
                <w:rFonts w:ascii="Times New Roman" w:hAnsi="Times New Roman" w:cs="Times New Roman"/>
                <w:color w:val="000000" w:themeColor="text1"/>
                <w:sz w:val="20"/>
                <w:szCs w:val="20"/>
              </w:rPr>
              <w:t>Firm growth [GRTH]</w:t>
            </w:r>
          </w:p>
        </w:tc>
        <w:tc>
          <w:tcPr>
            <w:tcW w:w="1376" w:type="dxa"/>
            <w:gridSpan w:val="2"/>
            <w:tcBorders>
              <w:top w:val="nil"/>
              <w:left w:val="nil"/>
              <w:bottom w:val="nil"/>
              <w:right w:val="nil"/>
            </w:tcBorders>
          </w:tcPr>
          <w:p w14:paraId="5451CE3F" w14:textId="77777777" w:rsidR="00FA14FE" w:rsidRPr="00DE13EE" w:rsidRDefault="00FA14FE" w:rsidP="009D0993">
            <w:pPr>
              <w:widowControl w:val="0"/>
              <w:autoSpaceDE w:val="0"/>
              <w:autoSpaceDN w:val="0"/>
              <w:adjustRightInd w:val="0"/>
              <w:spacing w:after="0"/>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8.974</w:t>
            </w:r>
          </w:p>
        </w:tc>
        <w:tc>
          <w:tcPr>
            <w:tcW w:w="1604" w:type="dxa"/>
            <w:gridSpan w:val="3"/>
            <w:tcBorders>
              <w:top w:val="nil"/>
              <w:left w:val="nil"/>
              <w:bottom w:val="nil"/>
              <w:right w:val="nil"/>
            </w:tcBorders>
          </w:tcPr>
          <w:p w14:paraId="61621F4D" w14:textId="77777777" w:rsidR="00FA14FE" w:rsidRPr="00DE13EE" w:rsidRDefault="00FA14FE" w:rsidP="009D0993">
            <w:pPr>
              <w:widowControl w:val="0"/>
              <w:autoSpaceDE w:val="0"/>
              <w:autoSpaceDN w:val="0"/>
              <w:adjustRightInd w:val="0"/>
              <w:spacing w:after="0"/>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13.045</w:t>
            </w:r>
          </w:p>
        </w:tc>
        <w:tc>
          <w:tcPr>
            <w:tcW w:w="1396" w:type="dxa"/>
            <w:gridSpan w:val="3"/>
            <w:tcBorders>
              <w:top w:val="nil"/>
              <w:left w:val="nil"/>
              <w:bottom w:val="nil"/>
              <w:right w:val="nil"/>
            </w:tcBorders>
          </w:tcPr>
          <w:p w14:paraId="0C57B3B4" w14:textId="77777777" w:rsidR="00FA14FE" w:rsidRPr="00DE13EE" w:rsidRDefault="00FA14FE" w:rsidP="009D0993">
            <w:pPr>
              <w:widowControl w:val="0"/>
              <w:autoSpaceDE w:val="0"/>
              <w:autoSpaceDN w:val="0"/>
              <w:adjustRightInd w:val="0"/>
              <w:spacing w:after="0"/>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 xml:space="preserve"> -38.930</w:t>
            </w:r>
          </w:p>
        </w:tc>
        <w:tc>
          <w:tcPr>
            <w:tcW w:w="1248" w:type="dxa"/>
            <w:tcBorders>
              <w:top w:val="nil"/>
              <w:left w:val="nil"/>
              <w:bottom w:val="nil"/>
              <w:right w:val="nil"/>
            </w:tcBorders>
          </w:tcPr>
          <w:p w14:paraId="1B95B4FE" w14:textId="77777777" w:rsidR="00FA14FE" w:rsidRPr="00DE13EE" w:rsidRDefault="00FA14FE" w:rsidP="009D0993">
            <w:pPr>
              <w:widowControl w:val="0"/>
              <w:autoSpaceDE w:val="0"/>
              <w:autoSpaceDN w:val="0"/>
              <w:adjustRightInd w:val="0"/>
              <w:spacing w:after="0"/>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73.830</w:t>
            </w:r>
          </w:p>
        </w:tc>
      </w:tr>
      <w:tr w:rsidR="00DE13EE" w:rsidRPr="00DE13EE" w14:paraId="71158EE5" w14:textId="77777777" w:rsidTr="009D0993">
        <w:trPr>
          <w:trHeight w:val="242"/>
        </w:trPr>
        <w:tc>
          <w:tcPr>
            <w:tcW w:w="4124" w:type="dxa"/>
            <w:gridSpan w:val="4"/>
            <w:tcBorders>
              <w:top w:val="nil"/>
              <w:left w:val="nil"/>
              <w:bottom w:val="nil"/>
              <w:right w:val="nil"/>
            </w:tcBorders>
            <w:shd w:val="clear" w:color="auto" w:fill="auto"/>
            <w:vAlign w:val="center"/>
          </w:tcPr>
          <w:p w14:paraId="02EBE08B" w14:textId="77777777" w:rsidR="00FA14FE" w:rsidRPr="00DE13EE" w:rsidRDefault="00FA14FE" w:rsidP="009D0993">
            <w:pPr>
              <w:widowControl w:val="0"/>
              <w:autoSpaceDE w:val="0"/>
              <w:autoSpaceDN w:val="0"/>
              <w:adjustRightInd w:val="0"/>
              <w:spacing w:after="0"/>
              <w:rPr>
                <w:rFonts w:ascii="Times New Roman" w:hAnsi="Times New Roman" w:cs="Times New Roman"/>
                <w:i/>
                <w:color w:val="000000" w:themeColor="text1"/>
                <w:sz w:val="20"/>
                <w:szCs w:val="20"/>
              </w:rPr>
            </w:pPr>
            <w:r w:rsidRPr="00DE13EE">
              <w:rPr>
                <w:rFonts w:ascii="Times New Roman" w:hAnsi="Times New Roman" w:cs="Times New Roman"/>
                <w:color w:val="000000" w:themeColor="text1"/>
                <w:sz w:val="20"/>
                <w:szCs w:val="20"/>
              </w:rPr>
              <w:t>Capital expenditure [CAPEX]</w:t>
            </w:r>
          </w:p>
        </w:tc>
        <w:tc>
          <w:tcPr>
            <w:tcW w:w="1376" w:type="dxa"/>
            <w:gridSpan w:val="2"/>
            <w:tcBorders>
              <w:top w:val="nil"/>
              <w:left w:val="nil"/>
              <w:bottom w:val="nil"/>
              <w:right w:val="nil"/>
            </w:tcBorders>
          </w:tcPr>
          <w:p w14:paraId="2E11E1FB" w14:textId="77777777" w:rsidR="00FA14FE" w:rsidRPr="00DE13EE" w:rsidRDefault="00FA14FE" w:rsidP="009D0993">
            <w:pPr>
              <w:widowControl w:val="0"/>
              <w:autoSpaceDE w:val="0"/>
              <w:autoSpaceDN w:val="0"/>
              <w:adjustRightInd w:val="0"/>
              <w:spacing w:after="0"/>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5.655</w:t>
            </w:r>
          </w:p>
        </w:tc>
        <w:tc>
          <w:tcPr>
            <w:tcW w:w="1604" w:type="dxa"/>
            <w:gridSpan w:val="3"/>
            <w:tcBorders>
              <w:top w:val="nil"/>
              <w:left w:val="nil"/>
              <w:bottom w:val="nil"/>
              <w:right w:val="nil"/>
            </w:tcBorders>
          </w:tcPr>
          <w:p w14:paraId="7F171779" w14:textId="77777777" w:rsidR="00FA14FE" w:rsidRPr="00DE13EE" w:rsidRDefault="00FA14FE" w:rsidP="009D0993">
            <w:pPr>
              <w:widowControl w:val="0"/>
              <w:autoSpaceDE w:val="0"/>
              <w:autoSpaceDN w:val="0"/>
              <w:adjustRightInd w:val="0"/>
              <w:spacing w:after="0"/>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5.242</w:t>
            </w:r>
          </w:p>
        </w:tc>
        <w:tc>
          <w:tcPr>
            <w:tcW w:w="1396" w:type="dxa"/>
            <w:gridSpan w:val="3"/>
            <w:tcBorders>
              <w:top w:val="nil"/>
              <w:left w:val="nil"/>
              <w:bottom w:val="nil"/>
              <w:right w:val="nil"/>
            </w:tcBorders>
          </w:tcPr>
          <w:p w14:paraId="33EC8421" w14:textId="77777777" w:rsidR="00FA14FE" w:rsidRPr="00DE13EE" w:rsidRDefault="00FA14FE" w:rsidP="009D0993">
            <w:pPr>
              <w:widowControl w:val="0"/>
              <w:autoSpaceDE w:val="0"/>
              <w:autoSpaceDN w:val="0"/>
              <w:adjustRightInd w:val="0"/>
              <w:spacing w:after="0"/>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 xml:space="preserve"> 0.150</w:t>
            </w:r>
          </w:p>
        </w:tc>
        <w:tc>
          <w:tcPr>
            <w:tcW w:w="1248" w:type="dxa"/>
            <w:tcBorders>
              <w:top w:val="nil"/>
              <w:left w:val="nil"/>
              <w:bottom w:val="nil"/>
              <w:right w:val="nil"/>
            </w:tcBorders>
          </w:tcPr>
          <w:p w14:paraId="1395B38B" w14:textId="77777777" w:rsidR="00FA14FE" w:rsidRPr="00DE13EE" w:rsidRDefault="00FA14FE" w:rsidP="009D0993">
            <w:pPr>
              <w:widowControl w:val="0"/>
              <w:autoSpaceDE w:val="0"/>
              <w:autoSpaceDN w:val="0"/>
              <w:adjustRightInd w:val="0"/>
              <w:spacing w:after="0"/>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27.970</w:t>
            </w:r>
          </w:p>
        </w:tc>
      </w:tr>
      <w:tr w:rsidR="00DE13EE" w:rsidRPr="00DE13EE" w14:paraId="7A0165C6" w14:textId="77777777" w:rsidTr="009D0993">
        <w:trPr>
          <w:trHeight w:val="242"/>
        </w:trPr>
        <w:tc>
          <w:tcPr>
            <w:tcW w:w="4124" w:type="dxa"/>
            <w:gridSpan w:val="4"/>
            <w:tcBorders>
              <w:top w:val="nil"/>
              <w:left w:val="nil"/>
              <w:bottom w:val="single" w:sz="4" w:space="0" w:color="auto"/>
              <w:right w:val="nil"/>
            </w:tcBorders>
            <w:shd w:val="clear" w:color="auto" w:fill="auto"/>
            <w:vAlign w:val="center"/>
          </w:tcPr>
          <w:p w14:paraId="6317D842" w14:textId="77777777" w:rsidR="00FA14FE" w:rsidRPr="00DE13EE" w:rsidRDefault="00FA14FE" w:rsidP="009D0993">
            <w:pPr>
              <w:widowControl w:val="0"/>
              <w:autoSpaceDE w:val="0"/>
              <w:autoSpaceDN w:val="0"/>
              <w:adjustRightInd w:val="0"/>
              <w:spacing w:after="0"/>
              <w:rPr>
                <w:rFonts w:ascii="Times New Roman" w:hAnsi="Times New Roman" w:cs="Times New Roman"/>
                <w:i/>
                <w:color w:val="000000" w:themeColor="text1"/>
                <w:sz w:val="20"/>
                <w:szCs w:val="20"/>
              </w:rPr>
            </w:pPr>
            <w:r w:rsidRPr="00DE13EE">
              <w:rPr>
                <w:rFonts w:ascii="Times New Roman" w:hAnsi="Times New Roman" w:cs="Times New Roman"/>
                <w:color w:val="000000" w:themeColor="text1"/>
                <w:sz w:val="20"/>
                <w:szCs w:val="20"/>
              </w:rPr>
              <w:t xml:space="preserve">Length of narrative document [LNGTH] </w:t>
            </w:r>
          </w:p>
        </w:tc>
        <w:tc>
          <w:tcPr>
            <w:tcW w:w="1376" w:type="dxa"/>
            <w:gridSpan w:val="2"/>
            <w:tcBorders>
              <w:top w:val="nil"/>
              <w:left w:val="nil"/>
              <w:bottom w:val="single" w:sz="4" w:space="0" w:color="auto"/>
              <w:right w:val="nil"/>
            </w:tcBorders>
          </w:tcPr>
          <w:p w14:paraId="24D03990" w14:textId="77777777" w:rsidR="00FA14FE" w:rsidRPr="00DE13EE" w:rsidRDefault="00FA14FE" w:rsidP="009D0993">
            <w:pPr>
              <w:widowControl w:val="0"/>
              <w:autoSpaceDE w:val="0"/>
              <w:autoSpaceDN w:val="0"/>
              <w:adjustRightInd w:val="0"/>
              <w:spacing w:after="0"/>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431.573</w:t>
            </w:r>
          </w:p>
        </w:tc>
        <w:tc>
          <w:tcPr>
            <w:tcW w:w="1604" w:type="dxa"/>
            <w:gridSpan w:val="3"/>
            <w:tcBorders>
              <w:top w:val="nil"/>
              <w:left w:val="nil"/>
              <w:bottom w:val="single" w:sz="4" w:space="0" w:color="auto"/>
              <w:right w:val="nil"/>
            </w:tcBorders>
          </w:tcPr>
          <w:p w14:paraId="633D1E21" w14:textId="77777777" w:rsidR="00FA14FE" w:rsidRPr="00DE13EE" w:rsidRDefault="00FA14FE" w:rsidP="009D0993">
            <w:pPr>
              <w:widowControl w:val="0"/>
              <w:autoSpaceDE w:val="0"/>
              <w:autoSpaceDN w:val="0"/>
              <w:adjustRightInd w:val="0"/>
              <w:spacing w:after="0"/>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640.902</w:t>
            </w:r>
          </w:p>
        </w:tc>
        <w:tc>
          <w:tcPr>
            <w:tcW w:w="1396" w:type="dxa"/>
            <w:gridSpan w:val="3"/>
            <w:tcBorders>
              <w:top w:val="nil"/>
              <w:left w:val="nil"/>
              <w:bottom w:val="single" w:sz="4" w:space="0" w:color="auto"/>
              <w:right w:val="nil"/>
            </w:tcBorders>
          </w:tcPr>
          <w:p w14:paraId="3AB9C981" w14:textId="77777777" w:rsidR="00FA14FE" w:rsidRPr="00DE13EE" w:rsidRDefault="00FA14FE" w:rsidP="009D0993">
            <w:pPr>
              <w:widowControl w:val="0"/>
              <w:autoSpaceDE w:val="0"/>
              <w:autoSpaceDN w:val="0"/>
              <w:adjustRightInd w:val="0"/>
              <w:spacing w:after="0"/>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10.000</w:t>
            </w:r>
          </w:p>
        </w:tc>
        <w:tc>
          <w:tcPr>
            <w:tcW w:w="1248" w:type="dxa"/>
            <w:tcBorders>
              <w:top w:val="nil"/>
              <w:left w:val="nil"/>
              <w:bottom w:val="single" w:sz="4" w:space="0" w:color="auto"/>
              <w:right w:val="nil"/>
            </w:tcBorders>
          </w:tcPr>
          <w:p w14:paraId="04743AD3" w14:textId="77777777" w:rsidR="00FA14FE" w:rsidRPr="00DE13EE" w:rsidRDefault="00FA14FE" w:rsidP="009D0993">
            <w:pPr>
              <w:widowControl w:val="0"/>
              <w:autoSpaceDE w:val="0"/>
              <w:autoSpaceDN w:val="0"/>
              <w:adjustRightInd w:val="0"/>
              <w:spacing w:after="0"/>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7835.000</w:t>
            </w:r>
          </w:p>
        </w:tc>
      </w:tr>
      <w:tr w:rsidR="00DE13EE" w:rsidRPr="00DE13EE" w14:paraId="7B84A160" w14:textId="77777777" w:rsidTr="009D0993">
        <w:trPr>
          <w:trHeight w:val="242"/>
        </w:trPr>
        <w:tc>
          <w:tcPr>
            <w:tcW w:w="9748" w:type="dxa"/>
            <w:gridSpan w:val="13"/>
            <w:tcBorders>
              <w:left w:val="nil"/>
              <w:bottom w:val="single" w:sz="4" w:space="0" w:color="auto"/>
              <w:right w:val="nil"/>
            </w:tcBorders>
            <w:shd w:val="clear" w:color="auto" w:fill="auto"/>
            <w:vAlign w:val="center"/>
          </w:tcPr>
          <w:p w14:paraId="22AA54D1" w14:textId="77777777" w:rsidR="00FA14FE" w:rsidRPr="00DE13EE" w:rsidRDefault="00FA14FE" w:rsidP="009D0993">
            <w:pPr>
              <w:widowControl w:val="0"/>
              <w:autoSpaceDE w:val="0"/>
              <w:autoSpaceDN w:val="0"/>
              <w:adjustRightInd w:val="0"/>
              <w:spacing w:after="0"/>
              <w:rPr>
                <w:rFonts w:ascii="Times New Roman" w:hAnsi="Times New Roman" w:cs="Times New Roman"/>
                <w:color w:val="000000" w:themeColor="text1"/>
                <w:sz w:val="26"/>
                <w:szCs w:val="20"/>
              </w:rPr>
            </w:pPr>
          </w:p>
        </w:tc>
      </w:tr>
      <w:tr w:rsidR="00DE13EE" w:rsidRPr="00DE13EE" w14:paraId="0932D6E9" w14:textId="77777777" w:rsidTr="009D0993">
        <w:trPr>
          <w:trHeight w:val="242"/>
        </w:trPr>
        <w:tc>
          <w:tcPr>
            <w:tcW w:w="9748" w:type="dxa"/>
            <w:gridSpan w:val="13"/>
            <w:tcBorders>
              <w:left w:val="nil"/>
              <w:bottom w:val="single" w:sz="4" w:space="0" w:color="auto"/>
              <w:right w:val="nil"/>
            </w:tcBorders>
            <w:shd w:val="clear" w:color="auto" w:fill="auto"/>
            <w:vAlign w:val="center"/>
          </w:tcPr>
          <w:p w14:paraId="2A2FDCB5" w14:textId="77777777" w:rsidR="00FA14FE" w:rsidRPr="00DE13EE" w:rsidRDefault="00FA14FE" w:rsidP="009D0993">
            <w:pPr>
              <w:widowControl w:val="0"/>
              <w:autoSpaceDE w:val="0"/>
              <w:autoSpaceDN w:val="0"/>
              <w:adjustRightInd w:val="0"/>
              <w:spacing w:after="0"/>
              <w:rPr>
                <w:rFonts w:ascii="Times New Roman" w:hAnsi="Times New Roman" w:cs="Times New Roman"/>
                <w:b/>
                <w:color w:val="000000" w:themeColor="text1"/>
                <w:sz w:val="20"/>
                <w:szCs w:val="20"/>
              </w:rPr>
            </w:pPr>
            <w:r w:rsidRPr="00DE13EE">
              <w:rPr>
                <w:rFonts w:ascii="Times New Roman" w:hAnsi="Times New Roman" w:cs="Times New Roman"/>
                <w:b/>
                <w:color w:val="000000" w:themeColor="text1"/>
                <w:sz w:val="20"/>
                <w:szCs w:val="20"/>
              </w:rPr>
              <w:t>Panel B: Frequencies- Dummy variables</w:t>
            </w:r>
          </w:p>
        </w:tc>
      </w:tr>
      <w:tr w:rsidR="00DE13EE" w:rsidRPr="00DE13EE" w14:paraId="676432D2" w14:textId="77777777" w:rsidTr="009D0993">
        <w:trPr>
          <w:trHeight w:val="242"/>
        </w:trPr>
        <w:tc>
          <w:tcPr>
            <w:tcW w:w="3513" w:type="dxa"/>
            <w:gridSpan w:val="3"/>
            <w:tcBorders>
              <w:left w:val="nil"/>
              <w:bottom w:val="single" w:sz="4" w:space="0" w:color="auto"/>
              <w:right w:val="nil"/>
            </w:tcBorders>
            <w:shd w:val="clear" w:color="auto" w:fill="auto"/>
            <w:vAlign w:val="center"/>
          </w:tcPr>
          <w:p w14:paraId="7E6B633C" w14:textId="77777777" w:rsidR="00FA14FE" w:rsidRPr="00DE13EE" w:rsidRDefault="00FA14FE" w:rsidP="009D0993">
            <w:pPr>
              <w:widowControl w:val="0"/>
              <w:autoSpaceDE w:val="0"/>
              <w:autoSpaceDN w:val="0"/>
              <w:adjustRightInd w:val="0"/>
              <w:spacing w:after="0"/>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Variable</w:t>
            </w:r>
          </w:p>
        </w:tc>
        <w:tc>
          <w:tcPr>
            <w:tcW w:w="1987" w:type="dxa"/>
            <w:gridSpan w:val="3"/>
            <w:tcBorders>
              <w:left w:val="nil"/>
              <w:bottom w:val="single" w:sz="4" w:space="0" w:color="auto"/>
              <w:right w:val="nil"/>
            </w:tcBorders>
          </w:tcPr>
          <w:p w14:paraId="78CAF6A5" w14:textId="77777777" w:rsidR="00FA14FE" w:rsidRPr="00DE13EE" w:rsidRDefault="00FA14FE" w:rsidP="009D0993">
            <w:pPr>
              <w:widowControl w:val="0"/>
              <w:autoSpaceDE w:val="0"/>
              <w:autoSpaceDN w:val="0"/>
              <w:adjustRightInd w:val="0"/>
              <w:spacing w:after="0"/>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Dummies</w:t>
            </w:r>
          </w:p>
        </w:tc>
        <w:tc>
          <w:tcPr>
            <w:tcW w:w="1974" w:type="dxa"/>
            <w:gridSpan w:val="4"/>
            <w:tcBorders>
              <w:left w:val="nil"/>
              <w:bottom w:val="single" w:sz="4" w:space="0" w:color="auto"/>
              <w:right w:val="nil"/>
            </w:tcBorders>
          </w:tcPr>
          <w:p w14:paraId="1D650FE7" w14:textId="77777777" w:rsidR="00FA14FE" w:rsidRPr="00DE13EE" w:rsidRDefault="00FA14FE" w:rsidP="009D0993">
            <w:pPr>
              <w:widowControl w:val="0"/>
              <w:autoSpaceDE w:val="0"/>
              <w:autoSpaceDN w:val="0"/>
              <w:adjustRightInd w:val="0"/>
              <w:spacing w:after="0"/>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Freq.</w:t>
            </w:r>
          </w:p>
        </w:tc>
        <w:tc>
          <w:tcPr>
            <w:tcW w:w="2274" w:type="dxa"/>
            <w:gridSpan w:val="3"/>
            <w:tcBorders>
              <w:left w:val="nil"/>
              <w:bottom w:val="single" w:sz="4" w:space="0" w:color="auto"/>
              <w:right w:val="nil"/>
            </w:tcBorders>
          </w:tcPr>
          <w:p w14:paraId="491FE36A" w14:textId="77777777" w:rsidR="00FA14FE" w:rsidRPr="00DE13EE" w:rsidRDefault="00FA14FE" w:rsidP="009D0993">
            <w:pPr>
              <w:widowControl w:val="0"/>
              <w:autoSpaceDE w:val="0"/>
              <w:autoSpaceDN w:val="0"/>
              <w:adjustRightInd w:val="0"/>
              <w:spacing w:after="0"/>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Percent</w:t>
            </w:r>
          </w:p>
        </w:tc>
      </w:tr>
      <w:tr w:rsidR="00DE13EE" w:rsidRPr="00DE13EE" w14:paraId="2F87060E" w14:textId="77777777" w:rsidTr="009D0993">
        <w:trPr>
          <w:trHeight w:val="242"/>
        </w:trPr>
        <w:tc>
          <w:tcPr>
            <w:tcW w:w="3513" w:type="dxa"/>
            <w:gridSpan w:val="3"/>
            <w:vMerge w:val="restart"/>
            <w:tcBorders>
              <w:left w:val="nil"/>
              <w:right w:val="nil"/>
            </w:tcBorders>
            <w:shd w:val="clear" w:color="auto" w:fill="auto"/>
            <w:vAlign w:val="center"/>
          </w:tcPr>
          <w:p w14:paraId="09FE8FEA" w14:textId="77777777" w:rsidR="00FA14FE" w:rsidRPr="00DE13EE" w:rsidRDefault="00FA14FE" w:rsidP="009D0993">
            <w:pPr>
              <w:widowControl w:val="0"/>
              <w:autoSpaceDE w:val="0"/>
              <w:autoSpaceDN w:val="0"/>
              <w:adjustRightInd w:val="0"/>
              <w:spacing w:after="0"/>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 xml:space="preserve">Auditor size </w:t>
            </w:r>
          </w:p>
        </w:tc>
        <w:tc>
          <w:tcPr>
            <w:tcW w:w="1987" w:type="dxa"/>
            <w:gridSpan w:val="3"/>
            <w:tcBorders>
              <w:left w:val="nil"/>
              <w:right w:val="nil"/>
            </w:tcBorders>
          </w:tcPr>
          <w:p w14:paraId="05E3AD86" w14:textId="77777777" w:rsidR="00FA14FE" w:rsidRPr="00DE13EE" w:rsidRDefault="00FA14FE" w:rsidP="009D0993">
            <w:pPr>
              <w:widowControl w:val="0"/>
              <w:autoSpaceDE w:val="0"/>
              <w:autoSpaceDN w:val="0"/>
              <w:adjustRightInd w:val="0"/>
              <w:spacing w:after="0"/>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w:t>
            </w:r>
          </w:p>
        </w:tc>
        <w:tc>
          <w:tcPr>
            <w:tcW w:w="1974" w:type="dxa"/>
            <w:gridSpan w:val="4"/>
            <w:tcBorders>
              <w:left w:val="nil"/>
              <w:right w:val="nil"/>
            </w:tcBorders>
          </w:tcPr>
          <w:p w14:paraId="0A8492EC" w14:textId="77777777" w:rsidR="00FA14FE" w:rsidRPr="00DE13EE" w:rsidRDefault="00FA14FE" w:rsidP="009D0993">
            <w:pPr>
              <w:widowControl w:val="0"/>
              <w:autoSpaceDE w:val="0"/>
              <w:autoSpaceDN w:val="0"/>
              <w:adjustRightInd w:val="0"/>
              <w:spacing w:after="0"/>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586</w:t>
            </w:r>
          </w:p>
        </w:tc>
        <w:tc>
          <w:tcPr>
            <w:tcW w:w="2274" w:type="dxa"/>
            <w:gridSpan w:val="3"/>
            <w:tcBorders>
              <w:left w:val="nil"/>
              <w:right w:val="nil"/>
            </w:tcBorders>
          </w:tcPr>
          <w:p w14:paraId="1B0525C7" w14:textId="77777777" w:rsidR="00FA14FE" w:rsidRPr="00DE13EE" w:rsidRDefault="00FA14FE" w:rsidP="009D0993">
            <w:pPr>
              <w:widowControl w:val="0"/>
              <w:autoSpaceDE w:val="0"/>
              <w:autoSpaceDN w:val="0"/>
              <w:adjustRightInd w:val="0"/>
              <w:spacing w:after="0"/>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19.9</w:t>
            </w:r>
          </w:p>
        </w:tc>
      </w:tr>
      <w:tr w:rsidR="00DE13EE" w:rsidRPr="00DE13EE" w14:paraId="6AEA665F" w14:textId="77777777" w:rsidTr="009D0993">
        <w:trPr>
          <w:trHeight w:val="242"/>
        </w:trPr>
        <w:tc>
          <w:tcPr>
            <w:tcW w:w="3513" w:type="dxa"/>
            <w:gridSpan w:val="3"/>
            <w:vMerge/>
            <w:tcBorders>
              <w:left w:val="nil"/>
              <w:bottom w:val="single" w:sz="4" w:space="0" w:color="auto"/>
              <w:right w:val="nil"/>
            </w:tcBorders>
            <w:shd w:val="clear" w:color="auto" w:fill="auto"/>
            <w:vAlign w:val="center"/>
          </w:tcPr>
          <w:p w14:paraId="6A001ADB" w14:textId="77777777" w:rsidR="00FA14FE" w:rsidRPr="00DE13EE" w:rsidRDefault="00FA14FE" w:rsidP="009D0993">
            <w:pPr>
              <w:widowControl w:val="0"/>
              <w:autoSpaceDE w:val="0"/>
              <w:autoSpaceDN w:val="0"/>
              <w:adjustRightInd w:val="0"/>
              <w:spacing w:after="0"/>
              <w:rPr>
                <w:rFonts w:ascii="Times New Roman" w:hAnsi="Times New Roman" w:cs="Times New Roman"/>
                <w:color w:val="000000" w:themeColor="text1"/>
                <w:sz w:val="20"/>
                <w:szCs w:val="20"/>
              </w:rPr>
            </w:pPr>
          </w:p>
        </w:tc>
        <w:tc>
          <w:tcPr>
            <w:tcW w:w="1987" w:type="dxa"/>
            <w:gridSpan w:val="3"/>
            <w:tcBorders>
              <w:left w:val="nil"/>
              <w:bottom w:val="single" w:sz="4" w:space="0" w:color="auto"/>
              <w:right w:val="nil"/>
            </w:tcBorders>
          </w:tcPr>
          <w:p w14:paraId="2113203F" w14:textId="77777777" w:rsidR="00FA14FE" w:rsidRPr="00DE13EE" w:rsidRDefault="00FA14FE" w:rsidP="009D0993">
            <w:pPr>
              <w:widowControl w:val="0"/>
              <w:autoSpaceDE w:val="0"/>
              <w:autoSpaceDN w:val="0"/>
              <w:adjustRightInd w:val="0"/>
              <w:spacing w:after="0"/>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1</w:t>
            </w:r>
          </w:p>
        </w:tc>
        <w:tc>
          <w:tcPr>
            <w:tcW w:w="1974" w:type="dxa"/>
            <w:gridSpan w:val="4"/>
            <w:tcBorders>
              <w:left w:val="nil"/>
              <w:bottom w:val="single" w:sz="4" w:space="0" w:color="auto"/>
              <w:right w:val="nil"/>
            </w:tcBorders>
          </w:tcPr>
          <w:p w14:paraId="75C8DECF" w14:textId="77777777" w:rsidR="00FA14FE" w:rsidRPr="00DE13EE" w:rsidRDefault="00FA14FE" w:rsidP="009D0993">
            <w:pPr>
              <w:widowControl w:val="0"/>
              <w:autoSpaceDE w:val="0"/>
              <w:autoSpaceDN w:val="0"/>
              <w:adjustRightInd w:val="0"/>
              <w:spacing w:after="0"/>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2346</w:t>
            </w:r>
          </w:p>
        </w:tc>
        <w:tc>
          <w:tcPr>
            <w:tcW w:w="2274" w:type="dxa"/>
            <w:gridSpan w:val="3"/>
            <w:tcBorders>
              <w:left w:val="nil"/>
              <w:bottom w:val="single" w:sz="4" w:space="0" w:color="auto"/>
              <w:right w:val="nil"/>
            </w:tcBorders>
          </w:tcPr>
          <w:p w14:paraId="3618A7CE" w14:textId="77777777" w:rsidR="00FA14FE" w:rsidRPr="00DE13EE" w:rsidRDefault="00FA14FE" w:rsidP="009D0993">
            <w:pPr>
              <w:widowControl w:val="0"/>
              <w:autoSpaceDE w:val="0"/>
              <w:autoSpaceDN w:val="0"/>
              <w:adjustRightInd w:val="0"/>
              <w:spacing w:after="0"/>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80.01</w:t>
            </w:r>
          </w:p>
        </w:tc>
      </w:tr>
      <w:tr w:rsidR="00DE13EE" w:rsidRPr="00DE13EE" w14:paraId="146D6CEC" w14:textId="77777777" w:rsidTr="009D0993">
        <w:trPr>
          <w:trHeight w:val="242"/>
        </w:trPr>
        <w:tc>
          <w:tcPr>
            <w:tcW w:w="9748" w:type="dxa"/>
            <w:gridSpan w:val="13"/>
            <w:tcBorders>
              <w:left w:val="nil"/>
              <w:bottom w:val="single" w:sz="4" w:space="0" w:color="auto"/>
              <w:right w:val="nil"/>
            </w:tcBorders>
            <w:shd w:val="clear" w:color="auto" w:fill="auto"/>
            <w:vAlign w:val="center"/>
          </w:tcPr>
          <w:p w14:paraId="3D6630DD" w14:textId="77777777" w:rsidR="00FA14FE" w:rsidRPr="00DE13EE" w:rsidRDefault="00FA14FE" w:rsidP="009D0993">
            <w:pPr>
              <w:widowControl w:val="0"/>
              <w:autoSpaceDE w:val="0"/>
              <w:autoSpaceDN w:val="0"/>
              <w:adjustRightInd w:val="0"/>
              <w:spacing w:after="0"/>
              <w:rPr>
                <w:rFonts w:ascii="Times New Roman" w:hAnsi="Times New Roman" w:cs="Times New Roman"/>
                <w:color w:val="000000" w:themeColor="text1"/>
                <w:sz w:val="26"/>
                <w:szCs w:val="20"/>
              </w:rPr>
            </w:pPr>
          </w:p>
        </w:tc>
      </w:tr>
      <w:tr w:rsidR="00DE13EE" w:rsidRPr="00DE13EE" w14:paraId="07156701" w14:textId="77777777" w:rsidTr="009D0993">
        <w:trPr>
          <w:trHeight w:val="242"/>
        </w:trPr>
        <w:tc>
          <w:tcPr>
            <w:tcW w:w="9748" w:type="dxa"/>
            <w:gridSpan w:val="13"/>
            <w:tcBorders>
              <w:left w:val="nil"/>
              <w:bottom w:val="single" w:sz="4" w:space="0" w:color="auto"/>
              <w:right w:val="nil"/>
            </w:tcBorders>
            <w:shd w:val="clear" w:color="auto" w:fill="auto"/>
            <w:vAlign w:val="center"/>
          </w:tcPr>
          <w:p w14:paraId="44F85D05" w14:textId="77777777" w:rsidR="00FA14FE" w:rsidRPr="00DE13EE" w:rsidRDefault="00FA14FE" w:rsidP="009D0993">
            <w:pPr>
              <w:widowControl w:val="0"/>
              <w:autoSpaceDE w:val="0"/>
              <w:autoSpaceDN w:val="0"/>
              <w:adjustRightInd w:val="0"/>
              <w:spacing w:after="0"/>
              <w:rPr>
                <w:rFonts w:ascii="Times New Roman" w:hAnsi="Times New Roman" w:cs="Times New Roman"/>
                <w:b/>
                <w:color w:val="000000" w:themeColor="text1"/>
                <w:sz w:val="20"/>
                <w:szCs w:val="20"/>
              </w:rPr>
            </w:pPr>
            <w:r w:rsidRPr="00DE13EE">
              <w:rPr>
                <w:rFonts w:ascii="Times New Roman" w:hAnsi="Times New Roman" w:cs="Times New Roman"/>
                <w:b/>
                <w:color w:val="000000" w:themeColor="text1"/>
                <w:sz w:val="20"/>
                <w:szCs w:val="20"/>
              </w:rPr>
              <w:t xml:space="preserve">Panel C: Differences based on auditor size and firm performance   </w:t>
            </w:r>
          </w:p>
        </w:tc>
      </w:tr>
      <w:tr w:rsidR="00DE13EE" w:rsidRPr="00DE13EE" w14:paraId="6CEC3D41" w14:textId="77777777" w:rsidTr="009D0993">
        <w:trPr>
          <w:trHeight w:val="266"/>
        </w:trPr>
        <w:tc>
          <w:tcPr>
            <w:tcW w:w="2175" w:type="dxa"/>
            <w:vMerge w:val="restart"/>
            <w:tcBorders>
              <w:left w:val="nil"/>
              <w:right w:val="nil"/>
            </w:tcBorders>
            <w:shd w:val="clear" w:color="auto" w:fill="auto"/>
          </w:tcPr>
          <w:p w14:paraId="5B1D5133" w14:textId="77777777" w:rsidR="00FA14FE" w:rsidRPr="00DE13EE" w:rsidRDefault="00FA14FE" w:rsidP="009D0993">
            <w:pPr>
              <w:widowControl w:val="0"/>
              <w:autoSpaceDE w:val="0"/>
              <w:autoSpaceDN w:val="0"/>
              <w:adjustRightInd w:val="0"/>
              <w:spacing w:after="0" w:line="240" w:lineRule="auto"/>
              <w:rPr>
                <w:rFonts w:ascii="Times New Roman" w:hAnsi="Times New Roman" w:cs="Times New Roman"/>
                <w:color w:val="000000" w:themeColor="text1"/>
                <w:sz w:val="20"/>
                <w:szCs w:val="20"/>
              </w:rPr>
            </w:pPr>
          </w:p>
        </w:tc>
        <w:tc>
          <w:tcPr>
            <w:tcW w:w="3354" w:type="dxa"/>
            <w:gridSpan w:val="6"/>
            <w:tcBorders>
              <w:left w:val="nil"/>
              <w:right w:val="nil"/>
            </w:tcBorders>
            <w:shd w:val="clear" w:color="auto" w:fill="auto"/>
          </w:tcPr>
          <w:p w14:paraId="0EC10871" w14:textId="77777777" w:rsidR="00FA14FE" w:rsidRPr="00DE13EE" w:rsidRDefault="00FA14FE" w:rsidP="009D0993">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 xml:space="preserve">Firm performance  </w:t>
            </w:r>
          </w:p>
        </w:tc>
        <w:tc>
          <w:tcPr>
            <w:tcW w:w="4219" w:type="dxa"/>
            <w:gridSpan w:val="6"/>
            <w:tcBorders>
              <w:left w:val="nil"/>
              <w:bottom w:val="single" w:sz="4" w:space="0" w:color="auto"/>
              <w:right w:val="nil"/>
            </w:tcBorders>
            <w:shd w:val="clear" w:color="auto" w:fill="auto"/>
          </w:tcPr>
          <w:p w14:paraId="1E6D94A5" w14:textId="77777777" w:rsidR="00FA14FE" w:rsidRPr="00DE13EE" w:rsidRDefault="00FA14FE" w:rsidP="009D0993">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 xml:space="preserve">Audit firm size </w:t>
            </w:r>
          </w:p>
        </w:tc>
      </w:tr>
      <w:tr w:rsidR="00DE13EE" w:rsidRPr="00DE13EE" w14:paraId="42A50FB2" w14:textId="77777777" w:rsidTr="009D0993">
        <w:trPr>
          <w:trHeight w:val="250"/>
        </w:trPr>
        <w:tc>
          <w:tcPr>
            <w:tcW w:w="2175" w:type="dxa"/>
            <w:vMerge/>
            <w:tcBorders>
              <w:left w:val="nil"/>
              <w:right w:val="nil"/>
            </w:tcBorders>
            <w:shd w:val="clear" w:color="auto" w:fill="auto"/>
          </w:tcPr>
          <w:p w14:paraId="3DF6D31C" w14:textId="77777777" w:rsidR="00FA14FE" w:rsidRPr="00DE13EE" w:rsidRDefault="00FA14FE" w:rsidP="009D0993">
            <w:pPr>
              <w:widowControl w:val="0"/>
              <w:autoSpaceDE w:val="0"/>
              <w:autoSpaceDN w:val="0"/>
              <w:adjustRightInd w:val="0"/>
              <w:spacing w:after="0" w:line="240" w:lineRule="auto"/>
              <w:rPr>
                <w:rFonts w:ascii="Times New Roman" w:hAnsi="Times New Roman" w:cs="Times New Roman"/>
                <w:color w:val="000000" w:themeColor="text1"/>
                <w:sz w:val="20"/>
                <w:szCs w:val="20"/>
              </w:rPr>
            </w:pPr>
          </w:p>
        </w:tc>
        <w:tc>
          <w:tcPr>
            <w:tcW w:w="987" w:type="dxa"/>
            <w:tcBorders>
              <w:left w:val="nil"/>
              <w:bottom w:val="single" w:sz="4" w:space="0" w:color="auto"/>
              <w:right w:val="nil"/>
            </w:tcBorders>
            <w:shd w:val="clear" w:color="auto" w:fill="auto"/>
          </w:tcPr>
          <w:p w14:paraId="410DB39C" w14:textId="77777777" w:rsidR="00FA14FE" w:rsidRPr="00DE13EE" w:rsidRDefault="00FA14FE" w:rsidP="009D0993">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 xml:space="preserve">High </w:t>
            </w:r>
          </w:p>
        </w:tc>
        <w:tc>
          <w:tcPr>
            <w:tcW w:w="1091" w:type="dxa"/>
            <w:gridSpan w:val="3"/>
            <w:tcBorders>
              <w:left w:val="nil"/>
              <w:bottom w:val="single" w:sz="4" w:space="0" w:color="auto"/>
              <w:right w:val="nil"/>
            </w:tcBorders>
            <w:shd w:val="clear" w:color="auto" w:fill="auto"/>
          </w:tcPr>
          <w:p w14:paraId="45B04ABA" w14:textId="77777777" w:rsidR="00FA14FE" w:rsidRPr="00DE13EE" w:rsidRDefault="00FA14FE" w:rsidP="009D0993">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 xml:space="preserve">Low </w:t>
            </w:r>
          </w:p>
        </w:tc>
        <w:tc>
          <w:tcPr>
            <w:tcW w:w="1276" w:type="dxa"/>
            <w:gridSpan w:val="2"/>
            <w:vMerge w:val="restart"/>
            <w:tcBorders>
              <w:left w:val="nil"/>
              <w:right w:val="nil"/>
            </w:tcBorders>
            <w:shd w:val="clear" w:color="auto" w:fill="auto"/>
          </w:tcPr>
          <w:p w14:paraId="172FA05B" w14:textId="77777777" w:rsidR="00FA14FE" w:rsidRPr="00DE13EE" w:rsidRDefault="00FA14FE" w:rsidP="009D0993">
            <w:pPr>
              <w:widowControl w:val="0"/>
              <w:autoSpaceDE w:val="0"/>
              <w:autoSpaceDN w:val="0"/>
              <w:adjustRightInd w:val="0"/>
              <w:spacing w:after="0" w:line="240" w:lineRule="auto"/>
              <w:rPr>
                <w:rFonts w:ascii="Times New Roman" w:hAnsi="Times New Roman" w:cs="Times New Roman"/>
                <w:i/>
                <w:iCs/>
                <w:color w:val="000000" w:themeColor="text1"/>
                <w:sz w:val="20"/>
                <w:szCs w:val="20"/>
              </w:rPr>
            </w:pPr>
            <w:r w:rsidRPr="00DE13EE">
              <w:rPr>
                <w:rFonts w:ascii="Times New Roman" w:hAnsi="Times New Roman" w:cs="Times New Roman"/>
                <w:i/>
                <w:iCs/>
                <w:color w:val="000000" w:themeColor="text1"/>
                <w:sz w:val="20"/>
                <w:szCs w:val="20"/>
              </w:rPr>
              <w:t>t-statistics</w:t>
            </w:r>
          </w:p>
          <w:p w14:paraId="19279449" w14:textId="77777777" w:rsidR="00FA14FE" w:rsidRPr="00DE13EE" w:rsidRDefault="00FA14FE" w:rsidP="009D0993">
            <w:pPr>
              <w:widowControl w:val="0"/>
              <w:autoSpaceDE w:val="0"/>
              <w:autoSpaceDN w:val="0"/>
              <w:adjustRightInd w:val="0"/>
              <w:spacing w:after="0" w:line="240" w:lineRule="auto"/>
              <w:rPr>
                <w:rFonts w:ascii="Times New Roman" w:hAnsi="Times New Roman" w:cs="Times New Roman"/>
                <w:i/>
                <w:color w:val="000000" w:themeColor="text1"/>
                <w:sz w:val="20"/>
                <w:szCs w:val="20"/>
              </w:rPr>
            </w:pPr>
            <w:r w:rsidRPr="00DE13EE">
              <w:rPr>
                <w:rFonts w:ascii="Times New Roman" w:hAnsi="Times New Roman" w:cs="Times New Roman"/>
                <w:i/>
                <w:iCs/>
                <w:color w:val="000000" w:themeColor="text1"/>
                <w:sz w:val="20"/>
                <w:szCs w:val="20"/>
              </w:rPr>
              <w:t>(Obs)</w:t>
            </w:r>
          </w:p>
        </w:tc>
        <w:tc>
          <w:tcPr>
            <w:tcW w:w="1134" w:type="dxa"/>
            <w:tcBorders>
              <w:left w:val="nil"/>
              <w:bottom w:val="single" w:sz="4" w:space="0" w:color="auto"/>
              <w:right w:val="nil"/>
            </w:tcBorders>
            <w:shd w:val="clear" w:color="auto" w:fill="auto"/>
          </w:tcPr>
          <w:p w14:paraId="1E70641A" w14:textId="77777777" w:rsidR="00FA14FE" w:rsidRPr="00DE13EE" w:rsidRDefault="00FA14FE" w:rsidP="009D0993">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Big-N</w:t>
            </w:r>
          </w:p>
        </w:tc>
        <w:tc>
          <w:tcPr>
            <w:tcW w:w="1275" w:type="dxa"/>
            <w:gridSpan w:val="3"/>
            <w:tcBorders>
              <w:left w:val="nil"/>
              <w:bottom w:val="single" w:sz="4" w:space="0" w:color="auto"/>
              <w:right w:val="nil"/>
            </w:tcBorders>
            <w:shd w:val="clear" w:color="auto" w:fill="auto"/>
          </w:tcPr>
          <w:p w14:paraId="58BCFA08" w14:textId="77777777" w:rsidR="00FA14FE" w:rsidRPr="00DE13EE" w:rsidRDefault="00FA14FE" w:rsidP="009D0993">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Non Big-N</w:t>
            </w:r>
          </w:p>
        </w:tc>
        <w:tc>
          <w:tcPr>
            <w:tcW w:w="1810" w:type="dxa"/>
            <w:gridSpan w:val="2"/>
            <w:vMerge w:val="restart"/>
            <w:tcBorders>
              <w:left w:val="nil"/>
              <w:right w:val="nil"/>
            </w:tcBorders>
            <w:shd w:val="clear" w:color="auto" w:fill="auto"/>
          </w:tcPr>
          <w:p w14:paraId="64D0F4C6" w14:textId="77777777" w:rsidR="00FA14FE" w:rsidRPr="00DE13EE" w:rsidRDefault="00FA14FE" w:rsidP="009D0993">
            <w:pPr>
              <w:widowControl w:val="0"/>
              <w:autoSpaceDE w:val="0"/>
              <w:autoSpaceDN w:val="0"/>
              <w:adjustRightInd w:val="0"/>
              <w:spacing w:after="0" w:line="240" w:lineRule="auto"/>
              <w:rPr>
                <w:rFonts w:ascii="Times New Roman" w:hAnsi="Times New Roman" w:cs="Times New Roman"/>
                <w:i/>
                <w:iCs/>
                <w:color w:val="000000" w:themeColor="text1"/>
                <w:sz w:val="20"/>
                <w:szCs w:val="20"/>
              </w:rPr>
            </w:pPr>
            <w:r w:rsidRPr="00DE13EE">
              <w:rPr>
                <w:rFonts w:ascii="Times New Roman" w:hAnsi="Times New Roman" w:cs="Times New Roman"/>
                <w:i/>
                <w:iCs/>
                <w:color w:val="000000" w:themeColor="text1"/>
                <w:sz w:val="20"/>
                <w:szCs w:val="20"/>
              </w:rPr>
              <w:t>t-statistics</w:t>
            </w:r>
          </w:p>
          <w:p w14:paraId="3F4B310A" w14:textId="77777777" w:rsidR="00FA14FE" w:rsidRPr="00DE13EE" w:rsidRDefault="00FA14FE" w:rsidP="009D0993">
            <w:pPr>
              <w:widowControl w:val="0"/>
              <w:autoSpaceDE w:val="0"/>
              <w:autoSpaceDN w:val="0"/>
              <w:adjustRightInd w:val="0"/>
              <w:spacing w:after="0" w:line="240" w:lineRule="auto"/>
              <w:rPr>
                <w:rFonts w:ascii="Times New Roman" w:hAnsi="Times New Roman" w:cs="Times New Roman"/>
                <w:i/>
                <w:color w:val="000000" w:themeColor="text1"/>
                <w:sz w:val="20"/>
                <w:szCs w:val="20"/>
              </w:rPr>
            </w:pPr>
            <w:r w:rsidRPr="00DE13EE">
              <w:rPr>
                <w:rFonts w:ascii="Times New Roman" w:hAnsi="Times New Roman" w:cs="Times New Roman"/>
                <w:i/>
                <w:iCs/>
                <w:color w:val="000000" w:themeColor="text1"/>
                <w:sz w:val="20"/>
                <w:szCs w:val="20"/>
              </w:rPr>
              <w:t>(Obs)</w:t>
            </w:r>
          </w:p>
        </w:tc>
      </w:tr>
      <w:tr w:rsidR="00DE13EE" w:rsidRPr="00DE13EE" w14:paraId="4B461327" w14:textId="77777777" w:rsidTr="009D0993">
        <w:trPr>
          <w:trHeight w:val="286"/>
        </w:trPr>
        <w:tc>
          <w:tcPr>
            <w:tcW w:w="2175" w:type="dxa"/>
            <w:vMerge/>
            <w:tcBorders>
              <w:left w:val="nil"/>
              <w:bottom w:val="single" w:sz="4" w:space="0" w:color="auto"/>
              <w:right w:val="nil"/>
            </w:tcBorders>
            <w:shd w:val="clear" w:color="auto" w:fill="auto"/>
          </w:tcPr>
          <w:p w14:paraId="5157E8F1" w14:textId="77777777" w:rsidR="00FA14FE" w:rsidRPr="00DE13EE" w:rsidRDefault="00FA14FE" w:rsidP="009D0993">
            <w:pPr>
              <w:widowControl w:val="0"/>
              <w:autoSpaceDE w:val="0"/>
              <w:autoSpaceDN w:val="0"/>
              <w:adjustRightInd w:val="0"/>
              <w:spacing w:after="0" w:line="240" w:lineRule="auto"/>
              <w:rPr>
                <w:rFonts w:ascii="Times New Roman" w:hAnsi="Times New Roman" w:cs="Times New Roman"/>
                <w:color w:val="000000" w:themeColor="text1"/>
                <w:sz w:val="20"/>
                <w:szCs w:val="20"/>
              </w:rPr>
            </w:pPr>
          </w:p>
        </w:tc>
        <w:tc>
          <w:tcPr>
            <w:tcW w:w="987" w:type="dxa"/>
            <w:tcBorders>
              <w:left w:val="nil"/>
              <w:bottom w:val="single" w:sz="4" w:space="0" w:color="auto"/>
              <w:right w:val="nil"/>
            </w:tcBorders>
            <w:shd w:val="clear" w:color="auto" w:fill="auto"/>
          </w:tcPr>
          <w:p w14:paraId="3490581E" w14:textId="77777777" w:rsidR="00FA14FE" w:rsidRPr="00DE13EE" w:rsidRDefault="00FA14FE" w:rsidP="009D0993">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Mean</w:t>
            </w:r>
          </w:p>
        </w:tc>
        <w:tc>
          <w:tcPr>
            <w:tcW w:w="1091" w:type="dxa"/>
            <w:gridSpan w:val="3"/>
            <w:tcBorders>
              <w:left w:val="nil"/>
              <w:bottom w:val="single" w:sz="4" w:space="0" w:color="auto"/>
              <w:right w:val="nil"/>
            </w:tcBorders>
            <w:shd w:val="clear" w:color="auto" w:fill="auto"/>
          </w:tcPr>
          <w:p w14:paraId="20914653" w14:textId="77777777" w:rsidR="00FA14FE" w:rsidRPr="00DE13EE" w:rsidRDefault="00FA14FE" w:rsidP="009D0993">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Mean</w:t>
            </w:r>
          </w:p>
        </w:tc>
        <w:tc>
          <w:tcPr>
            <w:tcW w:w="1276" w:type="dxa"/>
            <w:gridSpan w:val="2"/>
            <w:vMerge/>
            <w:tcBorders>
              <w:left w:val="nil"/>
              <w:bottom w:val="single" w:sz="4" w:space="0" w:color="auto"/>
              <w:right w:val="nil"/>
            </w:tcBorders>
            <w:shd w:val="clear" w:color="auto" w:fill="auto"/>
          </w:tcPr>
          <w:p w14:paraId="0043A650" w14:textId="77777777" w:rsidR="00FA14FE" w:rsidRPr="00DE13EE" w:rsidRDefault="00FA14FE" w:rsidP="009D0993">
            <w:pPr>
              <w:widowControl w:val="0"/>
              <w:autoSpaceDE w:val="0"/>
              <w:autoSpaceDN w:val="0"/>
              <w:adjustRightInd w:val="0"/>
              <w:spacing w:after="0" w:line="240" w:lineRule="auto"/>
              <w:rPr>
                <w:rFonts w:ascii="Times New Roman" w:hAnsi="Times New Roman" w:cs="Times New Roman"/>
                <w:color w:val="000000" w:themeColor="text1"/>
                <w:sz w:val="20"/>
                <w:szCs w:val="20"/>
              </w:rPr>
            </w:pPr>
          </w:p>
        </w:tc>
        <w:tc>
          <w:tcPr>
            <w:tcW w:w="1134" w:type="dxa"/>
            <w:tcBorders>
              <w:left w:val="nil"/>
              <w:bottom w:val="single" w:sz="4" w:space="0" w:color="auto"/>
              <w:right w:val="nil"/>
            </w:tcBorders>
            <w:shd w:val="clear" w:color="auto" w:fill="auto"/>
          </w:tcPr>
          <w:p w14:paraId="3E4FFB77" w14:textId="77777777" w:rsidR="00FA14FE" w:rsidRPr="00DE13EE" w:rsidRDefault="00FA14FE" w:rsidP="009D0993">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Mean</w:t>
            </w:r>
          </w:p>
        </w:tc>
        <w:tc>
          <w:tcPr>
            <w:tcW w:w="1275" w:type="dxa"/>
            <w:gridSpan w:val="3"/>
            <w:tcBorders>
              <w:left w:val="nil"/>
              <w:bottom w:val="single" w:sz="4" w:space="0" w:color="auto"/>
              <w:right w:val="nil"/>
            </w:tcBorders>
            <w:shd w:val="clear" w:color="auto" w:fill="auto"/>
          </w:tcPr>
          <w:p w14:paraId="1D6EEB1C" w14:textId="77777777" w:rsidR="00FA14FE" w:rsidRPr="00DE13EE" w:rsidRDefault="00FA14FE" w:rsidP="009D0993">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Mean</w:t>
            </w:r>
          </w:p>
        </w:tc>
        <w:tc>
          <w:tcPr>
            <w:tcW w:w="1810" w:type="dxa"/>
            <w:gridSpan w:val="2"/>
            <w:vMerge/>
            <w:tcBorders>
              <w:left w:val="nil"/>
              <w:bottom w:val="single" w:sz="4" w:space="0" w:color="auto"/>
              <w:right w:val="nil"/>
            </w:tcBorders>
            <w:shd w:val="clear" w:color="auto" w:fill="auto"/>
          </w:tcPr>
          <w:p w14:paraId="433E6218" w14:textId="77777777" w:rsidR="00FA14FE" w:rsidRPr="00DE13EE" w:rsidRDefault="00FA14FE" w:rsidP="009D0993">
            <w:pPr>
              <w:widowControl w:val="0"/>
              <w:autoSpaceDE w:val="0"/>
              <w:autoSpaceDN w:val="0"/>
              <w:adjustRightInd w:val="0"/>
              <w:spacing w:after="0" w:line="240" w:lineRule="auto"/>
              <w:rPr>
                <w:rFonts w:ascii="Times New Roman" w:hAnsi="Times New Roman" w:cs="Times New Roman"/>
                <w:color w:val="000000" w:themeColor="text1"/>
                <w:sz w:val="20"/>
                <w:szCs w:val="20"/>
              </w:rPr>
            </w:pPr>
          </w:p>
        </w:tc>
      </w:tr>
      <w:tr w:rsidR="00DE13EE" w:rsidRPr="00DE13EE" w14:paraId="6E575090" w14:textId="77777777" w:rsidTr="009D0993">
        <w:trPr>
          <w:trHeight w:val="285"/>
        </w:trPr>
        <w:tc>
          <w:tcPr>
            <w:tcW w:w="2175" w:type="dxa"/>
            <w:tcBorders>
              <w:left w:val="nil"/>
              <w:bottom w:val="nil"/>
              <w:right w:val="nil"/>
            </w:tcBorders>
            <w:shd w:val="clear" w:color="auto" w:fill="auto"/>
          </w:tcPr>
          <w:p w14:paraId="5A59903D" w14:textId="77777777" w:rsidR="00FA14FE" w:rsidRPr="00DE13EE" w:rsidRDefault="00FA14FE" w:rsidP="009D0993">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 xml:space="preserve">FLD score </w:t>
            </w:r>
          </w:p>
        </w:tc>
        <w:tc>
          <w:tcPr>
            <w:tcW w:w="987" w:type="dxa"/>
            <w:tcBorders>
              <w:left w:val="nil"/>
              <w:bottom w:val="nil"/>
              <w:right w:val="nil"/>
            </w:tcBorders>
            <w:shd w:val="clear" w:color="auto" w:fill="auto"/>
            <w:vAlign w:val="bottom"/>
          </w:tcPr>
          <w:p w14:paraId="38FF6288" w14:textId="77777777" w:rsidR="00FA14FE" w:rsidRPr="00DE13EE" w:rsidRDefault="00FA14FE" w:rsidP="009D0993">
            <w:pPr>
              <w:spacing w:after="0" w:line="240"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.151</w:t>
            </w:r>
          </w:p>
        </w:tc>
        <w:tc>
          <w:tcPr>
            <w:tcW w:w="1091" w:type="dxa"/>
            <w:gridSpan w:val="3"/>
            <w:tcBorders>
              <w:left w:val="nil"/>
              <w:bottom w:val="nil"/>
              <w:right w:val="nil"/>
            </w:tcBorders>
            <w:shd w:val="clear" w:color="auto" w:fill="auto"/>
            <w:vAlign w:val="bottom"/>
          </w:tcPr>
          <w:p w14:paraId="3873C43D" w14:textId="77777777" w:rsidR="00FA14FE" w:rsidRPr="00DE13EE" w:rsidRDefault="00FA14FE" w:rsidP="009D0993">
            <w:pPr>
              <w:spacing w:after="0" w:line="240"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.179</w:t>
            </w:r>
          </w:p>
        </w:tc>
        <w:tc>
          <w:tcPr>
            <w:tcW w:w="1276" w:type="dxa"/>
            <w:gridSpan w:val="2"/>
            <w:tcBorders>
              <w:left w:val="nil"/>
              <w:bottom w:val="nil"/>
              <w:right w:val="nil"/>
            </w:tcBorders>
            <w:shd w:val="clear" w:color="auto" w:fill="auto"/>
          </w:tcPr>
          <w:p w14:paraId="4C3C20EA" w14:textId="77777777" w:rsidR="00FA14FE" w:rsidRPr="00DE13EE" w:rsidRDefault="00FA14FE" w:rsidP="009D0993">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-6.501***</w:t>
            </w:r>
          </w:p>
        </w:tc>
        <w:tc>
          <w:tcPr>
            <w:tcW w:w="1134" w:type="dxa"/>
            <w:tcBorders>
              <w:left w:val="nil"/>
              <w:bottom w:val="nil"/>
              <w:right w:val="nil"/>
            </w:tcBorders>
            <w:shd w:val="clear" w:color="auto" w:fill="auto"/>
          </w:tcPr>
          <w:p w14:paraId="39C79929" w14:textId="77777777" w:rsidR="00FA14FE" w:rsidRPr="00DE13EE" w:rsidRDefault="00FA14FE" w:rsidP="009D0993">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0.147</w:t>
            </w:r>
          </w:p>
        </w:tc>
        <w:tc>
          <w:tcPr>
            <w:tcW w:w="1275" w:type="dxa"/>
            <w:gridSpan w:val="3"/>
            <w:tcBorders>
              <w:left w:val="nil"/>
              <w:bottom w:val="nil"/>
              <w:right w:val="nil"/>
            </w:tcBorders>
            <w:shd w:val="clear" w:color="auto" w:fill="auto"/>
          </w:tcPr>
          <w:p w14:paraId="394B7FCE" w14:textId="77777777" w:rsidR="00FA14FE" w:rsidRPr="00DE13EE" w:rsidRDefault="00FA14FE" w:rsidP="009D0993">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0.194</w:t>
            </w:r>
          </w:p>
        </w:tc>
        <w:tc>
          <w:tcPr>
            <w:tcW w:w="1810" w:type="dxa"/>
            <w:gridSpan w:val="2"/>
            <w:tcBorders>
              <w:left w:val="nil"/>
              <w:bottom w:val="nil"/>
              <w:right w:val="nil"/>
            </w:tcBorders>
            <w:shd w:val="clear" w:color="auto" w:fill="auto"/>
          </w:tcPr>
          <w:p w14:paraId="2072C75F" w14:textId="77777777" w:rsidR="00FA14FE" w:rsidRPr="00DE13EE" w:rsidRDefault="00FA14FE" w:rsidP="009D0993">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-11.949***</w:t>
            </w:r>
          </w:p>
        </w:tc>
      </w:tr>
      <w:tr w:rsidR="00DE13EE" w:rsidRPr="00DE13EE" w14:paraId="704D5B9E" w14:textId="77777777" w:rsidTr="009D0993">
        <w:trPr>
          <w:trHeight w:val="285"/>
        </w:trPr>
        <w:tc>
          <w:tcPr>
            <w:tcW w:w="2175" w:type="dxa"/>
            <w:tcBorders>
              <w:top w:val="nil"/>
              <w:left w:val="nil"/>
              <w:bottom w:val="nil"/>
              <w:right w:val="nil"/>
            </w:tcBorders>
            <w:shd w:val="clear" w:color="auto" w:fill="auto"/>
          </w:tcPr>
          <w:p w14:paraId="26BAA857" w14:textId="77777777" w:rsidR="00FA14FE" w:rsidRPr="00DE13EE" w:rsidRDefault="00FA14FE" w:rsidP="009D0993">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IMadj.TQ</w:t>
            </w:r>
            <w:r w:rsidRPr="00DE13EE">
              <w:rPr>
                <w:rFonts w:ascii="Times New Roman" w:hAnsi="Times New Roman" w:cs="Times New Roman"/>
                <w:color w:val="000000" w:themeColor="text1"/>
                <w:sz w:val="20"/>
                <w:szCs w:val="20"/>
                <w:vertAlign w:val="subscript"/>
              </w:rPr>
              <w:t>+3</w:t>
            </w:r>
          </w:p>
        </w:tc>
        <w:tc>
          <w:tcPr>
            <w:tcW w:w="987" w:type="dxa"/>
            <w:tcBorders>
              <w:top w:val="nil"/>
              <w:left w:val="nil"/>
              <w:bottom w:val="nil"/>
              <w:right w:val="nil"/>
            </w:tcBorders>
            <w:shd w:val="clear" w:color="auto" w:fill="auto"/>
            <w:vAlign w:val="bottom"/>
          </w:tcPr>
          <w:p w14:paraId="61D8C72D" w14:textId="77777777" w:rsidR="00FA14FE" w:rsidRPr="00DE13EE" w:rsidRDefault="00FA14FE" w:rsidP="009D0993">
            <w:pPr>
              <w:spacing w:after="0" w:line="240"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.196</w:t>
            </w:r>
          </w:p>
        </w:tc>
        <w:tc>
          <w:tcPr>
            <w:tcW w:w="1091" w:type="dxa"/>
            <w:gridSpan w:val="3"/>
            <w:tcBorders>
              <w:top w:val="nil"/>
              <w:left w:val="nil"/>
              <w:bottom w:val="nil"/>
              <w:right w:val="nil"/>
            </w:tcBorders>
            <w:shd w:val="clear" w:color="auto" w:fill="auto"/>
            <w:vAlign w:val="bottom"/>
          </w:tcPr>
          <w:p w14:paraId="545E04AE" w14:textId="77777777" w:rsidR="00FA14FE" w:rsidRPr="00DE13EE" w:rsidRDefault="00FA14FE" w:rsidP="009D0993">
            <w:pPr>
              <w:spacing w:after="0" w:line="240"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.129</w:t>
            </w:r>
          </w:p>
        </w:tc>
        <w:tc>
          <w:tcPr>
            <w:tcW w:w="1276" w:type="dxa"/>
            <w:gridSpan w:val="2"/>
            <w:tcBorders>
              <w:top w:val="nil"/>
              <w:left w:val="nil"/>
              <w:bottom w:val="nil"/>
              <w:right w:val="nil"/>
            </w:tcBorders>
            <w:shd w:val="clear" w:color="auto" w:fill="auto"/>
          </w:tcPr>
          <w:p w14:paraId="35E6604D" w14:textId="77777777" w:rsidR="00FA14FE" w:rsidRPr="00DE13EE" w:rsidRDefault="00FA14FE" w:rsidP="009D0993">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1.807*</w:t>
            </w:r>
          </w:p>
        </w:tc>
        <w:tc>
          <w:tcPr>
            <w:tcW w:w="1134" w:type="dxa"/>
            <w:tcBorders>
              <w:top w:val="nil"/>
              <w:left w:val="nil"/>
              <w:bottom w:val="nil"/>
              <w:right w:val="nil"/>
            </w:tcBorders>
            <w:shd w:val="clear" w:color="auto" w:fill="auto"/>
          </w:tcPr>
          <w:p w14:paraId="620942B0" w14:textId="77777777" w:rsidR="00FA14FE" w:rsidRPr="00DE13EE" w:rsidRDefault="00FA14FE" w:rsidP="009D0993">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0.198</w:t>
            </w:r>
          </w:p>
        </w:tc>
        <w:tc>
          <w:tcPr>
            <w:tcW w:w="1275" w:type="dxa"/>
            <w:gridSpan w:val="3"/>
            <w:tcBorders>
              <w:top w:val="nil"/>
              <w:left w:val="nil"/>
              <w:bottom w:val="nil"/>
              <w:right w:val="nil"/>
            </w:tcBorders>
            <w:shd w:val="clear" w:color="auto" w:fill="auto"/>
          </w:tcPr>
          <w:p w14:paraId="1850362D" w14:textId="77777777" w:rsidR="00FA14FE" w:rsidRPr="00DE13EE" w:rsidRDefault="00FA14FE" w:rsidP="009D0993">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0.120</w:t>
            </w:r>
          </w:p>
        </w:tc>
        <w:tc>
          <w:tcPr>
            <w:tcW w:w="1810" w:type="dxa"/>
            <w:gridSpan w:val="2"/>
            <w:tcBorders>
              <w:top w:val="nil"/>
              <w:left w:val="nil"/>
              <w:bottom w:val="nil"/>
              <w:right w:val="nil"/>
            </w:tcBorders>
            <w:shd w:val="clear" w:color="auto" w:fill="auto"/>
          </w:tcPr>
          <w:p w14:paraId="583B26D3" w14:textId="77777777" w:rsidR="00FA14FE" w:rsidRPr="00DE13EE" w:rsidRDefault="00FA14FE" w:rsidP="009D0993">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2.282**</w:t>
            </w:r>
          </w:p>
        </w:tc>
      </w:tr>
      <w:tr w:rsidR="00DE13EE" w:rsidRPr="00DE13EE" w14:paraId="5C418CA7" w14:textId="77777777" w:rsidTr="009D0993">
        <w:trPr>
          <w:trHeight w:val="304"/>
        </w:trPr>
        <w:tc>
          <w:tcPr>
            <w:tcW w:w="2175" w:type="dxa"/>
            <w:tcBorders>
              <w:top w:val="nil"/>
              <w:left w:val="nil"/>
              <w:bottom w:val="single" w:sz="4" w:space="0" w:color="auto"/>
              <w:right w:val="nil"/>
            </w:tcBorders>
            <w:shd w:val="clear" w:color="auto" w:fill="auto"/>
          </w:tcPr>
          <w:p w14:paraId="62C0BCF9" w14:textId="77777777" w:rsidR="00FA14FE" w:rsidRPr="00DE13EE" w:rsidRDefault="00FA14FE" w:rsidP="009D0993">
            <w:pPr>
              <w:widowControl w:val="0"/>
              <w:autoSpaceDE w:val="0"/>
              <w:autoSpaceDN w:val="0"/>
              <w:adjustRightInd w:val="0"/>
              <w:spacing w:after="0" w:line="240" w:lineRule="auto"/>
              <w:rPr>
                <w:rFonts w:ascii="Times New Roman" w:hAnsi="Times New Roman" w:cs="Times New Roman"/>
                <w:i/>
                <w:color w:val="000000" w:themeColor="text1"/>
                <w:sz w:val="20"/>
                <w:szCs w:val="20"/>
              </w:rPr>
            </w:pPr>
            <w:r w:rsidRPr="00DE13EE">
              <w:rPr>
                <w:rFonts w:ascii="Times New Roman" w:hAnsi="Times New Roman" w:cs="Times New Roman"/>
                <w:i/>
                <w:color w:val="000000" w:themeColor="text1"/>
                <w:sz w:val="20"/>
                <w:szCs w:val="20"/>
              </w:rPr>
              <w:t>Observations</w:t>
            </w:r>
          </w:p>
        </w:tc>
        <w:tc>
          <w:tcPr>
            <w:tcW w:w="987" w:type="dxa"/>
            <w:tcBorders>
              <w:top w:val="nil"/>
              <w:left w:val="nil"/>
              <w:bottom w:val="single" w:sz="4" w:space="0" w:color="auto"/>
              <w:right w:val="nil"/>
            </w:tcBorders>
            <w:shd w:val="clear" w:color="auto" w:fill="auto"/>
          </w:tcPr>
          <w:p w14:paraId="171E90F9" w14:textId="77777777" w:rsidR="00FA14FE" w:rsidRPr="00DE13EE" w:rsidRDefault="00FA14FE" w:rsidP="009D0993">
            <w:pPr>
              <w:widowControl w:val="0"/>
              <w:autoSpaceDE w:val="0"/>
              <w:autoSpaceDN w:val="0"/>
              <w:adjustRightInd w:val="0"/>
              <w:spacing w:after="0" w:line="240" w:lineRule="auto"/>
              <w:rPr>
                <w:rFonts w:ascii="Times New Roman" w:hAnsi="Times New Roman" w:cs="Times New Roman"/>
                <w:i/>
                <w:color w:val="000000" w:themeColor="text1"/>
                <w:sz w:val="20"/>
                <w:szCs w:val="20"/>
              </w:rPr>
            </w:pPr>
            <w:r w:rsidRPr="00DE13EE">
              <w:rPr>
                <w:rFonts w:ascii="Times New Roman" w:hAnsi="Times New Roman" w:cs="Times New Roman"/>
                <w:i/>
                <w:color w:val="000000" w:themeColor="text1"/>
                <w:sz w:val="20"/>
                <w:szCs w:val="20"/>
              </w:rPr>
              <w:t>1294</w:t>
            </w:r>
          </w:p>
        </w:tc>
        <w:tc>
          <w:tcPr>
            <w:tcW w:w="1091" w:type="dxa"/>
            <w:gridSpan w:val="3"/>
            <w:tcBorders>
              <w:top w:val="nil"/>
              <w:left w:val="nil"/>
              <w:bottom w:val="single" w:sz="4" w:space="0" w:color="auto"/>
              <w:right w:val="nil"/>
            </w:tcBorders>
            <w:shd w:val="clear" w:color="auto" w:fill="auto"/>
          </w:tcPr>
          <w:p w14:paraId="0AAC653F" w14:textId="77777777" w:rsidR="00FA14FE" w:rsidRPr="00DE13EE" w:rsidRDefault="00FA14FE" w:rsidP="009D0993">
            <w:pPr>
              <w:widowControl w:val="0"/>
              <w:autoSpaceDE w:val="0"/>
              <w:autoSpaceDN w:val="0"/>
              <w:adjustRightInd w:val="0"/>
              <w:spacing w:after="0" w:line="240" w:lineRule="auto"/>
              <w:rPr>
                <w:rFonts w:ascii="Times New Roman" w:hAnsi="Times New Roman" w:cs="Times New Roman"/>
                <w:i/>
                <w:color w:val="000000" w:themeColor="text1"/>
                <w:sz w:val="20"/>
                <w:szCs w:val="20"/>
              </w:rPr>
            </w:pPr>
            <w:r w:rsidRPr="00DE13EE">
              <w:rPr>
                <w:rFonts w:ascii="Times New Roman" w:hAnsi="Times New Roman" w:cs="Times New Roman"/>
                <w:i/>
                <w:color w:val="000000" w:themeColor="text1"/>
                <w:sz w:val="20"/>
                <w:szCs w:val="20"/>
              </w:rPr>
              <w:t>1382</w:t>
            </w:r>
          </w:p>
        </w:tc>
        <w:tc>
          <w:tcPr>
            <w:tcW w:w="1276" w:type="dxa"/>
            <w:gridSpan w:val="2"/>
            <w:tcBorders>
              <w:top w:val="nil"/>
              <w:left w:val="nil"/>
              <w:bottom w:val="single" w:sz="4" w:space="0" w:color="auto"/>
              <w:right w:val="nil"/>
            </w:tcBorders>
            <w:shd w:val="clear" w:color="auto" w:fill="auto"/>
          </w:tcPr>
          <w:p w14:paraId="12B4CBA0" w14:textId="77777777" w:rsidR="00FA14FE" w:rsidRPr="00DE13EE" w:rsidRDefault="00FA14FE" w:rsidP="009D0993">
            <w:pPr>
              <w:widowControl w:val="0"/>
              <w:autoSpaceDE w:val="0"/>
              <w:autoSpaceDN w:val="0"/>
              <w:adjustRightInd w:val="0"/>
              <w:spacing w:after="0" w:line="240" w:lineRule="auto"/>
              <w:rPr>
                <w:rFonts w:ascii="Times New Roman" w:hAnsi="Times New Roman" w:cs="Times New Roman"/>
                <w:i/>
                <w:color w:val="000000" w:themeColor="text1"/>
                <w:sz w:val="20"/>
                <w:szCs w:val="20"/>
              </w:rPr>
            </w:pPr>
            <w:r w:rsidRPr="00DE13EE">
              <w:rPr>
                <w:rFonts w:ascii="Times New Roman" w:hAnsi="Times New Roman" w:cs="Times New Roman"/>
                <w:i/>
                <w:color w:val="000000" w:themeColor="text1"/>
                <w:sz w:val="20"/>
                <w:szCs w:val="20"/>
              </w:rPr>
              <w:t>(2676)</w:t>
            </w:r>
          </w:p>
        </w:tc>
        <w:tc>
          <w:tcPr>
            <w:tcW w:w="1134" w:type="dxa"/>
            <w:tcBorders>
              <w:top w:val="nil"/>
              <w:left w:val="nil"/>
              <w:bottom w:val="single" w:sz="4" w:space="0" w:color="auto"/>
              <w:right w:val="nil"/>
            </w:tcBorders>
            <w:shd w:val="clear" w:color="auto" w:fill="auto"/>
          </w:tcPr>
          <w:p w14:paraId="3CF47345" w14:textId="77777777" w:rsidR="00FA14FE" w:rsidRPr="00DE13EE" w:rsidRDefault="00FA14FE" w:rsidP="009D0993">
            <w:pPr>
              <w:widowControl w:val="0"/>
              <w:autoSpaceDE w:val="0"/>
              <w:autoSpaceDN w:val="0"/>
              <w:adjustRightInd w:val="0"/>
              <w:spacing w:after="0" w:line="240" w:lineRule="auto"/>
              <w:rPr>
                <w:rFonts w:ascii="Times New Roman" w:hAnsi="Times New Roman" w:cs="Times New Roman"/>
                <w:i/>
                <w:color w:val="000000" w:themeColor="text1"/>
                <w:sz w:val="20"/>
                <w:szCs w:val="20"/>
              </w:rPr>
            </w:pPr>
            <w:r w:rsidRPr="00DE13EE">
              <w:rPr>
                <w:rFonts w:ascii="Times New Roman" w:hAnsi="Times New Roman" w:cs="Times New Roman"/>
                <w:i/>
                <w:color w:val="000000" w:themeColor="text1"/>
                <w:sz w:val="20"/>
                <w:szCs w:val="20"/>
              </w:rPr>
              <w:t>2346</w:t>
            </w:r>
          </w:p>
        </w:tc>
        <w:tc>
          <w:tcPr>
            <w:tcW w:w="1275" w:type="dxa"/>
            <w:gridSpan w:val="3"/>
            <w:tcBorders>
              <w:top w:val="nil"/>
              <w:left w:val="nil"/>
              <w:bottom w:val="single" w:sz="4" w:space="0" w:color="auto"/>
              <w:right w:val="nil"/>
            </w:tcBorders>
            <w:shd w:val="clear" w:color="auto" w:fill="auto"/>
          </w:tcPr>
          <w:p w14:paraId="08F6F61C" w14:textId="77777777" w:rsidR="00FA14FE" w:rsidRPr="00DE13EE" w:rsidRDefault="00FA14FE" w:rsidP="009D0993">
            <w:pPr>
              <w:widowControl w:val="0"/>
              <w:autoSpaceDE w:val="0"/>
              <w:autoSpaceDN w:val="0"/>
              <w:adjustRightInd w:val="0"/>
              <w:spacing w:after="0" w:line="240" w:lineRule="auto"/>
              <w:rPr>
                <w:rFonts w:ascii="Times New Roman" w:hAnsi="Times New Roman" w:cs="Times New Roman"/>
                <w:i/>
                <w:color w:val="000000" w:themeColor="text1"/>
                <w:sz w:val="20"/>
                <w:szCs w:val="20"/>
              </w:rPr>
            </w:pPr>
            <w:r w:rsidRPr="00DE13EE">
              <w:rPr>
                <w:rFonts w:ascii="Times New Roman" w:hAnsi="Times New Roman" w:cs="Times New Roman"/>
                <w:i/>
                <w:color w:val="000000" w:themeColor="text1"/>
                <w:sz w:val="20"/>
                <w:szCs w:val="20"/>
              </w:rPr>
              <w:t>586</w:t>
            </w:r>
          </w:p>
        </w:tc>
        <w:tc>
          <w:tcPr>
            <w:tcW w:w="1810" w:type="dxa"/>
            <w:gridSpan w:val="2"/>
            <w:tcBorders>
              <w:top w:val="nil"/>
              <w:left w:val="nil"/>
              <w:bottom w:val="single" w:sz="4" w:space="0" w:color="auto"/>
              <w:right w:val="nil"/>
            </w:tcBorders>
            <w:shd w:val="clear" w:color="auto" w:fill="auto"/>
          </w:tcPr>
          <w:p w14:paraId="054C5410" w14:textId="77777777" w:rsidR="00FA14FE" w:rsidRPr="00DE13EE" w:rsidRDefault="00FA14FE" w:rsidP="009D0993">
            <w:pPr>
              <w:widowControl w:val="0"/>
              <w:autoSpaceDE w:val="0"/>
              <w:autoSpaceDN w:val="0"/>
              <w:adjustRightInd w:val="0"/>
              <w:spacing w:after="0" w:line="240" w:lineRule="auto"/>
              <w:rPr>
                <w:rFonts w:ascii="Times New Roman" w:hAnsi="Times New Roman" w:cs="Times New Roman"/>
                <w:i/>
                <w:color w:val="000000" w:themeColor="text1"/>
                <w:sz w:val="20"/>
                <w:szCs w:val="20"/>
              </w:rPr>
            </w:pPr>
            <w:r w:rsidRPr="00DE13EE">
              <w:rPr>
                <w:rFonts w:ascii="Times New Roman" w:hAnsi="Times New Roman" w:cs="Times New Roman"/>
                <w:i/>
                <w:color w:val="000000" w:themeColor="text1"/>
                <w:sz w:val="20"/>
                <w:szCs w:val="20"/>
              </w:rPr>
              <w:t>(</w:t>
            </w:r>
            <w:r w:rsidRPr="00DE13EE">
              <w:rPr>
                <w:rFonts w:ascii="Times New Roman" w:eastAsia="SimHei" w:hAnsi="Times New Roman" w:cs="Times New Roman"/>
                <w:i/>
                <w:color w:val="000000" w:themeColor="text1"/>
                <w:sz w:val="20"/>
                <w:szCs w:val="20"/>
              </w:rPr>
              <w:t>2932</w:t>
            </w:r>
            <w:r w:rsidRPr="00DE13EE">
              <w:rPr>
                <w:rFonts w:ascii="Times New Roman" w:hAnsi="Times New Roman" w:cs="Times New Roman"/>
                <w:i/>
                <w:color w:val="000000" w:themeColor="text1"/>
                <w:sz w:val="20"/>
                <w:szCs w:val="20"/>
              </w:rPr>
              <w:t>)</w:t>
            </w:r>
          </w:p>
        </w:tc>
      </w:tr>
      <w:tr w:rsidR="00DE13EE" w:rsidRPr="00DE13EE" w14:paraId="619EDA3F" w14:textId="77777777" w:rsidTr="009D0993">
        <w:trPr>
          <w:trHeight w:val="304"/>
        </w:trPr>
        <w:tc>
          <w:tcPr>
            <w:tcW w:w="9748" w:type="dxa"/>
            <w:gridSpan w:val="13"/>
            <w:tcBorders>
              <w:left w:val="nil"/>
              <w:bottom w:val="nil"/>
              <w:right w:val="nil"/>
            </w:tcBorders>
            <w:shd w:val="clear" w:color="auto" w:fill="auto"/>
          </w:tcPr>
          <w:p w14:paraId="59BDCE44" w14:textId="77777777" w:rsidR="00FA14FE" w:rsidRPr="00DE13EE" w:rsidRDefault="00FA14FE" w:rsidP="009D0993">
            <w:pPr>
              <w:spacing w:after="0" w:line="240" w:lineRule="auto"/>
              <w:jc w:val="both"/>
              <w:rPr>
                <w:rFonts w:ascii="Times New Roman" w:eastAsia="SimHei" w:hAnsi="Times New Roman" w:cs="Times New Roman"/>
                <w:color w:val="000000" w:themeColor="text1"/>
                <w:sz w:val="20"/>
                <w:szCs w:val="20"/>
              </w:rPr>
            </w:pPr>
            <w:r w:rsidRPr="00DE13EE">
              <w:rPr>
                <w:rFonts w:ascii="Times New Roman" w:eastAsia="SimHei" w:hAnsi="Times New Roman" w:cs="Times New Roman"/>
                <w:b/>
                <w:color w:val="000000" w:themeColor="text1"/>
                <w:sz w:val="20"/>
                <w:szCs w:val="20"/>
              </w:rPr>
              <w:t>Notes</w:t>
            </w:r>
            <w:r w:rsidRPr="00DE13EE">
              <w:rPr>
                <w:rFonts w:ascii="Times New Roman" w:eastAsia="SimHei" w:hAnsi="Times New Roman" w:cs="Times New Roman"/>
                <w:color w:val="000000" w:themeColor="text1"/>
                <w:sz w:val="20"/>
                <w:szCs w:val="20"/>
              </w:rPr>
              <w:t xml:space="preserve">: This table reports the descriptive statistics of continues variables in Panel A. While Panel B reports the frequencies of dummy variables. Panel C reports the differences in firm value and forward-looking disclosure based on firm performance and size of audit firm. </w:t>
            </w:r>
          </w:p>
        </w:tc>
      </w:tr>
      <w:tr w:rsidR="00DE13EE" w:rsidRPr="00DE13EE" w14:paraId="56F3BA32" w14:textId="77777777" w:rsidTr="009D0993">
        <w:trPr>
          <w:trHeight w:val="193"/>
        </w:trPr>
        <w:tc>
          <w:tcPr>
            <w:tcW w:w="9748" w:type="dxa"/>
            <w:gridSpan w:val="13"/>
            <w:tcBorders>
              <w:top w:val="nil"/>
              <w:left w:val="nil"/>
              <w:bottom w:val="nil"/>
              <w:right w:val="nil"/>
            </w:tcBorders>
            <w:shd w:val="clear" w:color="auto" w:fill="auto"/>
          </w:tcPr>
          <w:p w14:paraId="26279109" w14:textId="77777777" w:rsidR="00FA14FE" w:rsidRPr="00DE13EE" w:rsidRDefault="00FA14FE" w:rsidP="009D0993">
            <w:pPr>
              <w:spacing w:after="0" w:line="240" w:lineRule="auto"/>
              <w:jc w:val="both"/>
              <w:rPr>
                <w:rFonts w:ascii="Times New Roman" w:eastAsia="SimHei" w:hAnsi="Times New Roman" w:cs="Times New Roman"/>
                <w:color w:val="000000" w:themeColor="text1"/>
                <w:sz w:val="20"/>
                <w:szCs w:val="20"/>
              </w:rPr>
            </w:pPr>
            <w:r w:rsidRPr="00DE13EE">
              <w:rPr>
                <w:rFonts w:ascii="Times New Roman" w:eastAsia="SimHei" w:hAnsi="Times New Roman" w:cs="Times New Roman"/>
                <w:color w:val="000000" w:themeColor="text1"/>
                <w:sz w:val="20"/>
                <w:szCs w:val="20"/>
              </w:rPr>
              <w:t>Variables’ definitions and measurements are the same as summarized in Appendix (2).</w:t>
            </w:r>
          </w:p>
        </w:tc>
      </w:tr>
      <w:tr w:rsidR="00FA14FE" w:rsidRPr="00DE13EE" w14:paraId="717AE22E" w14:textId="77777777" w:rsidTr="009D0993">
        <w:trPr>
          <w:trHeight w:val="98"/>
        </w:trPr>
        <w:tc>
          <w:tcPr>
            <w:tcW w:w="9748" w:type="dxa"/>
            <w:gridSpan w:val="13"/>
            <w:tcBorders>
              <w:top w:val="nil"/>
              <w:left w:val="nil"/>
              <w:bottom w:val="nil"/>
              <w:right w:val="nil"/>
            </w:tcBorders>
            <w:shd w:val="clear" w:color="auto" w:fill="auto"/>
          </w:tcPr>
          <w:p w14:paraId="5F3AE548" w14:textId="77777777" w:rsidR="00FA14FE" w:rsidRPr="00DE13EE" w:rsidRDefault="00FA14FE" w:rsidP="009D0993">
            <w:pPr>
              <w:spacing w:after="0" w:line="240" w:lineRule="auto"/>
              <w:jc w:val="both"/>
              <w:rPr>
                <w:rFonts w:ascii="Times New Roman" w:eastAsia="SimHei" w:hAnsi="Times New Roman" w:cs="Times New Roman"/>
                <w:color w:val="000000" w:themeColor="text1"/>
                <w:sz w:val="20"/>
                <w:szCs w:val="20"/>
              </w:rPr>
            </w:pPr>
            <w:r w:rsidRPr="00DE13EE">
              <w:rPr>
                <w:rFonts w:ascii="Times New Roman" w:eastAsia="SimHei" w:hAnsi="Times New Roman" w:cs="Times New Roman"/>
                <w:color w:val="000000" w:themeColor="text1"/>
                <w:sz w:val="20"/>
                <w:szCs w:val="20"/>
              </w:rPr>
              <w:t>***, **, and * indicate significance at 0.01, 0.05, and 0.1, respectively.</w:t>
            </w:r>
          </w:p>
        </w:tc>
      </w:tr>
    </w:tbl>
    <w:p w14:paraId="1243F58D" w14:textId="77777777" w:rsidR="00FA14FE" w:rsidRPr="00DE13EE" w:rsidRDefault="00FA14FE" w:rsidP="00FA14FE">
      <w:pPr>
        <w:widowControl w:val="0"/>
        <w:autoSpaceDE w:val="0"/>
        <w:autoSpaceDN w:val="0"/>
        <w:adjustRightInd w:val="0"/>
        <w:spacing w:after="0"/>
        <w:rPr>
          <w:rFonts w:ascii="Times New Roman" w:hAnsi="Times New Roman"/>
          <w:color w:val="000000" w:themeColor="text1"/>
          <w:sz w:val="20"/>
          <w:szCs w:val="20"/>
        </w:rPr>
      </w:pPr>
    </w:p>
    <w:p w14:paraId="542FD8FF" w14:textId="77777777" w:rsidR="00FA14FE" w:rsidRPr="00DE13EE" w:rsidRDefault="00FA14FE" w:rsidP="00FA14FE">
      <w:pPr>
        <w:widowControl w:val="0"/>
        <w:autoSpaceDE w:val="0"/>
        <w:autoSpaceDN w:val="0"/>
        <w:adjustRightInd w:val="0"/>
        <w:spacing w:after="0" w:line="240" w:lineRule="auto"/>
        <w:rPr>
          <w:rFonts w:ascii="Times New Roman" w:hAnsi="Times New Roman"/>
          <w:b/>
          <w:color w:val="000000" w:themeColor="text1"/>
          <w:sz w:val="20"/>
          <w:szCs w:val="20"/>
        </w:rPr>
      </w:pPr>
    </w:p>
    <w:p w14:paraId="4AA48002" w14:textId="77777777" w:rsidR="00FA14FE" w:rsidRPr="00DE13EE" w:rsidRDefault="00FA14FE" w:rsidP="00FA14FE">
      <w:pPr>
        <w:spacing w:before="120" w:after="400"/>
        <w:rPr>
          <w:rFonts w:ascii="Times New Roman" w:eastAsia="SimHei" w:hAnsi="Times New Roman" w:cs="Times New Roman"/>
          <w:color w:val="000000" w:themeColor="text1"/>
          <w:sz w:val="24"/>
          <w:szCs w:val="24"/>
        </w:rPr>
      </w:pPr>
    </w:p>
    <w:p w14:paraId="23CFB09C" w14:textId="77777777" w:rsidR="00FA14FE" w:rsidRPr="00DE13EE" w:rsidRDefault="00FA14FE" w:rsidP="00FA14FE">
      <w:pPr>
        <w:spacing w:before="120" w:after="400"/>
        <w:rPr>
          <w:rFonts w:ascii="Times New Roman" w:eastAsia="SimHei" w:hAnsi="Times New Roman" w:cs="Times New Roman"/>
          <w:color w:val="000000" w:themeColor="text1"/>
          <w:sz w:val="24"/>
          <w:szCs w:val="24"/>
        </w:rPr>
      </w:pPr>
    </w:p>
    <w:p w14:paraId="71B70904" w14:textId="77777777" w:rsidR="00FA14FE" w:rsidRPr="00DE13EE" w:rsidRDefault="00FA14FE" w:rsidP="00FA14FE">
      <w:pPr>
        <w:spacing w:before="120" w:after="400"/>
        <w:rPr>
          <w:rFonts w:ascii="Times New Roman" w:eastAsia="SimHei" w:hAnsi="Times New Roman" w:cs="Times New Roman"/>
          <w:color w:val="000000" w:themeColor="text1"/>
          <w:sz w:val="24"/>
          <w:szCs w:val="24"/>
        </w:rPr>
        <w:sectPr w:rsidR="00FA14FE" w:rsidRPr="00DE13EE" w:rsidSect="000A0153">
          <w:footerReference w:type="default" r:id="rId13"/>
          <w:endnotePr>
            <w:numFmt w:val="decimal"/>
          </w:endnotePr>
          <w:pgSz w:w="11906" w:h="16838"/>
          <w:pgMar w:top="1440" w:right="1440" w:bottom="1440" w:left="1440" w:header="709" w:footer="709" w:gutter="0"/>
          <w:cols w:space="708"/>
          <w:docGrid w:linePitch="360"/>
        </w:sectPr>
      </w:pPr>
    </w:p>
    <w:tbl>
      <w:tblPr>
        <w:tblStyle w:val="TableGrid"/>
        <w:tblW w:w="16154" w:type="dxa"/>
        <w:jc w:val="center"/>
        <w:tblLayout w:type="fixed"/>
        <w:tblLook w:val="04A0" w:firstRow="1" w:lastRow="0" w:firstColumn="1" w:lastColumn="0" w:noHBand="0" w:noVBand="1"/>
      </w:tblPr>
      <w:tblGrid>
        <w:gridCol w:w="2434"/>
        <w:gridCol w:w="1158"/>
        <w:gridCol w:w="1287"/>
        <w:gridCol w:w="1048"/>
        <w:gridCol w:w="1050"/>
        <w:gridCol w:w="1048"/>
        <w:gridCol w:w="1050"/>
        <w:gridCol w:w="1048"/>
        <w:gridCol w:w="1050"/>
        <w:gridCol w:w="1048"/>
        <w:gridCol w:w="1134"/>
        <w:gridCol w:w="933"/>
        <w:gridCol w:w="1021"/>
        <w:gridCol w:w="845"/>
      </w:tblGrid>
      <w:tr w:rsidR="00DE13EE" w:rsidRPr="00DE13EE" w14:paraId="12D1BFAE" w14:textId="77777777" w:rsidTr="009D0993">
        <w:trPr>
          <w:trHeight w:val="502"/>
          <w:jc w:val="center"/>
        </w:trPr>
        <w:tc>
          <w:tcPr>
            <w:tcW w:w="16154" w:type="dxa"/>
            <w:gridSpan w:val="14"/>
            <w:tcBorders>
              <w:top w:val="nil"/>
              <w:left w:val="nil"/>
              <w:bottom w:val="single" w:sz="4" w:space="0" w:color="auto"/>
              <w:right w:val="nil"/>
            </w:tcBorders>
            <w:vAlign w:val="center"/>
          </w:tcPr>
          <w:p w14:paraId="15E1CF13" w14:textId="77777777" w:rsidR="00FA14FE" w:rsidRPr="00DE13EE" w:rsidRDefault="00FA14FE" w:rsidP="009D0993">
            <w:pPr>
              <w:spacing w:line="276" w:lineRule="auto"/>
              <w:rPr>
                <w:rFonts w:ascii="Times New Roman" w:hAnsi="Times New Roman" w:cs="Times New Roman"/>
                <w:b/>
                <w:bCs/>
                <w:color w:val="000000" w:themeColor="text1"/>
                <w:sz w:val="20"/>
                <w:szCs w:val="20"/>
              </w:rPr>
            </w:pPr>
            <w:r w:rsidRPr="00DE13EE">
              <w:rPr>
                <w:rFonts w:ascii="Times New Roman" w:hAnsi="Times New Roman" w:cs="Times New Roman"/>
                <w:b/>
                <w:bCs/>
                <w:color w:val="000000" w:themeColor="text1"/>
                <w:sz w:val="20"/>
                <w:szCs w:val="20"/>
              </w:rPr>
              <w:lastRenderedPageBreak/>
              <w:t>Table (3): Correlation analysis</w:t>
            </w:r>
          </w:p>
        </w:tc>
      </w:tr>
      <w:tr w:rsidR="00DE13EE" w:rsidRPr="00DE13EE" w14:paraId="5940B9EF" w14:textId="77777777" w:rsidTr="009D0993">
        <w:trPr>
          <w:trHeight w:val="210"/>
          <w:jc w:val="center"/>
        </w:trPr>
        <w:tc>
          <w:tcPr>
            <w:tcW w:w="2434" w:type="dxa"/>
            <w:tcBorders>
              <w:left w:val="nil"/>
              <w:bottom w:val="single" w:sz="4" w:space="0" w:color="auto"/>
              <w:right w:val="nil"/>
            </w:tcBorders>
            <w:vAlign w:val="center"/>
          </w:tcPr>
          <w:p w14:paraId="13B33D65" w14:textId="77777777" w:rsidR="00FA14FE" w:rsidRPr="00DE13EE" w:rsidRDefault="00FA14FE" w:rsidP="009D0993">
            <w:pPr>
              <w:rPr>
                <w:rFonts w:ascii="Times New Roman" w:hAnsi="Times New Roman" w:cs="Times New Roman"/>
                <w:b/>
                <w:bCs/>
                <w:color w:val="000000" w:themeColor="text1"/>
                <w:sz w:val="20"/>
                <w:szCs w:val="20"/>
              </w:rPr>
            </w:pPr>
          </w:p>
        </w:tc>
        <w:tc>
          <w:tcPr>
            <w:tcW w:w="1158" w:type="dxa"/>
            <w:tcBorders>
              <w:left w:val="nil"/>
              <w:bottom w:val="single" w:sz="4" w:space="0" w:color="auto"/>
              <w:right w:val="nil"/>
            </w:tcBorders>
            <w:vAlign w:val="center"/>
          </w:tcPr>
          <w:p w14:paraId="5E471498" w14:textId="77777777" w:rsidR="00FA14FE" w:rsidRPr="00DE13EE" w:rsidRDefault="00FA14FE" w:rsidP="009D0993">
            <w:pPr>
              <w:spacing w:line="276" w:lineRule="auto"/>
              <w:rPr>
                <w:rFonts w:ascii="Times New Roman" w:hAnsi="Times New Roman" w:cs="Times New Roman"/>
                <w:b/>
                <w:bCs/>
                <w:color w:val="000000" w:themeColor="text1"/>
                <w:sz w:val="20"/>
                <w:szCs w:val="20"/>
              </w:rPr>
            </w:pPr>
            <w:r w:rsidRPr="00DE13EE">
              <w:rPr>
                <w:rFonts w:ascii="Times New Roman" w:hAnsi="Times New Roman" w:cs="Times New Roman"/>
                <w:b/>
                <w:bCs/>
                <w:color w:val="000000" w:themeColor="text1"/>
                <w:sz w:val="20"/>
                <w:szCs w:val="20"/>
              </w:rPr>
              <w:t>(1)</w:t>
            </w:r>
          </w:p>
        </w:tc>
        <w:tc>
          <w:tcPr>
            <w:tcW w:w="1287" w:type="dxa"/>
            <w:tcBorders>
              <w:left w:val="nil"/>
              <w:bottom w:val="single" w:sz="4" w:space="0" w:color="auto"/>
              <w:right w:val="nil"/>
            </w:tcBorders>
            <w:vAlign w:val="center"/>
          </w:tcPr>
          <w:p w14:paraId="67EE014E" w14:textId="77777777" w:rsidR="00FA14FE" w:rsidRPr="00DE13EE" w:rsidRDefault="00FA14FE" w:rsidP="009D0993">
            <w:pPr>
              <w:spacing w:line="276" w:lineRule="auto"/>
              <w:rPr>
                <w:rFonts w:ascii="Times New Roman" w:hAnsi="Times New Roman" w:cs="Times New Roman"/>
                <w:b/>
                <w:bCs/>
                <w:color w:val="000000" w:themeColor="text1"/>
                <w:sz w:val="20"/>
                <w:szCs w:val="20"/>
              </w:rPr>
            </w:pPr>
            <w:r w:rsidRPr="00DE13EE">
              <w:rPr>
                <w:rFonts w:ascii="Times New Roman" w:hAnsi="Times New Roman" w:cs="Times New Roman"/>
                <w:b/>
                <w:bCs/>
                <w:color w:val="000000" w:themeColor="text1"/>
                <w:sz w:val="20"/>
                <w:szCs w:val="20"/>
              </w:rPr>
              <w:t>(2)</w:t>
            </w:r>
          </w:p>
        </w:tc>
        <w:tc>
          <w:tcPr>
            <w:tcW w:w="1048" w:type="dxa"/>
            <w:tcBorders>
              <w:left w:val="nil"/>
              <w:bottom w:val="single" w:sz="4" w:space="0" w:color="auto"/>
              <w:right w:val="nil"/>
            </w:tcBorders>
            <w:vAlign w:val="center"/>
          </w:tcPr>
          <w:p w14:paraId="30B4F15E" w14:textId="77777777" w:rsidR="00FA14FE" w:rsidRPr="00DE13EE" w:rsidRDefault="00FA14FE" w:rsidP="009D0993">
            <w:pPr>
              <w:spacing w:line="276" w:lineRule="auto"/>
              <w:rPr>
                <w:rFonts w:ascii="Times New Roman" w:hAnsi="Times New Roman" w:cs="Times New Roman"/>
                <w:b/>
                <w:bCs/>
                <w:color w:val="000000" w:themeColor="text1"/>
                <w:sz w:val="20"/>
                <w:szCs w:val="20"/>
              </w:rPr>
            </w:pPr>
            <w:r w:rsidRPr="00DE13EE">
              <w:rPr>
                <w:rFonts w:ascii="Times New Roman" w:hAnsi="Times New Roman" w:cs="Times New Roman"/>
                <w:b/>
                <w:bCs/>
                <w:color w:val="000000" w:themeColor="text1"/>
                <w:sz w:val="20"/>
                <w:szCs w:val="20"/>
              </w:rPr>
              <w:t>(3)</w:t>
            </w:r>
          </w:p>
        </w:tc>
        <w:tc>
          <w:tcPr>
            <w:tcW w:w="1050" w:type="dxa"/>
            <w:tcBorders>
              <w:left w:val="nil"/>
              <w:bottom w:val="single" w:sz="4" w:space="0" w:color="auto"/>
              <w:right w:val="nil"/>
            </w:tcBorders>
            <w:vAlign w:val="center"/>
          </w:tcPr>
          <w:p w14:paraId="289C696F" w14:textId="77777777" w:rsidR="00FA14FE" w:rsidRPr="00DE13EE" w:rsidRDefault="00FA14FE" w:rsidP="009D0993">
            <w:pPr>
              <w:spacing w:line="276" w:lineRule="auto"/>
              <w:rPr>
                <w:rFonts w:ascii="Times New Roman" w:hAnsi="Times New Roman" w:cs="Times New Roman"/>
                <w:b/>
                <w:bCs/>
                <w:color w:val="000000" w:themeColor="text1"/>
                <w:sz w:val="20"/>
                <w:szCs w:val="20"/>
              </w:rPr>
            </w:pPr>
            <w:r w:rsidRPr="00DE13EE">
              <w:rPr>
                <w:rFonts w:ascii="Times New Roman" w:hAnsi="Times New Roman" w:cs="Times New Roman"/>
                <w:b/>
                <w:bCs/>
                <w:color w:val="000000" w:themeColor="text1"/>
                <w:sz w:val="20"/>
                <w:szCs w:val="20"/>
              </w:rPr>
              <w:t>(4)</w:t>
            </w:r>
          </w:p>
        </w:tc>
        <w:tc>
          <w:tcPr>
            <w:tcW w:w="1048" w:type="dxa"/>
            <w:tcBorders>
              <w:left w:val="nil"/>
              <w:bottom w:val="single" w:sz="4" w:space="0" w:color="auto"/>
              <w:right w:val="nil"/>
            </w:tcBorders>
            <w:vAlign w:val="center"/>
          </w:tcPr>
          <w:p w14:paraId="13858957" w14:textId="77777777" w:rsidR="00FA14FE" w:rsidRPr="00DE13EE" w:rsidRDefault="00FA14FE" w:rsidP="009D0993">
            <w:pPr>
              <w:spacing w:line="276" w:lineRule="auto"/>
              <w:rPr>
                <w:rFonts w:ascii="Times New Roman" w:hAnsi="Times New Roman" w:cs="Times New Roman"/>
                <w:b/>
                <w:bCs/>
                <w:color w:val="000000" w:themeColor="text1"/>
                <w:sz w:val="20"/>
                <w:szCs w:val="20"/>
              </w:rPr>
            </w:pPr>
            <w:r w:rsidRPr="00DE13EE">
              <w:rPr>
                <w:rFonts w:ascii="Times New Roman" w:hAnsi="Times New Roman" w:cs="Times New Roman"/>
                <w:b/>
                <w:bCs/>
                <w:color w:val="000000" w:themeColor="text1"/>
                <w:sz w:val="20"/>
                <w:szCs w:val="20"/>
              </w:rPr>
              <w:t>(5)</w:t>
            </w:r>
          </w:p>
        </w:tc>
        <w:tc>
          <w:tcPr>
            <w:tcW w:w="1050" w:type="dxa"/>
            <w:tcBorders>
              <w:left w:val="nil"/>
              <w:bottom w:val="single" w:sz="4" w:space="0" w:color="auto"/>
              <w:right w:val="nil"/>
            </w:tcBorders>
            <w:vAlign w:val="center"/>
          </w:tcPr>
          <w:p w14:paraId="04F2830F" w14:textId="77777777" w:rsidR="00FA14FE" w:rsidRPr="00DE13EE" w:rsidRDefault="00FA14FE" w:rsidP="009D0993">
            <w:pPr>
              <w:spacing w:line="276" w:lineRule="auto"/>
              <w:rPr>
                <w:rFonts w:ascii="Times New Roman" w:hAnsi="Times New Roman" w:cs="Times New Roman"/>
                <w:b/>
                <w:bCs/>
                <w:color w:val="000000" w:themeColor="text1"/>
                <w:sz w:val="20"/>
                <w:szCs w:val="20"/>
              </w:rPr>
            </w:pPr>
            <w:r w:rsidRPr="00DE13EE">
              <w:rPr>
                <w:rFonts w:ascii="Times New Roman" w:hAnsi="Times New Roman" w:cs="Times New Roman"/>
                <w:b/>
                <w:bCs/>
                <w:color w:val="000000" w:themeColor="text1"/>
                <w:sz w:val="20"/>
                <w:szCs w:val="20"/>
              </w:rPr>
              <w:t>(6)</w:t>
            </w:r>
          </w:p>
        </w:tc>
        <w:tc>
          <w:tcPr>
            <w:tcW w:w="1048" w:type="dxa"/>
            <w:tcBorders>
              <w:left w:val="nil"/>
              <w:bottom w:val="single" w:sz="4" w:space="0" w:color="auto"/>
              <w:right w:val="nil"/>
            </w:tcBorders>
            <w:vAlign w:val="center"/>
          </w:tcPr>
          <w:p w14:paraId="669A8F9E" w14:textId="77777777" w:rsidR="00FA14FE" w:rsidRPr="00DE13EE" w:rsidRDefault="00FA14FE" w:rsidP="009D0993">
            <w:pPr>
              <w:spacing w:line="276" w:lineRule="auto"/>
              <w:rPr>
                <w:rFonts w:ascii="Times New Roman" w:hAnsi="Times New Roman" w:cs="Times New Roman"/>
                <w:b/>
                <w:bCs/>
                <w:color w:val="000000" w:themeColor="text1"/>
                <w:sz w:val="20"/>
                <w:szCs w:val="20"/>
              </w:rPr>
            </w:pPr>
            <w:r w:rsidRPr="00DE13EE">
              <w:rPr>
                <w:rFonts w:ascii="Times New Roman" w:hAnsi="Times New Roman" w:cs="Times New Roman"/>
                <w:b/>
                <w:bCs/>
                <w:color w:val="000000" w:themeColor="text1"/>
                <w:sz w:val="20"/>
                <w:szCs w:val="20"/>
              </w:rPr>
              <w:t>(7)</w:t>
            </w:r>
          </w:p>
        </w:tc>
        <w:tc>
          <w:tcPr>
            <w:tcW w:w="1050" w:type="dxa"/>
            <w:tcBorders>
              <w:left w:val="nil"/>
              <w:bottom w:val="single" w:sz="4" w:space="0" w:color="auto"/>
              <w:right w:val="nil"/>
            </w:tcBorders>
            <w:vAlign w:val="center"/>
          </w:tcPr>
          <w:p w14:paraId="528490F1" w14:textId="77777777" w:rsidR="00FA14FE" w:rsidRPr="00DE13EE" w:rsidRDefault="00FA14FE" w:rsidP="009D0993">
            <w:pPr>
              <w:spacing w:line="276" w:lineRule="auto"/>
              <w:rPr>
                <w:rFonts w:ascii="Times New Roman" w:hAnsi="Times New Roman" w:cs="Times New Roman"/>
                <w:b/>
                <w:bCs/>
                <w:color w:val="000000" w:themeColor="text1"/>
                <w:sz w:val="20"/>
                <w:szCs w:val="20"/>
              </w:rPr>
            </w:pPr>
            <w:r w:rsidRPr="00DE13EE">
              <w:rPr>
                <w:rFonts w:ascii="Times New Roman" w:hAnsi="Times New Roman" w:cs="Times New Roman"/>
                <w:b/>
                <w:bCs/>
                <w:color w:val="000000" w:themeColor="text1"/>
                <w:sz w:val="20"/>
                <w:szCs w:val="20"/>
              </w:rPr>
              <w:t>(8)</w:t>
            </w:r>
          </w:p>
        </w:tc>
        <w:tc>
          <w:tcPr>
            <w:tcW w:w="1048" w:type="dxa"/>
            <w:tcBorders>
              <w:left w:val="nil"/>
              <w:bottom w:val="single" w:sz="4" w:space="0" w:color="auto"/>
              <w:right w:val="nil"/>
            </w:tcBorders>
            <w:vAlign w:val="center"/>
          </w:tcPr>
          <w:p w14:paraId="42B940A5" w14:textId="77777777" w:rsidR="00FA14FE" w:rsidRPr="00DE13EE" w:rsidRDefault="00FA14FE" w:rsidP="009D0993">
            <w:pPr>
              <w:spacing w:line="276" w:lineRule="auto"/>
              <w:rPr>
                <w:rFonts w:ascii="Times New Roman" w:hAnsi="Times New Roman" w:cs="Times New Roman"/>
                <w:b/>
                <w:bCs/>
                <w:color w:val="000000" w:themeColor="text1"/>
                <w:sz w:val="20"/>
                <w:szCs w:val="20"/>
              </w:rPr>
            </w:pPr>
            <w:r w:rsidRPr="00DE13EE">
              <w:rPr>
                <w:rFonts w:ascii="Times New Roman" w:hAnsi="Times New Roman" w:cs="Times New Roman"/>
                <w:b/>
                <w:bCs/>
                <w:color w:val="000000" w:themeColor="text1"/>
                <w:sz w:val="20"/>
                <w:szCs w:val="20"/>
              </w:rPr>
              <w:t>(9)</w:t>
            </w:r>
          </w:p>
        </w:tc>
        <w:tc>
          <w:tcPr>
            <w:tcW w:w="1134" w:type="dxa"/>
            <w:tcBorders>
              <w:left w:val="nil"/>
              <w:bottom w:val="single" w:sz="4" w:space="0" w:color="auto"/>
              <w:right w:val="nil"/>
            </w:tcBorders>
            <w:vAlign w:val="center"/>
          </w:tcPr>
          <w:p w14:paraId="57F1E4A3" w14:textId="77777777" w:rsidR="00FA14FE" w:rsidRPr="00DE13EE" w:rsidRDefault="00FA14FE" w:rsidP="009D0993">
            <w:pPr>
              <w:spacing w:line="276" w:lineRule="auto"/>
              <w:rPr>
                <w:rFonts w:ascii="Times New Roman" w:hAnsi="Times New Roman" w:cs="Times New Roman"/>
                <w:b/>
                <w:bCs/>
                <w:color w:val="000000" w:themeColor="text1"/>
                <w:sz w:val="20"/>
                <w:szCs w:val="20"/>
              </w:rPr>
            </w:pPr>
            <w:r w:rsidRPr="00DE13EE">
              <w:rPr>
                <w:rFonts w:ascii="Times New Roman" w:hAnsi="Times New Roman" w:cs="Times New Roman"/>
                <w:b/>
                <w:bCs/>
                <w:color w:val="000000" w:themeColor="text1"/>
                <w:sz w:val="20"/>
                <w:szCs w:val="20"/>
              </w:rPr>
              <w:t>(10)</w:t>
            </w:r>
          </w:p>
        </w:tc>
        <w:tc>
          <w:tcPr>
            <w:tcW w:w="933" w:type="dxa"/>
            <w:tcBorders>
              <w:left w:val="nil"/>
              <w:bottom w:val="single" w:sz="4" w:space="0" w:color="auto"/>
              <w:right w:val="nil"/>
            </w:tcBorders>
            <w:vAlign w:val="center"/>
          </w:tcPr>
          <w:p w14:paraId="75DD343A" w14:textId="77777777" w:rsidR="00FA14FE" w:rsidRPr="00DE13EE" w:rsidRDefault="00FA14FE" w:rsidP="009D0993">
            <w:pPr>
              <w:spacing w:line="276" w:lineRule="auto"/>
              <w:rPr>
                <w:rFonts w:ascii="Times New Roman" w:hAnsi="Times New Roman" w:cs="Times New Roman"/>
                <w:b/>
                <w:bCs/>
                <w:color w:val="000000" w:themeColor="text1"/>
                <w:sz w:val="20"/>
                <w:szCs w:val="20"/>
              </w:rPr>
            </w:pPr>
            <w:r w:rsidRPr="00DE13EE">
              <w:rPr>
                <w:rFonts w:ascii="Times New Roman" w:hAnsi="Times New Roman" w:cs="Times New Roman"/>
                <w:b/>
                <w:bCs/>
                <w:color w:val="000000" w:themeColor="text1"/>
                <w:sz w:val="20"/>
                <w:szCs w:val="20"/>
              </w:rPr>
              <w:t>(11)</w:t>
            </w:r>
          </w:p>
        </w:tc>
        <w:tc>
          <w:tcPr>
            <w:tcW w:w="1021" w:type="dxa"/>
            <w:tcBorders>
              <w:left w:val="nil"/>
              <w:bottom w:val="single" w:sz="4" w:space="0" w:color="auto"/>
              <w:right w:val="nil"/>
            </w:tcBorders>
          </w:tcPr>
          <w:p w14:paraId="42298E4E" w14:textId="77777777" w:rsidR="00FA14FE" w:rsidRPr="00DE13EE" w:rsidRDefault="00FA14FE" w:rsidP="009D0993">
            <w:pPr>
              <w:spacing w:line="276" w:lineRule="auto"/>
              <w:rPr>
                <w:rFonts w:ascii="Times New Roman" w:hAnsi="Times New Roman" w:cs="Times New Roman"/>
                <w:b/>
                <w:bCs/>
                <w:color w:val="000000" w:themeColor="text1"/>
                <w:sz w:val="2"/>
                <w:szCs w:val="20"/>
              </w:rPr>
            </w:pPr>
          </w:p>
          <w:p w14:paraId="4F451C47" w14:textId="77777777" w:rsidR="00FA14FE" w:rsidRPr="00DE13EE" w:rsidRDefault="00FA14FE" w:rsidP="009D0993">
            <w:pPr>
              <w:spacing w:line="276" w:lineRule="auto"/>
              <w:rPr>
                <w:rFonts w:ascii="Times New Roman" w:hAnsi="Times New Roman" w:cs="Times New Roman"/>
                <w:b/>
                <w:bCs/>
                <w:color w:val="000000" w:themeColor="text1"/>
                <w:sz w:val="20"/>
                <w:szCs w:val="20"/>
              </w:rPr>
            </w:pPr>
            <w:r w:rsidRPr="00DE13EE">
              <w:rPr>
                <w:rFonts w:ascii="Times New Roman" w:hAnsi="Times New Roman" w:cs="Times New Roman"/>
                <w:b/>
                <w:bCs/>
                <w:color w:val="000000" w:themeColor="text1"/>
                <w:sz w:val="20"/>
                <w:szCs w:val="20"/>
              </w:rPr>
              <w:t>(12)</w:t>
            </w:r>
          </w:p>
        </w:tc>
        <w:tc>
          <w:tcPr>
            <w:tcW w:w="845" w:type="dxa"/>
            <w:tcBorders>
              <w:left w:val="nil"/>
              <w:bottom w:val="single" w:sz="4" w:space="0" w:color="auto"/>
              <w:right w:val="nil"/>
            </w:tcBorders>
          </w:tcPr>
          <w:p w14:paraId="295AB6BF" w14:textId="77777777" w:rsidR="00FA14FE" w:rsidRPr="00DE13EE" w:rsidRDefault="00FA14FE" w:rsidP="009D0993">
            <w:pPr>
              <w:spacing w:line="276" w:lineRule="auto"/>
              <w:rPr>
                <w:rFonts w:ascii="Times New Roman" w:hAnsi="Times New Roman" w:cs="Times New Roman"/>
                <w:b/>
                <w:bCs/>
                <w:color w:val="000000" w:themeColor="text1"/>
                <w:sz w:val="2"/>
                <w:szCs w:val="20"/>
              </w:rPr>
            </w:pPr>
          </w:p>
          <w:p w14:paraId="182186E5" w14:textId="77777777" w:rsidR="00FA14FE" w:rsidRPr="00DE13EE" w:rsidRDefault="00FA14FE" w:rsidP="009D0993">
            <w:pPr>
              <w:spacing w:line="276" w:lineRule="auto"/>
              <w:rPr>
                <w:rFonts w:ascii="Times New Roman" w:hAnsi="Times New Roman" w:cs="Times New Roman"/>
                <w:b/>
                <w:bCs/>
                <w:color w:val="000000" w:themeColor="text1"/>
                <w:sz w:val="20"/>
                <w:szCs w:val="20"/>
              </w:rPr>
            </w:pPr>
            <w:r w:rsidRPr="00DE13EE">
              <w:rPr>
                <w:rFonts w:ascii="Times New Roman" w:hAnsi="Times New Roman" w:cs="Times New Roman"/>
                <w:b/>
                <w:bCs/>
                <w:color w:val="000000" w:themeColor="text1"/>
                <w:sz w:val="20"/>
                <w:szCs w:val="20"/>
              </w:rPr>
              <w:t>(13)</w:t>
            </w:r>
          </w:p>
        </w:tc>
      </w:tr>
      <w:tr w:rsidR="00DE13EE" w:rsidRPr="00DE13EE" w14:paraId="32B75E2F" w14:textId="77777777" w:rsidTr="009D0993">
        <w:trPr>
          <w:trHeight w:val="249"/>
          <w:jc w:val="center"/>
        </w:trPr>
        <w:tc>
          <w:tcPr>
            <w:tcW w:w="2434" w:type="dxa"/>
            <w:vMerge w:val="restart"/>
            <w:tcBorders>
              <w:left w:val="nil"/>
              <w:bottom w:val="nil"/>
              <w:right w:val="nil"/>
            </w:tcBorders>
            <w:vAlign w:val="center"/>
          </w:tcPr>
          <w:p w14:paraId="2329EF40" w14:textId="77777777" w:rsidR="00FA14FE" w:rsidRPr="00DE13EE" w:rsidRDefault="00FA14FE" w:rsidP="009D0993">
            <w:pPr>
              <w:rPr>
                <w:rFonts w:ascii="Times New Roman" w:hAnsi="Times New Roman" w:cs="Times New Roman"/>
                <w:b/>
                <w:bCs/>
                <w:color w:val="000000" w:themeColor="text1"/>
                <w:sz w:val="20"/>
                <w:szCs w:val="20"/>
              </w:rPr>
            </w:pPr>
            <w:r w:rsidRPr="00DE13EE">
              <w:rPr>
                <w:rFonts w:ascii="Times New Roman" w:hAnsi="Times New Roman" w:cs="Times New Roman"/>
                <w:b/>
                <w:bCs/>
                <w:color w:val="000000" w:themeColor="text1"/>
                <w:sz w:val="20"/>
                <w:szCs w:val="20"/>
              </w:rPr>
              <w:t>(1) IMadj.TQ</w:t>
            </w:r>
            <w:r w:rsidRPr="00DE13EE">
              <w:rPr>
                <w:rFonts w:ascii="Times New Roman" w:hAnsi="Times New Roman" w:cs="Times New Roman"/>
                <w:b/>
                <w:bCs/>
                <w:color w:val="000000" w:themeColor="text1"/>
                <w:sz w:val="20"/>
                <w:szCs w:val="20"/>
                <w:vertAlign w:val="subscript"/>
              </w:rPr>
              <w:t>+3</w:t>
            </w:r>
          </w:p>
        </w:tc>
        <w:tc>
          <w:tcPr>
            <w:tcW w:w="1158" w:type="dxa"/>
            <w:tcBorders>
              <w:left w:val="nil"/>
              <w:bottom w:val="nil"/>
              <w:right w:val="nil"/>
            </w:tcBorders>
            <w:vAlign w:val="bottom"/>
          </w:tcPr>
          <w:p w14:paraId="1ACC3388"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1.000</w:t>
            </w:r>
          </w:p>
        </w:tc>
        <w:tc>
          <w:tcPr>
            <w:tcW w:w="1287" w:type="dxa"/>
            <w:tcBorders>
              <w:left w:val="nil"/>
              <w:bottom w:val="nil"/>
              <w:right w:val="nil"/>
            </w:tcBorders>
            <w:vAlign w:val="bottom"/>
          </w:tcPr>
          <w:p w14:paraId="26E1B49C" w14:textId="77777777" w:rsidR="00FA14FE" w:rsidRPr="00DE13EE" w:rsidRDefault="00FA14FE" w:rsidP="009D0993">
            <w:pPr>
              <w:rPr>
                <w:rFonts w:ascii="Times New Roman" w:hAnsi="Times New Roman" w:cs="Times New Roman"/>
                <w:color w:val="000000" w:themeColor="text1"/>
                <w:sz w:val="20"/>
                <w:szCs w:val="20"/>
              </w:rPr>
            </w:pPr>
          </w:p>
        </w:tc>
        <w:tc>
          <w:tcPr>
            <w:tcW w:w="1048" w:type="dxa"/>
            <w:tcBorders>
              <w:left w:val="nil"/>
              <w:bottom w:val="nil"/>
              <w:right w:val="nil"/>
            </w:tcBorders>
            <w:vAlign w:val="bottom"/>
          </w:tcPr>
          <w:p w14:paraId="3BDA9419" w14:textId="77777777" w:rsidR="00FA14FE" w:rsidRPr="00DE13EE" w:rsidRDefault="00FA14FE" w:rsidP="009D0993">
            <w:pPr>
              <w:rPr>
                <w:rFonts w:ascii="Times New Roman" w:hAnsi="Times New Roman" w:cs="Times New Roman"/>
                <w:color w:val="000000" w:themeColor="text1"/>
                <w:sz w:val="20"/>
                <w:szCs w:val="20"/>
              </w:rPr>
            </w:pPr>
          </w:p>
        </w:tc>
        <w:tc>
          <w:tcPr>
            <w:tcW w:w="1050" w:type="dxa"/>
            <w:tcBorders>
              <w:left w:val="nil"/>
              <w:bottom w:val="nil"/>
              <w:right w:val="nil"/>
            </w:tcBorders>
            <w:vAlign w:val="bottom"/>
          </w:tcPr>
          <w:p w14:paraId="4B704B3D" w14:textId="77777777" w:rsidR="00FA14FE" w:rsidRPr="00DE13EE" w:rsidRDefault="00FA14FE" w:rsidP="009D0993">
            <w:pPr>
              <w:rPr>
                <w:rFonts w:ascii="Times New Roman" w:hAnsi="Times New Roman" w:cs="Times New Roman"/>
                <w:color w:val="000000" w:themeColor="text1"/>
                <w:sz w:val="20"/>
                <w:szCs w:val="20"/>
              </w:rPr>
            </w:pPr>
          </w:p>
        </w:tc>
        <w:tc>
          <w:tcPr>
            <w:tcW w:w="1048" w:type="dxa"/>
            <w:tcBorders>
              <w:left w:val="nil"/>
              <w:bottom w:val="nil"/>
              <w:right w:val="nil"/>
            </w:tcBorders>
            <w:vAlign w:val="bottom"/>
          </w:tcPr>
          <w:p w14:paraId="2E0339EE" w14:textId="77777777" w:rsidR="00FA14FE" w:rsidRPr="00DE13EE" w:rsidRDefault="00FA14FE" w:rsidP="009D0993">
            <w:pPr>
              <w:rPr>
                <w:rFonts w:ascii="Times New Roman" w:hAnsi="Times New Roman" w:cs="Times New Roman"/>
                <w:color w:val="000000" w:themeColor="text1"/>
                <w:sz w:val="20"/>
                <w:szCs w:val="20"/>
              </w:rPr>
            </w:pPr>
          </w:p>
        </w:tc>
        <w:tc>
          <w:tcPr>
            <w:tcW w:w="1050" w:type="dxa"/>
            <w:tcBorders>
              <w:left w:val="nil"/>
              <w:bottom w:val="nil"/>
              <w:right w:val="nil"/>
            </w:tcBorders>
            <w:vAlign w:val="bottom"/>
          </w:tcPr>
          <w:p w14:paraId="4CD21FF9" w14:textId="77777777" w:rsidR="00FA14FE" w:rsidRPr="00DE13EE" w:rsidRDefault="00FA14FE" w:rsidP="009D0993">
            <w:pPr>
              <w:rPr>
                <w:rFonts w:ascii="Times New Roman" w:hAnsi="Times New Roman" w:cs="Times New Roman"/>
                <w:color w:val="000000" w:themeColor="text1"/>
                <w:sz w:val="20"/>
                <w:szCs w:val="20"/>
              </w:rPr>
            </w:pPr>
          </w:p>
        </w:tc>
        <w:tc>
          <w:tcPr>
            <w:tcW w:w="1048" w:type="dxa"/>
            <w:tcBorders>
              <w:left w:val="nil"/>
              <w:bottom w:val="nil"/>
              <w:right w:val="nil"/>
            </w:tcBorders>
            <w:vAlign w:val="bottom"/>
          </w:tcPr>
          <w:p w14:paraId="34217C5C" w14:textId="77777777" w:rsidR="00FA14FE" w:rsidRPr="00DE13EE" w:rsidRDefault="00FA14FE" w:rsidP="009D0993">
            <w:pPr>
              <w:rPr>
                <w:rFonts w:ascii="Times New Roman" w:hAnsi="Times New Roman" w:cs="Times New Roman"/>
                <w:color w:val="000000" w:themeColor="text1"/>
                <w:sz w:val="20"/>
                <w:szCs w:val="20"/>
              </w:rPr>
            </w:pPr>
          </w:p>
        </w:tc>
        <w:tc>
          <w:tcPr>
            <w:tcW w:w="1050" w:type="dxa"/>
            <w:tcBorders>
              <w:left w:val="nil"/>
              <w:bottom w:val="nil"/>
              <w:right w:val="nil"/>
            </w:tcBorders>
          </w:tcPr>
          <w:p w14:paraId="03AC944A" w14:textId="77777777" w:rsidR="00FA14FE" w:rsidRPr="00DE13EE" w:rsidRDefault="00FA14FE" w:rsidP="009D0993">
            <w:pPr>
              <w:rPr>
                <w:rFonts w:ascii="Times New Roman" w:hAnsi="Times New Roman" w:cs="Times New Roman"/>
                <w:color w:val="000000" w:themeColor="text1"/>
                <w:sz w:val="20"/>
                <w:szCs w:val="20"/>
              </w:rPr>
            </w:pPr>
          </w:p>
        </w:tc>
        <w:tc>
          <w:tcPr>
            <w:tcW w:w="1048" w:type="dxa"/>
            <w:tcBorders>
              <w:left w:val="nil"/>
              <w:bottom w:val="nil"/>
              <w:right w:val="nil"/>
            </w:tcBorders>
          </w:tcPr>
          <w:p w14:paraId="0EC19D93" w14:textId="77777777" w:rsidR="00FA14FE" w:rsidRPr="00DE13EE" w:rsidRDefault="00FA14FE" w:rsidP="009D0993">
            <w:pPr>
              <w:rPr>
                <w:rFonts w:ascii="Times New Roman" w:hAnsi="Times New Roman" w:cs="Times New Roman"/>
                <w:color w:val="000000" w:themeColor="text1"/>
                <w:sz w:val="20"/>
                <w:szCs w:val="20"/>
              </w:rPr>
            </w:pPr>
          </w:p>
        </w:tc>
        <w:tc>
          <w:tcPr>
            <w:tcW w:w="1134" w:type="dxa"/>
            <w:tcBorders>
              <w:left w:val="nil"/>
              <w:bottom w:val="nil"/>
              <w:right w:val="nil"/>
            </w:tcBorders>
          </w:tcPr>
          <w:p w14:paraId="34C6B6D7" w14:textId="77777777" w:rsidR="00FA14FE" w:rsidRPr="00DE13EE" w:rsidRDefault="00FA14FE" w:rsidP="009D0993">
            <w:pPr>
              <w:rPr>
                <w:rFonts w:ascii="Times New Roman" w:hAnsi="Times New Roman" w:cs="Times New Roman"/>
                <w:color w:val="000000" w:themeColor="text1"/>
                <w:sz w:val="20"/>
                <w:szCs w:val="20"/>
              </w:rPr>
            </w:pPr>
          </w:p>
        </w:tc>
        <w:tc>
          <w:tcPr>
            <w:tcW w:w="933" w:type="dxa"/>
            <w:tcBorders>
              <w:left w:val="nil"/>
              <w:bottom w:val="nil"/>
              <w:right w:val="nil"/>
            </w:tcBorders>
          </w:tcPr>
          <w:p w14:paraId="466136EA" w14:textId="77777777" w:rsidR="00FA14FE" w:rsidRPr="00DE13EE" w:rsidRDefault="00FA14FE" w:rsidP="009D0993">
            <w:pPr>
              <w:rPr>
                <w:rFonts w:ascii="Times New Roman" w:hAnsi="Times New Roman" w:cs="Times New Roman"/>
                <w:color w:val="000000" w:themeColor="text1"/>
                <w:sz w:val="20"/>
                <w:szCs w:val="20"/>
              </w:rPr>
            </w:pPr>
          </w:p>
        </w:tc>
        <w:tc>
          <w:tcPr>
            <w:tcW w:w="1021" w:type="dxa"/>
            <w:tcBorders>
              <w:left w:val="nil"/>
              <w:bottom w:val="nil"/>
              <w:right w:val="nil"/>
            </w:tcBorders>
          </w:tcPr>
          <w:p w14:paraId="1A847C90" w14:textId="77777777" w:rsidR="00FA14FE" w:rsidRPr="00DE13EE" w:rsidRDefault="00FA14FE" w:rsidP="009D0993">
            <w:pPr>
              <w:rPr>
                <w:rFonts w:ascii="Times New Roman" w:hAnsi="Times New Roman" w:cs="Times New Roman"/>
                <w:color w:val="000000" w:themeColor="text1"/>
                <w:sz w:val="20"/>
                <w:szCs w:val="20"/>
              </w:rPr>
            </w:pPr>
          </w:p>
        </w:tc>
        <w:tc>
          <w:tcPr>
            <w:tcW w:w="845" w:type="dxa"/>
            <w:tcBorders>
              <w:left w:val="nil"/>
              <w:bottom w:val="nil"/>
              <w:right w:val="nil"/>
            </w:tcBorders>
          </w:tcPr>
          <w:p w14:paraId="67AB53B6" w14:textId="77777777" w:rsidR="00FA14FE" w:rsidRPr="00DE13EE" w:rsidRDefault="00FA14FE" w:rsidP="009D0993">
            <w:pPr>
              <w:rPr>
                <w:rFonts w:ascii="Times New Roman" w:hAnsi="Times New Roman" w:cs="Times New Roman"/>
                <w:color w:val="000000" w:themeColor="text1"/>
                <w:sz w:val="20"/>
                <w:szCs w:val="20"/>
              </w:rPr>
            </w:pPr>
          </w:p>
        </w:tc>
      </w:tr>
      <w:tr w:rsidR="00DE13EE" w:rsidRPr="00DE13EE" w14:paraId="28D0F05B" w14:textId="77777777" w:rsidTr="009D0993">
        <w:trPr>
          <w:trHeight w:val="80"/>
          <w:jc w:val="center"/>
        </w:trPr>
        <w:tc>
          <w:tcPr>
            <w:tcW w:w="2434" w:type="dxa"/>
            <w:vMerge/>
            <w:tcBorders>
              <w:top w:val="nil"/>
              <w:left w:val="nil"/>
              <w:bottom w:val="nil"/>
              <w:right w:val="nil"/>
            </w:tcBorders>
            <w:vAlign w:val="center"/>
          </w:tcPr>
          <w:p w14:paraId="3FA50E96" w14:textId="77777777" w:rsidR="00FA14FE" w:rsidRPr="00DE13EE" w:rsidRDefault="00FA14FE" w:rsidP="009D0993">
            <w:pPr>
              <w:rPr>
                <w:rFonts w:ascii="Times New Roman" w:hAnsi="Times New Roman" w:cs="Times New Roman"/>
                <w:b/>
                <w:bCs/>
                <w:color w:val="000000" w:themeColor="text1"/>
                <w:sz w:val="20"/>
                <w:szCs w:val="20"/>
              </w:rPr>
            </w:pPr>
          </w:p>
        </w:tc>
        <w:tc>
          <w:tcPr>
            <w:tcW w:w="1158" w:type="dxa"/>
            <w:tcBorders>
              <w:top w:val="nil"/>
              <w:left w:val="nil"/>
              <w:bottom w:val="nil"/>
              <w:right w:val="nil"/>
            </w:tcBorders>
            <w:vAlign w:val="bottom"/>
          </w:tcPr>
          <w:p w14:paraId="3A2D5E58" w14:textId="77777777" w:rsidR="00FA14FE" w:rsidRPr="00DE13EE" w:rsidRDefault="00FA14FE" w:rsidP="009D0993">
            <w:pPr>
              <w:rPr>
                <w:rFonts w:ascii="Times New Roman" w:hAnsi="Times New Roman" w:cs="Times New Roman"/>
                <w:color w:val="000000" w:themeColor="text1"/>
                <w:sz w:val="20"/>
                <w:szCs w:val="20"/>
              </w:rPr>
            </w:pPr>
          </w:p>
        </w:tc>
        <w:tc>
          <w:tcPr>
            <w:tcW w:w="1287" w:type="dxa"/>
            <w:tcBorders>
              <w:top w:val="nil"/>
              <w:left w:val="nil"/>
              <w:bottom w:val="nil"/>
              <w:right w:val="nil"/>
            </w:tcBorders>
            <w:vAlign w:val="bottom"/>
          </w:tcPr>
          <w:p w14:paraId="7989253D" w14:textId="77777777" w:rsidR="00FA14FE" w:rsidRPr="00DE13EE" w:rsidRDefault="00FA14FE" w:rsidP="009D0993">
            <w:pPr>
              <w:rPr>
                <w:rFonts w:ascii="Times New Roman" w:hAnsi="Times New Roman" w:cs="Times New Roman"/>
                <w:color w:val="000000" w:themeColor="text1"/>
                <w:sz w:val="20"/>
                <w:szCs w:val="20"/>
              </w:rPr>
            </w:pPr>
          </w:p>
        </w:tc>
        <w:tc>
          <w:tcPr>
            <w:tcW w:w="1048" w:type="dxa"/>
            <w:tcBorders>
              <w:top w:val="nil"/>
              <w:left w:val="nil"/>
              <w:bottom w:val="nil"/>
              <w:right w:val="nil"/>
            </w:tcBorders>
            <w:vAlign w:val="bottom"/>
          </w:tcPr>
          <w:p w14:paraId="1D669C1C" w14:textId="77777777" w:rsidR="00FA14FE" w:rsidRPr="00DE13EE" w:rsidRDefault="00FA14FE" w:rsidP="009D0993">
            <w:pPr>
              <w:rPr>
                <w:rFonts w:ascii="Times New Roman" w:hAnsi="Times New Roman" w:cs="Times New Roman"/>
                <w:color w:val="000000" w:themeColor="text1"/>
                <w:sz w:val="20"/>
                <w:szCs w:val="20"/>
              </w:rPr>
            </w:pPr>
          </w:p>
        </w:tc>
        <w:tc>
          <w:tcPr>
            <w:tcW w:w="1050" w:type="dxa"/>
            <w:tcBorders>
              <w:top w:val="nil"/>
              <w:left w:val="nil"/>
              <w:bottom w:val="nil"/>
              <w:right w:val="nil"/>
            </w:tcBorders>
            <w:vAlign w:val="bottom"/>
          </w:tcPr>
          <w:p w14:paraId="047F96E6" w14:textId="77777777" w:rsidR="00FA14FE" w:rsidRPr="00DE13EE" w:rsidRDefault="00FA14FE" w:rsidP="009D0993">
            <w:pPr>
              <w:rPr>
                <w:rFonts w:ascii="Times New Roman" w:hAnsi="Times New Roman" w:cs="Times New Roman"/>
                <w:color w:val="000000" w:themeColor="text1"/>
                <w:sz w:val="20"/>
                <w:szCs w:val="20"/>
              </w:rPr>
            </w:pPr>
          </w:p>
        </w:tc>
        <w:tc>
          <w:tcPr>
            <w:tcW w:w="1048" w:type="dxa"/>
            <w:tcBorders>
              <w:top w:val="nil"/>
              <w:left w:val="nil"/>
              <w:bottom w:val="nil"/>
              <w:right w:val="nil"/>
            </w:tcBorders>
            <w:vAlign w:val="bottom"/>
          </w:tcPr>
          <w:p w14:paraId="2DCC95ED" w14:textId="77777777" w:rsidR="00FA14FE" w:rsidRPr="00DE13EE" w:rsidRDefault="00FA14FE" w:rsidP="009D0993">
            <w:pPr>
              <w:rPr>
                <w:rFonts w:ascii="Times New Roman" w:hAnsi="Times New Roman" w:cs="Times New Roman"/>
                <w:color w:val="000000" w:themeColor="text1"/>
                <w:sz w:val="20"/>
                <w:szCs w:val="20"/>
              </w:rPr>
            </w:pPr>
          </w:p>
        </w:tc>
        <w:tc>
          <w:tcPr>
            <w:tcW w:w="1050" w:type="dxa"/>
            <w:tcBorders>
              <w:top w:val="nil"/>
              <w:left w:val="nil"/>
              <w:bottom w:val="nil"/>
              <w:right w:val="nil"/>
            </w:tcBorders>
            <w:vAlign w:val="bottom"/>
          </w:tcPr>
          <w:p w14:paraId="1CA06A8F" w14:textId="77777777" w:rsidR="00FA14FE" w:rsidRPr="00DE13EE" w:rsidRDefault="00FA14FE" w:rsidP="009D0993">
            <w:pPr>
              <w:rPr>
                <w:rFonts w:ascii="Times New Roman" w:hAnsi="Times New Roman" w:cs="Times New Roman"/>
                <w:color w:val="000000" w:themeColor="text1"/>
                <w:sz w:val="20"/>
                <w:szCs w:val="20"/>
              </w:rPr>
            </w:pPr>
          </w:p>
        </w:tc>
        <w:tc>
          <w:tcPr>
            <w:tcW w:w="1048" w:type="dxa"/>
            <w:tcBorders>
              <w:top w:val="nil"/>
              <w:left w:val="nil"/>
              <w:bottom w:val="nil"/>
              <w:right w:val="nil"/>
            </w:tcBorders>
            <w:vAlign w:val="bottom"/>
          </w:tcPr>
          <w:p w14:paraId="5124B209" w14:textId="77777777" w:rsidR="00FA14FE" w:rsidRPr="00DE13EE" w:rsidRDefault="00FA14FE" w:rsidP="009D0993">
            <w:pPr>
              <w:rPr>
                <w:rFonts w:ascii="Times New Roman" w:hAnsi="Times New Roman" w:cs="Times New Roman"/>
                <w:color w:val="000000" w:themeColor="text1"/>
                <w:sz w:val="20"/>
                <w:szCs w:val="20"/>
              </w:rPr>
            </w:pPr>
          </w:p>
        </w:tc>
        <w:tc>
          <w:tcPr>
            <w:tcW w:w="1050" w:type="dxa"/>
            <w:tcBorders>
              <w:top w:val="nil"/>
              <w:left w:val="nil"/>
              <w:bottom w:val="nil"/>
              <w:right w:val="nil"/>
            </w:tcBorders>
          </w:tcPr>
          <w:p w14:paraId="07CEE50E" w14:textId="77777777" w:rsidR="00FA14FE" w:rsidRPr="00DE13EE" w:rsidRDefault="00FA14FE" w:rsidP="009D0993">
            <w:pPr>
              <w:rPr>
                <w:rFonts w:ascii="Times New Roman" w:hAnsi="Times New Roman" w:cs="Times New Roman"/>
                <w:color w:val="000000" w:themeColor="text1"/>
                <w:sz w:val="20"/>
                <w:szCs w:val="20"/>
              </w:rPr>
            </w:pPr>
          </w:p>
        </w:tc>
        <w:tc>
          <w:tcPr>
            <w:tcW w:w="1048" w:type="dxa"/>
            <w:tcBorders>
              <w:top w:val="nil"/>
              <w:left w:val="nil"/>
              <w:bottom w:val="nil"/>
              <w:right w:val="nil"/>
            </w:tcBorders>
          </w:tcPr>
          <w:p w14:paraId="2735FF23" w14:textId="77777777" w:rsidR="00FA14FE" w:rsidRPr="00DE13EE" w:rsidRDefault="00FA14FE" w:rsidP="009D0993">
            <w:pPr>
              <w:rPr>
                <w:rFonts w:ascii="Times New Roman" w:hAnsi="Times New Roman" w:cs="Times New Roman"/>
                <w:color w:val="000000" w:themeColor="text1"/>
                <w:sz w:val="20"/>
                <w:szCs w:val="20"/>
              </w:rPr>
            </w:pPr>
          </w:p>
        </w:tc>
        <w:tc>
          <w:tcPr>
            <w:tcW w:w="1134" w:type="dxa"/>
            <w:tcBorders>
              <w:top w:val="nil"/>
              <w:left w:val="nil"/>
              <w:bottom w:val="nil"/>
              <w:right w:val="nil"/>
            </w:tcBorders>
          </w:tcPr>
          <w:p w14:paraId="5D89AC44" w14:textId="77777777" w:rsidR="00FA14FE" w:rsidRPr="00DE13EE" w:rsidRDefault="00FA14FE" w:rsidP="009D0993">
            <w:pPr>
              <w:rPr>
                <w:rFonts w:ascii="Times New Roman" w:hAnsi="Times New Roman" w:cs="Times New Roman"/>
                <w:color w:val="000000" w:themeColor="text1"/>
                <w:sz w:val="20"/>
                <w:szCs w:val="20"/>
              </w:rPr>
            </w:pPr>
          </w:p>
        </w:tc>
        <w:tc>
          <w:tcPr>
            <w:tcW w:w="933" w:type="dxa"/>
            <w:tcBorders>
              <w:top w:val="nil"/>
              <w:left w:val="nil"/>
              <w:bottom w:val="nil"/>
              <w:right w:val="nil"/>
            </w:tcBorders>
          </w:tcPr>
          <w:p w14:paraId="05A2A2A5" w14:textId="77777777" w:rsidR="00FA14FE" w:rsidRPr="00DE13EE" w:rsidRDefault="00FA14FE" w:rsidP="009D0993">
            <w:pPr>
              <w:rPr>
                <w:rFonts w:ascii="Times New Roman" w:hAnsi="Times New Roman" w:cs="Times New Roman"/>
                <w:color w:val="000000" w:themeColor="text1"/>
                <w:sz w:val="20"/>
                <w:szCs w:val="20"/>
              </w:rPr>
            </w:pPr>
          </w:p>
        </w:tc>
        <w:tc>
          <w:tcPr>
            <w:tcW w:w="1021" w:type="dxa"/>
            <w:tcBorders>
              <w:top w:val="nil"/>
              <w:left w:val="nil"/>
              <w:bottom w:val="nil"/>
              <w:right w:val="nil"/>
            </w:tcBorders>
          </w:tcPr>
          <w:p w14:paraId="4B4643AC" w14:textId="77777777" w:rsidR="00FA14FE" w:rsidRPr="00DE13EE" w:rsidRDefault="00FA14FE" w:rsidP="009D0993">
            <w:pPr>
              <w:rPr>
                <w:rFonts w:ascii="Times New Roman" w:hAnsi="Times New Roman" w:cs="Times New Roman"/>
                <w:color w:val="000000" w:themeColor="text1"/>
                <w:sz w:val="20"/>
                <w:szCs w:val="20"/>
              </w:rPr>
            </w:pPr>
          </w:p>
        </w:tc>
        <w:tc>
          <w:tcPr>
            <w:tcW w:w="845" w:type="dxa"/>
            <w:tcBorders>
              <w:top w:val="nil"/>
              <w:left w:val="nil"/>
              <w:bottom w:val="nil"/>
              <w:right w:val="nil"/>
            </w:tcBorders>
          </w:tcPr>
          <w:p w14:paraId="619EEC02" w14:textId="77777777" w:rsidR="00FA14FE" w:rsidRPr="00DE13EE" w:rsidRDefault="00FA14FE" w:rsidP="009D0993">
            <w:pPr>
              <w:rPr>
                <w:rFonts w:ascii="Times New Roman" w:hAnsi="Times New Roman" w:cs="Times New Roman"/>
                <w:color w:val="000000" w:themeColor="text1"/>
                <w:sz w:val="20"/>
                <w:szCs w:val="20"/>
              </w:rPr>
            </w:pPr>
          </w:p>
        </w:tc>
      </w:tr>
      <w:tr w:rsidR="00DE13EE" w:rsidRPr="00DE13EE" w14:paraId="0D7DE0C9" w14:textId="77777777" w:rsidTr="009D0993">
        <w:trPr>
          <w:trHeight w:val="249"/>
          <w:jc w:val="center"/>
        </w:trPr>
        <w:tc>
          <w:tcPr>
            <w:tcW w:w="2434" w:type="dxa"/>
            <w:vMerge w:val="restart"/>
            <w:tcBorders>
              <w:top w:val="nil"/>
              <w:left w:val="nil"/>
              <w:bottom w:val="nil"/>
              <w:right w:val="nil"/>
            </w:tcBorders>
            <w:vAlign w:val="center"/>
          </w:tcPr>
          <w:p w14:paraId="72A18E8D" w14:textId="77777777" w:rsidR="00FA14FE" w:rsidRPr="00DE13EE" w:rsidRDefault="00FA14FE" w:rsidP="009D0993">
            <w:pPr>
              <w:rPr>
                <w:rFonts w:ascii="Times New Roman" w:hAnsi="Times New Roman" w:cs="Times New Roman"/>
                <w:b/>
                <w:bCs/>
                <w:color w:val="000000" w:themeColor="text1"/>
                <w:sz w:val="20"/>
                <w:szCs w:val="20"/>
              </w:rPr>
            </w:pPr>
            <w:r w:rsidRPr="00DE13EE">
              <w:rPr>
                <w:rFonts w:ascii="Times New Roman" w:hAnsi="Times New Roman" w:cs="Times New Roman"/>
                <w:b/>
                <w:bCs/>
                <w:color w:val="000000" w:themeColor="text1"/>
                <w:sz w:val="20"/>
                <w:szCs w:val="20"/>
              </w:rPr>
              <w:t>(2) FLD Score</w:t>
            </w:r>
          </w:p>
        </w:tc>
        <w:tc>
          <w:tcPr>
            <w:tcW w:w="1158" w:type="dxa"/>
            <w:tcBorders>
              <w:top w:val="nil"/>
              <w:left w:val="nil"/>
              <w:bottom w:val="nil"/>
              <w:right w:val="nil"/>
            </w:tcBorders>
            <w:vAlign w:val="bottom"/>
          </w:tcPr>
          <w:p w14:paraId="3AE6999B"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0.076</w:t>
            </w:r>
            <w:r w:rsidRPr="00DE13EE">
              <w:rPr>
                <w:rFonts w:ascii="Times New Roman" w:hAnsi="Times New Roman" w:cs="Times New Roman"/>
                <w:color w:val="000000" w:themeColor="text1"/>
                <w:sz w:val="20"/>
                <w:szCs w:val="20"/>
                <w:vertAlign w:val="superscript"/>
              </w:rPr>
              <w:t>***</w:t>
            </w:r>
          </w:p>
        </w:tc>
        <w:tc>
          <w:tcPr>
            <w:tcW w:w="1287" w:type="dxa"/>
            <w:tcBorders>
              <w:top w:val="nil"/>
              <w:left w:val="nil"/>
              <w:bottom w:val="nil"/>
              <w:right w:val="nil"/>
            </w:tcBorders>
            <w:vAlign w:val="bottom"/>
          </w:tcPr>
          <w:p w14:paraId="3B9F95D1"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1.000</w:t>
            </w:r>
          </w:p>
        </w:tc>
        <w:tc>
          <w:tcPr>
            <w:tcW w:w="1048" w:type="dxa"/>
            <w:tcBorders>
              <w:top w:val="nil"/>
              <w:left w:val="nil"/>
              <w:bottom w:val="nil"/>
              <w:right w:val="nil"/>
            </w:tcBorders>
            <w:vAlign w:val="bottom"/>
          </w:tcPr>
          <w:p w14:paraId="744349D7" w14:textId="77777777" w:rsidR="00FA14FE" w:rsidRPr="00DE13EE" w:rsidRDefault="00FA14FE" w:rsidP="009D0993">
            <w:pPr>
              <w:rPr>
                <w:rFonts w:ascii="Times New Roman" w:hAnsi="Times New Roman" w:cs="Times New Roman"/>
                <w:color w:val="000000" w:themeColor="text1"/>
                <w:sz w:val="20"/>
                <w:szCs w:val="20"/>
              </w:rPr>
            </w:pPr>
          </w:p>
        </w:tc>
        <w:tc>
          <w:tcPr>
            <w:tcW w:w="1050" w:type="dxa"/>
            <w:tcBorders>
              <w:top w:val="nil"/>
              <w:left w:val="nil"/>
              <w:bottom w:val="nil"/>
              <w:right w:val="nil"/>
            </w:tcBorders>
            <w:vAlign w:val="bottom"/>
          </w:tcPr>
          <w:p w14:paraId="5474B1EB" w14:textId="77777777" w:rsidR="00FA14FE" w:rsidRPr="00DE13EE" w:rsidRDefault="00FA14FE" w:rsidP="009D0993">
            <w:pPr>
              <w:rPr>
                <w:rFonts w:ascii="Times New Roman" w:hAnsi="Times New Roman" w:cs="Times New Roman"/>
                <w:color w:val="000000" w:themeColor="text1"/>
                <w:sz w:val="20"/>
                <w:szCs w:val="20"/>
              </w:rPr>
            </w:pPr>
          </w:p>
        </w:tc>
        <w:tc>
          <w:tcPr>
            <w:tcW w:w="1048" w:type="dxa"/>
            <w:tcBorders>
              <w:top w:val="nil"/>
              <w:left w:val="nil"/>
              <w:bottom w:val="nil"/>
              <w:right w:val="nil"/>
            </w:tcBorders>
            <w:vAlign w:val="bottom"/>
          </w:tcPr>
          <w:p w14:paraId="1BDA651B" w14:textId="77777777" w:rsidR="00FA14FE" w:rsidRPr="00DE13EE" w:rsidRDefault="00FA14FE" w:rsidP="009D0993">
            <w:pPr>
              <w:rPr>
                <w:rFonts w:ascii="Times New Roman" w:hAnsi="Times New Roman" w:cs="Times New Roman"/>
                <w:color w:val="000000" w:themeColor="text1"/>
                <w:sz w:val="20"/>
                <w:szCs w:val="20"/>
              </w:rPr>
            </w:pPr>
          </w:p>
        </w:tc>
        <w:tc>
          <w:tcPr>
            <w:tcW w:w="1050" w:type="dxa"/>
            <w:tcBorders>
              <w:top w:val="nil"/>
              <w:left w:val="nil"/>
              <w:bottom w:val="nil"/>
              <w:right w:val="nil"/>
            </w:tcBorders>
            <w:vAlign w:val="bottom"/>
          </w:tcPr>
          <w:p w14:paraId="24658365" w14:textId="77777777" w:rsidR="00FA14FE" w:rsidRPr="00DE13EE" w:rsidRDefault="00FA14FE" w:rsidP="009D0993">
            <w:pPr>
              <w:rPr>
                <w:rFonts w:ascii="Times New Roman" w:hAnsi="Times New Roman" w:cs="Times New Roman"/>
                <w:color w:val="000000" w:themeColor="text1"/>
                <w:sz w:val="20"/>
                <w:szCs w:val="20"/>
              </w:rPr>
            </w:pPr>
          </w:p>
        </w:tc>
        <w:tc>
          <w:tcPr>
            <w:tcW w:w="1048" w:type="dxa"/>
            <w:tcBorders>
              <w:top w:val="nil"/>
              <w:left w:val="nil"/>
              <w:bottom w:val="nil"/>
              <w:right w:val="nil"/>
            </w:tcBorders>
            <w:vAlign w:val="bottom"/>
          </w:tcPr>
          <w:p w14:paraId="656E7136" w14:textId="77777777" w:rsidR="00FA14FE" w:rsidRPr="00DE13EE" w:rsidRDefault="00FA14FE" w:rsidP="009D0993">
            <w:pPr>
              <w:rPr>
                <w:rFonts w:ascii="Times New Roman" w:hAnsi="Times New Roman" w:cs="Times New Roman"/>
                <w:color w:val="000000" w:themeColor="text1"/>
                <w:sz w:val="20"/>
                <w:szCs w:val="20"/>
              </w:rPr>
            </w:pPr>
          </w:p>
        </w:tc>
        <w:tc>
          <w:tcPr>
            <w:tcW w:w="1050" w:type="dxa"/>
            <w:tcBorders>
              <w:top w:val="nil"/>
              <w:left w:val="nil"/>
              <w:bottom w:val="nil"/>
              <w:right w:val="nil"/>
            </w:tcBorders>
          </w:tcPr>
          <w:p w14:paraId="58FA154F" w14:textId="77777777" w:rsidR="00FA14FE" w:rsidRPr="00DE13EE" w:rsidRDefault="00FA14FE" w:rsidP="009D0993">
            <w:pPr>
              <w:rPr>
                <w:rFonts w:ascii="Times New Roman" w:hAnsi="Times New Roman" w:cs="Times New Roman"/>
                <w:color w:val="000000" w:themeColor="text1"/>
                <w:sz w:val="20"/>
                <w:szCs w:val="20"/>
              </w:rPr>
            </w:pPr>
          </w:p>
        </w:tc>
        <w:tc>
          <w:tcPr>
            <w:tcW w:w="1048" w:type="dxa"/>
            <w:tcBorders>
              <w:top w:val="nil"/>
              <w:left w:val="nil"/>
              <w:bottom w:val="nil"/>
              <w:right w:val="nil"/>
            </w:tcBorders>
          </w:tcPr>
          <w:p w14:paraId="0D1058BC" w14:textId="77777777" w:rsidR="00FA14FE" w:rsidRPr="00DE13EE" w:rsidRDefault="00FA14FE" w:rsidP="009D0993">
            <w:pPr>
              <w:rPr>
                <w:rFonts w:ascii="Times New Roman" w:hAnsi="Times New Roman" w:cs="Times New Roman"/>
                <w:color w:val="000000" w:themeColor="text1"/>
                <w:sz w:val="20"/>
                <w:szCs w:val="20"/>
              </w:rPr>
            </w:pPr>
          </w:p>
        </w:tc>
        <w:tc>
          <w:tcPr>
            <w:tcW w:w="1134" w:type="dxa"/>
            <w:tcBorders>
              <w:top w:val="nil"/>
              <w:left w:val="nil"/>
              <w:bottom w:val="nil"/>
              <w:right w:val="nil"/>
            </w:tcBorders>
          </w:tcPr>
          <w:p w14:paraId="4728E064" w14:textId="77777777" w:rsidR="00FA14FE" w:rsidRPr="00DE13EE" w:rsidRDefault="00FA14FE" w:rsidP="009D0993">
            <w:pPr>
              <w:rPr>
                <w:rFonts w:ascii="Times New Roman" w:hAnsi="Times New Roman" w:cs="Times New Roman"/>
                <w:color w:val="000000" w:themeColor="text1"/>
                <w:sz w:val="20"/>
                <w:szCs w:val="20"/>
              </w:rPr>
            </w:pPr>
          </w:p>
        </w:tc>
        <w:tc>
          <w:tcPr>
            <w:tcW w:w="933" w:type="dxa"/>
            <w:tcBorders>
              <w:top w:val="nil"/>
              <w:left w:val="nil"/>
              <w:bottom w:val="nil"/>
              <w:right w:val="nil"/>
            </w:tcBorders>
          </w:tcPr>
          <w:p w14:paraId="063529BC" w14:textId="77777777" w:rsidR="00FA14FE" w:rsidRPr="00DE13EE" w:rsidRDefault="00FA14FE" w:rsidP="009D0993">
            <w:pPr>
              <w:rPr>
                <w:rFonts w:ascii="Times New Roman" w:hAnsi="Times New Roman" w:cs="Times New Roman"/>
                <w:color w:val="000000" w:themeColor="text1"/>
                <w:sz w:val="20"/>
                <w:szCs w:val="20"/>
              </w:rPr>
            </w:pPr>
          </w:p>
        </w:tc>
        <w:tc>
          <w:tcPr>
            <w:tcW w:w="1021" w:type="dxa"/>
            <w:tcBorders>
              <w:top w:val="nil"/>
              <w:left w:val="nil"/>
              <w:bottom w:val="nil"/>
              <w:right w:val="nil"/>
            </w:tcBorders>
          </w:tcPr>
          <w:p w14:paraId="408EB6C3" w14:textId="77777777" w:rsidR="00FA14FE" w:rsidRPr="00DE13EE" w:rsidRDefault="00FA14FE" w:rsidP="009D0993">
            <w:pPr>
              <w:rPr>
                <w:rFonts w:ascii="Times New Roman" w:hAnsi="Times New Roman" w:cs="Times New Roman"/>
                <w:color w:val="000000" w:themeColor="text1"/>
                <w:sz w:val="20"/>
                <w:szCs w:val="20"/>
              </w:rPr>
            </w:pPr>
          </w:p>
        </w:tc>
        <w:tc>
          <w:tcPr>
            <w:tcW w:w="845" w:type="dxa"/>
            <w:tcBorders>
              <w:top w:val="nil"/>
              <w:left w:val="nil"/>
              <w:bottom w:val="nil"/>
              <w:right w:val="nil"/>
            </w:tcBorders>
          </w:tcPr>
          <w:p w14:paraId="3E0629C9" w14:textId="77777777" w:rsidR="00FA14FE" w:rsidRPr="00DE13EE" w:rsidRDefault="00FA14FE" w:rsidP="009D0993">
            <w:pPr>
              <w:rPr>
                <w:rFonts w:ascii="Times New Roman" w:hAnsi="Times New Roman" w:cs="Times New Roman"/>
                <w:color w:val="000000" w:themeColor="text1"/>
                <w:sz w:val="20"/>
                <w:szCs w:val="20"/>
              </w:rPr>
            </w:pPr>
          </w:p>
        </w:tc>
      </w:tr>
      <w:tr w:rsidR="00DE13EE" w:rsidRPr="00DE13EE" w14:paraId="419FED74" w14:textId="77777777" w:rsidTr="009D0993">
        <w:trPr>
          <w:trHeight w:val="264"/>
          <w:jc w:val="center"/>
        </w:trPr>
        <w:tc>
          <w:tcPr>
            <w:tcW w:w="2434" w:type="dxa"/>
            <w:vMerge/>
            <w:tcBorders>
              <w:top w:val="nil"/>
              <w:left w:val="nil"/>
              <w:bottom w:val="nil"/>
              <w:right w:val="nil"/>
            </w:tcBorders>
            <w:vAlign w:val="center"/>
          </w:tcPr>
          <w:p w14:paraId="31252D8D" w14:textId="77777777" w:rsidR="00FA14FE" w:rsidRPr="00DE13EE" w:rsidRDefault="00FA14FE" w:rsidP="009D0993">
            <w:pPr>
              <w:rPr>
                <w:rFonts w:ascii="Times New Roman" w:hAnsi="Times New Roman" w:cs="Times New Roman"/>
                <w:b/>
                <w:bCs/>
                <w:color w:val="000000" w:themeColor="text1"/>
                <w:sz w:val="20"/>
                <w:szCs w:val="20"/>
              </w:rPr>
            </w:pPr>
          </w:p>
        </w:tc>
        <w:tc>
          <w:tcPr>
            <w:tcW w:w="1158" w:type="dxa"/>
            <w:tcBorders>
              <w:top w:val="nil"/>
              <w:left w:val="nil"/>
              <w:bottom w:val="nil"/>
              <w:right w:val="nil"/>
            </w:tcBorders>
            <w:vAlign w:val="bottom"/>
          </w:tcPr>
          <w:p w14:paraId="7A514C57"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(0.000)</w:t>
            </w:r>
          </w:p>
        </w:tc>
        <w:tc>
          <w:tcPr>
            <w:tcW w:w="1287" w:type="dxa"/>
            <w:tcBorders>
              <w:top w:val="nil"/>
              <w:left w:val="nil"/>
              <w:bottom w:val="nil"/>
              <w:right w:val="nil"/>
            </w:tcBorders>
            <w:vAlign w:val="bottom"/>
          </w:tcPr>
          <w:p w14:paraId="1BEAA8CF" w14:textId="77777777" w:rsidR="00FA14FE" w:rsidRPr="00DE13EE" w:rsidRDefault="00FA14FE" w:rsidP="009D0993">
            <w:pPr>
              <w:rPr>
                <w:rFonts w:ascii="Times New Roman" w:hAnsi="Times New Roman" w:cs="Times New Roman"/>
                <w:color w:val="000000" w:themeColor="text1"/>
                <w:sz w:val="20"/>
                <w:szCs w:val="20"/>
              </w:rPr>
            </w:pPr>
          </w:p>
        </w:tc>
        <w:tc>
          <w:tcPr>
            <w:tcW w:w="1048" w:type="dxa"/>
            <w:tcBorders>
              <w:top w:val="nil"/>
              <w:left w:val="nil"/>
              <w:bottom w:val="nil"/>
              <w:right w:val="nil"/>
            </w:tcBorders>
            <w:vAlign w:val="bottom"/>
          </w:tcPr>
          <w:p w14:paraId="145AC2C7" w14:textId="77777777" w:rsidR="00FA14FE" w:rsidRPr="00DE13EE" w:rsidRDefault="00FA14FE" w:rsidP="009D0993">
            <w:pPr>
              <w:rPr>
                <w:rFonts w:ascii="Times New Roman" w:hAnsi="Times New Roman" w:cs="Times New Roman"/>
                <w:color w:val="000000" w:themeColor="text1"/>
                <w:sz w:val="20"/>
                <w:szCs w:val="20"/>
              </w:rPr>
            </w:pPr>
          </w:p>
        </w:tc>
        <w:tc>
          <w:tcPr>
            <w:tcW w:w="1050" w:type="dxa"/>
            <w:tcBorders>
              <w:top w:val="nil"/>
              <w:left w:val="nil"/>
              <w:bottom w:val="nil"/>
              <w:right w:val="nil"/>
            </w:tcBorders>
            <w:vAlign w:val="bottom"/>
          </w:tcPr>
          <w:p w14:paraId="78EEFAE5" w14:textId="77777777" w:rsidR="00FA14FE" w:rsidRPr="00DE13EE" w:rsidRDefault="00FA14FE" w:rsidP="009D0993">
            <w:pPr>
              <w:rPr>
                <w:rFonts w:ascii="Times New Roman" w:hAnsi="Times New Roman" w:cs="Times New Roman"/>
                <w:color w:val="000000" w:themeColor="text1"/>
                <w:sz w:val="20"/>
                <w:szCs w:val="20"/>
              </w:rPr>
            </w:pPr>
          </w:p>
        </w:tc>
        <w:tc>
          <w:tcPr>
            <w:tcW w:w="1048" w:type="dxa"/>
            <w:tcBorders>
              <w:top w:val="nil"/>
              <w:left w:val="nil"/>
              <w:bottom w:val="nil"/>
              <w:right w:val="nil"/>
            </w:tcBorders>
            <w:vAlign w:val="bottom"/>
          </w:tcPr>
          <w:p w14:paraId="031C22A6" w14:textId="77777777" w:rsidR="00FA14FE" w:rsidRPr="00DE13EE" w:rsidRDefault="00FA14FE" w:rsidP="009D0993">
            <w:pPr>
              <w:rPr>
                <w:rFonts w:ascii="Times New Roman" w:hAnsi="Times New Roman" w:cs="Times New Roman"/>
                <w:color w:val="000000" w:themeColor="text1"/>
                <w:sz w:val="20"/>
                <w:szCs w:val="20"/>
              </w:rPr>
            </w:pPr>
          </w:p>
        </w:tc>
        <w:tc>
          <w:tcPr>
            <w:tcW w:w="1050" w:type="dxa"/>
            <w:tcBorders>
              <w:top w:val="nil"/>
              <w:left w:val="nil"/>
              <w:bottom w:val="nil"/>
              <w:right w:val="nil"/>
            </w:tcBorders>
            <w:vAlign w:val="bottom"/>
          </w:tcPr>
          <w:p w14:paraId="6969ECBB" w14:textId="77777777" w:rsidR="00FA14FE" w:rsidRPr="00DE13EE" w:rsidRDefault="00FA14FE" w:rsidP="009D0993">
            <w:pPr>
              <w:rPr>
                <w:rFonts w:ascii="Times New Roman" w:hAnsi="Times New Roman" w:cs="Times New Roman"/>
                <w:color w:val="000000" w:themeColor="text1"/>
                <w:sz w:val="20"/>
                <w:szCs w:val="20"/>
              </w:rPr>
            </w:pPr>
          </w:p>
        </w:tc>
        <w:tc>
          <w:tcPr>
            <w:tcW w:w="1048" w:type="dxa"/>
            <w:tcBorders>
              <w:top w:val="nil"/>
              <w:left w:val="nil"/>
              <w:bottom w:val="nil"/>
              <w:right w:val="nil"/>
            </w:tcBorders>
            <w:vAlign w:val="bottom"/>
          </w:tcPr>
          <w:p w14:paraId="1FABA525" w14:textId="77777777" w:rsidR="00FA14FE" w:rsidRPr="00DE13EE" w:rsidRDefault="00FA14FE" w:rsidP="009D0993">
            <w:pPr>
              <w:rPr>
                <w:rFonts w:ascii="Times New Roman" w:hAnsi="Times New Roman" w:cs="Times New Roman"/>
                <w:color w:val="000000" w:themeColor="text1"/>
                <w:sz w:val="20"/>
                <w:szCs w:val="20"/>
              </w:rPr>
            </w:pPr>
          </w:p>
        </w:tc>
        <w:tc>
          <w:tcPr>
            <w:tcW w:w="1050" w:type="dxa"/>
            <w:tcBorders>
              <w:top w:val="nil"/>
              <w:left w:val="nil"/>
              <w:bottom w:val="nil"/>
              <w:right w:val="nil"/>
            </w:tcBorders>
          </w:tcPr>
          <w:p w14:paraId="16EB3371" w14:textId="77777777" w:rsidR="00FA14FE" w:rsidRPr="00DE13EE" w:rsidRDefault="00FA14FE" w:rsidP="009D0993">
            <w:pPr>
              <w:rPr>
                <w:rFonts w:ascii="Times New Roman" w:hAnsi="Times New Roman" w:cs="Times New Roman"/>
                <w:color w:val="000000" w:themeColor="text1"/>
                <w:sz w:val="20"/>
                <w:szCs w:val="20"/>
              </w:rPr>
            </w:pPr>
          </w:p>
        </w:tc>
        <w:tc>
          <w:tcPr>
            <w:tcW w:w="1048" w:type="dxa"/>
            <w:tcBorders>
              <w:top w:val="nil"/>
              <w:left w:val="nil"/>
              <w:bottom w:val="nil"/>
              <w:right w:val="nil"/>
            </w:tcBorders>
          </w:tcPr>
          <w:p w14:paraId="582135F7" w14:textId="77777777" w:rsidR="00FA14FE" w:rsidRPr="00DE13EE" w:rsidRDefault="00FA14FE" w:rsidP="009D0993">
            <w:pPr>
              <w:rPr>
                <w:rFonts w:ascii="Times New Roman" w:hAnsi="Times New Roman" w:cs="Times New Roman"/>
                <w:color w:val="000000" w:themeColor="text1"/>
                <w:sz w:val="20"/>
                <w:szCs w:val="20"/>
              </w:rPr>
            </w:pPr>
          </w:p>
        </w:tc>
        <w:tc>
          <w:tcPr>
            <w:tcW w:w="1134" w:type="dxa"/>
            <w:tcBorders>
              <w:top w:val="nil"/>
              <w:left w:val="nil"/>
              <w:bottom w:val="nil"/>
              <w:right w:val="nil"/>
            </w:tcBorders>
          </w:tcPr>
          <w:p w14:paraId="0D201C40" w14:textId="77777777" w:rsidR="00FA14FE" w:rsidRPr="00DE13EE" w:rsidRDefault="00FA14FE" w:rsidP="009D0993">
            <w:pPr>
              <w:rPr>
                <w:rFonts w:ascii="Times New Roman" w:hAnsi="Times New Roman" w:cs="Times New Roman"/>
                <w:color w:val="000000" w:themeColor="text1"/>
                <w:sz w:val="20"/>
                <w:szCs w:val="20"/>
              </w:rPr>
            </w:pPr>
          </w:p>
        </w:tc>
        <w:tc>
          <w:tcPr>
            <w:tcW w:w="933" w:type="dxa"/>
            <w:tcBorders>
              <w:top w:val="nil"/>
              <w:left w:val="nil"/>
              <w:bottom w:val="nil"/>
              <w:right w:val="nil"/>
            </w:tcBorders>
          </w:tcPr>
          <w:p w14:paraId="23E87CB9" w14:textId="77777777" w:rsidR="00FA14FE" w:rsidRPr="00DE13EE" w:rsidRDefault="00FA14FE" w:rsidP="009D0993">
            <w:pPr>
              <w:rPr>
                <w:rFonts w:ascii="Times New Roman" w:hAnsi="Times New Roman" w:cs="Times New Roman"/>
                <w:color w:val="000000" w:themeColor="text1"/>
                <w:sz w:val="20"/>
                <w:szCs w:val="20"/>
              </w:rPr>
            </w:pPr>
          </w:p>
        </w:tc>
        <w:tc>
          <w:tcPr>
            <w:tcW w:w="1021" w:type="dxa"/>
            <w:tcBorders>
              <w:top w:val="nil"/>
              <w:left w:val="nil"/>
              <w:bottom w:val="nil"/>
              <w:right w:val="nil"/>
            </w:tcBorders>
          </w:tcPr>
          <w:p w14:paraId="290584E6" w14:textId="77777777" w:rsidR="00FA14FE" w:rsidRPr="00DE13EE" w:rsidRDefault="00FA14FE" w:rsidP="009D0993">
            <w:pPr>
              <w:rPr>
                <w:rFonts w:ascii="Times New Roman" w:hAnsi="Times New Roman" w:cs="Times New Roman"/>
                <w:color w:val="000000" w:themeColor="text1"/>
                <w:sz w:val="20"/>
                <w:szCs w:val="20"/>
              </w:rPr>
            </w:pPr>
          </w:p>
        </w:tc>
        <w:tc>
          <w:tcPr>
            <w:tcW w:w="845" w:type="dxa"/>
            <w:tcBorders>
              <w:top w:val="nil"/>
              <w:left w:val="nil"/>
              <w:bottom w:val="nil"/>
              <w:right w:val="nil"/>
            </w:tcBorders>
          </w:tcPr>
          <w:p w14:paraId="53C82E2A" w14:textId="77777777" w:rsidR="00FA14FE" w:rsidRPr="00DE13EE" w:rsidRDefault="00FA14FE" w:rsidP="009D0993">
            <w:pPr>
              <w:rPr>
                <w:rFonts w:ascii="Times New Roman" w:hAnsi="Times New Roman" w:cs="Times New Roman"/>
                <w:color w:val="000000" w:themeColor="text1"/>
                <w:sz w:val="20"/>
                <w:szCs w:val="20"/>
              </w:rPr>
            </w:pPr>
          </w:p>
        </w:tc>
      </w:tr>
      <w:tr w:rsidR="00DE13EE" w:rsidRPr="00DE13EE" w14:paraId="76399716" w14:textId="77777777" w:rsidTr="009D0993">
        <w:trPr>
          <w:trHeight w:val="249"/>
          <w:jc w:val="center"/>
        </w:trPr>
        <w:tc>
          <w:tcPr>
            <w:tcW w:w="2434" w:type="dxa"/>
            <w:vMerge w:val="restart"/>
            <w:tcBorders>
              <w:top w:val="nil"/>
              <w:left w:val="nil"/>
              <w:bottom w:val="nil"/>
              <w:right w:val="nil"/>
            </w:tcBorders>
            <w:vAlign w:val="center"/>
          </w:tcPr>
          <w:p w14:paraId="2F656012" w14:textId="77777777" w:rsidR="00FA14FE" w:rsidRPr="00DE13EE" w:rsidRDefault="00FA14FE" w:rsidP="009D0993">
            <w:pPr>
              <w:rPr>
                <w:rFonts w:ascii="Times New Roman" w:hAnsi="Times New Roman" w:cs="Times New Roman"/>
                <w:b/>
                <w:bCs/>
                <w:color w:val="000000" w:themeColor="text1"/>
                <w:sz w:val="20"/>
                <w:szCs w:val="20"/>
              </w:rPr>
            </w:pPr>
            <w:r w:rsidRPr="00DE13EE">
              <w:rPr>
                <w:rFonts w:ascii="Times New Roman" w:hAnsi="Times New Roman" w:cs="Times New Roman"/>
                <w:b/>
                <w:bCs/>
                <w:color w:val="000000" w:themeColor="text1"/>
                <w:sz w:val="20"/>
                <w:szCs w:val="20"/>
              </w:rPr>
              <w:t xml:space="preserve">(3) LnMK </w:t>
            </w:r>
          </w:p>
        </w:tc>
        <w:tc>
          <w:tcPr>
            <w:tcW w:w="1158" w:type="dxa"/>
            <w:tcBorders>
              <w:top w:val="nil"/>
              <w:left w:val="nil"/>
              <w:bottom w:val="nil"/>
              <w:right w:val="nil"/>
            </w:tcBorders>
            <w:vAlign w:val="bottom"/>
          </w:tcPr>
          <w:p w14:paraId="5F235FB7"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-0.060</w:t>
            </w:r>
            <w:r w:rsidRPr="00DE13EE">
              <w:rPr>
                <w:rFonts w:ascii="Times New Roman" w:hAnsi="Times New Roman" w:cs="Times New Roman"/>
                <w:color w:val="000000" w:themeColor="text1"/>
                <w:sz w:val="20"/>
                <w:szCs w:val="20"/>
                <w:vertAlign w:val="superscript"/>
              </w:rPr>
              <w:t>***</w:t>
            </w:r>
          </w:p>
        </w:tc>
        <w:tc>
          <w:tcPr>
            <w:tcW w:w="1287" w:type="dxa"/>
            <w:tcBorders>
              <w:top w:val="nil"/>
              <w:left w:val="nil"/>
              <w:bottom w:val="nil"/>
              <w:right w:val="nil"/>
            </w:tcBorders>
            <w:vAlign w:val="bottom"/>
          </w:tcPr>
          <w:p w14:paraId="6B1BCCC4"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-0.298</w:t>
            </w:r>
            <w:r w:rsidRPr="00DE13EE">
              <w:rPr>
                <w:rFonts w:ascii="Times New Roman" w:hAnsi="Times New Roman" w:cs="Times New Roman"/>
                <w:color w:val="000000" w:themeColor="text1"/>
                <w:sz w:val="20"/>
                <w:szCs w:val="20"/>
                <w:vertAlign w:val="superscript"/>
              </w:rPr>
              <w:t>***</w:t>
            </w:r>
          </w:p>
        </w:tc>
        <w:tc>
          <w:tcPr>
            <w:tcW w:w="1048" w:type="dxa"/>
            <w:tcBorders>
              <w:top w:val="nil"/>
              <w:left w:val="nil"/>
              <w:bottom w:val="nil"/>
              <w:right w:val="nil"/>
            </w:tcBorders>
            <w:vAlign w:val="bottom"/>
          </w:tcPr>
          <w:p w14:paraId="248B5A84"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1.000</w:t>
            </w:r>
          </w:p>
        </w:tc>
        <w:tc>
          <w:tcPr>
            <w:tcW w:w="1050" w:type="dxa"/>
            <w:tcBorders>
              <w:top w:val="nil"/>
              <w:left w:val="nil"/>
              <w:bottom w:val="nil"/>
              <w:right w:val="nil"/>
            </w:tcBorders>
            <w:vAlign w:val="bottom"/>
          </w:tcPr>
          <w:p w14:paraId="111C2F3B" w14:textId="77777777" w:rsidR="00FA14FE" w:rsidRPr="00DE13EE" w:rsidRDefault="00FA14FE" w:rsidP="009D0993">
            <w:pPr>
              <w:rPr>
                <w:rFonts w:ascii="Times New Roman" w:hAnsi="Times New Roman" w:cs="Times New Roman"/>
                <w:color w:val="000000" w:themeColor="text1"/>
                <w:sz w:val="20"/>
                <w:szCs w:val="20"/>
              </w:rPr>
            </w:pPr>
          </w:p>
        </w:tc>
        <w:tc>
          <w:tcPr>
            <w:tcW w:w="1048" w:type="dxa"/>
            <w:tcBorders>
              <w:top w:val="nil"/>
              <w:left w:val="nil"/>
              <w:bottom w:val="nil"/>
              <w:right w:val="nil"/>
            </w:tcBorders>
            <w:vAlign w:val="bottom"/>
          </w:tcPr>
          <w:p w14:paraId="014CA388" w14:textId="77777777" w:rsidR="00FA14FE" w:rsidRPr="00DE13EE" w:rsidRDefault="00FA14FE" w:rsidP="009D0993">
            <w:pPr>
              <w:rPr>
                <w:rFonts w:ascii="Times New Roman" w:hAnsi="Times New Roman" w:cs="Times New Roman"/>
                <w:color w:val="000000" w:themeColor="text1"/>
                <w:sz w:val="20"/>
                <w:szCs w:val="20"/>
              </w:rPr>
            </w:pPr>
          </w:p>
        </w:tc>
        <w:tc>
          <w:tcPr>
            <w:tcW w:w="1050" w:type="dxa"/>
            <w:tcBorders>
              <w:top w:val="nil"/>
              <w:left w:val="nil"/>
              <w:bottom w:val="nil"/>
              <w:right w:val="nil"/>
            </w:tcBorders>
            <w:vAlign w:val="bottom"/>
          </w:tcPr>
          <w:p w14:paraId="742A5B9D" w14:textId="77777777" w:rsidR="00FA14FE" w:rsidRPr="00DE13EE" w:rsidRDefault="00FA14FE" w:rsidP="009D0993">
            <w:pPr>
              <w:rPr>
                <w:rFonts w:ascii="Times New Roman" w:hAnsi="Times New Roman" w:cs="Times New Roman"/>
                <w:color w:val="000000" w:themeColor="text1"/>
                <w:sz w:val="20"/>
                <w:szCs w:val="20"/>
              </w:rPr>
            </w:pPr>
          </w:p>
        </w:tc>
        <w:tc>
          <w:tcPr>
            <w:tcW w:w="1048" w:type="dxa"/>
            <w:tcBorders>
              <w:top w:val="nil"/>
              <w:left w:val="nil"/>
              <w:bottom w:val="nil"/>
              <w:right w:val="nil"/>
            </w:tcBorders>
            <w:vAlign w:val="bottom"/>
          </w:tcPr>
          <w:p w14:paraId="1809939E" w14:textId="77777777" w:rsidR="00FA14FE" w:rsidRPr="00DE13EE" w:rsidRDefault="00FA14FE" w:rsidP="009D0993">
            <w:pPr>
              <w:rPr>
                <w:rFonts w:ascii="Times New Roman" w:hAnsi="Times New Roman" w:cs="Times New Roman"/>
                <w:color w:val="000000" w:themeColor="text1"/>
                <w:sz w:val="20"/>
                <w:szCs w:val="20"/>
              </w:rPr>
            </w:pPr>
          </w:p>
        </w:tc>
        <w:tc>
          <w:tcPr>
            <w:tcW w:w="1050" w:type="dxa"/>
            <w:tcBorders>
              <w:top w:val="nil"/>
              <w:left w:val="nil"/>
              <w:bottom w:val="nil"/>
              <w:right w:val="nil"/>
            </w:tcBorders>
          </w:tcPr>
          <w:p w14:paraId="4270E3E6" w14:textId="77777777" w:rsidR="00FA14FE" w:rsidRPr="00DE13EE" w:rsidRDefault="00FA14FE" w:rsidP="009D0993">
            <w:pPr>
              <w:rPr>
                <w:rFonts w:ascii="Times New Roman" w:hAnsi="Times New Roman" w:cs="Times New Roman"/>
                <w:color w:val="000000" w:themeColor="text1"/>
                <w:sz w:val="20"/>
                <w:szCs w:val="20"/>
              </w:rPr>
            </w:pPr>
          </w:p>
        </w:tc>
        <w:tc>
          <w:tcPr>
            <w:tcW w:w="1048" w:type="dxa"/>
            <w:tcBorders>
              <w:top w:val="nil"/>
              <w:left w:val="nil"/>
              <w:bottom w:val="nil"/>
              <w:right w:val="nil"/>
            </w:tcBorders>
          </w:tcPr>
          <w:p w14:paraId="7FE3BDAD" w14:textId="77777777" w:rsidR="00FA14FE" w:rsidRPr="00DE13EE" w:rsidRDefault="00FA14FE" w:rsidP="009D0993">
            <w:pPr>
              <w:rPr>
                <w:rFonts w:ascii="Times New Roman" w:hAnsi="Times New Roman" w:cs="Times New Roman"/>
                <w:color w:val="000000" w:themeColor="text1"/>
                <w:sz w:val="20"/>
                <w:szCs w:val="20"/>
              </w:rPr>
            </w:pPr>
          </w:p>
        </w:tc>
        <w:tc>
          <w:tcPr>
            <w:tcW w:w="1134" w:type="dxa"/>
            <w:tcBorders>
              <w:top w:val="nil"/>
              <w:left w:val="nil"/>
              <w:bottom w:val="nil"/>
              <w:right w:val="nil"/>
            </w:tcBorders>
          </w:tcPr>
          <w:p w14:paraId="5EF08EDB" w14:textId="77777777" w:rsidR="00FA14FE" w:rsidRPr="00DE13EE" w:rsidRDefault="00FA14FE" w:rsidP="009D0993">
            <w:pPr>
              <w:rPr>
                <w:rFonts w:ascii="Times New Roman" w:hAnsi="Times New Roman" w:cs="Times New Roman"/>
                <w:color w:val="000000" w:themeColor="text1"/>
                <w:sz w:val="20"/>
                <w:szCs w:val="20"/>
              </w:rPr>
            </w:pPr>
          </w:p>
        </w:tc>
        <w:tc>
          <w:tcPr>
            <w:tcW w:w="933" w:type="dxa"/>
            <w:tcBorders>
              <w:top w:val="nil"/>
              <w:left w:val="nil"/>
              <w:bottom w:val="nil"/>
              <w:right w:val="nil"/>
            </w:tcBorders>
          </w:tcPr>
          <w:p w14:paraId="4DA54EE2" w14:textId="77777777" w:rsidR="00FA14FE" w:rsidRPr="00DE13EE" w:rsidRDefault="00FA14FE" w:rsidP="009D0993">
            <w:pPr>
              <w:rPr>
                <w:rFonts w:ascii="Times New Roman" w:hAnsi="Times New Roman" w:cs="Times New Roman"/>
                <w:color w:val="000000" w:themeColor="text1"/>
                <w:sz w:val="20"/>
                <w:szCs w:val="20"/>
              </w:rPr>
            </w:pPr>
          </w:p>
        </w:tc>
        <w:tc>
          <w:tcPr>
            <w:tcW w:w="1021" w:type="dxa"/>
            <w:tcBorders>
              <w:top w:val="nil"/>
              <w:left w:val="nil"/>
              <w:bottom w:val="nil"/>
              <w:right w:val="nil"/>
            </w:tcBorders>
          </w:tcPr>
          <w:p w14:paraId="59D02072" w14:textId="77777777" w:rsidR="00FA14FE" w:rsidRPr="00DE13EE" w:rsidRDefault="00FA14FE" w:rsidP="009D0993">
            <w:pPr>
              <w:rPr>
                <w:rFonts w:ascii="Times New Roman" w:hAnsi="Times New Roman" w:cs="Times New Roman"/>
                <w:color w:val="000000" w:themeColor="text1"/>
                <w:sz w:val="20"/>
                <w:szCs w:val="20"/>
              </w:rPr>
            </w:pPr>
          </w:p>
        </w:tc>
        <w:tc>
          <w:tcPr>
            <w:tcW w:w="845" w:type="dxa"/>
            <w:tcBorders>
              <w:top w:val="nil"/>
              <w:left w:val="nil"/>
              <w:bottom w:val="nil"/>
              <w:right w:val="nil"/>
            </w:tcBorders>
          </w:tcPr>
          <w:p w14:paraId="2079A848" w14:textId="77777777" w:rsidR="00FA14FE" w:rsidRPr="00DE13EE" w:rsidRDefault="00FA14FE" w:rsidP="009D0993">
            <w:pPr>
              <w:rPr>
                <w:rFonts w:ascii="Times New Roman" w:hAnsi="Times New Roman" w:cs="Times New Roman"/>
                <w:color w:val="000000" w:themeColor="text1"/>
                <w:sz w:val="20"/>
                <w:szCs w:val="20"/>
              </w:rPr>
            </w:pPr>
          </w:p>
        </w:tc>
      </w:tr>
      <w:tr w:rsidR="00DE13EE" w:rsidRPr="00DE13EE" w14:paraId="2154019F" w14:textId="77777777" w:rsidTr="009D0993">
        <w:trPr>
          <w:trHeight w:val="264"/>
          <w:jc w:val="center"/>
        </w:trPr>
        <w:tc>
          <w:tcPr>
            <w:tcW w:w="2434" w:type="dxa"/>
            <w:vMerge/>
            <w:tcBorders>
              <w:top w:val="nil"/>
              <w:left w:val="nil"/>
              <w:bottom w:val="nil"/>
              <w:right w:val="nil"/>
            </w:tcBorders>
            <w:vAlign w:val="center"/>
          </w:tcPr>
          <w:p w14:paraId="1A662B65" w14:textId="77777777" w:rsidR="00FA14FE" w:rsidRPr="00DE13EE" w:rsidRDefault="00FA14FE" w:rsidP="009D0993">
            <w:pPr>
              <w:rPr>
                <w:rFonts w:ascii="Times New Roman" w:hAnsi="Times New Roman" w:cs="Times New Roman"/>
                <w:b/>
                <w:bCs/>
                <w:color w:val="000000" w:themeColor="text1"/>
                <w:sz w:val="20"/>
                <w:szCs w:val="20"/>
              </w:rPr>
            </w:pPr>
          </w:p>
        </w:tc>
        <w:tc>
          <w:tcPr>
            <w:tcW w:w="1158" w:type="dxa"/>
            <w:tcBorders>
              <w:top w:val="nil"/>
              <w:left w:val="nil"/>
              <w:bottom w:val="nil"/>
              <w:right w:val="nil"/>
            </w:tcBorders>
            <w:vAlign w:val="bottom"/>
          </w:tcPr>
          <w:p w14:paraId="5C9B73AB"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(0.003)</w:t>
            </w:r>
          </w:p>
        </w:tc>
        <w:tc>
          <w:tcPr>
            <w:tcW w:w="1287" w:type="dxa"/>
            <w:tcBorders>
              <w:top w:val="nil"/>
              <w:left w:val="nil"/>
              <w:bottom w:val="nil"/>
              <w:right w:val="nil"/>
            </w:tcBorders>
            <w:vAlign w:val="bottom"/>
          </w:tcPr>
          <w:p w14:paraId="52B146E1"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(0.000)</w:t>
            </w:r>
          </w:p>
        </w:tc>
        <w:tc>
          <w:tcPr>
            <w:tcW w:w="1048" w:type="dxa"/>
            <w:tcBorders>
              <w:top w:val="nil"/>
              <w:left w:val="nil"/>
              <w:bottom w:val="nil"/>
              <w:right w:val="nil"/>
            </w:tcBorders>
            <w:vAlign w:val="bottom"/>
          </w:tcPr>
          <w:p w14:paraId="75F904D2" w14:textId="77777777" w:rsidR="00FA14FE" w:rsidRPr="00DE13EE" w:rsidRDefault="00FA14FE" w:rsidP="009D0993">
            <w:pPr>
              <w:rPr>
                <w:rFonts w:ascii="Times New Roman" w:hAnsi="Times New Roman" w:cs="Times New Roman"/>
                <w:color w:val="000000" w:themeColor="text1"/>
                <w:sz w:val="20"/>
                <w:szCs w:val="20"/>
              </w:rPr>
            </w:pPr>
          </w:p>
        </w:tc>
        <w:tc>
          <w:tcPr>
            <w:tcW w:w="1050" w:type="dxa"/>
            <w:tcBorders>
              <w:top w:val="nil"/>
              <w:left w:val="nil"/>
              <w:bottom w:val="nil"/>
              <w:right w:val="nil"/>
            </w:tcBorders>
            <w:vAlign w:val="bottom"/>
          </w:tcPr>
          <w:p w14:paraId="6D3AD962" w14:textId="77777777" w:rsidR="00FA14FE" w:rsidRPr="00DE13EE" w:rsidRDefault="00FA14FE" w:rsidP="009D0993">
            <w:pPr>
              <w:rPr>
                <w:rFonts w:ascii="Times New Roman" w:hAnsi="Times New Roman" w:cs="Times New Roman"/>
                <w:color w:val="000000" w:themeColor="text1"/>
                <w:sz w:val="20"/>
                <w:szCs w:val="20"/>
              </w:rPr>
            </w:pPr>
          </w:p>
        </w:tc>
        <w:tc>
          <w:tcPr>
            <w:tcW w:w="1048" w:type="dxa"/>
            <w:tcBorders>
              <w:top w:val="nil"/>
              <w:left w:val="nil"/>
              <w:bottom w:val="nil"/>
              <w:right w:val="nil"/>
            </w:tcBorders>
            <w:vAlign w:val="bottom"/>
          </w:tcPr>
          <w:p w14:paraId="05B2706D" w14:textId="77777777" w:rsidR="00FA14FE" w:rsidRPr="00DE13EE" w:rsidRDefault="00FA14FE" w:rsidP="009D0993">
            <w:pPr>
              <w:rPr>
                <w:rFonts w:ascii="Times New Roman" w:hAnsi="Times New Roman" w:cs="Times New Roman"/>
                <w:color w:val="000000" w:themeColor="text1"/>
                <w:sz w:val="20"/>
                <w:szCs w:val="20"/>
              </w:rPr>
            </w:pPr>
          </w:p>
        </w:tc>
        <w:tc>
          <w:tcPr>
            <w:tcW w:w="1050" w:type="dxa"/>
            <w:tcBorders>
              <w:top w:val="nil"/>
              <w:left w:val="nil"/>
              <w:bottom w:val="nil"/>
              <w:right w:val="nil"/>
            </w:tcBorders>
            <w:vAlign w:val="bottom"/>
          </w:tcPr>
          <w:p w14:paraId="298FC7C3" w14:textId="77777777" w:rsidR="00FA14FE" w:rsidRPr="00DE13EE" w:rsidRDefault="00FA14FE" w:rsidP="009D0993">
            <w:pPr>
              <w:rPr>
                <w:rFonts w:ascii="Times New Roman" w:hAnsi="Times New Roman" w:cs="Times New Roman"/>
                <w:color w:val="000000" w:themeColor="text1"/>
                <w:sz w:val="20"/>
                <w:szCs w:val="20"/>
              </w:rPr>
            </w:pPr>
          </w:p>
        </w:tc>
        <w:tc>
          <w:tcPr>
            <w:tcW w:w="1048" w:type="dxa"/>
            <w:tcBorders>
              <w:top w:val="nil"/>
              <w:left w:val="nil"/>
              <w:bottom w:val="nil"/>
              <w:right w:val="nil"/>
            </w:tcBorders>
            <w:vAlign w:val="bottom"/>
          </w:tcPr>
          <w:p w14:paraId="0BEF463B" w14:textId="77777777" w:rsidR="00FA14FE" w:rsidRPr="00DE13EE" w:rsidRDefault="00FA14FE" w:rsidP="009D0993">
            <w:pPr>
              <w:rPr>
                <w:rFonts w:ascii="Times New Roman" w:hAnsi="Times New Roman" w:cs="Times New Roman"/>
                <w:color w:val="000000" w:themeColor="text1"/>
                <w:sz w:val="20"/>
                <w:szCs w:val="20"/>
              </w:rPr>
            </w:pPr>
          </w:p>
        </w:tc>
        <w:tc>
          <w:tcPr>
            <w:tcW w:w="1050" w:type="dxa"/>
            <w:tcBorders>
              <w:top w:val="nil"/>
              <w:left w:val="nil"/>
              <w:bottom w:val="nil"/>
              <w:right w:val="nil"/>
            </w:tcBorders>
          </w:tcPr>
          <w:p w14:paraId="7565F65C" w14:textId="77777777" w:rsidR="00FA14FE" w:rsidRPr="00DE13EE" w:rsidRDefault="00FA14FE" w:rsidP="009D0993">
            <w:pPr>
              <w:rPr>
                <w:rFonts w:ascii="Times New Roman" w:hAnsi="Times New Roman" w:cs="Times New Roman"/>
                <w:color w:val="000000" w:themeColor="text1"/>
                <w:sz w:val="20"/>
                <w:szCs w:val="20"/>
              </w:rPr>
            </w:pPr>
          </w:p>
        </w:tc>
        <w:tc>
          <w:tcPr>
            <w:tcW w:w="1048" w:type="dxa"/>
            <w:tcBorders>
              <w:top w:val="nil"/>
              <w:left w:val="nil"/>
              <w:bottom w:val="nil"/>
              <w:right w:val="nil"/>
            </w:tcBorders>
          </w:tcPr>
          <w:p w14:paraId="63A918B6" w14:textId="77777777" w:rsidR="00FA14FE" w:rsidRPr="00DE13EE" w:rsidRDefault="00FA14FE" w:rsidP="009D0993">
            <w:pPr>
              <w:rPr>
                <w:rFonts w:ascii="Times New Roman" w:hAnsi="Times New Roman" w:cs="Times New Roman"/>
                <w:color w:val="000000" w:themeColor="text1"/>
                <w:sz w:val="20"/>
                <w:szCs w:val="20"/>
              </w:rPr>
            </w:pPr>
          </w:p>
        </w:tc>
        <w:tc>
          <w:tcPr>
            <w:tcW w:w="1134" w:type="dxa"/>
            <w:tcBorders>
              <w:top w:val="nil"/>
              <w:left w:val="nil"/>
              <w:bottom w:val="nil"/>
              <w:right w:val="nil"/>
            </w:tcBorders>
          </w:tcPr>
          <w:p w14:paraId="6925F088" w14:textId="77777777" w:rsidR="00FA14FE" w:rsidRPr="00DE13EE" w:rsidRDefault="00FA14FE" w:rsidP="009D0993">
            <w:pPr>
              <w:rPr>
                <w:rFonts w:ascii="Times New Roman" w:hAnsi="Times New Roman" w:cs="Times New Roman"/>
                <w:color w:val="000000" w:themeColor="text1"/>
                <w:sz w:val="20"/>
                <w:szCs w:val="20"/>
              </w:rPr>
            </w:pPr>
          </w:p>
        </w:tc>
        <w:tc>
          <w:tcPr>
            <w:tcW w:w="933" w:type="dxa"/>
            <w:tcBorders>
              <w:top w:val="nil"/>
              <w:left w:val="nil"/>
              <w:bottom w:val="nil"/>
              <w:right w:val="nil"/>
            </w:tcBorders>
          </w:tcPr>
          <w:p w14:paraId="6F897941" w14:textId="77777777" w:rsidR="00FA14FE" w:rsidRPr="00DE13EE" w:rsidRDefault="00FA14FE" w:rsidP="009D0993">
            <w:pPr>
              <w:rPr>
                <w:rFonts w:ascii="Times New Roman" w:hAnsi="Times New Roman" w:cs="Times New Roman"/>
                <w:color w:val="000000" w:themeColor="text1"/>
                <w:sz w:val="20"/>
                <w:szCs w:val="20"/>
              </w:rPr>
            </w:pPr>
          </w:p>
        </w:tc>
        <w:tc>
          <w:tcPr>
            <w:tcW w:w="1021" w:type="dxa"/>
            <w:tcBorders>
              <w:top w:val="nil"/>
              <w:left w:val="nil"/>
              <w:bottom w:val="nil"/>
              <w:right w:val="nil"/>
            </w:tcBorders>
          </w:tcPr>
          <w:p w14:paraId="07FDA961" w14:textId="77777777" w:rsidR="00FA14FE" w:rsidRPr="00DE13EE" w:rsidRDefault="00FA14FE" w:rsidP="009D0993">
            <w:pPr>
              <w:rPr>
                <w:rFonts w:ascii="Times New Roman" w:hAnsi="Times New Roman" w:cs="Times New Roman"/>
                <w:color w:val="000000" w:themeColor="text1"/>
                <w:sz w:val="20"/>
                <w:szCs w:val="20"/>
              </w:rPr>
            </w:pPr>
          </w:p>
        </w:tc>
        <w:tc>
          <w:tcPr>
            <w:tcW w:w="845" w:type="dxa"/>
            <w:tcBorders>
              <w:top w:val="nil"/>
              <w:left w:val="nil"/>
              <w:bottom w:val="nil"/>
              <w:right w:val="nil"/>
            </w:tcBorders>
          </w:tcPr>
          <w:p w14:paraId="29579DF8" w14:textId="77777777" w:rsidR="00FA14FE" w:rsidRPr="00DE13EE" w:rsidRDefault="00FA14FE" w:rsidP="009D0993">
            <w:pPr>
              <w:rPr>
                <w:rFonts w:ascii="Times New Roman" w:hAnsi="Times New Roman" w:cs="Times New Roman"/>
                <w:color w:val="000000" w:themeColor="text1"/>
                <w:sz w:val="20"/>
                <w:szCs w:val="20"/>
              </w:rPr>
            </w:pPr>
          </w:p>
        </w:tc>
      </w:tr>
      <w:tr w:rsidR="00DE13EE" w:rsidRPr="00DE13EE" w14:paraId="1B36BBD7" w14:textId="77777777" w:rsidTr="009D0993">
        <w:trPr>
          <w:trHeight w:val="264"/>
          <w:jc w:val="center"/>
        </w:trPr>
        <w:tc>
          <w:tcPr>
            <w:tcW w:w="2434" w:type="dxa"/>
            <w:vMerge w:val="restart"/>
            <w:tcBorders>
              <w:top w:val="nil"/>
              <w:left w:val="nil"/>
              <w:bottom w:val="nil"/>
              <w:right w:val="nil"/>
            </w:tcBorders>
            <w:vAlign w:val="center"/>
          </w:tcPr>
          <w:p w14:paraId="2ECEF207" w14:textId="77777777" w:rsidR="00FA14FE" w:rsidRPr="00DE13EE" w:rsidRDefault="00FA14FE" w:rsidP="009D0993">
            <w:pPr>
              <w:rPr>
                <w:rFonts w:ascii="Times New Roman" w:hAnsi="Times New Roman" w:cs="Times New Roman"/>
                <w:b/>
                <w:bCs/>
                <w:color w:val="000000" w:themeColor="text1"/>
                <w:sz w:val="20"/>
                <w:szCs w:val="20"/>
              </w:rPr>
            </w:pPr>
            <w:r w:rsidRPr="00DE13EE">
              <w:rPr>
                <w:rFonts w:ascii="Times New Roman" w:hAnsi="Times New Roman" w:cs="Times New Roman"/>
                <w:b/>
                <w:bCs/>
                <w:color w:val="000000" w:themeColor="text1"/>
                <w:sz w:val="20"/>
                <w:szCs w:val="20"/>
              </w:rPr>
              <w:t>(4) DY</w:t>
            </w:r>
          </w:p>
        </w:tc>
        <w:tc>
          <w:tcPr>
            <w:tcW w:w="1158" w:type="dxa"/>
            <w:tcBorders>
              <w:top w:val="nil"/>
              <w:left w:val="nil"/>
              <w:bottom w:val="nil"/>
              <w:right w:val="nil"/>
            </w:tcBorders>
            <w:vAlign w:val="bottom"/>
          </w:tcPr>
          <w:p w14:paraId="5427B209"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-0.053</w:t>
            </w:r>
            <w:r w:rsidRPr="00DE13EE">
              <w:rPr>
                <w:rFonts w:ascii="Times New Roman" w:hAnsi="Times New Roman" w:cs="Times New Roman"/>
                <w:color w:val="000000" w:themeColor="text1"/>
                <w:sz w:val="20"/>
                <w:szCs w:val="20"/>
                <w:vertAlign w:val="superscript"/>
              </w:rPr>
              <w:t>***</w:t>
            </w:r>
          </w:p>
        </w:tc>
        <w:tc>
          <w:tcPr>
            <w:tcW w:w="1287" w:type="dxa"/>
            <w:tcBorders>
              <w:top w:val="nil"/>
              <w:left w:val="nil"/>
              <w:bottom w:val="nil"/>
              <w:right w:val="nil"/>
            </w:tcBorders>
            <w:vAlign w:val="bottom"/>
          </w:tcPr>
          <w:p w14:paraId="11E5E5A7"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-0.047</w:t>
            </w:r>
            <w:r w:rsidRPr="00DE13EE">
              <w:rPr>
                <w:rFonts w:ascii="Times New Roman" w:hAnsi="Times New Roman" w:cs="Times New Roman"/>
                <w:color w:val="000000" w:themeColor="text1"/>
                <w:sz w:val="20"/>
                <w:szCs w:val="20"/>
                <w:vertAlign w:val="superscript"/>
              </w:rPr>
              <w:t>**</w:t>
            </w:r>
          </w:p>
        </w:tc>
        <w:tc>
          <w:tcPr>
            <w:tcW w:w="1048" w:type="dxa"/>
            <w:tcBorders>
              <w:top w:val="nil"/>
              <w:left w:val="nil"/>
              <w:bottom w:val="nil"/>
              <w:right w:val="nil"/>
            </w:tcBorders>
            <w:vAlign w:val="bottom"/>
          </w:tcPr>
          <w:p w14:paraId="3BA7FE1A"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0.039</w:t>
            </w:r>
            <w:r w:rsidRPr="00DE13EE">
              <w:rPr>
                <w:rFonts w:ascii="Times New Roman" w:hAnsi="Times New Roman" w:cs="Times New Roman"/>
                <w:color w:val="000000" w:themeColor="text1"/>
                <w:sz w:val="20"/>
                <w:szCs w:val="20"/>
                <w:vertAlign w:val="superscript"/>
              </w:rPr>
              <w:t>*</w:t>
            </w:r>
          </w:p>
        </w:tc>
        <w:tc>
          <w:tcPr>
            <w:tcW w:w="1050" w:type="dxa"/>
            <w:tcBorders>
              <w:top w:val="nil"/>
              <w:left w:val="nil"/>
              <w:bottom w:val="nil"/>
              <w:right w:val="nil"/>
            </w:tcBorders>
            <w:vAlign w:val="bottom"/>
          </w:tcPr>
          <w:p w14:paraId="36CBFB65"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1.000</w:t>
            </w:r>
          </w:p>
        </w:tc>
        <w:tc>
          <w:tcPr>
            <w:tcW w:w="1048" w:type="dxa"/>
            <w:tcBorders>
              <w:top w:val="nil"/>
              <w:left w:val="nil"/>
              <w:bottom w:val="nil"/>
              <w:right w:val="nil"/>
            </w:tcBorders>
            <w:vAlign w:val="bottom"/>
          </w:tcPr>
          <w:p w14:paraId="4A782443" w14:textId="77777777" w:rsidR="00FA14FE" w:rsidRPr="00DE13EE" w:rsidRDefault="00FA14FE" w:rsidP="009D0993">
            <w:pPr>
              <w:rPr>
                <w:rFonts w:ascii="Times New Roman" w:hAnsi="Times New Roman" w:cs="Times New Roman"/>
                <w:color w:val="000000" w:themeColor="text1"/>
                <w:sz w:val="20"/>
                <w:szCs w:val="20"/>
              </w:rPr>
            </w:pPr>
          </w:p>
        </w:tc>
        <w:tc>
          <w:tcPr>
            <w:tcW w:w="1050" w:type="dxa"/>
            <w:tcBorders>
              <w:top w:val="nil"/>
              <w:left w:val="nil"/>
              <w:bottom w:val="nil"/>
              <w:right w:val="nil"/>
            </w:tcBorders>
            <w:vAlign w:val="bottom"/>
          </w:tcPr>
          <w:p w14:paraId="7E13FE9F" w14:textId="77777777" w:rsidR="00FA14FE" w:rsidRPr="00DE13EE" w:rsidRDefault="00FA14FE" w:rsidP="009D0993">
            <w:pPr>
              <w:rPr>
                <w:rFonts w:ascii="Times New Roman" w:hAnsi="Times New Roman" w:cs="Times New Roman"/>
                <w:color w:val="000000" w:themeColor="text1"/>
                <w:sz w:val="20"/>
                <w:szCs w:val="20"/>
              </w:rPr>
            </w:pPr>
          </w:p>
        </w:tc>
        <w:tc>
          <w:tcPr>
            <w:tcW w:w="1048" w:type="dxa"/>
            <w:tcBorders>
              <w:top w:val="nil"/>
              <w:left w:val="nil"/>
              <w:bottom w:val="nil"/>
              <w:right w:val="nil"/>
            </w:tcBorders>
            <w:vAlign w:val="bottom"/>
          </w:tcPr>
          <w:p w14:paraId="601C0342" w14:textId="77777777" w:rsidR="00FA14FE" w:rsidRPr="00DE13EE" w:rsidRDefault="00FA14FE" w:rsidP="009D0993">
            <w:pPr>
              <w:rPr>
                <w:rFonts w:ascii="Times New Roman" w:hAnsi="Times New Roman" w:cs="Times New Roman"/>
                <w:color w:val="000000" w:themeColor="text1"/>
                <w:sz w:val="20"/>
                <w:szCs w:val="20"/>
              </w:rPr>
            </w:pPr>
          </w:p>
        </w:tc>
        <w:tc>
          <w:tcPr>
            <w:tcW w:w="1050" w:type="dxa"/>
            <w:tcBorders>
              <w:top w:val="nil"/>
              <w:left w:val="nil"/>
              <w:bottom w:val="nil"/>
              <w:right w:val="nil"/>
            </w:tcBorders>
          </w:tcPr>
          <w:p w14:paraId="2DB5F197" w14:textId="77777777" w:rsidR="00FA14FE" w:rsidRPr="00DE13EE" w:rsidRDefault="00FA14FE" w:rsidP="009D0993">
            <w:pPr>
              <w:rPr>
                <w:rFonts w:ascii="Times New Roman" w:hAnsi="Times New Roman" w:cs="Times New Roman"/>
                <w:color w:val="000000" w:themeColor="text1"/>
                <w:sz w:val="20"/>
                <w:szCs w:val="20"/>
              </w:rPr>
            </w:pPr>
          </w:p>
        </w:tc>
        <w:tc>
          <w:tcPr>
            <w:tcW w:w="1048" w:type="dxa"/>
            <w:tcBorders>
              <w:top w:val="nil"/>
              <w:left w:val="nil"/>
              <w:bottom w:val="nil"/>
              <w:right w:val="nil"/>
            </w:tcBorders>
          </w:tcPr>
          <w:p w14:paraId="3801F5F0" w14:textId="77777777" w:rsidR="00FA14FE" w:rsidRPr="00DE13EE" w:rsidRDefault="00FA14FE" w:rsidP="009D0993">
            <w:pPr>
              <w:rPr>
                <w:rFonts w:ascii="Times New Roman" w:hAnsi="Times New Roman" w:cs="Times New Roman"/>
                <w:color w:val="000000" w:themeColor="text1"/>
                <w:sz w:val="20"/>
                <w:szCs w:val="20"/>
              </w:rPr>
            </w:pPr>
          </w:p>
        </w:tc>
        <w:tc>
          <w:tcPr>
            <w:tcW w:w="1134" w:type="dxa"/>
            <w:tcBorders>
              <w:top w:val="nil"/>
              <w:left w:val="nil"/>
              <w:bottom w:val="nil"/>
              <w:right w:val="nil"/>
            </w:tcBorders>
          </w:tcPr>
          <w:p w14:paraId="3E44C7FD" w14:textId="77777777" w:rsidR="00FA14FE" w:rsidRPr="00DE13EE" w:rsidRDefault="00FA14FE" w:rsidP="009D0993">
            <w:pPr>
              <w:rPr>
                <w:rFonts w:ascii="Times New Roman" w:hAnsi="Times New Roman" w:cs="Times New Roman"/>
                <w:color w:val="000000" w:themeColor="text1"/>
                <w:sz w:val="20"/>
                <w:szCs w:val="20"/>
              </w:rPr>
            </w:pPr>
          </w:p>
        </w:tc>
        <w:tc>
          <w:tcPr>
            <w:tcW w:w="933" w:type="dxa"/>
            <w:tcBorders>
              <w:top w:val="nil"/>
              <w:left w:val="nil"/>
              <w:bottom w:val="nil"/>
              <w:right w:val="nil"/>
            </w:tcBorders>
          </w:tcPr>
          <w:p w14:paraId="6FB8F98B" w14:textId="77777777" w:rsidR="00FA14FE" w:rsidRPr="00DE13EE" w:rsidRDefault="00FA14FE" w:rsidP="009D0993">
            <w:pPr>
              <w:rPr>
                <w:rFonts w:ascii="Times New Roman" w:hAnsi="Times New Roman" w:cs="Times New Roman"/>
                <w:color w:val="000000" w:themeColor="text1"/>
                <w:sz w:val="20"/>
                <w:szCs w:val="20"/>
              </w:rPr>
            </w:pPr>
          </w:p>
        </w:tc>
        <w:tc>
          <w:tcPr>
            <w:tcW w:w="1021" w:type="dxa"/>
            <w:tcBorders>
              <w:top w:val="nil"/>
              <w:left w:val="nil"/>
              <w:bottom w:val="nil"/>
              <w:right w:val="nil"/>
            </w:tcBorders>
          </w:tcPr>
          <w:p w14:paraId="264A3206" w14:textId="77777777" w:rsidR="00FA14FE" w:rsidRPr="00DE13EE" w:rsidRDefault="00FA14FE" w:rsidP="009D0993">
            <w:pPr>
              <w:rPr>
                <w:rFonts w:ascii="Times New Roman" w:hAnsi="Times New Roman" w:cs="Times New Roman"/>
                <w:color w:val="000000" w:themeColor="text1"/>
                <w:sz w:val="20"/>
                <w:szCs w:val="20"/>
              </w:rPr>
            </w:pPr>
          </w:p>
        </w:tc>
        <w:tc>
          <w:tcPr>
            <w:tcW w:w="845" w:type="dxa"/>
            <w:tcBorders>
              <w:top w:val="nil"/>
              <w:left w:val="nil"/>
              <w:bottom w:val="nil"/>
              <w:right w:val="nil"/>
            </w:tcBorders>
          </w:tcPr>
          <w:p w14:paraId="076DD2A5" w14:textId="77777777" w:rsidR="00FA14FE" w:rsidRPr="00DE13EE" w:rsidRDefault="00FA14FE" w:rsidP="009D0993">
            <w:pPr>
              <w:rPr>
                <w:rFonts w:ascii="Times New Roman" w:hAnsi="Times New Roman" w:cs="Times New Roman"/>
                <w:color w:val="000000" w:themeColor="text1"/>
                <w:sz w:val="20"/>
                <w:szCs w:val="20"/>
              </w:rPr>
            </w:pPr>
          </w:p>
        </w:tc>
      </w:tr>
      <w:tr w:rsidR="00DE13EE" w:rsidRPr="00DE13EE" w14:paraId="129D6D91" w14:textId="77777777" w:rsidTr="009D0993">
        <w:trPr>
          <w:trHeight w:val="264"/>
          <w:jc w:val="center"/>
        </w:trPr>
        <w:tc>
          <w:tcPr>
            <w:tcW w:w="2434" w:type="dxa"/>
            <w:vMerge/>
            <w:tcBorders>
              <w:top w:val="nil"/>
              <w:left w:val="nil"/>
              <w:bottom w:val="nil"/>
              <w:right w:val="nil"/>
            </w:tcBorders>
            <w:vAlign w:val="center"/>
          </w:tcPr>
          <w:p w14:paraId="1DD0EDEA" w14:textId="77777777" w:rsidR="00FA14FE" w:rsidRPr="00DE13EE" w:rsidRDefault="00FA14FE" w:rsidP="009D0993">
            <w:pPr>
              <w:rPr>
                <w:rFonts w:ascii="Times New Roman" w:hAnsi="Times New Roman" w:cs="Times New Roman"/>
                <w:b/>
                <w:bCs/>
                <w:color w:val="000000" w:themeColor="text1"/>
                <w:sz w:val="20"/>
                <w:szCs w:val="20"/>
              </w:rPr>
            </w:pPr>
          </w:p>
        </w:tc>
        <w:tc>
          <w:tcPr>
            <w:tcW w:w="1158" w:type="dxa"/>
            <w:tcBorders>
              <w:top w:val="nil"/>
              <w:left w:val="nil"/>
              <w:bottom w:val="nil"/>
              <w:right w:val="nil"/>
            </w:tcBorders>
            <w:vAlign w:val="bottom"/>
          </w:tcPr>
          <w:p w14:paraId="7343F66F"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(0.009)</w:t>
            </w:r>
          </w:p>
        </w:tc>
        <w:tc>
          <w:tcPr>
            <w:tcW w:w="1287" w:type="dxa"/>
            <w:tcBorders>
              <w:top w:val="nil"/>
              <w:left w:val="nil"/>
              <w:bottom w:val="nil"/>
              <w:right w:val="nil"/>
            </w:tcBorders>
            <w:vAlign w:val="bottom"/>
          </w:tcPr>
          <w:p w14:paraId="1151E4A8"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(0.020)</w:t>
            </w:r>
          </w:p>
        </w:tc>
        <w:tc>
          <w:tcPr>
            <w:tcW w:w="1048" w:type="dxa"/>
            <w:tcBorders>
              <w:top w:val="nil"/>
              <w:left w:val="nil"/>
              <w:bottom w:val="nil"/>
              <w:right w:val="nil"/>
            </w:tcBorders>
            <w:vAlign w:val="bottom"/>
          </w:tcPr>
          <w:p w14:paraId="0DBDBCE7"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(0.056)</w:t>
            </w:r>
          </w:p>
        </w:tc>
        <w:tc>
          <w:tcPr>
            <w:tcW w:w="1050" w:type="dxa"/>
            <w:tcBorders>
              <w:top w:val="nil"/>
              <w:left w:val="nil"/>
              <w:bottom w:val="nil"/>
              <w:right w:val="nil"/>
            </w:tcBorders>
            <w:vAlign w:val="bottom"/>
          </w:tcPr>
          <w:p w14:paraId="4304A26A" w14:textId="77777777" w:rsidR="00FA14FE" w:rsidRPr="00DE13EE" w:rsidRDefault="00FA14FE" w:rsidP="009D0993">
            <w:pPr>
              <w:rPr>
                <w:rFonts w:ascii="Times New Roman" w:hAnsi="Times New Roman" w:cs="Times New Roman"/>
                <w:color w:val="000000" w:themeColor="text1"/>
                <w:sz w:val="20"/>
                <w:szCs w:val="20"/>
              </w:rPr>
            </w:pPr>
          </w:p>
        </w:tc>
        <w:tc>
          <w:tcPr>
            <w:tcW w:w="1048" w:type="dxa"/>
            <w:tcBorders>
              <w:top w:val="nil"/>
              <w:left w:val="nil"/>
              <w:bottom w:val="nil"/>
              <w:right w:val="nil"/>
            </w:tcBorders>
            <w:vAlign w:val="bottom"/>
          </w:tcPr>
          <w:p w14:paraId="23D794B3" w14:textId="77777777" w:rsidR="00FA14FE" w:rsidRPr="00DE13EE" w:rsidRDefault="00FA14FE" w:rsidP="009D0993">
            <w:pPr>
              <w:rPr>
                <w:rFonts w:ascii="Times New Roman" w:hAnsi="Times New Roman" w:cs="Times New Roman"/>
                <w:color w:val="000000" w:themeColor="text1"/>
                <w:sz w:val="20"/>
                <w:szCs w:val="20"/>
              </w:rPr>
            </w:pPr>
          </w:p>
        </w:tc>
        <w:tc>
          <w:tcPr>
            <w:tcW w:w="1050" w:type="dxa"/>
            <w:tcBorders>
              <w:top w:val="nil"/>
              <w:left w:val="nil"/>
              <w:bottom w:val="nil"/>
              <w:right w:val="nil"/>
            </w:tcBorders>
            <w:vAlign w:val="bottom"/>
          </w:tcPr>
          <w:p w14:paraId="207068DA" w14:textId="77777777" w:rsidR="00FA14FE" w:rsidRPr="00DE13EE" w:rsidRDefault="00FA14FE" w:rsidP="009D0993">
            <w:pPr>
              <w:rPr>
                <w:rFonts w:ascii="Times New Roman" w:hAnsi="Times New Roman" w:cs="Times New Roman"/>
                <w:color w:val="000000" w:themeColor="text1"/>
                <w:sz w:val="20"/>
                <w:szCs w:val="20"/>
              </w:rPr>
            </w:pPr>
          </w:p>
        </w:tc>
        <w:tc>
          <w:tcPr>
            <w:tcW w:w="1048" w:type="dxa"/>
            <w:tcBorders>
              <w:top w:val="nil"/>
              <w:left w:val="nil"/>
              <w:bottom w:val="nil"/>
              <w:right w:val="nil"/>
            </w:tcBorders>
            <w:vAlign w:val="bottom"/>
          </w:tcPr>
          <w:p w14:paraId="13733429" w14:textId="77777777" w:rsidR="00FA14FE" w:rsidRPr="00DE13EE" w:rsidRDefault="00FA14FE" w:rsidP="009D0993">
            <w:pPr>
              <w:rPr>
                <w:rFonts w:ascii="Times New Roman" w:hAnsi="Times New Roman" w:cs="Times New Roman"/>
                <w:color w:val="000000" w:themeColor="text1"/>
                <w:sz w:val="20"/>
                <w:szCs w:val="20"/>
              </w:rPr>
            </w:pPr>
          </w:p>
        </w:tc>
        <w:tc>
          <w:tcPr>
            <w:tcW w:w="1050" w:type="dxa"/>
            <w:tcBorders>
              <w:top w:val="nil"/>
              <w:left w:val="nil"/>
              <w:bottom w:val="nil"/>
              <w:right w:val="nil"/>
            </w:tcBorders>
          </w:tcPr>
          <w:p w14:paraId="45A4CEE1" w14:textId="77777777" w:rsidR="00FA14FE" w:rsidRPr="00DE13EE" w:rsidRDefault="00FA14FE" w:rsidP="009D0993">
            <w:pPr>
              <w:rPr>
                <w:rFonts w:ascii="Times New Roman" w:hAnsi="Times New Roman" w:cs="Times New Roman"/>
                <w:color w:val="000000" w:themeColor="text1"/>
                <w:sz w:val="20"/>
                <w:szCs w:val="20"/>
              </w:rPr>
            </w:pPr>
          </w:p>
        </w:tc>
        <w:tc>
          <w:tcPr>
            <w:tcW w:w="1048" w:type="dxa"/>
            <w:tcBorders>
              <w:top w:val="nil"/>
              <w:left w:val="nil"/>
              <w:bottom w:val="nil"/>
              <w:right w:val="nil"/>
            </w:tcBorders>
          </w:tcPr>
          <w:p w14:paraId="5EA15A3D" w14:textId="77777777" w:rsidR="00FA14FE" w:rsidRPr="00DE13EE" w:rsidRDefault="00FA14FE" w:rsidP="009D0993">
            <w:pPr>
              <w:rPr>
                <w:rFonts w:ascii="Times New Roman" w:hAnsi="Times New Roman" w:cs="Times New Roman"/>
                <w:color w:val="000000" w:themeColor="text1"/>
                <w:sz w:val="20"/>
                <w:szCs w:val="20"/>
              </w:rPr>
            </w:pPr>
          </w:p>
        </w:tc>
        <w:tc>
          <w:tcPr>
            <w:tcW w:w="1134" w:type="dxa"/>
            <w:tcBorders>
              <w:top w:val="nil"/>
              <w:left w:val="nil"/>
              <w:bottom w:val="nil"/>
              <w:right w:val="nil"/>
            </w:tcBorders>
          </w:tcPr>
          <w:p w14:paraId="6F0FC174" w14:textId="77777777" w:rsidR="00FA14FE" w:rsidRPr="00DE13EE" w:rsidRDefault="00FA14FE" w:rsidP="009D0993">
            <w:pPr>
              <w:rPr>
                <w:rFonts w:ascii="Times New Roman" w:hAnsi="Times New Roman" w:cs="Times New Roman"/>
                <w:color w:val="000000" w:themeColor="text1"/>
                <w:sz w:val="20"/>
                <w:szCs w:val="20"/>
              </w:rPr>
            </w:pPr>
          </w:p>
        </w:tc>
        <w:tc>
          <w:tcPr>
            <w:tcW w:w="933" w:type="dxa"/>
            <w:tcBorders>
              <w:top w:val="nil"/>
              <w:left w:val="nil"/>
              <w:bottom w:val="nil"/>
              <w:right w:val="nil"/>
            </w:tcBorders>
          </w:tcPr>
          <w:p w14:paraId="4A7D838A" w14:textId="77777777" w:rsidR="00FA14FE" w:rsidRPr="00DE13EE" w:rsidRDefault="00FA14FE" w:rsidP="009D0993">
            <w:pPr>
              <w:rPr>
                <w:rFonts w:ascii="Times New Roman" w:hAnsi="Times New Roman" w:cs="Times New Roman"/>
                <w:color w:val="000000" w:themeColor="text1"/>
                <w:sz w:val="20"/>
                <w:szCs w:val="20"/>
              </w:rPr>
            </w:pPr>
          </w:p>
        </w:tc>
        <w:tc>
          <w:tcPr>
            <w:tcW w:w="1021" w:type="dxa"/>
            <w:tcBorders>
              <w:top w:val="nil"/>
              <w:left w:val="nil"/>
              <w:bottom w:val="nil"/>
              <w:right w:val="nil"/>
            </w:tcBorders>
          </w:tcPr>
          <w:p w14:paraId="4C2C1D79" w14:textId="77777777" w:rsidR="00FA14FE" w:rsidRPr="00DE13EE" w:rsidRDefault="00FA14FE" w:rsidP="009D0993">
            <w:pPr>
              <w:rPr>
                <w:rFonts w:ascii="Times New Roman" w:hAnsi="Times New Roman" w:cs="Times New Roman"/>
                <w:color w:val="000000" w:themeColor="text1"/>
                <w:sz w:val="20"/>
                <w:szCs w:val="20"/>
              </w:rPr>
            </w:pPr>
          </w:p>
        </w:tc>
        <w:tc>
          <w:tcPr>
            <w:tcW w:w="845" w:type="dxa"/>
            <w:tcBorders>
              <w:top w:val="nil"/>
              <w:left w:val="nil"/>
              <w:bottom w:val="nil"/>
              <w:right w:val="nil"/>
            </w:tcBorders>
          </w:tcPr>
          <w:p w14:paraId="53738AB7" w14:textId="77777777" w:rsidR="00FA14FE" w:rsidRPr="00DE13EE" w:rsidRDefault="00FA14FE" w:rsidP="009D0993">
            <w:pPr>
              <w:rPr>
                <w:rFonts w:ascii="Times New Roman" w:hAnsi="Times New Roman" w:cs="Times New Roman"/>
                <w:color w:val="000000" w:themeColor="text1"/>
                <w:sz w:val="20"/>
                <w:szCs w:val="20"/>
              </w:rPr>
            </w:pPr>
          </w:p>
        </w:tc>
      </w:tr>
      <w:tr w:rsidR="00DE13EE" w:rsidRPr="00DE13EE" w14:paraId="7F41A9A2" w14:textId="77777777" w:rsidTr="009D0993">
        <w:trPr>
          <w:trHeight w:val="171"/>
          <w:jc w:val="center"/>
        </w:trPr>
        <w:tc>
          <w:tcPr>
            <w:tcW w:w="2434" w:type="dxa"/>
            <w:vMerge w:val="restart"/>
            <w:tcBorders>
              <w:top w:val="nil"/>
              <w:left w:val="nil"/>
              <w:bottom w:val="nil"/>
              <w:right w:val="nil"/>
            </w:tcBorders>
            <w:vAlign w:val="center"/>
          </w:tcPr>
          <w:p w14:paraId="3C811A69" w14:textId="77777777" w:rsidR="00FA14FE" w:rsidRPr="00DE13EE" w:rsidRDefault="00FA14FE" w:rsidP="009D0993">
            <w:pPr>
              <w:rPr>
                <w:rFonts w:ascii="Times New Roman" w:hAnsi="Times New Roman" w:cs="Times New Roman"/>
                <w:b/>
                <w:bCs/>
                <w:color w:val="000000" w:themeColor="text1"/>
                <w:sz w:val="20"/>
                <w:szCs w:val="20"/>
              </w:rPr>
            </w:pPr>
            <w:r w:rsidRPr="00DE13EE">
              <w:rPr>
                <w:rFonts w:ascii="Times New Roman" w:hAnsi="Times New Roman" w:cs="Times New Roman"/>
                <w:b/>
                <w:bCs/>
                <w:color w:val="000000" w:themeColor="text1"/>
                <w:sz w:val="20"/>
                <w:szCs w:val="20"/>
              </w:rPr>
              <w:t xml:space="preserve">(5) ROA </w:t>
            </w:r>
          </w:p>
        </w:tc>
        <w:tc>
          <w:tcPr>
            <w:tcW w:w="1158" w:type="dxa"/>
            <w:tcBorders>
              <w:top w:val="nil"/>
              <w:left w:val="nil"/>
              <w:bottom w:val="nil"/>
              <w:right w:val="nil"/>
            </w:tcBorders>
            <w:vAlign w:val="bottom"/>
          </w:tcPr>
          <w:p w14:paraId="3FDEF39A"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-0.126</w:t>
            </w:r>
            <w:r w:rsidRPr="00DE13EE">
              <w:rPr>
                <w:rFonts w:ascii="Times New Roman" w:hAnsi="Times New Roman" w:cs="Times New Roman"/>
                <w:color w:val="000000" w:themeColor="text1"/>
                <w:sz w:val="20"/>
                <w:szCs w:val="20"/>
                <w:vertAlign w:val="superscript"/>
              </w:rPr>
              <w:t>***</w:t>
            </w:r>
          </w:p>
        </w:tc>
        <w:tc>
          <w:tcPr>
            <w:tcW w:w="1287" w:type="dxa"/>
            <w:tcBorders>
              <w:top w:val="nil"/>
              <w:left w:val="nil"/>
              <w:bottom w:val="nil"/>
              <w:right w:val="nil"/>
            </w:tcBorders>
            <w:vAlign w:val="bottom"/>
          </w:tcPr>
          <w:p w14:paraId="67344365"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-0.140</w:t>
            </w:r>
            <w:r w:rsidRPr="00DE13EE">
              <w:rPr>
                <w:rFonts w:ascii="Times New Roman" w:hAnsi="Times New Roman" w:cs="Times New Roman"/>
                <w:color w:val="000000" w:themeColor="text1"/>
                <w:sz w:val="20"/>
                <w:szCs w:val="20"/>
                <w:vertAlign w:val="superscript"/>
              </w:rPr>
              <w:t>***</w:t>
            </w:r>
          </w:p>
        </w:tc>
        <w:tc>
          <w:tcPr>
            <w:tcW w:w="1048" w:type="dxa"/>
            <w:tcBorders>
              <w:top w:val="nil"/>
              <w:left w:val="nil"/>
              <w:bottom w:val="nil"/>
              <w:right w:val="nil"/>
            </w:tcBorders>
            <w:vAlign w:val="bottom"/>
          </w:tcPr>
          <w:p w14:paraId="5B0A5B79"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0.359</w:t>
            </w:r>
            <w:r w:rsidRPr="00DE13EE">
              <w:rPr>
                <w:rFonts w:ascii="Times New Roman" w:hAnsi="Times New Roman" w:cs="Times New Roman"/>
                <w:color w:val="000000" w:themeColor="text1"/>
                <w:sz w:val="20"/>
                <w:szCs w:val="20"/>
                <w:vertAlign w:val="superscript"/>
              </w:rPr>
              <w:t>***</w:t>
            </w:r>
          </w:p>
        </w:tc>
        <w:tc>
          <w:tcPr>
            <w:tcW w:w="1050" w:type="dxa"/>
            <w:tcBorders>
              <w:top w:val="nil"/>
              <w:left w:val="nil"/>
              <w:bottom w:val="nil"/>
              <w:right w:val="nil"/>
            </w:tcBorders>
            <w:vAlign w:val="bottom"/>
          </w:tcPr>
          <w:p w14:paraId="37640C5F"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0.095</w:t>
            </w:r>
            <w:r w:rsidRPr="00DE13EE">
              <w:rPr>
                <w:rFonts w:ascii="Times New Roman" w:hAnsi="Times New Roman" w:cs="Times New Roman"/>
                <w:color w:val="000000" w:themeColor="text1"/>
                <w:sz w:val="20"/>
                <w:szCs w:val="20"/>
                <w:vertAlign w:val="superscript"/>
              </w:rPr>
              <w:t>***</w:t>
            </w:r>
          </w:p>
        </w:tc>
        <w:tc>
          <w:tcPr>
            <w:tcW w:w="1048" w:type="dxa"/>
            <w:tcBorders>
              <w:top w:val="nil"/>
              <w:left w:val="nil"/>
              <w:bottom w:val="nil"/>
              <w:right w:val="nil"/>
            </w:tcBorders>
            <w:vAlign w:val="bottom"/>
          </w:tcPr>
          <w:p w14:paraId="143B6312"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1.000</w:t>
            </w:r>
          </w:p>
        </w:tc>
        <w:tc>
          <w:tcPr>
            <w:tcW w:w="1050" w:type="dxa"/>
            <w:tcBorders>
              <w:top w:val="nil"/>
              <w:left w:val="nil"/>
              <w:bottom w:val="nil"/>
              <w:right w:val="nil"/>
            </w:tcBorders>
            <w:vAlign w:val="bottom"/>
          </w:tcPr>
          <w:p w14:paraId="455452C0" w14:textId="77777777" w:rsidR="00FA14FE" w:rsidRPr="00DE13EE" w:rsidRDefault="00FA14FE" w:rsidP="009D0993">
            <w:pPr>
              <w:rPr>
                <w:rFonts w:ascii="Times New Roman" w:hAnsi="Times New Roman" w:cs="Times New Roman"/>
                <w:color w:val="000000" w:themeColor="text1"/>
                <w:sz w:val="20"/>
                <w:szCs w:val="20"/>
              </w:rPr>
            </w:pPr>
          </w:p>
        </w:tc>
        <w:tc>
          <w:tcPr>
            <w:tcW w:w="1048" w:type="dxa"/>
            <w:tcBorders>
              <w:top w:val="nil"/>
              <w:left w:val="nil"/>
              <w:bottom w:val="nil"/>
              <w:right w:val="nil"/>
            </w:tcBorders>
            <w:vAlign w:val="bottom"/>
          </w:tcPr>
          <w:p w14:paraId="4EF765D8" w14:textId="77777777" w:rsidR="00FA14FE" w:rsidRPr="00DE13EE" w:rsidRDefault="00FA14FE" w:rsidP="009D0993">
            <w:pPr>
              <w:rPr>
                <w:rFonts w:ascii="Times New Roman" w:hAnsi="Times New Roman" w:cs="Times New Roman"/>
                <w:color w:val="000000" w:themeColor="text1"/>
                <w:sz w:val="20"/>
                <w:szCs w:val="20"/>
              </w:rPr>
            </w:pPr>
          </w:p>
        </w:tc>
        <w:tc>
          <w:tcPr>
            <w:tcW w:w="1050" w:type="dxa"/>
            <w:tcBorders>
              <w:top w:val="nil"/>
              <w:left w:val="nil"/>
              <w:bottom w:val="nil"/>
              <w:right w:val="nil"/>
            </w:tcBorders>
          </w:tcPr>
          <w:p w14:paraId="040ADDFF" w14:textId="77777777" w:rsidR="00FA14FE" w:rsidRPr="00DE13EE" w:rsidRDefault="00FA14FE" w:rsidP="009D0993">
            <w:pPr>
              <w:rPr>
                <w:rFonts w:ascii="Times New Roman" w:hAnsi="Times New Roman" w:cs="Times New Roman"/>
                <w:color w:val="000000" w:themeColor="text1"/>
                <w:sz w:val="20"/>
                <w:szCs w:val="20"/>
              </w:rPr>
            </w:pPr>
          </w:p>
        </w:tc>
        <w:tc>
          <w:tcPr>
            <w:tcW w:w="1048" w:type="dxa"/>
            <w:tcBorders>
              <w:top w:val="nil"/>
              <w:left w:val="nil"/>
              <w:bottom w:val="nil"/>
              <w:right w:val="nil"/>
            </w:tcBorders>
          </w:tcPr>
          <w:p w14:paraId="2FF340E7" w14:textId="77777777" w:rsidR="00FA14FE" w:rsidRPr="00DE13EE" w:rsidRDefault="00FA14FE" w:rsidP="009D0993">
            <w:pPr>
              <w:rPr>
                <w:rFonts w:ascii="Times New Roman" w:hAnsi="Times New Roman" w:cs="Times New Roman"/>
                <w:color w:val="000000" w:themeColor="text1"/>
                <w:sz w:val="20"/>
                <w:szCs w:val="20"/>
              </w:rPr>
            </w:pPr>
          </w:p>
        </w:tc>
        <w:tc>
          <w:tcPr>
            <w:tcW w:w="1134" w:type="dxa"/>
            <w:tcBorders>
              <w:top w:val="nil"/>
              <w:left w:val="nil"/>
              <w:bottom w:val="nil"/>
              <w:right w:val="nil"/>
            </w:tcBorders>
          </w:tcPr>
          <w:p w14:paraId="220D996A" w14:textId="77777777" w:rsidR="00FA14FE" w:rsidRPr="00DE13EE" w:rsidRDefault="00FA14FE" w:rsidP="009D0993">
            <w:pPr>
              <w:rPr>
                <w:rFonts w:ascii="Times New Roman" w:hAnsi="Times New Roman" w:cs="Times New Roman"/>
                <w:color w:val="000000" w:themeColor="text1"/>
                <w:sz w:val="20"/>
                <w:szCs w:val="20"/>
              </w:rPr>
            </w:pPr>
          </w:p>
        </w:tc>
        <w:tc>
          <w:tcPr>
            <w:tcW w:w="933" w:type="dxa"/>
            <w:tcBorders>
              <w:top w:val="nil"/>
              <w:left w:val="nil"/>
              <w:bottom w:val="nil"/>
              <w:right w:val="nil"/>
            </w:tcBorders>
          </w:tcPr>
          <w:p w14:paraId="7EC33386" w14:textId="77777777" w:rsidR="00FA14FE" w:rsidRPr="00DE13EE" w:rsidRDefault="00FA14FE" w:rsidP="009D0993">
            <w:pPr>
              <w:rPr>
                <w:rFonts w:ascii="Times New Roman" w:hAnsi="Times New Roman" w:cs="Times New Roman"/>
                <w:color w:val="000000" w:themeColor="text1"/>
                <w:sz w:val="20"/>
                <w:szCs w:val="20"/>
              </w:rPr>
            </w:pPr>
          </w:p>
        </w:tc>
        <w:tc>
          <w:tcPr>
            <w:tcW w:w="1021" w:type="dxa"/>
            <w:tcBorders>
              <w:top w:val="nil"/>
              <w:left w:val="nil"/>
              <w:bottom w:val="nil"/>
              <w:right w:val="nil"/>
            </w:tcBorders>
          </w:tcPr>
          <w:p w14:paraId="219C887A" w14:textId="77777777" w:rsidR="00FA14FE" w:rsidRPr="00DE13EE" w:rsidRDefault="00FA14FE" w:rsidP="009D0993">
            <w:pPr>
              <w:rPr>
                <w:rFonts w:ascii="Times New Roman" w:hAnsi="Times New Roman" w:cs="Times New Roman"/>
                <w:color w:val="000000" w:themeColor="text1"/>
                <w:sz w:val="20"/>
                <w:szCs w:val="20"/>
              </w:rPr>
            </w:pPr>
          </w:p>
        </w:tc>
        <w:tc>
          <w:tcPr>
            <w:tcW w:w="845" w:type="dxa"/>
            <w:tcBorders>
              <w:top w:val="nil"/>
              <w:left w:val="nil"/>
              <w:bottom w:val="nil"/>
              <w:right w:val="nil"/>
            </w:tcBorders>
          </w:tcPr>
          <w:p w14:paraId="0D2C8046" w14:textId="77777777" w:rsidR="00FA14FE" w:rsidRPr="00DE13EE" w:rsidRDefault="00FA14FE" w:rsidP="009D0993">
            <w:pPr>
              <w:rPr>
                <w:rFonts w:ascii="Times New Roman" w:hAnsi="Times New Roman" w:cs="Times New Roman"/>
                <w:color w:val="000000" w:themeColor="text1"/>
                <w:sz w:val="20"/>
                <w:szCs w:val="20"/>
              </w:rPr>
            </w:pPr>
          </w:p>
        </w:tc>
      </w:tr>
      <w:tr w:rsidR="00DE13EE" w:rsidRPr="00DE13EE" w14:paraId="6C3E291C" w14:textId="77777777" w:rsidTr="009D0993">
        <w:trPr>
          <w:trHeight w:val="264"/>
          <w:jc w:val="center"/>
        </w:trPr>
        <w:tc>
          <w:tcPr>
            <w:tcW w:w="2434" w:type="dxa"/>
            <w:vMerge/>
            <w:tcBorders>
              <w:top w:val="nil"/>
              <w:left w:val="nil"/>
              <w:bottom w:val="nil"/>
              <w:right w:val="nil"/>
            </w:tcBorders>
            <w:vAlign w:val="center"/>
          </w:tcPr>
          <w:p w14:paraId="1515B280" w14:textId="77777777" w:rsidR="00FA14FE" w:rsidRPr="00DE13EE" w:rsidRDefault="00FA14FE" w:rsidP="009D0993">
            <w:pPr>
              <w:rPr>
                <w:rFonts w:ascii="Times New Roman" w:hAnsi="Times New Roman" w:cs="Times New Roman"/>
                <w:b/>
                <w:bCs/>
                <w:color w:val="000000" w:themeColor="text1"/>
                <w:sz w:val="20"/>
                <w:szCs w:val="20"/>
              </w:rPr>
            </w:pPr>
          </w:p>
        </w:tc>
        <w:tc>
          <w:tcPr>
            <w:tcW w:w="1158" w:type="dxa"/>
            <w:tcBorders>
              <w:top w:val="nil"/>
              <w:left w:val="nil"/>
              <w:bottom w:val="nil"/>
              <w:right w:val="nil"/>
            </w:tcBorders>
            <w:vAlign w:val="bottom"/>
          </w:tcPr>
          <w:p w14:paraId="7C6D9BB5"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(0.000)</w:t>
            </w:r>
          </w:p>
        </w:tc>
        <w:tc>
          <w:tcPr>
            <w:tcW w:w="1287" w:type="dxa"/>
            <w:tcBorders>
              <w:top w:val="nil"/>
              <w:left w:val="nil"/>
              <w:bottom w:val="nil"/>
              <w:right w:val="nil"/>
            </w:tcBorders>
            <w:vAlign w:val="bottom"/>
          </w:tcPr>
          <w:p w14:paraId="13FB6C56"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(0.000)</w:t>
            </w:r>
          </w:p>
        </w:tc>
        <w:tc>
          <w:tcPr>
            <w:tcW w:w="1048" w:type="dxa"/>
            <w:tcBorders>
              <w:top w:val="nil"/>
              <w:left w:val="nil"/>
              <w:bottom w:val="nil"/>
              <w:right w:val="nil"/>
            </w:tcBorders>
            <w:vAlign w:val="bottom"/>
          </w:tcPr>
          <w:p w14:paraId="2F77E334"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(0.000)</w:t>
            </w:r>
          </w:p>
        </w:tc>
        <w:tc>
          <w:tcPr>
            <w:tcW w:w="1050" w:type="dxa"/>
            <w:tcBorders>
              <w:top w:val="nil"/>
              <w:left w:val="nil"/>
              <w:bottom w:val="nil"/>
              <w:right w:val="nil"/>
            </w:tcBorders>
            <w:vAlign w:val="bottom"/>
          </w:tcPr>
          <w:p w14:paraId="25541211"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(0.000)</w:t>
            </w:r>
          </w:p>
        </w:tc>
        <w:tc>
          <w:tcPr>
            <w:tcW w:w="1048" w:type="dxa"/>
            <w:tcBorders>
              <w:top w:val="nil"/>
              <w:left w:val="nil"/>
              <w:bottom w:val="nil"/>
              <w:right w:val="nil"/>
            </w:tcBorders>
            <w:vAlign w:val="bottom"/>
          </w:tcPr>
          <w:p w14:paraId="2545D74A" w14:textId="77777777" w:rsidR="00FA14FE" w:rsidRPr="00DE13EE" w:rsidRDefault="00FA14FE" w:rsidP="009D0993">
            <w:pPr>
              <w:rPr>
                <w:rFonts w:ascii="Times New Roman" w:hAnsi="Times New Roman" w:cs="Times New Roman"/>
                <w:color w:val="000000" w:themeColor="text1"/>
                <w:sz w:val="20"/>
                <w:szCs w:val="20"/>
              </w:rPr>
            </w:pPr>
          </w:p>
        </w:tc>
        <w:tc>
          <w:tcPr>
            <w:tcW w:w="1050" w:type="dxa"/>
            <w:tcBorders>
              <w:top w:val="nil"/>
              <w:left w:val="nil"/>
              <w:bottom w:val="nil"/>
              <w:right w:val="nil"/>
            </w:tcBorders>
            <w:vAlign w:val="bottom"/>
          </w:tcPr>
          <w:p w14:paraId="036105CE" w14:textId="77777777" w:rsidR="00FA14FE" w:rsidRPr="00DE13EE" w:rsidRDefault="00FA14FE" w:rsidP="009D0993">
            <w:pPr>
              <w:rPr>
                <w:rFonts w:ascii="Times New Roman" w:hAnsi="Times New Roman" w:cs="Times New Roman"/>
                <w:color w:val="000000" w:themeColor="text1"/>
                <w:sz w:val="20"/>
                <w:szCs w:val="20"/>
              </w:rPr>
            </w:pPr>
          </w:p>
        </w:tc>
        <w:tc>
          <w:tcPr>
            <w:tcW w:w="1048" w:type="dxa"/>
            <w:tcBorders>
              <w:top w:val="nil"/>
              <w:left w:val="nil"/>
              <w:bottom w:val="nil"/>
              <w:right w:val="nil"/>
            </w:tcBorders>
            <w:vAlign w:val="bottom"/>
          </w:tcPr>
          <w:p w14:paraId="3C287419" w14:textId="77777777" w:rsidR="00FA14FE" w:rsidRPr="00DE13EE" w:rsidRDefault="00FA14FE" w:rsidP="009D0993">
            <w:pPr>
              <w:rPr>
                <w:rFonts w:ascii="Times New Roman" w:hAnsi="Times New Roman" w:cs="Times New Roman"/>
                <w:color w:val="000000" w:themeColor="text1"/>
                <w:sz w:val="20"/>
                <w:szCs w:val="20"/>
              </w:rPr>
            </w:pPr>
          </w:p>
        </w:tc>
        <w:tc>
          <w:tcPr>
            <w:tcW w:w="1050" w:type="dxa"/>
            <w:tcBorders>
              <w:top w:val="nil"/>
              <w:left w:val="nil"/>
              <w:bottom w:val="nil"/>
              <w:right w:val="nil"/>
            </w:tcBorders>
          </w:tcPr>
          <w:p w14:paraId="76FAA8C3" w14:textId="77777777" w:rsidR="00FA14FE" w:rsidRPr="00DE13EE" w:rsidRDefault="00FA14FE" w:rsidP="009D0993">
            <w:pPr>
              <w:rPr>
                <w:rFonts w:ascii="Times New Roman" w:hAnsi="Times New Roman" w:cs="Times New Roman"/>
                <w:color w:val="000000" w:themeColor="text1"/>
                <w:sz w:val="20"/>
                <w:szCs w:val="20"/>
              </w:rPr>
            </w:pPr>
          </w:p>
        </w:tc>
        <w:tc>
          <w:tcPr>
            <w:tcW w:w="1048" w:type="dxa"/>
            <w:tcBorders>
              <w:top w:val="nil"/>
              <w:left w:val="nil"/>
              <w:bottom w:val="nil"/>
              <w:right w:val="nil"/>
            </w:tcBorders>
          </w:tcPr>
          <w:p w14:paraId="09293E33" w14:textId="77777777" w:rsidR="00FA14FE" w:rsidRPr="00DE13EE" w:rsidRDefault="00FA14FE" w:rsidP="009D0993">
            <w:pPr>
              <w:rPr>
                <w:rFonts w:ascii="Times New Roman" w:hAnsi="Times New Roman" w:cs="Times New Roman"/>
                <w:color w:val="000000" w:themeColor="text1"/>
                <w:sz w:val="20"/>
                <w:szCs w:val="20"/>
              </w:rPr>
            </w:pPr>
          </w:p>
        </w:tc>
        <w:tc>
          <w:tcPr>
            <w:tcW w:w="1134" w:type="dxa"/>
            <w:tcBorders>
              <w:top w:val="nil"/>
              <w:left w:val="nil"/>
              <w:bottom w:val="nil"/>
              <w:right w:val="nil"/>
            </w:tcBorders>
          </w:tcPr>
          <w:p w14:paraId="0E43D9A9" w14:textId="77777777" w:rsidR="00FA14FE" w:rsidRPr="00DE13EE" w:rsidRDefault="00FA14FE" w:rsidP="009D0993">
            <w:pPr>
              <w:rPr>
                <w:rFonts w:ascii="Times New Roman" w:hAnsi="Times New Roman" w:cs="Times New Roman"/>
                <w:color w:val="000000" w:themeColor="text1"/>
                <w:sz w:val="20"/>
                <w:szCs w:val="20"/>
              </w:rPr>
            </w:pPr>
          </w:p>
        </w:tc>
        <w:tc>
          <w:tcPr>
            <w:tcW w:w="933" w:type="dxa"/>
            <w:tcBorders>
              <w:top w:val="nil"/>
              <w:left w:val="nil"/>
              <w:bottom w:val="nil"/>
              <w:right w:val="nil"/>
            </w:tcBorders>
          </w:tcPr>
          <w:p w14:paraId="5C01E589" w14:textId="77777777" w:rsidR="00FA14FE" w:rsidRPr="00DE13EE" w:rsidRDefault="00FA14FE" w:rsidP="009D0993">
            <w:pPr>
              <w:rPr>
                <w:rFonts w:ascii="Times New Roman" w:hAnsi="Times New Roman" w:cs="Times New Roman"/>
                <w:color w:val="000000" w:themeColor="text1"/>
                <w:sz w:val="20"/>
                <w:szCs w:val="20"/>
              </w:rPr>
            </w:pPr>
          </w:p>
        </w:tc>
        <w:tc>
          <w:tcPr>
            <w:tcW w:w="1021" w:type="dxa"/>
            <w:tcBorders>
              <w:top w:val="nil"/>
              <w:left w:val="nil"/>
              <w:bottom w:val="nil"/>
              <w:right w:val="nil"/>
            </w:tcBorders>
          </w:tcPr>
          <w:p w14:paraId="4FCF9B00" w14:textId="77777777" w:rsidR="00FA14FE" w:rsidRPr="00DE13EE" w:rsidRDefault="00FA14FE" w:rsidP="009D0993">
            <w:pPr>
              <w:rPr>
                <w:rFonts w:ascii="Times New Roman" w:hAnsi="Times New Roman" w:cs="Times New Roman"/>
                <w:color w:val="000000" w:themeColor="text1"/>
                <w:sz w:val="20"/>
                <w:szCs w:val="20"/>
              </w:rPr>
            </w:pPr>
          </w:p>
        </w:tc>
        <w:tc>
          <w:tcPr>
            <w:tcW w:w="845" w:type="dxa"/>
            <w:tcBorders>
              <w:top w:val="nil"/>
              <w:left w:val="nil"/>
              <w:bottom w:val="nil"/>
              <w:right w:val="nil"/>
            </w:tcBorders>
          </w:tcPr>
          <w:p w14:paraId="6A7A2DDB" w14:textId="77777777" w:rsidR="00FA14FE" w:rsidRPr="00DE13EE" w:rsidRDefault="00FA14FE" w:rsidP="009D0993">
            <w:pPr>
              <w:rPr>
                <w:rFonts w:ascii="Times New Roman" w:hAnsi="Times New Roman" w:cs="Times New Roman"/>
                <w:color w:val="000000" w:themeColor="text1"/>
                <w:sz w:val="20"/>
                <w:szCs w:val="20"/>
              </w:rPr>
            </w:pPr>
          </w:p>
        </w:tc>
      </w:tr>
      <w:tr w:rsidR="00DE13EE" w:rsidRPr="00DE13EE" w14:paraId="624464B0" w14:textId="77777777" w:rsidTr="009D0993">
        <w:trPr>
          <w:trHeight w:val="249"/>
          <w:jc w:val="center"/>
        </w:trPr>
        <w:tc>
          <w:tcPr>
            <w:tcW w:w="2434" w:type="dxa"/>
            <w:vMerge w:val="restart"/>
            <w:tcBorders>
              <w:top w:val="nil"/>
              <w:left w:val="nil"/>
              <w:bottom w:val="nil"/>
              <w:right w:val="nil"/>
            </w:tcBorders>
            <w:vAlign w:val="center"/>
          </w:tcPr>
          <w:p w14:paraId="27BC0F5C" w14:textId="77777777" w:rsidR="00FA14FE" w:rsidRPr="00DE13EE" w:rsidRDefault="00FA14FE" w:rsidP="009D0993">
            <w:pPr>
              <w:rPr>
                <w:rFonts w:ascii="Times New Roman" w:hAnsi="Times New Roman" w:cs="Times New Roman"/>
                <w:b/>
                <w:bCs/>
                <w:color w:val="000000" w:themeColor="text1"/>
                <w:sz w:val="20"/>
                <w:szCs w:val="20"/>
              </w:rPr>
            </w:pPr>
            <w:r w:rsidRPr="00DE13EE">
              <w:rPr>
                <w:rFonts w:ascii="Times New Roman" w:hAnsi="Times New Roman" w:cs="Times New Roman"/>
                <w:b/>
                <w:bCs/>
                <w:color w:val="000000" w:themeColor="text1"/>
                <w:sz w:val="20"/>
                <w:szCs w:val="20"/>
              </w:rPr>
              <w:t xml:space="preserve">(6) Lev </w:t>
            </w:r>
          </w:p>
        </w:tc>
        <w:tc>
          <w:tcPr>
            <w:tcW w:w="1158" w:type="dxa"/>
            <w:tcBorders>
              <w:top w:val="nil"/>
              <w:left w:val="nil"/>
              <w:bottom w:val="nil"/>
              <w:right w:val="nil"/>
            </w:tcBorders>
            <w:vAlign w:val="bottom"/>
          </w:tcPr>
          <w:p w14:paraId="74A5FD62"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0.918</w:t>
            </w:r>
            <w:r w:rsidRPr="00DE13EE">
              <w:rPr>
                <w:rFonts w:ascii="Times New Roman" w:hAnsi="Times New Roman" w:cs="Times New Roman"/>
                <w:color w:val="000000" w:themeColor="text1"/>
                <w:sz w:val="20"/>
                <w:szCs w:val="20"/>
                <w:vertAlign w:val="superscript"/>
              </w:rPr>
              <w:t>***</w:t>
            </w:r>
          </w:p>
        </w:tc>
        <w:tc>
          <w:tcPr>
            <w:tcW w:w="1287" w:type="dxa"/>
            <w:tcBorders>
              <w:top w:val="nil"/>
              <w:left w:val="nil"/>
              <w:bottom w:val="nil"/>
              <w:right w:val="nil"/>
            </w:tcBorders>
            <w:vAlign w:val="bottom"/>
          </w:tcPr>
          <w:p w14:paraId="1EF684F3"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0.009</w:t>
            </w:r>
          </w:p>
        </w:tc>
        <w:tc>
          <w:tcPr>
            <w:tcW w:w="1048" w:type="dxa"/>
            <w:tcBorders>
              <w:top w:val="nil"/>
              <w:left w:val="nil"/>
              <w:bottom w:val="nil"/>
              <w:right w:val="nil"/>
            </w:tcBorders>
            <w:vAlign w:val="bottom"/>
          </w:tcPr>
          <w:p w14:paraId="72572AED"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-0.005</w:t>
            </w:r>
          </w:p>
        </w:tc>
        <w:tc>
          <w:tcPr>
            <w:tcW w:w="1050" w:type="dxa"/>
            <w:tcBorders>
              <w:top w:val="nil"/>
              <w:left w:val="nil"/>
              <w:bottom w:val="nil"/>
              <w:right w:val="nil"/>
            </w:tcBorders>
            <w:vAlign w:val="bottom"/>
          </w:tcPr>
          <w:p w14:paraId="1516BF56"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0.007</w:t>
            </w:r>
          </w:p>
        </w:tc>
        <w:tc>
          <w:tcPr>
            <w:tcW w:w="1048" w:type="dxa"/>
            <w:tcBorders>
              <w:top w:val="nil"/>
              <w:left w:val="nil"/>
              <w:bottom w:val="nil"/>
              <w:right w:val="nil"/>
            </w:tcBorders>
            <w:vAlign w:val="bottom"/>
          </w:tcPr>
          <w:p w14:paraId="24B6F5D3"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-0.08</w:t>
            </w:r>
            <w:r w:rsidRPr="00DE13EE">
              <w:rPr>
                <w:rFonts w:ascii="Times New Roman" w:hAnsi="Times New Roman" w:cs="Times New Roman"/>
                <w:color w:val="000000" w:themeColor="text1"/>
                <w:sz w:val="20"/>
                <w:szCs w:val="20"/>
                <w:vertAlign w:val="superscript"/>
              </w:rPr>
              <w:t>***</w:t>
            </w:r>
          </w:p>
        </w:tc>
        <w:tc>
          <w:tcPr>
            <w:tcW w:w="1050" w:type="dxa"/>
            <w:tcBorders>
              <w:top w:val="nil"/>
              <w:left w:val="nil"/>
              <w:bottom w:val="nil"/>
              <w:right w:val="nil"/>
            </w:tcBorders>
            <w:vAlign w:val="bottom"/>
          </w:tcPr>
          <w:p w14:paraId="1A01603E"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1.000</w:t>
            </w:r>
          </w:p>
        </w:tc>
        <w:tc>
          <w:tcPr>
            <w:tcW w:w="1048" w:type="dxa"/>
            <w:tcBorders>
              <w:top w:val="nil"/>
              <w:left w:val="nil"/>
              <w:bottom w:val="nil"/>
              <w:right w:val="nil"/>
            </w:tcBorders>
            <w:vAlign w:val="bottom"/>
          </w:tcPr>
          <w:p w14:paraId="41D5F407" w14:textId="77777777" w:rsidR="00FA14FE" w:rsidRPr="00DE13EE" w:rsidRDefault="00FA14FE" w:rsidP="009D0993">
            <w:pPr>
              <w:rPr>
                <w:rFonts w:ascii="Times New Roman" w:hAnsi="Times New Roman" w:cs="Times New Roman"/>
                <w:color w:val="000000" w:themeColor="text1"/>
                <w:sz w:val="20"/>
                <w:szCs w:val="20"/>
              </w:rPr>
            </w:pPr>
          </w:p>
        </w:tc>
        <w:tc>
          <w:tcPr>
            <w:tcW w:w="1050" w:type="dxa"/>
            <w:tcBorders>
              <w:top w:val="nil"/>
              <w:left w:val="nil"/>
              <w:bottom w:val="nil"/>
              <w:right w:val="nil"/>
            </w:tcBorders>
          </w:tcPr>
          <w:p w14:paraId="47FF91A6" w14:textId="77777777" w:rsidR="00FA14FE" w:rsidRPr="00DE13EE" w:rsidRDefault="00FA14FE" w:rsidP="009D0993">
            <w:pPr>
              <w:rPr>
                <w:rFonts w:ascii="Times New Roman" w:hAnsi="Times New Roman" w:cs="Times New Roman"/>
                <w:color w:val="000000" w:themeColor="text1"/>
                <w:sz w:val="20"/>
                <w:szCs w:val="20"/>
              </w:rPr>
            </w:pPr>
          </w:p>
        </w:tc>
        <w:tc>
          <w:tcPr>
            <w:tcW w:w="1048" w:type="dxa"/>
            <w:tcBorders>
              <w:top w:val="nil"/>
              <w:left w:val="nil"/>
              <w:bottom w:val="nil"/>
              <w:right w:val="nil"/>
            </w:tcBorders>
          </w:tcPr>
          <w:p w14:paraId="328376BB" w14:textId="77777777" w:rsidR="00FA14FE" w:rsidRPr="00DE13EE" w:rsidRDefault="00FA14FE" w:rsidP="009D0993">
            <w:pPr>
              <w:rPr>
                <w:rFonts w:ascii="Times New Roman" w:hAnsi="Times New Roman" w:cs="Times New Roman"/>
                <w:color w:val="000000" w:themeColor="text1"/>
                <w:sz w:val="20"/>
                <w:szCs w:val="20"/>
              </w:rPr>
            </w:pPr>
          </w:p>
        </w:tc>
        <w:tc>
          <w:tcPr>
            <w:tcW w:w="1134" w:type="dxa"/>
            <w:tcBorders>
              <w:top w:val="nil"/>
              <w:left w:val="nil"/>
              <w:bottom w:val="nil"/>
              <w:right w:val="nil"/>
            </w:tcBorders>
          </w:tcPr>
          <w:p w14:paraId="786EAD36" w14:textId="77777777" w:rsidR="00FA14FE" w:rsidRPr="00DE13EE" w:rsidRDefault="00FA14FE" w:rsidP="009D0993">
            <w:pPr>
              <w:rPr>
                <w:rFonts w:ascii="Times New Roman" w:hAnsi="Times New Roman" w:cs="Times New Roman"/>
                <w:color w:val="000000" w:themeColor="text1"/>
                <w:sz w:val="20"/>
                <w:szCs w:val="20"/>
              </w:rPr>
            </w:pPr>
          </w:p>
        </w:tc>
        <w:tc>
          <w:tcPr>
            <w:tcW w:w="933" w:type="dxa"/>
            <w:tcBorders>
              <w:top w:val="nil"/>
              <w:left w:val="nil"/>
              <w:bottom w:val="nil"/>
              <w:right w:val="nil"/>
            </w:tcBorders>
          </w:tcPr>
          <w:p w14:paraId="48F7E32F" w14:textId="77777777" w:rsidR="00FA14FE" w:rsidRPr="00DE13EE" w:rsidRDefault="00FA14FE" w:rsidP="009D0993">
            <w:pPr>
              <w:rPr>
                <w:rFonts w:ascii="Times New Roman" w:hAnsi="Times New Roman" w:cs="Times New Roman"/>
                <w:color w:val="000000" w:themeColor="text1"/>
                <w:sz w:val="20"/>
                <w:szCs w:val="20"/>
              </w:rPr>
            </w:pPr>
          </w:p>
        </w:tc>
        <w:tc>
          <w:tcPr>
            <w:tcW w:w="1021" w:type="dxa"/>
            <w:tcBorders>
              <w:top w:val="nil"/>
              <w:left w:val="nil"/>
              <w:bottom w:val="nil"/>
              <w:right w:val="nil"/>
            </w:tcBorders>
          </w:tcPr>
          <w:p w14:paraId="68D35192" w14:textId="77777777" w:rsidR="00FA14FE" w:rsidRPr="00DE13EE" w:rsidRDefault="00FA14FE" w:rsidP="009D0993">
            <w:pPr>
              <w:rPr>
                <w:rFonts w:ascii="Times New Roman" w:hAnsi="Times New Roman" w:cs="Times New Roman"/>
                <w:color w:val="000000" w:themeColor="text1"/>
                <w:sz w:val="20"/>
                <w:szCs w:val="20"/>
              </w:rPr>
            </w:pPr>
          </w:p>
        </w:tc>
        <w:tc>
          <w:tcPr>
            <w:tcW w:w="845" w:type="dxa"/>
            <w:tcBorders>
              <w:top w:val="nil"/>
              <w:left w:val="nil"/>
              <w:bottom w:val="nil"/>
              <w:right w:val="nil"/>
            </w:tcBorders>
          </w:tcPr>
          <w:p w14:paraId="0DED4388" w14:textId="77777777" w:rsidR="00FA14FE" w:rsidRPr="00DE13EE" w:rsidRDefault="00FA14FE" w:rsidP="009D0993">
            <w:pPr>
              <w:rPr>
                <w:rFonts w:ascii="Times New Roman" w:hAnsi="Times New Roman" w:cs="Times New Roman"/>
                <w:color w:val="000000" w:themeColor="text1"/>
                <w:sz w:val="20"/>
                <w:szCs w:val="20"/>
              </w:rPr>
            </w:pPr>
          </w:p>
        </w:tc>
      </w:tr>
      <w:tr w:rsidR="00DE13EE" w:rsidRPr="00DE13EE" w14:paraId="6C330391" w14:textId="77777777" w:rsidTr="009D0993">
        <w:trPr>
          <w:trHeight w:val="264"/>
          <w:jc w:val="center"/>
        </w:trPr>
        <w:tc>
          <w:tcPr>
            <w:tcW w:w="2434" w:type="dxa"/>
            <w:vMerge/>
            <w:tcBorders>
              <w:top w:val="nil"/>
              <w:left w:val="nil"/>
              <w:bottom w:val="nil"/>
              <w:right w:val="nil"/>
            </w:tcBorders>
            <w:vAlign w:val="center"/>
          </w:tcPr>
          <w:p w14:paraId="74D79B30" w14:textId="77777777" w:rsidR="00FA14FE" w:rsidRPr="00DE13EE" w:rsidRDefault="00FA14FE" w:rsidP="009D0993">
            <w:pPr>
              <w:rPr>
                <w:rFonts w:ascii="Times New Roman" w:hAnsi="Times New Roman" w:cs="Times New Roman"/>
                <w:b/>
                <w:bCs/>
                <w:color w:val="000000" w:themeColor="text1"/>
                <w:sz w:val="20"/>
                <w:szCs w:val="20"/>
              </w:rPr>
            </w:pPr>
          </w:p>
        </w:tc>
        <w:tc>
          <w:tcPr>
            <w:tcW w:w="1158" w:type="dxa"/>
            <w:tcBorders>
              <w:top w:val="nil"/>
              <w:left w:val="nil"/>
              <w:bottom w:val="nil"/>
              <w:right w:val="nil"/>
            </w:tcBorders>
            <w:vAlign w:val="bottom"/>
          </w:tcPr>
          <w:p w14:paraId="0E6965D2"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(0.000)</w:t>
            </w:r>
          </w:p>
        </w:tc>
        <w:tc>
          <w:tcPr>
            <w:tcW w:w="1287" w:type="dxa"/>
            <w:tcBorders>
              <w:top w:val="nil"/>
              <w:left w:val="nil"/>
              <w:bottom w:val="nil"/>
              <w:right w:val="nil"/>
            </w:tcBorders>
            <w:vAlign w:val="bottom"/>
          </w:tcPr>
          <w:p w14:paraId="7C73D39F"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(0.662)</w:t>
            </w:r>
          </w:p>
        </w:tc>
        <w:tc>
          <w:tcPr>
            <w:tcW w:w="1048" w:type="dxa"/>
            <w:tcBorders>
              <w:top w:val="nil"/>
              <w:left w:val="nil"/>
              <w:bottom w:val="nil"/>
              <w:right w:val="nil"/>
            </w:tcBorders>
            <w:vAlign w:val="bottom"/>
          </w:tcPr>
          <w:p w14:paraId="028A6CA8"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(0.796)</w:t>
            </w:r>
          </w:p>
        </w:tc>
        <w:tc>
          <w:tcPr>
            <w:tcW w:w="1050" w:type="dxa"/>
            <w:tcBorders>
              <w:top w:val="nil"/>
              <w:left w:val="nil"/>
              <w:bottom w:val="nil"/>
              <w:right w:val="nil"/>
            </w:tcBorders>
            <w:vAlign w:val="bottom"/>
          </w:tcPr>
          <w:p w14:paraId="1377201B"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(0.725)</w:t>
            </w:r>
          </w:p>
        </w:tc>
        <w:tc>
          <w:tcPr>
            <w:tcW w:w="1048" w:type="dxa"/>
            <w:tcBorders>
              <w:top w:val="nil"/>
              <w:left w:val="nil"/>
              <w:bottom w:val="nil"/>
              <w:right w:val="nil"/>
            </w:tcBorders>
            <w:vAlign w:val="bottom"/>
          </w:tcPr>
          <w:p w14:paraId="5C1772B1"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(0.000)</w:t>
            </w:r>
          </w:p>
        </w:tc>
        <w:tc>
          <w:tcPr>
            <w:tcW w:w="1050" w:type="dxa"/>
            <w:tcBorders>
              <w:top w:val="nil"/>
              <w:left w:val="nil"/>
              <w:bottom w:val="nil"/>
              <w:right w:val="nil"/>
            </w:tcBorders>
            <w:vAlign w:val="bottom"/>
          </w:tcPr>
          <w:p w14:paraId="0A97DAB4" w14:textId="77777777" w:rsidR="00FA14FE" w:rsidRPr="00DE13EE" w:rsidRDefault="00FA14FE" w:rsidP="009D0993">
            <w:pPr>
              <w:rPr>
                <w:rFonts w:ascii="Times New Roman" w:hAnsi="Times New Roman" w:cs="Times New Roman"/>
                <w:color w:val="000000" w:themeColor="text1"/>
                <w:sz w:val="20"/>
                <w:szCs w:val="20"/>
              </w:rPr>
            </w:pPr>
          </w:p>
        </w:tc>
        <w:tc>
          <w:tcPr>
            <w:tcW w:w="1048" w:type="dxa"/>
            <w:tcBorders>
              <w:top w:val="nil"/>
              <w:left w:val="nil"/>
              <w:bottom w:val="nil"/>
              <w:right w:val="nil"/>
            </w:tcBorders>
            <w:vAlign w:val="bottom"/>
          </w:tcPr>
          <w:p w14:paraId="7EADDC2A" w14:textId="77777777" w:rsidR="00FA14FE" w:rsidRPr="00DE13EE" w:rsidRDefault="00FA14FE" w:rsidP="009D0993">
            <w:pPr>
              <w:rPr>
                <w:rFonts w:ascii="Times New Roman" w:hAnsi="Times New Roman" w:cs="Times New Roman"/>
                <w:color w:val="000000" w:themeColor="text1"/>
                <w:sz w:val="20"/>
                <w:szCs w:val="20"/>
              </w:rPr>
            </w:pPr>
          </w:p>
        </w:tc>
        <w:tc>
          <w:tcPr>
            <w:tcW w:w="1050" w:type="dxa"/>
            <w:tcBorders>
              <w:top w:val="nil"/>
              <w:left w:val="nil"/>
              <w:bottom w:val="nil"/>
              <w:right w:val="nil"/>
            </w:tcBorders>
          </w:tcPr>
          <w:p w14:paraId="6EE440F9" w14:textId="77777777" w:rsidR="00FA14FE" w:rsidRPr="00DE13EE" w:rsidRDefault="00FA14FE" w:rsidP="009D0993">
            <w:pPr>
              <w:rPr>
                <w:rFonts w:ascii="Times New Roman" w:hAnsi="Times New Roman" w:cs="Times New Roman"/>
                <w:color w:val="000000" w:themeColor="text1"/>
                <w:sz w:val="20"/>
                <w:szCs w:val="20"/>
              </w:rPr>
            </w:pPr>
          </w:p>
        </w:tc>
        <w:tc>
          <w:tcPr>
            <w:tcW w:w="1048" w:type="dxa"/>
            <w:tcBorders>
              <w:top w:val="nil"/>
              <w:left w:val="nil"/>
              <w:bottom w:val="nil"/>
              <w:right w:val="nil"/>
            </w:tcBorders>
          </w:tcPr>
          <w:p w14:paraId="459D8B44" w14:textId="77777777" w:rsidR="00FA14FE" w:rsidRPr="00DE13EE" w:rsidRDefault="00FA14FE" w:rsidP="009D0993">
            <w:pPr>
              <w:rPr>
                <w:rFonts w:ascii="Times New Roman" w:hAnsi="Times New Roman" w:cs="Times New Roman"/>
                <w:color w:val="000000" w:themeColor="text1"/>
                <w:sz w:val="20"/>
                <w:szCs w:val="20"/>
              </w:rPr>
            </w:pPr>
          </w:p>
        </w:tc>
        <w:tc>
          <w:tcPr>
            <w:tcW w:w="1134" w:type="dxa"/>
            <w:tcBorders>
              <w:top w:val="nil"/>
              <w:left w:val="nil"/>
              <w:bottom w:val="nil"/>
              <w:right w:val="nil"/>
            </w:tcBorders>
          </w:tcPr>
          <w:p w14:paraId="47F47E74" w14:textId="77777777" w:rsidR="00FA14FE" w:rsidRPr="00DE13EE" w:rsidRDefault="00FA14FE" w:rsidP="009D0993">
            <w:pPr>
              <w:rPr>
                <w:rFonts w:ascii="Times New Roman" w:hAnsi="Times New Roman" w:cs="Times New Roman"/>
                <w:color w:val="000000" w:themeColor="text1"/>
                <w:sz w:val="20"/>
                <w:szCs w:val="20"/>
              </w:rPr>
            </w:pPr>
          </w:p>
        </w:tc>
        <w:tc>
          <w:tcPr>
            <w:tcW w:w="933" w:type="dxa"/>
            <w:tcBorders>
              <w:top w:val="nil"/>
              <w:left w:val="nil"/>
              <w:bottom w:val="nil"/>
              <w:right w:val="nil"/>
            </w:tcBorders>
          </w:tcPr>
          <w:p w14:paraId="09A3FE50" w14:textId="77777777" w:rsidR="00FA14FE" w:rsidRPr="00DE13EE" w:rsidRDefault="00FA14FE" w:rsidP="009D0993">
            <w:pPr>
              <w:rPr>
                <w:rFonts w:ascii="Times New Roman" w:hAnsi="Times New Roman" w:cs="Times New Roman"/>
                <w:color w:val="000000" w:themeColor="text1"/>
                <w:sz w:val="20"/>
                <w:szCs w:val="20"/>
              </w:rPr>
            </w:pPr>
          </w:p>
        </w:tc>
        <w:tc>
          <w:tcPr>
            <w:tcW w:w="1021" w:type="dxa"/>
            <w:tcBorders>
              <w:top w:val="nil"/>
              <w:left w:val="nil"/>
              <w:bottom w:val="nil"/>
              <w:right w:val="nil"/>
            </w:tcBorders>
          </w:tcPr>
          <w:p w14:paraId="735FF231" w14:textId="77777777" w:rsidR="00FA14FE" w:rsidRPr="00DE13EE" w:rsidRDefault="00FA14FE" w:rsidP="009D0993">
            <w:pPr>
              <w:rPr>
                <w:rFonts w:ascii="Times New Roman" w:hAnsi="Times New Roman" w:cs="Times New Roman"/>
                <w:color w:val="000000" w:themeColor="text1"/>
                <w:sz w:val="20"/>
                <w:szCs w:val="20"/>
              </w:rPr>
            </w:pPr>
          </w:p>
        </w:tc>
        <w:tc>
          <w:tcPr>
            <w:tcW w:w="845" w:type="dxa"/>
            <w:tcBorders>
              <w:top w:val="nil"/>
              <w:left w:val="nil"/>
              <w:bottom w:val="nil"/>
              <w:right w:val="nil"/>
            </w:tcBorders>
          </w:tcPr>
          <w:p w14:paraId="42DB254E" w14:textId="77777777" w:rsidR="00FA14FE" w:rsidRPr="00DE13EE" w:rsidRDefault="00FA14FE" w:rsidP="009D0993">
            <w:pPr>
              <w:rPr>
                <w:rFonts w:ascii="Times New Roman" w:hAnsi="Times New Roman" w:cs="Times New Roman"/>
                <w:color w:val="000000" w:themeColor="text1"/>
                <w:sz w:val="20"/>
                <w:szCs w:val="20"/>
              </w:rPr>
            </w:pPr>
          </w:p>
        </w:tc>
      </w:tr>
      <w:tr w:rsidR="00DE13EE" w:rsidRPr="00DE13EE" w14:paraId="18B729DA" w14:textId="77777777" w:rsidTr="009D0993">
        <w:trPr>
          <w:trHeight w:val="249"/>
          <w:jc w:val="center"/>
        </w:trPr>
        <w:tc>
          <w:tcPr>
            <w:tcW w:w="2434" w:type="dxa"/>
            <w:vMerge w:val="restart"/>
            <w:tcBorders>
              <w:top w:val="nil"/>
              <w:left w:val="nil"/>
              <w:bottom w:val="nil"/>
              <w:right w:val="nil"/>
            </w:tcBorders>
            <w:vAlign w:val="center"/>
          </w:tcPr>
          <w:p w14:paraId="7C1CB088" w14:textId="77777777" w:rsidR="00FA14FE" w:rsidRPr="00DE13EE" w:rsidRDefault="00FA14FE" w:rsidP="009D0993">
            <w:pPr>
              <w:rPr>
                <w:rFonts w:ascii="Times New Roman" w:hAnsi="Times New Roman" w:cs="Times New Roman"/>
                <w:b/>
                <w:bCs/>
                <w:color w:val="000000" w:themeColor="text1"/>
                <w:sz w:val="20"/>
                <w:szCs w:val="20"/>
              </w:rPr>
            </w:pPr>
            <w:r w:rsidRPr="00DE13EE">
              <w:rPr>
                <w:rFonts w:ascii="Times New Roman" w:hAnsi="Times New Roman" w:cs="Times New Roman"/>
                <w:b/>
                <w:bCs/>
                <w:color w:val="000000" w:themeColor="text1"/>
                <w:sz w:val="20"/>
                <w:szCs w:val="20"/>
              </w:rPr>
              <w:t>(7) CR</w:t>
            </w:r>
          </w:p>
        </w:tc>
        <w:tc>
          <w:tcPr>
            <w:tcW w:w="1158" w:type="dxa"/>
            <w:tcBorders>
              <w:top w:val="nil"/>
              <w:left w:val="nil"/>
              <w:bottom w:val="nil"/>
              <w:right w:val="nil"/>
            </w:tcBorders>
            <w:vAlign w:val="bottom"/>
          </w:tcPr>
          <w:p w14:paraId="73AD501B"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-0.005</w:t>
            </w:r>
          </w:p>
        </w:tc>
        <w:tc>
          <w:tcPr>
            <w:tcW w:w="1287" w:type="dxa"/>
            <w:tcBorders>
              <w:top w:val="nil"/>
              <w:left w:val="nil"/>
              <w:bottom w:val="nil"/>
              <w:right w:val="nil"/>
            </w:tcBorders>
            <w:vAlign w:val="bottom"/>
          </w:tcPr>
          <w:p w14:paraId="5AE72201"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0.096</w:t>
            </w:r>
            <w:r w:rsidRPr="00DE13EE">
              <w:rPr>
                <w:rFonts w:ascii="Times New Roman" w:hAnsi="Times New Roman" w:cs="Times New Roman"/>
                <w:color w:val="000000" w:themeColor="text1"/>
                <w:sz w:val="20"/>
                <w:szCs w:val="20"/>
                <w:vertAlign w:val="superscript"/>
              </w:rPr>
              <w:t>***</w:t>
            </w:r>
          </w:p>
        </w:tc>
        <w:tc>
          <w:tcPr>
            <w:tcW w:w="1048" w:type="dxa"/>
            <w:tcBorders>
              <w:top w:val="nil"/>
              <w:left w:val="nil"/>
              <w:bottom w:val="nil"/>
              <w:right w:val="nil"/>
            </w:tcBorders>
            <w:vAlign w:val="bottom"/>
          </w:tcPr>
          <w:p w14:paraId="7010667D"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-0.19</w:t>
            </w:r>
            <w:r w:rsidRPr="00DE13EE">
              <w:rPr>
                <w:rFonts w:ascii="Times New Roman" w:hAnsi="Times New Roman" w:cs="Times New Roman"/>
                <w:color w:val="000000" w:themeColor="text1"/>
                <w:sz w:val="20"/>
                <w:szCs w:val="20"/>
                <w:vertAlign w:val="superscript"/>
              </w:rPr>
              <w:t>***</w:t>
            </w:r>
          </w:p>
        </w:tc>
        <w:tc>
          <w:tcPr>
            <w:tcW w:w="1050" w:type="dxa"/>
            <w:tcBorders>
              <w:top w:val="nil"/>
              <w:left w:val="nil"/>
              <w:bottom w:val="nil"/>
              <w:right w:val="nil"/>
            </w:tcBorders>
            <w:vAlign w:val="bottom"/>
          </w:tcPr>
          <w:p w14:paraId="4038B95A"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-0.17</w:t>
            </w:r>
            <w:r w:rsidRPr="00DE13EE">
              <w:rPr>
                <w:rFonts w:ascii="Times New Roman" w:hAnsi="Times New Roman" w:cs="Times New Roman"/>
                <w:color w:val="000000" w:themeColor="text1"/>
                <w:sz w:val="20"/>
                <w:szCs w:val="20"/>
                <w:vertAlign w:val="superscript"/>
              </w:rPr>
              <w:t>***</w:t>
            </w:r>
          </w:p>
        </w:tc>
        <w:tc>
          <w:tcPr>
            <w:tcW w:w="1048" w:type="dxa"/>
            <w:tcBorders>
              <w:top w:val="nil"/>
              <w:left w:val="nil"/>
              <w:bottom w:val="nil"/>
              <w:right w:val="nil"/>
            </w:tcBorders>
            <w:vAlign w:val="bottom"/>
          </w:tcPr>
          <w:p w14:paraId="5B2B99EB"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-0.14</w:t>
            </w:r>
            <w:r w:rsidRPr="00DE13EE">
              <w:rPr>
                <w:rFonts w:ascii="Times New Roman" w:hAnsi="Times New Roman" w:cs="Times New Roman"/>
                <w:color w:val="000000" w:themeColor="text1"/>
                <w:sz w:val="20"/>
                <w:szCs w:val="20"/>
                <w:vertAlign w:val="superscript"/>
              </w:rPr>
              <w:t>***</w:t>
            </w:r>
          </w:p>
        </w:tc>
        <w:tc>
          <w:tcPr>
            <w:tcW w:w="1050" w:type="dxa"/>
            <w:tcBorders>
              <w:top w:val="nil"/>
              <w:left w:val="nil"/>
              <w:bottom w:val="nil"/>
              <w:right w:val="nil"/>
            </w:tcBorders>
            <w:vAlign w:val="bottom"/>
          </w:tcPr>
          <w:p w14:paraId="32BCBF9D"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-0.09</w:t>
            </w:r>
            <w:r w:rsidRPr="00DE13EE">
              <w:rPr>
                <w:rFonts w:ascii="Times New Roman" w:hAnsi="Times New Roman" w:cs="Times New Roman"/>
                <w:color w:val="000000" w:themeColor="text1"/>
                <w:sz w:val="20"/>
                <w:szCs w:val="20"/>
                <w:vertAlign w:val="superscript"/>
              </w:rPr>
              <w:t>***</w:t>
            </w:r>
          </w:p>
        </w:tc>
        <w:tc>
          <w:tcPr>
            <w:tcW w:w="1048" w:type="dxa"/>
            <w:tcBorders>
              <w:top w:val="nil"/>
              <w:left w:val="nil"/>
              <w:bottom w:val="nil"/>
              <w:right w:val="nil"/>
            </w:tcBorders>
            <w:vAlign w:val="bottom"/>
          </w:tcPr>
          <w:p w14:paraId="0E0FAB73"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1.000</w:t>
            </w:r>
          </w:p>
        </w:tc>
        <w:tc>
          <w:tcPr>
            <w:tcW w:w="1050" w:type="dxa"/>
            <w:tcBorders>
              <w:top w:val="nil"/>
              <w:left w:val="nil"/>
              <w:bottom w:val="nil"/>
              <w:right w:val="nil"/>
            </w:tcBorders>
          </w:tcPr>
          <w:p w14:paraId="0A312436" w14:textId="77777777" w:rsidR="00FA14FE" w:rsidRPr="00DE13EE" w:rsidRDefault="00FA14FE" w:rsidP="009D0993">
            <w:pPr>
              <w:rPr>
                <w:rFonts w:ascii="Times New Roman" w:hAnsi="Times New Roman" w:cs="Times New Roman"/>
                <w:color w:val="000000" w:themeColor="text1"/>
                <w:sz w:val="20"/>
                <w:szCs w:val="20"/>
              </w:rPr>
            </w:pPr>
          </w:p>
        </w:tc>
        <w:tc>
          <w:tcPr>
            <w:tcW w:w="1048" w:type="dxa"/>
            <w:tcBorders>
              <w:top w:val="nil"/>
              <w:left w:val="nil"/>
              <w:bottom w:val="nil"/>
              <w:right w:val="nil"/>
            </w:tcBorders>
          </w:tcPr>
          <w:p w14:paraId="1A46DF65" w14:textId="77777777" w:rsidR="00FA14FE" w:rsidRPr="00DE13EE" w:rsidRDefault="00FA14FE" w:rsidP="009D0993">
            <w:pPr>
              <w:rPr>
                <w:rFonts w:ascii="Times New Roman" w:hAnsi="Times New Roman" w:cs="Times New Roman"/>
                <w:color w:val="000000" w:themeColor="text1"/>
                <w:sz w:val="20"/>
                <w:szCs w:val="20"/>
              </w:rPr>
            </w:pPr>
          </w:p>
        </w:tc>
        <w:tc>
          <w:tcPr>
            <w:tcW w:w="1134" w:type="dxa"/>
            <w:tcBorders>
              <w:top w:val="nil"/>
              <w:left w:val="nil"/>
              <w:bottom w:val="nil"/>
              <w:right w:val="nil"/>
            </w:tcBorders>
          </w:tcPr>
          <w:p w14:paraId="2BF4ECE0" w14:textId="77777777" w:rsidR="00FA14FE" w:rsidRPr="00DE13EE" w:rsidRDefault="00FA14FE" w:rsidP="009D0993">
            <w:pPr>
              <w:rPr>
                <w:rFonts w:ascii="Times New Roman" w:hAnsi="Times New Roman" w:cs="Times New Roman"/>
                <w:color w:val="000000" w:themeColor="text1"/>
                <w:sz w:val="20"/>
                <w:szCs w:val="20"/>
              </w:rPr>
            </w:pPr>
          </w:p>
        </w:tc>
        <w:tc>
          <w:tcPr>
            <w:tcW w:w="933" w:type="dxa"/>
            <w:tcBorders>
              <w:top w:val="nil"/>
              <w:left w:val="nil"/>
              <w:bottom w:val="nil"/>
              <w:right w:val="nil"/>
            </w:tcBorders>
          </w:tcPr>
          <w:p w14:paraId="6E301647" w14:textId="77777777" w:rsidR="00FA14FE" w:rsidRPr="00DE13EE" w:rsidRDefault="00FA14FE" w:rsidP="009D0993">
            <w:pPr>
              <w:rPr>
                <w:rFonts w:ascii="Times New Roman" w:hAnsi="Times New Roman" w:cs="Times New Roman"/>
                <w:color w:val="000000" w:themeColor="text1"/>
                <w:sz w:val="20"/>
                <w:szCs w:val="20"/>
              </w:rPr>
            </w:pPr>
          </w:p>
        </w:tc>
        <w:tc>
          <w:tcPr>
            <w:tcW w:w="1021" w:type="dxa"/>
            <w:tcBorders>
              <w:top w:val="nil"/>
              <w:left w:val="nil"/>
              <w:bottom w:val="nil"/>
              <w:right w:val="nil"/>
            </w:tcBorders>
          </w:tcPr>
          <w:p w14:paraId="45D397E1" w14:textId="77777777" w:rsidR="00FA14FE" w:rsidRPr="00DE13EE" w:rsidRDefault="00FA14FE" w:rsidP="009D0993">
            <w:pPr>
              <w:rPr>
                <w:rFonts w:ascii="Times New Roman" w:hAnsi="Times New Roman" w:cs="Times New Roman"/>
                <w:color w:val="000000" w:themeColor="text1"/>
                <w:sz w:val="20"/>
                <w:szCs w:val="20"/>
              </w:rPr>
            </w:pPr>
          </w:p>
        </w:tc>
        <w:tc>
          <w:tcPr>
            <w:tcW w:w="845" w:type="dxa"/>
            <w:tcBorders>
              <w:top w:val="nil"/>
              <w:left w:val="nil"/>
              <w:bottom w:val="nil"/>
              <w:right w:val="nil"/>
            </w:tcBorders>
          </w:tcPr>
          <w:p w14:paraId="617676C4" w14:textId="77777777" w:rsidR="00FA14FE" w:rsidRPr="00DE13EE" w:rsidRDefault="00FA14FE" w:rsidP="009D0993">
            <w:pPr>
              <w:rPr>
                <w:rFonts w:ascii="Times New Roman" w:hAnsi="Times New Roman" w:cs="Times New Roman"/>
                <w:color w:val="000000" w:themeColor="text1"/>
                <w:sz w:val="20"/>
                <w:szCs w:val="20"/>
              </w:rPr>
            </w:pPr>
          </w:p>
        </w:tc>
      </w:tr>
      <w:tr w:rsidR="00DE13EE" w:rsidRPr="00DE13EE" w14:paraId="547E81CF" w14:textId="77777777" w:rsidTr="009D0993">
        <w:trPr>
          <w:trHeight w:val="264"/>
          <w:jc w:val="center"/>
        </w:trPr>
        <w:tc>
          <w:tcPr>
            <w:tcW w:w="2434" w:type="dxa"/>
            <w:vMerge/>
            <w:tcBorders>
              <w:top w:val="nil"/>
              <w:left w:val="nil"/>
              <w:bottom w:val="nil"/>
              <w:right w:val="nil"/>
            </w:tcBorders>
            <w:vAlign w:val="center"/>
          </w:tcPr>
          <w:p w14:paraId="45CD5235" w14:textId="77777777" w:rsidR="00FA14FE" w:rsidRPr="00DE13EE" w:rsidRDefault="00FA14FE" w:rsidP="009D0993">
            <w:pPr>
              <w:rPr>
                <w:rFonts w:ascii="Times New Roman" w:hAnsi="Times New Roman" w:cs="Times New Roman"/>
                <w:b/>
                <w:bCs/>
                <w:color w:val="000000" w:themeColor="text1"/>
                <w:sz w:val="20"/>
                <w:szCs w:val="20"/>
              </w:rPr>
            </w:pPr>
          </w:p>
        </w:tc>
        <w:tc>
          <w:tcPr>
            <w:tcW w:w="1158" w:type="dxa"/>
            <w:tcBorders>
              <w:top w:val="nil"/>
              <w:left w:val="nil"/>
              <w:bottom w:val="nil"/>
              <w:right w:val="nil"/>
            </w:tcBorders>
            <w:vAlign w:val="bottom"/>
          </w:tcPr>
          <w:p w14:paraId="70D79610"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(0.786)</w:t>
            </w:r>
          </w:p>
        </w:tc>
        <w:tc>
          <w:tcPr>
            <w:tcW w:w="1287" w:type="dxa"/>
            <w:tcBorders>
              <w:top w:val="nil"/>
              <w:left w:val="nil"/>
              <w:bottom w:val="nil"/>
              <w:right w:val="nil"/>
            </w:tcBorders>
            <w:vAlign w:val="bottom"/>
          </w:tcPr>
          <w:p w14:paraId="19A4E9B6"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(0.000)</w:t>
            </w:r>
          </w:p>
        </w:tc>
        <w:tc>
          <w:tcPr>
            <w:tcW w:w="1048" w:type="dxa"/>
            <w:tcBorders>
              <w:top w:val="nil"/>
              <w:left w:val="nil"/>
              <w:bottom w:val="nil"/>
              <w:right w:val="nil"/>
            </w:tcBorders>
            <w:vAlign w:val="bottom"/>
          </w:tcPr>
          <w:p w14:paraId="66A6B55E"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(0.000)</w:t>
            </w:r>
          </w:p>
        </w:tc>
        <w:tc>
          <w:tcPr>
            <w:tcW w:w="1050" w:type="dxa"/>
            <w:tcBorders>
              <w:top w:val="nil"/>
              <w:left w:val="nil"/>
              <w:bottom w:val="nil"/>
              <w:right w:val="nil"/>
            </w:tcBorders>
            <w:vAlign w:val="bottom"/>
          </w:tcPr>
          <w:p w14:paraId="2488D794"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(0.000)</w:t>
            </w:r>
          </w:p>
        </w:tc>
        <w:tc>
          <w:tcPr>
            <w:tcW w:w="1048" w:type="dxa"/>
            <w:tcBorders>
              <w:top w:val="nil"/>
              <w:left w:val="nil"/>
              <w:bottom w:val="nil"/>
              <w:right w:val="nil"/>
            </w:tcBorders>
            <w:vAlign w:val="bottom"/>
          </w:tcPr>
          <w:p w14:paraId="30C308FB"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(0.000)</w:t>
            </w:r>
          </w:p>
        </w:tc>
        <w:tc>
          <w:tcPr>
            <w:tcW w:w="1050" w:type="dxa"/>
            <w:tcBorders>
              <w:top w:val="nil"/>
              <w:left w:val="nil"/>
              <w:bottom w:val="nil"/>
              <w:right w:val="nil"/>
            </w:tcBorders>
            <w:vAlign w:val="bottom"/>
          </w:tcPr>
          <w:p w14:paraId="453C5236"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(0.000)</w:t>
            </w:r>
          </w:p>
        </w:tc>
        <w:tc>
          <w:tcPr>
            <w:tcW w:w="1048" w:type="dxa"/>
            <w:tcBorders>
              <w:top w:val="nil"/>
              <w:left w:val="nil"/>
              <w:bottom w:val="nil"/>
              <w:right w:val="nil"/>
            </w:tcBorders>
            <w:vAlign w:val="bottom"/>
          </w:tcPr>
          <w:p w14:paraId="362AB0F8" w14:textId="77777777" w:rsidR="00FA14FE" w:rsidRPr="00DE13EE" w:rsidRDefault="00FA14FE" w:rsidP="009D0993">
            <w:pPr>
              <w:rPr>
                <w:rFonts w:ascii="Times New Roman" w:hAnsi="Times New Roman" w:cs="Times New Roman"/>
                <w:color w:val="000000" w:themeColor="text1"/>
                <w:sz w:val="20"/>
                <w:szCs w:val="20"/>
              </w:rPr>
            </w:pPr>
          </w:p>
        </w:tc>
        <w:tc>
          <w:tcPr>
            <w:tcW w:w="1050" w:type="dxa"/>
            <w:tcBorders>
              <w:top w:val="nil"/>
              <w:left w:val="nil"/>
              <w:bottom w:val="nil"/>
              <w:right w:val="nil"/>
            </w:tcBorders>
          </w:tcPr>
          <w:p w14:paraId="1ED3DB49" w14:textId="77777777" w:rsidR="00FA14FE" w:rsidRPr="00DE13EE" w:rsidRDefault="00FA14FE" w:rsidP="009D0993">
            <w:pPr>
              <w:rPr>
                <w:rFonts w:ascii="Times New Roman" w:hAnsi="Times New Roman" w:cs="Times New Roman"/>
                <w:color w:val="000000" w:themeColor="text1"/>
                <w:sz w:val="20"/>
                <w:szCs w:val="20"/>
              </w:rPr>
            </w:pPr>
          </w:p>
        </w:tc>
        <w:tc>
          <w:tcPr>
            <w:tcW w:w="1048" w:type="dxa"/>
            <w:tcBorders>
              <w:top w:val="nil"/>
              <w:left w:val="nil"/>
              <w:bottom w:val="nil"/>
              <w:right w:val="nil"/>
            </w:tcBorders>
          </w:tcPr>
          <w:p w14:paraId="4090340B" w14:textId="77777777" w:rsidR="00FA14FE" w:rsidRPr="00DE13EE" w:rsidRDefault="00FA14FE" w:rsidP="009D0993">
            <w:pPr>
              <w:rPr>
                <w:rFonts w:ascii="Times New Roman" w:hAnsi="Times New Roman" w:cs="Times New Roman"/>
                <w:color w:val="000000" w:themeColor="text1"/>
                <w:sz w:val="20"/>
                <w:szCs w:val="20"/>
              </w:rPr>
            </w:pPr>
          </w:p>
        </w:tc>
        <w:tc>
          <w:tcPr>
            <w:tcW w:w="1134" w:type="dxa"/>
            <w:tcBorders>
              <w:top w:val="nil"/>
              <w:left w:val="nil"/>
              <w:bottom w:val="nil"/>
              <w:right w:val="nil"/>
            </w:tcBorders>
          </w:tcPr>
          <w:p w14:paraId="7729707F" w14:textId="77777777" w:rsidR="00FA14FE" w:rsidRPr="00DE13EE" w:rsidRDefault="00FA14FE" w:rsidP="009D0993">
            <w:pPr>
              <w:rPr>
                <w:rFonts w:ascii="Times New Roman" w:hAnsi="Times New Roman" w:cs="Times New Roman"/>
                <w:color w:val="000000" w:themeColor="text1"/>
                <w:sz w:val="20"/>
                <w:szCs w:val="20"/>
              </w:rPr>
            </w:pPr>
          </w:p>
        </w:tc>
        <w:tc>
          <w:tcPr>
            <w:tcW w:w="933" w:type="dxa"/>
            <w:tcBorders>
              <w:top w:val="nil"/>
              <w:left w:val="nil"/>
              <w:bottom w:val="nil"/>
              <w:right w:val="nil"/>
            </w:tcBorders>
          </w:tcPr>
          <w:p w14:paraId="0BCDA490" w14:textId="77777777" w:rsidR="00FA14FE" w:rsidRPr="00DE13EE" w:rsidRDefault="00FA14FE" w:rsidP="009D0993">
            <w:pPr>
              <w:rPr>
                <w:rFonts w:ascii="Times New Roman" w:hAnsi="Times New Roman" w:cs="Times New Roman"/>
                <w:color w:val="000000" w:themeColor="text1"/>
                <w:sz w:val="20"/>
                <w:szCs w:val="20"/>
              </w:rPr>
            </w:pPr>
          </w:p>
        </w:tc>
        <w:tc>
          <w:tcPr>
            <w:tcW w:w="1021" w:type="dxa"/>
            <w:tcBorders>
              <w:top w:val="nil"/>
              <w:left w:val="nil"/>
              <w:bottom w:val="nil"/>
              <w:right w:val="nil"/>
            </w:tcBorders>
          </w:tcPr>
          <w:p w14:paraId="6B2ED57E" w14:textId="77777777" w:rsidR="00FA14FE" w:rsidRPr="00DE13EE" w:rsidRDefault="00FA14FE" w:rsidP="009D0993">
            <w:pPr>
              <w:rPr>
                <w:rFonts w:ascii="Times New Roman" w:hAnsi="Times New Roman" w:cs="Times New Roman"/>
                <w:color w:val="000000" w:themeColor="text1"/>
                <w:sz w:val="20"/>
                <w:szCs w:val="20"/>
              </w:rPr>
            </w:pPr>
          </w:p>
        </w:tc>
        <w:tc>
          <w:tcPr>
            <w:tcW w:w="845" w:type="dxa"/>
            <w:tcBorders>
              <w:top w:val="nil"/>
              <w:left w:val="nil"/>
              <w:bottom w:val="nil"/>
              <w:right w:val="nil"/>
            </w:tcBorders>
          </w:tcPr>
          <w:p w14:paraId="7EC130EA" w14:textId="77777777" w:rsidR="00FA14FE" w:rsidRPr="00DE13EE" w:rsidRDefault="00FA14FE" w:rsidP="009D0993">
            <w:pPr>
              <w:rPr>
                <w:rFonts w:ascii="Times New Roman" w:hAnsi="Times New Roman" w:cs="Times New Roman"/>
                <w:color w:val="000000" w:themeColor="text1"/>
                <w:sz w:val="20"/>
                <w:szCs w:val="20"/>
              </w:rPr>
            </w:pPr>
          </w:p>
        </w:tc>
      </w:tr>
      <w:tr w:rsidR="00DE13EE" w:rsidRPr="00DE13EE" w14:paraId="44A6518C" w14:textId="77777777" w:rsidTr="009D0993">
        <w:trPr>
          <w:trHeight w:val="80"/>
          <w:jc w:val="center"/>
        </w:trPr>
        <w:tc>
          <w:tcPr>
            <w:tcW w:w="2434" w:type="dxa"/>
            <w:vMerge w:val="restart"/>
            <w:tcBorders>
              <w:top w:val="nil"/>
              <w:left w:val="nil"/>
              <w:bottom w:val="nil"/>
              <w:right w:val="nil"/>
            </w:tcBorders>
            <w:vAlign w:val="center"/>
          </w:tcPr>
          <w:p w14:paraId="1446C555" w14:textId="77777777" w:rsidR="00FA14FE" w:rsidRPr="00DE13EE" w:rsidRDefault="00FA14FE" w:rsidP="009D0993">
            <w:pPr>
              <w:rPr>
                <w:rFonts w:ascii="Times New Roman" w:hAnsi="Times New Roman" w:cs="Times New Roman"/>
                <w:b/>
                <w:bCs/>
                <w:color w:val="000000" w:themeColor="text1"/>
                <w:sz w:val="20"/>
                <w:szCs w:val="20"/>
              </w:rPr>
            </w:pPr>
            <w:r w:rsidRPr="00DE13EE">
              <w:rPr>
                <w:rFonts w:ascii="Times New Roman" w:hAnsi="Times New Roman" w:cs="Times New Roman"/>
                <w:b/>
                <w:bCs/>
                <w:color w:val="000000" w:themeColor="text1"/>
                <w:sz w:val="20"/>
                <w:szCs w:val="20"/>
              </w:rPr>
              <w:t>(8) Ear.Vol</w:t>
            </w:r>
          </w:p>
        </w:tc>
        <w:tc>
          <w:tcPr>
            <w:tcW w:w="1158" w:type="dxa"/>
            <w:tcBorders>
              <w:top w:val="nil"/>
              <w:left w:val="nil"/>
              <w:bottom w:val="nil"/>
              <w:right w:val="nil"/>
            </w:tcBorders>
            <w:vAlign w:val="bottom"/>
          </w:tcPr>
          <w:p w14:paraId="7A0D0D44"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-0.015</w:t>
            </w:r>
          </w:p>
        </w:tc>
        <w:tc>
          <w:tcPr>
            <w:tcW w:w="1287" w:type="dxa"/>
            <w:tcBorders>
              <w:top w:val="nil"/>
              <w:left w:val="nil"/>
              <w:bottom w:val="nil"/>
              <w:right w:val="nil"/>
            </w:tcBorders>
            <w:vAlign w:val="bottom"/>
          </w:tcPr>
          <w:p w14:paraId="61C2DD2A"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-0.044</w:t>
            </w:r>
            <w:r w:rsidRPr="00DE13EE">
              <w:rPr>
                <w:rFonts w:ascii="Times New Roman" w:hAnsi="Times New Roman" w:cs="Times New Roman"/>
                <w:color w:val="000000" w:themeColor="text1"/>
                <w:sz w:val="20"/>
                <w:szCs w:val="20"/>
                <w:vertAlign w:val="superscript"/>
              </w:rPr>
              <w:t>**</w:t>
            </w:r>
          </w:p>
        </w:tc>
        <w:tc>
          <w:tcPr>
            <w:tcW w:w="1048" w:type="dxa"/>
            <w:tcBorders>
              <w:top w:val="nil"/>
              <w:left w:val="nil"/>
              <w:bottom w:val="nil"/>
              <w:right w:val="nil"/>
            </w:tcBorders>
            <w:vAlign w:val="bottom"/>
          </w:tcPr>
          <w:p w14:paraId="0BAB9104"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0.153</w:t>
            </w:r>
            <w:r w:rsidRPr="00DE13EE">
              <w:rPr>
                <w:rFonts w:ascii="Times New Roman" w:hAnsi="Times New Roman" w:cs="Times New Roman"/>
                <w:color w:val="000000" w:themeColor="text1"/>
                <w:sz w:val="20"/>
                <w:szCs w:val="20"/>
                <w:vertAlign w:val="superscript"/>
              </w:rPr>
              <w:t>***</w:t>
            </w:r>
          </w:p>
        </w:tc>
        <w:tc>
          <w:tcPr>
            <w:tcW w:w="1050" w:type="dxa"/>
            <w:tcBorders>
              <w:top w:val="nil"/>
              <w:left w:val="nil"/>
              <w:bottom w:val="nil"/>
              <w:right w:val="nil"/>
            </w:tcBorders>
            <w:vAlign w:val="bottom"/>
          </w:tcPr>
          <w:p w14:paraId="4FE70A7D"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-0.16</w:t>
            </w:r>
            <w:r w:rsidRPr="00DE13EE">
              <w:rPr>
                <w:rFonts w:ascii="Times New Roman" w:hAnsi="Times New Roman" w:cs="Times New Roman"/>
                <w:color w:val="000000" w:themeColor="text1"/>
                <w:sz w:val="20"/>
                <w:szCs w:val="20"/>
                <w:vertAlign w:val="superscript"/>
              </w:rPr>
              <w:t>***</w:t>
            </w:r>
          </w:p>
        </w:tc>
        <w:tc>
          <w:tcPr>
            <w:tcW w:w="1048" w:type="dxa"/>
            <w:tcBorders>
              <w:top w:val="nil"/>
              <w:left w:val="nil"/>
              <w:bottom w:val="nil"/>
              <w:right w:val="nil"/>
            </w:tcBorders>
            <w:vAlign w:val="bottom"/>
          </w:tcPr>
          <w:p w14:paraId="6D8A348D"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-0.11</w:t>
            </w:r>
            <w:r w:rsidRPr="00DE13EE">
              <w:rPr>
                <w:rFonts w:ascii="Times New Roman" w:hAnsi="Times New Roman" w:cs="Times New Roman"/>
                <w:color w:val="000000" w:themeColor="text1"/>
                <w:sz w:val="20"/>
                <w:szCs w:val="20"/>
                <w:vertAlign w:val="superscript"/>
              </w:rPr>
              <w:t>***</w:t>
            </w:r>
          </w:p>
        </w:tc>
        <w:tc>
          <w:tcPr>
            <w:tcW w:w="1050" w:type="dxa"/>
            <w:tcBorders>
              <w:top w:val="nil"/>
              <w:left w:val="nil"/>
              <w:bottom w:val="nil"/>
              <w:right w:val="nil"/>
            </w:tcBorders>
            <w:vAlign w:val="bottom"/>
          </w:tcPr>
          <w:p w14:paraId="6A0EE893"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-0.019</w:t>
            </w:r>
          </w:p>
        </w:tc>
        <w:tc>
          <w:tcPr>
            <w:tcW w:w="1048" w:type="dxa"/>
            <w:tcBorders>
              <w:top w:val="nil"/>
              <w:left w:val="nil"/>
              <w:bottom w:val="nil"/>
              <w:right w:val="nil"/>
            </w:tcBorders>
            <w:vAlign w:val="bottom"/>
          </w:tcPr>
          <w:p w14:paraId="58FD4A35"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0.057</w:t>
            </w:r>
            <w:r w:rsidRPr="00DE13EE">
              <w:rPr>
                <w:rFonts w:ascii="Times New Roman" w:hAnsi="Times New Roman" w:cs="Times New Roman"/>
                <w:color w:val="000000" w:themeColor="text1"/>
                <w:sz w:val="20"/>
                <w:szCs w:val="20"/>
                <w:vertAlign w:val="superscript"/>
              </w:rPr>
              <w:t>***</w:t>
            </w:r>
          </w:p>
        </w:tc>
        <w:tc>
          <w:tcPr>
            <w:tcW w:w="1050" w:type="dxa"/>
            <w:tcBorders>
              <w:top w:val="nil"/>
              <w:left w:val="nil"/>
              <w:bottom w:val="nil"/>
              <w:right w:val="nil"/>
            </w:tcBorders>
            <w:vAlign w:val="bottom"/>
          </w:tcPr>
          <w:p w14:paraId="0814C84C"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1.000</w:t>
            </w:r>
          </w:p>
        </w:tc>
        <w:tc>
          <w:tcPr>
            <w:tcW w:w="1048" w:type="dxa"/>
            <w:tcBorders>
              <w:top w:val="nil"/>
              <w:left w:val="nil"/>
              <w:bottom w:val="nil"/>
              <w:right w:val="nil"/>
            </w:tcBorders>
            <w:vAlign w:val="bottom"/>
          </w:tcPr>
          <w:p w14:paraId="2054B473" w14:textId="77777777" w:rsidR="00FA14FE" w:rsidRPr="00DE13EE" w:rsidRDefault="00FA14FE" w:rsidP="009D0993">
            <w:pPr>
              <w:rPr>
                <w:rFonts w:ascii="Times New Roman" w:hAnsi="Times New Roman" w:cs="Times New Roman"/>
                <w:color w:val="000000" w:themeColor="text1"/>
                <w:sz w:val="20"/>
                <w:szCs w:val="20"/>
              </w:rPr>
            </w:pPr>
          </w:p>
        </w:tc>
        <w:tc>
          <w:tcPr>
            <w:tcW w:w="1134" w:type="dxa"/>
            <w:tcBorders>
              <w:top w:val="nil"/>
              <w:left w:val="nil"/>
              <w:bottom w:val="nil"/>
              <w:right w:val="nil"/>
            </w:tcBorders>
            <w:vAlign w:val="bottom"/>
          </w:tcPr>
          <w:p w14:paraId="6C9B5307" w14:textId="77777777" w:rsidR="00FA14FE" w:rsidRPr="00DE13EE" w:rsidRDefault="00FA14FE" w:rsidP="009D0993">
            <w:pPr>
              <w:rPr>
                <w:rFonts w:ascii="Times New Roman" w:hAnsi="Times New Roman" w:cs="Times New Roman"/>
                <w:color w:val="000000" w:themeColor="text1"/>
                <w:sz w:val="20"/>
                <w:szCs w:val="20"/>
              </w:rPr>
            </w:pPr>
          </w:p>
        </w:tc>
        <w:tc>
          <w:tcPr>
            <w:tcW w:w="933" w:type="dxa"/>
            <w:tcBorders>
              <w:top w:val="nil"/>
              <w:left w:val="nil"/>
              <w:bottom w:val="nil"/>
              <w:right w:val="nil"/>
            </w:tcBorders>
            <w:vAlign w:val="bottom"/>
          </w:tcPr>
          <w:p w14:paraId="1DCD16AD" w14:textId="77777777" w:rsidR="00FA14FE" w:rsidRPr="00DE13EE" w:rsidRDefault="00FA14FE" w:rsidP="009D0993">
            <w:pPr>
              <w:rPr>
                <w:rFonts w:ascii="Times New Roman" w:hAnsi="Times New Roman" w:cs="Times New Roman"/>
                <w:color w:val="000000" w:themeColor="text1"/>
                <w:sz w:val="20"/>
                <w:szCs w:val="20"/>
              </w:rPr>
            </w:pPr>
          </w:p>
        </w:tc>
        <w:tc>
          <w:tcPr>
            <w:tcW w:w="1021" w:type="dxa"/>
            <w:tcBorders>
              <w:top w:val="nil"/>
              <w:left w:val="nil"/>
              <w:bottom w:val="nil"/>
              <w:right w:val="nil"/>
            </w:tcBorders>
          </w:tcPr>
          <w:p w14:paraId="5FEBAA4F" w14:textId="77777777" w:rsidR="00FA14FE" w:rsidRPr="00DE13EE" w:rsidRDefault="00FA14FE" w:rsidP="009D0993">
            <w:pPr>
              <w:rPr>
                <w:rFonts w:ascii="Times New Roman" w:hAnsi="Times New Roman" w:cs="Times New Roman"/>
                <w:color w:val="000000" w:themeColor="text1"/>
                <w:sz w:val="20"/>
                <w:szCs w:val="20"/>
              </w:rPr>
            </w:pPr>
          </w:p>
        </w:tc>
        <w:tc>
          <w:tcPr>
            <w:tcW w:w="845" w:type="dxa"/>
            <w:tcBorders>
              <w:top w:val="nil"/>
              <w:left w:val="nil"/>
              <w:bottom w:val="nil"/>
              <w:right w:val="nil"/>
            </w:tcBorders>
          </w:tcPr>
          <w:p w14:paraId="6EF19321" w14:textId="77777777" w:rsidR="00FA14FE" w:rsidRPr="00DE13EE" w:rsidRDefault="00FA14FE" w:rsidP="009D0993">
            <w:pPr>
              <w:rPr>
                <w:rFonts w:ascii="Times New Roman" w:hAnsi="Times New Roman" w:cs="Times New Roman"/>
                <w:color w:val="000000" w:themeColor="text1"/>
                <w:sz w:val="20"/>
                <w:szCs w:val="20"/>
              </w:rPr>
            </w:pPr>
          </w:p>
        </w:tc>
      </w:tr>
      <w:tr w:rsidR="00DE13EE" w:rsidRPr="00DE13EE" w14:paraId="65FD7FCC" w14:textId="77777777" w:rsidTr="009D0993">
        <w:trPr>
          <w:trHeight w:val="264"/>
          <w:jc w:val="center"/>
        </w:trPr>
        <w:tc>
          <w:tcPr>
            <w:tcW w:w="2434" w:type="dxa"/>
            <w:vMerge/>
            <w:tcBorders>
              <w:top w:val="nil"/>
              <w:left w:val="nil"/>
              <w:bottom w:val="nil"/>
              <w:right w:val="nil"/>
            </w:tcBorders>
            <w:vAlign w:val="center"/>
          </w:tcPr>
          <w:p w14:paraId="3B934BBD" w14:textId="77777777" w:rsidR="00FA14FE" w:rsidRPr="00DE13EE" w:rsidRDefault="00FA14FE" w:rsidP="009D0993">
            <w:pPr>
              <w:rPr>
                <w:rFonts w:ascii="Times New Roman" w:hAnsi="Times New Roman" w:cs="Times New Roman"/>
                <w:b/>
                <w:bCs/>
                <w:color w:val="000000" w:themeColor="text1"/>
                <w:sz w:val="20"/>
                <w:szCs w:val="20"/>
              </w:rPr>
            </w:pPr>
          </w:p>
        </w:tc>
        <w:tc>
          <w:tcPr>
            <w:tcW w:w="1158" w:type="dxa"/>
            <w:tcBorders>
              <w:top w:val="nil"/>
              <w:left w:val="nil"/>
              <w:bottom w:val="nil"/>
              <w:right w:val="nil"/>
            </w:tcBorders>
            <w:vAlign w:val="bottom"/>
          </w:tcPr>
          <w:p w14:paraId="1CCD705F"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(0.451)</w:t>
            </w:r>
          </w:p>
        </w:tc>
        <w:tc>
          <w:tcPr>
            <w:tcW w:w="1287" w:type="dxa"/>
            <w:tcBorders>
              <w:top w:val="nil"/>
              <w:left w:val="nil"/>
              <w:bottom w:val="nil"/>
              <w:right w:val="nil"/>
            </w:tcBorders>
            <w:vAlign w:val="bottom"/>
          </w:tcPr>
          <w:p w14:paraId="105CB6C5"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(0.029)</w:t>
            </w:r>
          </w:p>
        </w:tc>
        <w:tc>
          <w:tcPr>
            <w:tcW w:w="1048" w:type="dxa"/>
            <w:tcBorders>
              <w:top w:val="nil"/>
              <w:left w:val="nil"/>
              <w:bottom w:val="nil"/>
              <w:right w:val="nil"/>
            </w:tcBorders>
            <w:vAlign w:val="bottom"/>
          </w:tcPr>
          <w:p w14:paraId="4FDC5744"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(0.000)</w:t>
            </w:r>
          </w:p>
        </w:tc>
        <w:tc>
          <w:tcPr>
            <w:tcW w:w="1050" w:type="dxa"/>
            <w:tcBorders>
              <w:top w:val="nil"/>
              <w:left w:val="nil"/>
              <w:bottom w:val="nil"/>
              <w:right w:val="nil"/>
            </w:tcBorders>
            <w:vAlign w:val="bottom"/>
          </w:tcPr>
          <w:p w14:paraId="530CB247"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(0.000)</w:t>
            </w:r>
          </w:p>
        </w:tc>
        <w:tc>
          <w:tcPr>
            <w:tcW w:w="1048" w:type="dxa"/>
            <w:tcBorders>
              <w:top w:val="nil"/>
              <w:left w:val="nil"/>
              <w:bottom w:val="nil"/>
              <w:right w:val="nil"/>
            </w:tcBorders>
            <w:vAlign w:val="bottom"/>
          </w:tcPr>
          <w:p w14:paraId="2920412F"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(0.000)</w:t>
            </w:r>
          </w:p>
        </w:tc>
        <w:tc>
          <w:tcPr>
            <w:tcW w:w="1050" w:type="dxa"/>
            <w:tcBorders>
              <w:top w:val="nil"/>
              <w:left w:val="nil"/>
              <w:bottom w:val="nil"/>
              <w:right w:val="nil"/>
            </w:tcBorders>
            <w:vAlign w:val="bottom"/>
          </w:tcPr>
          <w:p w14:paraId="5571776C"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(0.351)</w:t>
            </w:r>
          </w:p>
        </w:tc>
        <w:tc>
          <w:tcPr>
            <w:tcW w:w="1048" w:type="dxa"/>
            <w:tcBorders>
              <w:top w:val="nil"/>
              <w:left w:val="nil"/>
              <w:bottom w:val="nil"/>
              <w:right w:val="nil"/>
            </w:tcBorders>
            <w:vAlign w:val="bottom"/>
          </w:tcPr>
          <w:p w14:paraId="7CFF51C8"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(0.005)</w:t>
            </w:r>
          </w:p>
        </w:tc>
        <w:tc>
          <w:tcPr>
            <w:tcW w:w="1050" w:type="dxa"/>
            <w:tcBorders>
              <w:top w:val="nil"/>
              <w:left w:val="nil"/>
              <w:bottom w:val="nil"/>
              <w:right w:val="nil"/>
            </w:tcBorders>
            <w:vAlign w:val="bottom"/>
          </w:tcPr>
          <w:p w14:paraId="69F166E8" w14:textId="77777777" w:rsidR="00FA14FE" w:rsidRPr="00DE13EE" w:rsidRDefault="00FA14FE" w:rsidP="009D0993">
            <w:pPr>
              <w:rPr>
                <w:rFonts w:ascii="Times New Roman" w:hAnsi="Times New Roman" w:cs="Times New Roman"/>
                <w:color w:val="000000" w:themeColor="text1"/>
                <w:sz w:val="20"/>
                <w:szCs w:val="20"/>
              </w:rPr>
            </w:pPr>
          </w:p>
        </w:tc>
        <w:tc>
          <w:tcPr>
            <w:tcW w:w="1048" w:type="dxa"/>
            <w:tcBorders>
              <w:top w:val="nil"/>
              <w:left w:val="nil"/>
              <w:bottom w:val="nil"/>
              <w:right w:val="nil"/>
            </w:tcBorders>
            <w:vAlign w:val="bottom"/>
          </w:tcPr>
          <w:p w14:paraId="6D05B8DB" w14:textId="77777777" w:rsidR="00FA14FE" w:rsidRPr="00DE13EE" w:rsidRDefault="00FA14FE" w:rsidP="009D0993">
            <w:pPr>
              <w:rPr>
                <w:rFonts w:ascii="Times New Roman" w:hAnsi="Times New Roman" w:cs="Times New Roman"/>
                <w:color w:val="000000" w:themeColor="text1"/>
                <w:sz w:val="20"/>
                <w:szCs w:val="20"/>
              </w:rPr>
            </w:pPr>
          </w:p>
        </w:tc>
        <w:tc>
          <w:tcPr>
            <w:tcW w:w="1134" w:type="dxa"/>
            <w:tcBorders>
              <w:top w:val="nil"/>
              <w:left w:val="nil"/>
              <w:bottom w:val="nil"/>
              <w:right w:val="nil"/>
            </w:tcBorders>
            <w:vAlign w:val="bottom"/>
          </w:tcPr>
          <w:p w14:paraId="0F919CF4" w14:textId="77777777" w:rsidR="00FA14FE" w:rsidRPr="00DE13EE" w:rsidRDefault="00FA14FE" w:rsidP="009D0993">
            <w:pPr>
              <w:rPr>
                <w:rFonts w:ascii="Times New Roman" w:hAnsi="Times New Roman" w:cs="Times New Roman"/>
                <w:color w:val="000000" w:themeColor="text1"/>
                <w:sz w:val="20"/>
                <w:szCs w:val="20"/>
              </w:rPr>
            </w:pPr>
          </w:p>
        </w:tc>
        <w:tc>
          <w:tcPr>
            <w:tcW w:w="933" w:type="dxa"/>
            <w:tcBorders>
              <w:top w:val="nil"/>
              <w:left w:val="nil"/>
              <w:bottom w:val="nil"/>
              <w:right w:val="nil"/>
            </w:tcBorders>
            <w:vAlign w:val="bottom"/>
          </w:tcPr>
          <w:p w14:paraId="603EE5A0" w14:textId="77777777" w:rsidR="00FA14FE" w:rsidRPr="00DE13EE" w:rsidRDefault="00FA14FE" w:rsidP="009D0993">
            <w:pPr>
              <w:rPr>
                <w:rFonts w:ascii="Times New Roman" w:hAnsi="Times New Roman" w:cs="Times New Roman"/>
                <w:color w:val="000000" w:themeColor="text1"/>
                <w:sz w:val="20"/>
                <w:szCs w:val="20"/>
              </w:rPr>
            </w:pPr>
          </w:p>
        </w:tc>
        <w:tc>
          <w:tcPr>
            <w:tcW w:w="1021" w:type="dxa"/>
            <w:tcBorders>
              <w:top w:val="nil"/>
              <w:left w:val="nil"/>
              <w:bottom w:val="nil"/>
              <w:right w:val="nil"/>
            </w:tcBorders>
          </w:tcPr>
          <w:p w14:paraId="67FC12AC" w14:textId="77777777" w:rsidR="00FA14FE" w:rsidRPr="00DE13EE" w:rsidRDefault="00FA14FE" w:rsidP="009D0993">
            <w:pPr>
              <w:rPr>
                <w:rFonts w:ascii="Times New Roman" w:hAnsi="Times New Roman" w:cs="Times New Roman"/>
                <w:color w:val="000000" w:themeColor="text1"/>
                <w:sz w:val="20"/>
                <w:szCs w:val="20"/>
              </w:rPr>
            </w:pPr>
          </w:p>
        </w:tc>
        <w:tc>
          <w:tcPr>
            <w:tcW w:w="845" w:type="dxa"/>
            <w:tcBorders>
              <w:top w:val="nil"/>
              <w:left w:val="nil"/>
              <w:bottom w:val="nil"/>
              <w:right w:val="nil"/>
            </w:tcBorders>
          </w:tcPr>
          <w:p w14:paraId="4C6551BC" w14:textId="77777777" w:rsidR="00FA14FE" w:rsidRPr="00DE13EE" w:rsidRDefault="00FA14FE" w:rsidP="009D0993">
            <w:pPr>
              <w:rPr>
                <w:rFonts w:ascii="Times New Roman" w:hAnsi="Times New Roman" w:cs="Times New Roman"/>
                <w:color w:val="000000" w:themeColor="text1"/>
                <w:sz w:val="20"/>
                <w:szCs w:val="20"/>
              </w:rPr>
            </w:pPr>
          </w:p>
        </w:tc>
      </w:tr>
      <w:tr w:rsidR="00DE13EE" w:rsidRPr="00DE13EE" w14:paraId="471AAE7E" w14:textId="77777777" w:rsidTr="009D0993">
        <w:trPr>
          <w:trHeight w:val="249"/>
          <w:jc w:val="center"/>
        </w:trPr>
        <w:tc>
          <w:tcPr>
            <w:tcW w:w="2434" w:type="dxa"/>
            <w:vMerge w:val="restart"/>
            <w:tcBorders>
              <w:top w:val="nil"/>
              <w:left w:val="nil"/>
              <w:bottom w:val="nil"/>
              <w:right w:val="nil"/>
            </w:tcBorders>
            <w:vAlign w:val="center"/>
          </w:tcPr>
          <w:p w14:paraId="491CA188" w14:textId="77777777" w:rsidR="00FA14FE" w:rsidRPr="00DE13EE" w:rsidRDefault="00FA14FE" w:rsidP="009D0993">
            <w:pPr>
              <w:rPr>
                <w:rFonts w:ascii="Times New Roman" w:hAnsi="Times New Roman" w:cs="Times New Roman"/>
                <w:b/>
                <w:bCs/>
                <w:color w:val="000000" w:themeColor="text1"/>
                <w:sz w:val="20"/>
                <w:szCs w:val="20"/>
              </w:rPr>
            </w:pPr>
            <w:r w:rsidRPr="00DE13EE">
              <w:rPr>
                <w:rFonts w:ascii="Times New Roman" w:hAnsi="Times New Roman" w:cs="Times New Roman"/>
                <w:b/>
                <w:bCs/>
                <w:color w:val="000000" w:themeColor="text1"/>
                <w:sz w:val="20"/>
                <w:szCs w:val="20"/>
              </w:rPr>
              <w:t>(9) MO%</w:t>
            </w:r>
          </w:p>
        </w:tc>
        <w:tc>
          <w:tcPr>
            <w:tcW w:w="1158" w:type="dxa"/>
            <w:tcBorders>
              <w:top w:val="nil"/>
              <w:left w:val="nil"/>
              <w:bottom w:val="nil"/>
              <w:right w:val="nil"/>
            </w:tcBorders>
            <w:vAlign w:val="bottom"/>
          </w:tcPr>
          <w:p w14:paraId="6A6DB1E0"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0.007</w:t>
            </w:r>
          </w:p>
        </w:tc>
        <w:tc>
          <w:tcPr>
            <w:tcW w:w="1287" w:type="dxa"/>
            <w:tcBorders>
              <w:top w:val="nil"/>
              <w:left w:val="nil"/>
              <w:bottom w:val="nil"/>
              <w:right w:val="nil"/>
            </w:tcBorders>
            <w:vAlign w:val="bottom"/>
          </w:tcPr>
          <w:p w14:paraId="0D4DC58E"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0.178</w:t>
            </w:r>
            <w:r w:rsidRPr="00DE13EE">
              <w:rPr>
                <w:rFonts w:ascii="Times New Roman" w:hAnsi="Times New Roman" w:cs="Times New Roman"/>
                <w:color w:val="000000" w:themeColor="text1"/>
                <w:sz w:val="20"/>
                <w:szCs w:val="20"/>
                <w:vertAlign w:val="superscript"/>
              </w:rPr>
              <w:t>***</w:t>
            </w:r>
          </w:p>
        </w:tc>
        <w:tc>
          <w:tcPr>
            <w:tcW w:w="1048" w:type="dxa"/>
            <w:tcBorders>
              <w:top w:val="nil"/>
              <w:left w:val="nil"/>
              <w:bottom w:val="nil"/>
              <w:right w:val="nil"/>
            </w:tcBorders>
            <w:vAlign w:val="bottom"/>
          </w:tcPr>
          <w:p w14:paraId="7BA090A1"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-0.35</w:t>
            </w:r>
            <w:r w:rsidRPr="00DE13EE">
              <w:rPr>
                <w:rFonts w:ascii="Times New Roman" w:hAnsi="Times New Roman" w:cs="Times New Roman"/>
                <w:color w:val="000000" w:themeColor="text1"/>
                <w:sz w:val="20"/>
                <w:szCs w:val="20"/>
                <w:vertAlign w:val="superscript"/>
              </w:rPr>
              <w:t>***</w:t>
            </w:r>
          </w:p>
        </w:tc>
        <w:tc>
          <w:tcPr>
            <w:tcW w:w="1050" w:type="dxa"/>
            <w:tcBorders>
              <w:top w:val="nil"/>
              <w:left w:val="nil"/>
              <w:bottom w:val="nil"/>
              <w:right w:val="nil"/>
            </w:tcBorders>
            <w:vAlign w:val="bottom"/>
          </w:tcPr>
          <w:p w14:paraId="59D96B98"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-0.03</w:t>
            </w:r>
            <w:r w:rsidRPr="00DE13EE">
              <w:rPr>
                <w:rFonts w:ascii="Times New Roman" w:hAnsi="Times New Roman" w:cs="Times New Roman"/>
                <w:color w:val="000000" w:themeColor="text1"/>
                <w:sz w:val="20"/>
                <w:szCs w:val="20"/>
                <w:vertAlign w:val="superscript"/>
              </w:rPr>
              <w:t>c</w:t>
            </w:r>
          </w:p>
        </w:tc>
        <w:tc>
          <w:tcPr>
            <w:tcW w:w="1048" w:type="dxa"/>
            <w:tcBorders>
              <w:top w:val="nil"/>
              <w:left w:val="nil"/>
              <w:bottom w:val="nil"/>
              <w:right w:val="nil"/>
            </w:tcBorders>
            <w:vAlign w:val="bottom"/>
          </w:tcPr>
          <w:p w14:paraId="050190D8"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-0.07</w:t>
            </w:r>
            <w:r w:rsidRPr="00DE13EE">
              <w:rPr>
                <w:rFonts w:ascii="Times New Roman" w:hAnsi="Times New Roman" w:cs="Times New Roman"/>
                <w:color w:val="000000" w:themeColor="text1"/>
                <w:sz w:val="20"/>
                <w:szCs w:val="20"/>
                <w:vertAlign w:val="superscript"/>
              </w:rPr>
              <w:t>***</w:t>
            </w:r>
          </w:p>
        </w:tc>
        <w:tc>
          <w:tcPr>
            <w:tcW w:w="1050" w:type="dxa"/>
            <w:tcBorders>
              <w:top w:val="nil"/>
              <w:left w:val="nil"/>
              <w:bottom w:val="nil"/>
              <w:right w:val="nil"/>
            </w:tcBorders>
            <w:vAlign w:val="bottom"/>
          </w:tcPr>
          <w:p w14:paraId="281E7427"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-0.030</w:t>
            </w:r>
          </w:p>
        </w:tc>
        <w:tc>
          <w:tcPr>
            <w:tcW w:w="1048" w:type="dxa"/>
            <w:tcBorders>
              <w:top w:val="nil"/>
              <w:left w:val="nil"/>
              <w:bottom w:val="nil"/>
              <w:right w:val="nil"/>
            </w:tcBorders>
            <w:vAlign w:val="bottom"/>
          </w:tcPr>
          <w:p w14:paraId="335AD329"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0.112</w:t>
            </w:r>
            <w:r w:rsidRPr="00DE13EE">
              <w:rPr>
                <w:rFonts w:ascii="Times New Roman" w:hAnsi="Times New Roman" w:cs="Times New Roman"/>
                <w:color w:val="000000" w:themeColor="text1"/>
                <w:sz w:val="20"/>
                <w:szCs w:val="20"/>
                <w:vertAlign w:val="superscript"/>
              </w:rPr>
              <w:t>***</w:t>
            </w:r>
          </w:p>
        </w:tc>
        <w:tc>
          <w:tcPr>
            <w:tcW w:w="1050" w:type="dxa"/>
            <w:tcBorders>
              <w:top w:val="nil"/>
              <w:left w:val="nil"/>
              <w:bottom w:val="nil"/>
              <w:right w:val="nil"/>
            </w:tcBorders>
            <w:vAlign w:val="bottom"/>
          </w:tcPr>
          <w:p w14:paraId="3E63A150"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-0.15</w:t>
            </w:r>
            <w:r w:rsidRPr="00DE13EE">
              <w:rPr>
                <w:rFonts w:ascii="Times New Roman" w:hAnsi="Times New Roman" w:cs="Times New Roman"/>
                <w:color w:val="000000" w:themeColor="text1"/>
                <w:sz w:val="20"/>
                <w:szCs w:val="20"/>
                <w:vertAlign w:val="superscript"/>
              </w:rPr>
              <w:t>***</w:t>
            </w:r>
          </w:p>
        </w:tc>
        <w:tc>
          <w:tcPr>
            <w:tcW w:w="1048" w:type="dxa"/>
            <w:tcBorders>
              <w:top w:val="nil"/>
              <w:left w:val="nil"/>
              <w:bottom w:val="nil"/>
              <w:right w:val="nil"/>
            </w:tcBorders>
            <w:vAlign w:val="bottom"/>
          </w:tcPr>
          <w:p w14:paraId="0F30569A"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1.000</w:t>
            </w:r>
          </w:p>
        </w:tc>
        <w:tc>
          <w:tcPr>
            <w:tcW w:w="1134" w:type="dxa"/>
            <w:tcBorders>
              <w:top w:val="nil"/>
              <w:left w:val="nil"/>
              <w:bottom w:val="nil"/>
              <w:right w:val="nil"/>
            </w:tcBorders>
            <w:vAlign w:val="bottom"/>
          </w:tcPr>
          <w:p w14:paraId="4C7711EF" w14:textId="77777777" w:rsidR="00FA14FE" w:rsidRPr="00DE13EE" w:rsidRDefault="00FA14FE" w:rsidP="009D0993">
            <w:pPr>
              <w:rPr>
                <w:rFonts w:ascii="Times New Roman" w:hAnsi="Times New Roman" w:cs="Times New Roman"/>
                <w:color w:val="000000" w:themeColor="text1"/>
                <w:sz w:val="20"/>
                <w:szCs w:val="20"/>
              </w:rPr>
            </w:pPr>
          </w:p>
        </w:tc>
        <w:tc>
          <w:tcPr>
            <w:tcW w:w="933" w:type="dxa"/>
            <w:tcBorders>
              <w:top w:val="nil"/>
              <w:left w:val="nil"/>
              <w:bottom w:val="nil"/>
              <w:right w:val="nil"/>
            </w:tcBorders>
            <w:vAlign w:val="bottom"/>
          </w:tcPr>
          <w:p w14:paraId="0EF7DC50" w14:textId="77777777" w:rsidR="00FA14FE" w:rsidRPr="00DE13EE" w:rsidRDefault="00FA14FE" w:rsidP="009D0993">
            <w:pPr>
              <w:rPr>
                <w:rFonts w:ascii="Times New Roman" w:hAnsi="Times New Roman" w:cs="Times New Roman"/>
                <w:color w:val="000000" w:themeColor="text1"/>
                <w:sz w:val="20"/>
                <w:szCs w:val="20"/>
              </w:rPr>
            </w:pPr>
          </w:p>
        </w:tc>
        <w:tc>
          <w:tcPr>
            <w:tcW w:w="1021" w:type="dxa"/>
            <w:tcBorders>
              <w:top w:val="nil"/>
              <w:left w:val="nil"/>
              <w:bottom w:val="nil"/>
              <w:right w:val="nil"/>
            </w:tcBorders>
          </w:tcPr>
          <w:p w14:paraId="55CB9E69" w14:textId="77777777" w:rsidR="00FA14FE" w:rsidRPr="00DE13EE" w:rsidRDefault="00FA14FE" w:rsidP="009D0993">
            <w:pPr>
              <w:rPr>
                <w:rFonts w:ascii="Times New Roman" w:hAnsi="Times New Roman" w:cs="Times New Roman"/>
                <w:color w:val="000000" w:themeColor="text1"/>
                <w:sz w:val="20"/>
                <w:szCs w:val="20"/>
              </w:rPr>
            </w:pPr>
          </w:p>
        </w:tc>
        <w:tc>
          <w:tcPr>
            <w:tcW w:w="845" w:type="dxa"/>
            <w:tcBorders>
              <w:top w:val="nil"/>
              <w:left w:val="nil"/>
              <w:bottom w:val="nil"/>
              <w:right w:val="nil"/>
            </w:tcBorders>
          </w:tcPr>
          <w:p w14:paraId="7F890891" w14:textId="77777777" w:rsidR="00FA14FE" w:rsidRPr="00DE13EE" w:rsidRDefault="00FA14FE" w:rsidP="009D0993">
            <w:pPr>
              <w:rPr>
                <w:rFonts w:ascii="Times New Roman" w:hAnsi="Times New Roman" w:cs="Times New Roman"/>
                <w:color w:val="000000" w:themeColor="text1"/>
                <w:sz w:val="20"/>
                <w:szCs w:val="20"/>
              </w:rPr>
            </w:pPr>
          </w:p>
        </w:tc>
      </w:tr>
      <w:tr w:rsidR="00DE13EE" w:rsidRPr="00DE13EE" w14:paraId="114691D3" w14:textId="77777777" w:rsidTr="009D0993">
        <w:trPr>
          <w:trHeight w:val="264"/>
          <w:jc w:val="center"/>
        </w:trPr>
        <w:tc>
          <w:tcPr>
            <w:tcW w:w="2434" w:type="dxa"/>
            <w:vMerge/>
            <w:tcBorders>
              <w:top w:val="nil"/>
              <w:left w:val="nil"/>
              <w:bottom w:val="nil"/>
              <w:right w:val="nil"/>
            </w:tcBorders>
            <w:vAlign w:val="center"/>
          </w:tcPr>
          <w:p w14:paraId="65A4EF83" w14:textId="77777777" w:rsidR="00FA14FE" w:rsidRPr="00DE13EE" w:rsidRDefault="00FA14FE" w:rsidP="009D0993">
            <w:pPr>
              <w:rPr>
                <w:rFonts w:ascii="Times New Roman" w:hAnsi="Times New Roman" w:cs="Times New Roman"/>
                <w:b/>
                <w:bCs/>
                <w:color w:val="000000" w:themeColor="text1"/>
                <w:sz w:val="20"/>
                <w:szCs w:val="20"/>
              </w:rPr>
            </w:pPr>
          </w:p>
        </w:tc>
        <w:tc>
          <w:tcPr>
            <w:tcW w:w="1158" w:type="dxa"/>
            <w:tcBorders>
              <w:top w:val="nil"/>
              <w:left w:val="nil"/>
              <w:bottom w:val="nil"/>
              <w:right w:val="nil"/>
            </w:tcBorders>
            <w:vAlign w:val="bottom"/>
          </w:tcPr>
          <w:p w14:paraId="03856955"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(0.701)</w:t>
            </w:r>
          </w:p>
        </w:tc>
        <w:tc>
          <w:tcPr>
            <w:tcW w:w="1287" w:type="dxa"/>
            <w:tcBorders>
              <w:top w:val="nil"/>
              <w:left w:val="nil"/>
              <w:bottom w:val="nil"/>
              <w:right w:val="nil"/>
            </w:tcBorders>
            <w:vAlign w:val="bottom"/>
          </w:tcPr>
          <w:p w14:paraId="30269535"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(0.000)</w:t>
            </w:r>
          </w:p>
        </w:tc>
        <w:tc>
          <w:tcPr>
            <w:tcW w:w="1048" w:type="dxa"/>
            <w:tcBorders>
              <w:top w:val="nil"/>
              <w:left w:val="nil"/>
              <w:bottom w:val="nil"/>
              <w:right w:val="nil"/>
            </w:tcBorders>
            <w:vAlign w:val="bottom"/>
          </w:tcPr>
          <w:p w14:paraId="5336D5FD"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(0.000)</w:t>
            </w:r>
          </w:p>
        </w:tc>
        <w:tc>
          <w:tcPr>
            <w:tcW w:w="1050" w:type="dxa"/>
            <w:tcBorders>
              <w:top w:val="nil"/>
              <w:left w:val="nil"/>
              <w:bottom w:val="nil"/>
              <w:right w:val="nil"/>
            </w:tcBorders>
            <w:vAlign w:val="bottom"/>
          </w:tcPr>
          <w:p w14:paraId="79BC2C8A"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(0.053)</w:t>
            </w:r>
          </w:p>
        </w:tc>
        <w:tc>
          <w:tcPr>
            <w:tcW w:w="1048" w:type="dxa"/>
            <w:tcBorders>
              <w:top w:val="nil"/>
              <w:left w:val="nil"/>
              <w:bottom w:val="nil"/>
              <w:right w:val="nil"/>
            </w:tcBorders>
            <w:vAlign w:val="bottom"/>
          </w:tcPr>
          <w:p w14:paraId="43059DF9"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(0.000)</w:t>
            </w:r>
          </w:p>
        </w:tc>
        <w:tc>
          <w:tcPr>
            <w:tcW w:w="1050" w:type="dxa"/>
            <w:tcBorders>
              <w:top w:val="nil"/>
              <w:left w:val="nil"/>
              <w:bottom w:val="nil"/>
              <w:right w:val="nil"/>
            </w:tcBorders>
            <w:vAlign w:val="bottom"/>
          </w:tcPr>
          <w:p w14:paraId="498A2C67"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(0.143)</w:t>
            </w:r>
          </w:p>
        </w:tc>
        <w:tc>
          <w:tcPr>
            <w:tcW w:w="1048" w:type="dxa"/>
            <w:tcBorders>
              <w:top w:val="nil"/>
              <w:left w:val="nil"/>
              <w:bottom w:val="nil"/>
              <w:right w:val="nil"/>
            </w:tcBorders>
            <w:vAlign w:val="bottom"/>
          </w:tcPr>
          <w:p w14:paraId="54D6482E"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(0.000)</w:t>
            </w:r>
          </w:p>
        </w:tc>
        <w:tc>
          <w:tcPr>
            <w:tcW w:w="1050" w:type="dxa"/>
            <w:tcBorders>
              <w:top w:val="nil"/>
              <w:left w:val="nil"/>
              <w:bottom w:val="nil"/>
              <w:right w:val="nil"/>
            </w:tcBorders>
            <w:vAlign w:val="bottom"/>
          </w:tcPr>
          <w:p w14:paraId="3B9BE19B"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(0.000)</w:t>
            </w:r>
          </w:p>
        </w:tc>
        <w:tc>
          <w:tcPr>
            <w:tcW w:w="1048" w:type="dxa"/>
            <w:tcBorders>
              <w:top w:val="nil"/>
              <w:left w:val="nil"/>
              <w:bottom w:val="nil"/>
              <w:right w:val="nil"/>
            </w:tcBorders>
            <w:vAlign w:val="bottom"/>
          </w:tcPr>
          <w:p w14:paraId="662AC96E" w14:textId="77777777" w:rsidR="00FA14FE" w:rsidRPr="00DE13EE" w:rsidRDefault="00FA14FE" w:rsidP="009D0993">
            <w:pPr>
              <w:rPr>
                <w:rFonts w:ascii="Times New Roman" w:hAnsi="Times New Roman" w:cs="Times New Roman"/>
                <w:color w:val="000000" w:themeColor="text1"/>
                <w:sz w:val="20"/>
                <w:szCs w:val="20"/>
              </w:rPr>
            </w:pPr>
          </w:p>
        </w:tc>
        <w:tc>
          <w:tcPr>
            <w:tcW w:w="1134" w:type="dxa"/>
            <w:tcBorders>
              <w:top w:val="nil"/>
              <w:left w:val="nil"/>
              <w:bottom w:val="nil"/>
              <w:right w:val="nil"/>
            </w:tcBorders>
            <w:vAlign w:val="bottom"/>
          </w:tcPr>
          <w:p w14:paraId="127E5DCD" w14:textId="77777777" w:rsidR="00FA14FE" w:rsidRPr="00DE13EE" w:rsidRDefault="00FA14FE" w:rsidP="009D0993">
            <w:pPr>
              <w:rPr>
                <w:rFonts w:ascii="Times New Roman" w:hAnsi="Times New Roman" w:cs="Times New Roman"/>
                <w:color w:val="000000" w:themeColor="text1"/>
                <w:sz w:val="20"/>
                <w:szCs w:val="20"/>
              </w:rPr>
            </w:pPr>
          </w:p>
        </w:tc>
        <w:tc>
          <w:tcPr>
            <w:tcW w:w="933" w:type="dxa"/>
            <w:tcBorders>
              <w:top w:val="nil"/>
              <w:left w:val="nil"/>
              <w:bottom w:val="nil"/>
              <w:right w:val="nil"/>
            </w:tcBorders>
            <w:vAlign w:val="bottom"/>
          </w:tcPr>
          <w:p w14:paraId="14E136F9" w14:textId="77777777" w:rsidR="00FA14FE" w:rsidRPr="00DE13EE" w:rsidRDefault="00FA14FE" w:rsidP="009D0993">
            <w:pPr>
              <w:rPr>
                <w:rFonts w:ascii="Times New Roman" w:hAnsi="Times New Roman" w:cs="Times New Roman"/>
                <w:color w:val="000000" w:themeColor="text1"/>
                <w:sz w:val="20"/>
                <w:szCs w:val="20"/>
              </w:rPr>
            </w:pPr>
          </w:p>
        </w:tc>
        <w:tc>
          <w:tcPr>
            <w:tcW w:w="1021" w:type="dxa"/>
            <w:tcBorders>
              <w:top w:val="nil"/>
              <w:left w:val="nil"/>
              <w:bottom w:val="nil"/>
              <w:right w:val="nil"/>
            </w:tcBorders>
          </w:tcPr>
          <w:p w14:paraId="1F06BC76" w14:textId="77777777" w:rsidR="00FA14FE" w:rsidRPr="00DE13EE" w:rsidRDefault="00FA14FE" w:rsidP="009D0993">
            <w:pPr>
              <w:rPr>
                <w:rFonts w:ascii="Times New Roman" w:hAnsi="Times New Roman" w:cs="Times New Roman"/>
                <w:color w:val="000000" w:themeColor="text1"/>
                <w:sz w:val="20"/>
                <w:szCs w:val="20"/>
              </w:rPr>
            </w:pPr>
          </w:p>
        </w:tc>
        <w:tc>
          <w:tcPr>
            <w:tcW w:w="845" w:type="dxa"/>
            <w:tcBorders>
              <w:top w:val="nil"/>
              <w:left w:val="nil"/>
              <w:bottom w:val="nil"/>
              <w:right w:val="nil"/>
            </w:tcBorders>
          </w:tcPr>
          <w:p w14:paraId="6078B1B7" w14:textId="77777777" w:rsidR="00FA14FE" w:rsidRPr="00DE13EE" w:rsidRDefault="00FA14FE" w:rsidP="009D0993">
            <w:pPr>
              <w:rPr>
                <w:rFonts w:ascii="Times New Roman" w:hAnsi="Times New Roman" w:cs="Times New Roman"/>
                <w:color w:val="000000" w:themeColor="text1"/>
                <w:sz w:val="20"/>
                <w:szCs w:val="20"/>
              </w:rPr>
            </w:pPr>
          </w:p>
        </w:tc>
      </w:tr>
      <w:tr w:rsidR="00DE13EE" w:rsidRPr="00DE13EE" w14:paraId="084845C8" w14:textId="77777777" w:rsidTr="009D0993">
        <w:trPr>
          <w:trHeight w:val="130"/>
          <w:jc w:val="center"/>
        </w:trPr>
        <w:tc>
          <w:tcPr>
            <w:tcW w:w="2434" w:type="dxa"/>
            <w:vMerge w:val="restart"/>
            <w:tcBorders>
              <w:top w:val="nil"/>
              <w:left w:val="nil"/>
              <w:bottom w:val="nil"/>
              <w:right w:val="nil"/>
            </w:tcBorders>
            <w:vAlign w:val="center"/>
          </w:tcPr>
          <w:p w14:paraId="5B55050C" w14:textId="77777777" w:rsidR="00FA14FE" w:rsidRPr="00DE13EE" w:rsidRDefault="00FA14FE" w:rsidP="009D0993">
            <w:pPr>
              <w:rPr>
                <w:rFonts w:ascii="Times New Roman" w:hAnsi="Times New Roman" w:cs="Times New Roman"/>
                <w:b/>
                <w:bCs/>
                <w:color w:val="000000" w:themeColor="text1"/>
                <w:sz w:val="20"/>
                <w:szCs w:val="20"/>
              </w:rPr>
            </w:pPr>
            <w:r w:rsidRPr="00DE13EE">
              <w:rPr>
                <w:rFonts w:ascii="Times New Roman" w:hAnsi="Times New Roman" w:cs="Times New Roman"/>
                <w:b/>
                <w:bCs/>
                <w:color w:val="000000" w:themeColor="text1"/>
                <w:sz w:val="20"/>
                <w:szCs w:val="20"/>
              </w:rPr>
              <w:t>(10) GRTH</w:t>
            </w:r>
          </w:p>
        </w:tc>
        <w:tc>
          <w:tcPr>
            <w:tcW w:w="1158" w:type="dxa"/>
            <w:tcBorders>
              <w:top w:val="nil"/>
              <w:left w:val="nil"/>
              <w:bottom w:val="nil"/>
              <w:right w:val="nil"/>
            </w:tcBorders>
            <w:vAlign w:val="bottom"/>
          </w:tcPr>
          <w:p w14:paraId="67AF7C71"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0.031</w:t>
            </w:r>
          </w:p>
        </w:tc>
        <w:tc>
          <w:tcPr>
            <w:tcW w:w="1287" w:type="dxa"/>
            <w:tcBorders>
              <w:top w:val="nil"/>
              <w:left w:val="nil"/>
              <w:bottom w:val="nil"/>
              <w:right w:val="nil"/>
            </w:tcBorders>
            <w:vAlign w:val="bottom"/>
          </w:tcPr>
          <w:p w14:paraId="5245E825"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0.032</w:t>
            </w:r>
          </w:p>
        </w:tc>
        <w:tc>
          <w:tcPr>
            <w:tcW w:w="1048" w:type="dxa"/>
            <w:tcBorders>
              <w:top w:val="nil"/>
              <w:left w:val="nil"/>
              <w:bottom w:val="nil"/>
              <w:right w:val="nil"/>
            </w:tcBorders>
            <w:vAlign w:val="bottom"/>
          </w:tcPr>
          <w:p w14:paraId="5EE7BF43"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0.108</w:t>
            </w:r>
            <w:r w:rsidRPr="00DE13EE">
              <w:rPr>
                <w:rFonts w:ascii="Times New Roman" w:hAnsi="Times New Roman" w:cs="Times New Roman"/>
                <w:color w:val="000000" w:themeColor="text1"/>
                <w:sz w:val="20"/>
                <w:szCs w:val="20"/>
                <w:vertAlign w:val="superscript"/>
              </w:rPr>
              <w:t>***</w:t>
            </w:r>
          </w:p>
        </w:tc>
        <w:tc>
          <w:tcPr>
            <w:tcW w:w="1050" w:type="dxa"/>
            <w:tcBorders>
              <w:top w:val="nil"/>
              <w:left w:val="nil"/>
              <w:bottom w:val="nil"/>
              <w:right w:val="nil"/>
            </w:tcBorders>
            <w:vAlign w:val="bottom"/>
          </w:tcPr>
          <w:p w14:paraId="7BA155C9"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-0.09</w:t>
            </w:r>
            <w:r w:rsidRPr="00DE13EE">
              <w:rPr>
                <w:rFonts w:ascii="Times New Roman" w:hAnsi="Times New Roman" w:cs="Times New Roman"/>
                <w:color w:val="000000" w:themeColor="text1"/>
                <w:sz w:val="20"/>
                <w:szCs w:val="20"/>
                <w:vertAlign w:val="superscript"/>
              </w:rPr>
              <w:t>***</w:t>
            </w:r>
          </w:p>
        </w:tc>
        <w:tc>
          <w:tcPr>
            <w:tcW w:w="1048" w:type="dxa"/>
            <w:tcBorders>
              <w:top w:val="nil"/>
              <w:left w:val="nil"/>
              <w:bottom w:val="nil"/>
              <w:right w:val="nil"/>
            </w:tcBorders>
            <w:vAlign w:val="bottom"/>
          </w:tcPr>
          <w:p w14:paraId="77650829"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0.077</w:t>
            </w:r>
            <w:r w:rsidRPr="00DE13EE">
              <w:rPr>
                <w:rFonts w:ascii="Times New Roman" w:hAnsi="Times New Roman" w:cs="Times New Roman"/>
                <w:color w:val="000000" w:themeColor="text1"/>
                <w:sz w:val="20"/>
                <w:szCs w:val="20"/>
                <w:vertAlign w:val="superscript"/>
              </w:rPr>
              <w:t>***</w:t>
            </w:r>
          </w:p>
        </w:tc>
        <w:tc>
          <w:tcPr>
            <w:tcW w:w="1050" w:type="dxa"/>
            <w:tcBorders>
              <w:top w:val="nil"/>
              <w:left w:val="nil"/>
              <w:bottom w:val="nil"/>
              <w:right w:val="nil"/>
            </w:tcBorders>
            <w:vAlign w:val="bottom"/>
          </w:tcPr>
          <w:p w14:paraId="79F70EBE"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0.017</w:t>
            </w:r>
          </w:p>
        </w:tc>
        <w:tc>
          <w:tcPr>
            <w:tcW w:w="1048" w:type="dxa"/>
            <w:tcBorders>
              <w:top w:val="nil"/>
              <w:left w:val="nil"/>
              <w:bottom w:val="nil"/>
              <w:right w:val="nil"/>
            </w:tcBorders>
            <w:vAlign w:val="bottom"/>
          </w:tcPr>
          <w:p w14:paraId="15FD86FD"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0.063</w:t>
            </w:r>
            <w:r w:rsidRPr="00DE13EE">
              <w:rPr>
                <w:rFonts w:ascii="Times New Roman" w:hAnsi="Times New Roman" w:cs="Times New Roman"/>
                <w:color w:val="000000" w:themeColor="text1"/>
                <w:sz w:val="20"/>
                <w:szCs w:val="20"/>
                <w:vertAlign w:val="superscript"/>
              </w:rPr>
              <w:t>***</w:t>
            </w:r>
          </w:p>
        </w:tc>
        <w:tc>
          <w:tcPr>
            <w:tcW w:w="1050" w:type="dxa"/>
            <w:tcBorders>
              <w:top w:val="nil"/>
              <w:left w:val="nil"/>
              <w:bottom w:val="nil"/>
              <w:right w:val="nil"/>
            </w:tcBorders>
            <w:vAlign w:val="bottom"/>
          </w:tcPr>
          <w:p w14:paraId="3A30440B"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0.013</w:t>
            </w:r>
          </w:p>
        </w:tc>
        <w:tc>
          <w:tcPr>
            <w:tcW w:w="1048" w:type="dxa"/>
            <w:tcBorders>
              <w:top w:val="nil"/>
              <w:left w:val="nil"/>
              <w:bottom w:val="nil"/>
              <w:right w:val="nil"/>
            </w:tcBorders>
            <w:vAlign w:val="bottom"/>
          </w:tcPr>
          <w:p w14:paraId="68AF334F"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0.004</w:t>
            </w:r>
          </w:p>
        </w:tc>
        <w:tc>
          <w:tcPr>
            <w:tcW w:w="1134" w:type="dxa"/>
            <w:tcBorders>
              <w:top w:val="nil"/>
              <w:left w:val="nil"/>
              <w:bottom w:val="nil"/>
              <w:right w:val="nil"/>
            </w:tcBorders>
            <w:vAlign w:val="bottom"/>
          </w:tcPr>
          <w:p w14:paraId="24504B52"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1.000</w:t>
            </w:r>
          </w:p>
        </w:tc>
        <w:tc>
          <w:tcPr>
            <w:tcW w:w="933" w:type="dxa"/>
            <w:tcBorders>
              <w:top w:val="nil"/>
              <w:left w:val="nil"/>
              <w:bottom w:val="nil"/>
              <w:right w:val="nil"/>
            </w:tcBorders>
            <w:vAlign w:val="bottom"/>
          </w:tcPr>
          <w:p w14:paraId="376658AA" w14:textId="77777777" w:rsidR="00FA14FE" w:rsidRPr="00DE13EE" w:rsidRDefault="00FA14FE" w:rsidP="009D0993">
            <w:pPr>
              <w:rPr>
                <w:rFonts w:ascii="Times New Roman" w:hAnsi="Times New Roman" w:cs="Times New Roman"/>
                <w:color w:val="000000" w:themeColor="text1"/>
                <w:sz w:val="20"/>
                <w:szCs w:val="20"/>
              </w:rPr>
            </w:pPr>
          </w:p>
        </w:tc>
        <w:tc>
          <w:tcPr>
            <w:tcW w:w="1021" w:type="dxa"/>
            <w:tcBorders>
              <w:top w:val="nil"/>
              <w:left w:val="nil"/>
              <w:bottom w:val="nil"/>
              <w:right w:val="nil"/>
            </w:tcBorders>
          </w:tcPr>
          <w:p w14:paraId="6C643D5C" w14:textId="77777777" w:rsidR="00FA14FE" w:rsidRPr="00DE13EE" w:rsidRDefault="00FA14FE" w:rsidP="009D0993">
            <w:pPr>
              <w:rPr>
                <w:rFonts w:ascii="Times New Roman" w:hAnsi="Times New Roman" w:cs="Times New Roman"/>
                <w:color w:val="000000" w:themeColor="text1"/>
                <w:sz w:val="20"/>
                <w:szCs w:val="20"/>
              </w:rPr>
            </w:pPr>
          </w:p>
        </w:tc>
        <w:tc>
          <w:tcPr>
            <w:tcW w:w="845" w:type="dxa"/>
            <w:tcBorders>
              <w:top w:val="nil"/>
              <w:left w:val="nil"/>
              <w:bottom w:val="nil"/>
              <w:right w:val="nil"/>
            </w:tcBorders>
          </w:tcPr>
          <w:p w14:paraId="5C92D6D3" w14:textId="77777777" w:rsidR="00FA14FE" w:rsidRPr="00DE13EE" w:rsidRDefault="00FA14FE" w:rsidP="009D0993">
            <w:pPr>
              <w:rPr>
                <w:rFonts w:ascii="Times New Roman" w:hAnsi="Times New Roman" w:cs="Times New Roman"/>
                <w:color w:val="000000" w:themeColor="text1"/>
                <w:sz w:val="20"/>
                <w:szCs w:val="20"/>
              </w:rPr>
            </w:pPr>
          </w:p>
        </w:tc>
      </w:tr>
      <w:tr w:rsidR="00DE13EE" w:rsidRPr="00DE13EE" w14:paraId="2DE7BBF5" w14:textId="77777777" w:rsidTr="009D0993">
        <w:trPr>
          <w:trHeight w:val="80"/>
          <w:jc w:val="center"/>
        </w:trPr>
        <w:tc>
          <w:tcPr>
            <w:tcW w:w="2434" w:type="dxa"/>
            <w:vMerge/>
            <w:tcBorders>
              <w:top w:val="nil"/>
              <w:left w:val="nil"/>
              <w:bottom w:val="nil"/>
              <w:right w:val="nil"/>
            </w:tcBorders>
            <w:vAlign w:val="center"/>
          </w:tcPr>
          <w:p w14:paraId="57A9B710" w14:textId="77777777" w:rsidR="00FA14FE" w:rsidRPr="00DE13EE" w:rsidRDefault="00FA14FE" w:rsidP="009D0993">
            <w:pPr>
              <w:rPr>
                <w:rFonts w:ascii="Times New Roman" w:hAnsi="Times New Roman" w:cs="Times New Roman"/>
                <w:b/>
                <w:bCs/>
                <w:color w:val="000000" w:themeColor="text1"/>
                <w:sz w:val="20"/>
                <w:szCs w:val="20"/>
              </w:rPr>
            </w:pPr>
          </w:p>
        </w:tc>
        <w:tc>
          <w:tcPr>
            <w:tcW w:w="1158" w:type="dxa"/>
            <w:tcBorders>
              <w:top w:val="nil"/>
              <w:left w:val="nil"/>
              <w:bottom w:val="nil"/>
              <w:right w:val="nil"/>
            </w:tcBorders>
            <w:vAlign w:val="bottom"/>
          </w:tcPr>
          <w:p w14:paraId="24E0BD80"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(0.128)</w:t>
            </w:r>
          </w:p>
        </w:tc>
        <w:tc>
          <w:tcPr>
            <w:tcW w:w="1287" w:type="dxa"/>
            <w:tcBorders>
              <w:top w:val="nil"/>
              <w:left w:val="nil"/>
              <w:bottom w:val="nil"/>
              <w:right w:val="nil"/>
            </w:tcBorders>
            <w:vAlign w:val="bottom"/>
          </w:tcPr>
          <w:p w14:paraId="5CD2A56D"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(0.111)</w:t>
            </w:r>
          </w:p>
        </w:tc>
        <w:tc>
          <w:tcPr>
            <w:tcW w:w="1048" w:type="dxa"/>
            <w:tcBorders>
              <w:top w:val="nil"/>
              <w:left w:val="nil"/>
              <w:bottom w:val="nil"/>
              <w:right w:val="nil"/>
            </w:tcBorders>
            <w:vAlign w:val="bottom"/>
          </w:tcPr>
          <w:p w14:paraId="18211CD8"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(0.000)</w:t>
            </w:r>
          </w:p>
        </w:tc>
        <w:tc>
          <w:tcPr>
            <w:tcW w:w="1050" w:type="dxa"/>
            <w:tcBorders>
              <w:top w:val="nil"/>
              <w:left w:val="nil"/>
              <w:bottom w:val="nil"/>
              <w:right w:val="nil"/>
            </w:tcBorders>
            <w:vAlign w:val="bottom"/>
          </w:tcPr>
          <w:p w14:paraId="495C4091"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(0.000)</w:t>
            </w:r>
          </w:p>
        </w:tc>
        <w:tc>
          <w:tcPr>
            <w:tcW w:w="1048" w:type="dxa"/>
            <w:tcBorders>
              <w:top w:val="nil"/>
              <w:left w:val="nil"/>
              <w:bottom w:val="nil"/>
              <w:right w:val="nil"/>
            </w:tcBorders>
            <w:vAlign w:val="bottom"/>
          </w:tcPr>
          <w:p w14:paraId="7325DA0F"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(0.000)</w:t>
            </w:r>
          </w:p>
        </w:tc>
        <w:tc>
          <w:tcPr>
            <w:tcW w:w="1050" w:type="dxa"/>
            <w:tcBorders>
              <w:top w:val="nil"/>
              <w:left w:val="nil"/>
              <w:bottom w:val="nil"/>
              <w:right w:val="nil"/>
            </w:tcBorders>
            <w:vAlign w:val="bottom"/>
          </w:tcPr>
          <w:p w14:paraId="0E2B540F"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(0.386)</w:t>
            </w:r>
          </w:p>
        </w:tc>
        <w:tc>
          <w:tcPr>
            <w:tcW w:w="1048" w:type="dxa"/>
            <w:tcBorders>
              <w:top w:val="nil"/>
              <w:left w:val="nil"/>
              <w:bottom w:val="nil"/>
              <w:right w:val="nil"/>
            </w:tcBorders>
            <w:vAlign w:val="bottom"/>
          </w:tcPr>
          <w:p w14:paraId="2F44786D"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(0.002)</w:t>
            </w:r>
          </w:p>
        </w:tc>
        <w:tc>
          <w:tcPr>
            <w:tcW w:w="1050" w:type="dxa"/>
            <w:tcBorders>
              <w:top w:val="nil"/>
              <w:left w:val="nil"/>
              <w:bottom w:val="nil"/>
              <w:right w:val="nil"/>
            </w:tcBorders>
            <w:vAlign w:val="bottom"/>
          </w:tcPr>
          <w:p w14:paraId="70CCB12E"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(0.528)</w:t>
            </w:r>
          </w:p>
        </w:tc>
        <w:tc>
          <w:tcPr>
            <w:tcW w:w="1048" w:type="dxa"/>
            <w:tcBorders>
              <w:top w:val="nil"/>
              <w:left w:val="nil"/>
              <w:bottom w:val="nil"/>
              <w:right w:val="nil"/>
            </w:tcBorders>
            <w:vAlign w:val="bottom"/>
          </w:tcPr>
          <w:p w14:paraId="77B62BC4"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(0.817)</w:t>
            </w:r>
          </w:p>
        </w:tc>
        <w:tc>
          <w:tcPr>
            <w:tcW w:w="1134" w:type="dxa"/>
            <w:tcBorders>
              <w:top w:val="nil"/>
              <w:left w:val="nil"/>
              <w:bottom w:val="nil"/>
              <w:right w:val="nil"/>
            </w:tcBorders>
            <w:vAlign w:val="bottom"/>
          </w:tcPr>
          <w:p w14:paraId="22B9FA5D" w14:textId="77777777" w:rsidR="00FA14FE" w:rsidRPr="00DE13EE" w:rsidRDefault="00FA14FE" w:rsidP="009D0993">
            <w:pPr>
              <w:rPr>
                <w:rFonts w:ascii="Times New Roman" w:hAnsi="Times New Roman" w:cs="Times New Roman"/>
                <w:color w:val="000000" w:themeColor="text1"/>
                <w:sz w:val="20"/>
                <w:szCs w:val="20"/>
              </w:rPr>
            </w:pPr>
          </w:p>
        </w:tc>
        <w:tc>
          <w:tcPr>
            <w:tcW w:w="933" w:type="dxa"/>
            <w:tcBorders>
              <w:top w:val="nil"/>
              <w:left w:val="nil"/>
              <w:bottom w:val="nil"/>
              <w:right w:val="nil"/>
            </w:tcBorders>
            <w:vAlign w:val="bottom"/>
          </w:tcPr>
          <w:p w14:paraId="53C67483" w14:textId="77777777" w:rsidR="00FA14FE" w:rsidRPr="00DE13EE" w:rsidRDefault="00FA14FE" w:rsidP="009D0993">
            <w:pPr>
              <w:rPr>
                <w:rFonts w:ascii="Times New Roman" w:hAnsi="Times New Roman" w:cs="Times New Roman"/>
                <w:color w:val="000000" w:themeColor="text1"/>
                <w:sz w:val="20"/>
                <w:szCs w:val="20"/>
              </w:rPr>
            </w:pPr>
          </w:p>
        </w:tc>
        <w:tc>
          <w:tcPr>
            <w:tcW w:w="1021" w:type="dxa"/>
            <w:tcBorders>
              <w:top w:val="nil"/>
              <w:left w:val="nil"/>
              <w:bottom w:val="nil"/>
              <w:right w:val="nil"/>
            </w:tcBorders>
          </w:tcPr>
          <w:p w14:paraId="7F709E4D" w14:textId="77777777" w:rsidR="00FA14FE" w:rsidRPr="00DE13EE" w:rsidRDefault="00FA14FE" w:rsidP="009D0993">
            <w:pPr>
              <w:rPr>
                <w:rFonts w:ascii="Times New Roman" w:hAnsi="Times New Roman" w:cs="Times New Roman"/>
                <w:color w:val="000000" w:themeColor="text1"/>
                <w:sz w:val="20"/>
                <w:szCs w:val="20"/>
              </w:rPr>
            </w:pPr>
          </w:p>
        </w:tc>
        <w:tc>
          <w:tcPr>
            <w:tcW w:w="845" w:type="dxa"/>
            <w:tcBorders>
              <w:top w:val="nil"/>
              <w:left w:val="nil"/>
              <w:bottom w:val="nil"/>
              <w:right w:val="nil"/>
            </w:tcBorders>
          </w:tcPr>
          <w:p w14:paraId="1E75F293" w14:textId="77777777" w:rsidR="00FA14FE" w:rsidRPr="00DE13EE" w:rsidRDefault="00FA14FE" w:rsidP="009D0993">
            <w:pPr>
              <w:rPr>
                <w:rFonts w:ascii="Times New Roman" w:hAnsi="Times New Roman" w:cs="Times New Roman"/>
                <w:color w:val="000000" w:themeColor="text1"/>
                <w:sz w:val="20"/>
                <w:szCs w:val="20"/>
              </w:rPr>
            </w:pPr>
          </w:p>
        </w:tc>
      </w:tr>
      <w:tr w:rsidR="00DE13EE" w:rsidRPr="00DE13EE" w14:paraId="1578B9F8" w14:textId="77777777" w:rsidTr="009D0993">
        <w:trPr>
          <w:trHeight w:val="158"/>
          <w:jc w:val="center"/>
        </w:trPr>
        <w:tc>
          <w:tcPr>
            <w:tcW w:w="2434" w:type="dxa"/>
            <w:vMerge w:val="restart"/>
            <w:tcBorders>
              <w:top w:val="nil"/>
              <w:left w:val="nil"/>
              <w:bottom w:val="nil"/>
              <w:right w:val="nil"/>
            </w:tcBorders>
            <w:vAlign w:val="center"/>
          </w:tcPr>
          <w:p w14:paraId="2E227594" w14:textId="77777777" w:rsidR="00FA14FE" w:rsidRPr="00DE13EE" w:rsidRDefault="00FA14FE" w:rsidP="009D0993">
            <w:pPr>
              <w:rPr>
                <w:rFonts w:ascii="Times New Roman" w:hAnsi="Times New Roman" w:cs="Times New Roman"/>
                <w:b/>
                <w:bCs/>
                <w:color w:val="000000" w:themeColor="text1"/>
                <w:sz w:val="20"/>
                <w:szCs w:val="20"/>
              </w:rPr>
            </w:pPr>
            <w:r w:rsidRPr="00DE13EE">
              <w:rPr>
                <w:rFonts w:ascii="Times New Roman" w:hAnsi="Times New Roman" w:cs="Times New Roman"/>
                <w:b/>
                <w:bCs/>
                <w:color w:val="000000" w:themeColor="text1"/>
                <w:sz w:val="20"/>
                <w:szCs w:val="20"/>
              </w:rPr>
              <w:t>(11) CAPEX</w:t>
            </w:r>
          </w:p>
        </w:tc>
        <w:tc>
          <w:tcPr>
            <w:tcW w:w="1158" w:type="dxa"/>
            <w:tcBorders>
              <w:top w:val="nil"/>
              <w:left w:val="nil"/>
              <w:bottom w:val="nil"/>
              <w:right w:val="nil"/>
            </w:tcBorders>
            <w:vAlign w:val="bottom"/>
          </w:tcPr>
          <w:p w14:paraId="7B0584DB"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-0.035</w:t>
            </w:r>
            <w:r w:rsidRPr="00DE13EE">
              <w:rPr>
                <w:rFonts w:ascii="Times New Roman" w:hAnsi="Times New Roman" w:cs="Times New Roman"/>
                <w:color w:val="000000" w:themeColor="text1"/>
                <w:sz w:val="20"/>
                <w:szCs w:val="20"/>
                <w:vertAlign w:val="superscript"/>
              </w:rPr>
              <w:t>*</w:t>
            </w:r>
          </w:p>
        </w:tc>
        <w:tc>
          <w:tcPr>
            <w:tcW w:w="1287" w:type="dxa"/>
            <w:tcBorders>
              <w:top w:val="nil"/>
              <w:left w:val="nil"/>
              <w:bottom w:val="nil"/>
              <w:right w:val="nil"/>
            </w:tcBorders>
            <w:vAlign w:val="bottom"/>
          </w:tcPr>
          <w:p w14:paraId="1DC6BA73"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0.021</w:t>
            </w:r>
          </w:p>
        </w:tc>
        <w:tc>
          <w:tcPr>
            <w:tcW w:w="1048" w:type="dxa"/>
            <w:tcBorders>
              <w:top w:val="nil"/>
              <w:left w:val="nil"/>
              <w:bottom w:val="nil"/>
              <w:right w:val="nil"/>
            </w:tcBorders>
            <w:vAlign w:val="bottom"/>
          </w:tcPr>
          <w:p w14:paraId="6BEB8F0A"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0.180</w:t>
            </w:r>
            <w:r w:rsidRPr="00DE13EE">
              <w:rPr>
                <w:rFonts w:ascii="Times New Roman" w:hAnsi="Times New Roman" w:cs="Times New Roman"/>
                <w:color w:val="000000" w:themeColor="text1"/>
                <w:sz w:val="20"/>
                <w:szCs w:val="20"/>
                <w:vertAlign w:val="superscript"/>
              </w:rPr>
              <w:t>***</w:t>
            </w:r>
          </w:p>
        </w:tc>
        <w:tc>
          <w:tcPr>
            <w:tcW w:w="1050" w:type="dxa"/>
            <w:tcBorders>
              <w:top w:val="nil"/>
              <w:left w:val="nil"/>
              <w:bottom w:val="nil"/>
              <w:right w:val="nil"/>
            </w:tcBorders>
            <w:vAlign w:val="bottom"/>
          </w:tcPr>
          <w:p w14:paraId="46DB547D"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-0.013</w:t>
            </w:r>
          </w:p>
        </w:tc>
        <w:tc>
          <w:tcPr>
            <w:tcW w:w="1048" w:type="dxa"/>
            <w:tcBorders>
              <w:top w:val="nil"/>
              <w:left w:val="nil"/>
              <w:bottom w:val="nil"/>
              <w:right w:val="nil"/>
            </w:tcBorders>
            <w:vAlign w:val="bottom"/>
          </w:tcPr>
          <w:p w14:paraId="674521F0"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0.115</w:t>
            </w:r>
            <w:r w:rsidRPr="00DE13EE">
              <w:rPr>
                <w:rFonts w:ascii="Times New Roman" w:hAnsi="Times New Roman" w:cs="Times New Roman"/>
                <w:color w:val="000000" w:themeColor="text1"/>
                <w:sz w:val="20"/>
                <w:szCs w:val="20"/>
                <w:vertAlign w:val="superscript"/>
              </w:rPr>
              <w:t>***</w:t>
            </w:r>
          </w:p>
        </w:tc>
        <w:tc>
          <w:tcPr>
            <w:tcW w:w="1050" w:type="dxa"/>
            <w:tcBorders>
              <w:top w:val="nil"/>
              <w:left w:val="nil"/>
              <w:bottom w:val="nil"/>
              <w:right w:val="nil"/>
            </w:tcBorders>
            <w:vAlign w:val="bottom"/>
          </w:tcPr>
          <w:p w14:paraId="6233EEEB"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-0.005</w:t>
            </w:r>
          </w:p>
        </w:tc>
        <w:tc>
          <w:tcPr>
            <w:tcW w:w="1048" w:type="dxa"/>
            <w:tcBorders>
              <w:top w:val="nil"/>
              <w:left w:val="nil"/>
              <w:bottom w:val="nil"/>
              <w:right w:val="nil"/>
            </w:tcBorders>
            <w:vAlign w:val="bottom"/>
          </w:tcPr>
          <w:p w14:paraId="7D619B70"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0.064</w:t>
            </w:r>
            <w:r w:rsidRPr="00DE13EE">
              <w:rPr>
                <w:rFonts w:ascii="Times New Roman" w:hAnsi="Times New Roman" w:cs="Times New Roman"/>
                <w:color w:val="000000" w:themeColor="text1"/>
                <w:sz w:val="20"/>
                <w:szCs w:val="20"/>
                <w:vertAlign w:val="superscript"/>
              </w:rPr>
              <w:t>***</w:t>
            </w:r>
          </w:p>
        </w:tc>
        <w:tc>
          <w:tcPr>
            <w:tcW w:w="1050" w:type="dxa"/>
            <w:tcBorders>
              <w:top w:val="nil"/>
              <w:left w:val="nil"/>
              <w:bottom w:val="nil"/>
              <w:right w:val="nil"/>
            </w:tcBorders>
            <w:vAlign w:val="bottom"/>
          </w:tcPr>
          <w:p w14:paraId="2495115F"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-0.008</w:t>
            </w:r>
          </w:p>
        </w:tc>
        <w:tc>
          <w:tcPr>
            <w:tcW w:w="1048" w:type="dxa"/>
            <w:tcBorders>
              <w:top w:val="nil"/>
              <w:left w:val="nil"/>
              <w:bottom w:val="nil"/>
              <w:right w:val="nil"/>
            </w:tcBorders>
            <w:vAlign w:val="bottom"/>
          </w:tcPr>
          <w:p w14:paraId="05C842C1"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0.002</w:t>
            </w:r>
          </w:p>
        </w:tc>
        <w:tc>
          <w:tcPr>
            <w:tcW w:w="1134" w:type="dxa"/>
            <w:tcBorders>
              <w:top w:val="nil"/>
              <w:left w:val="nil"/>
              <w:bottom w:val="nil"/>
              <w:right w:val="nil"/>
            </w:tcBorders>
            <w:vAlign w:val="bottom"/>
          </w:tcPr>
          <w:p w14:paraId="6EB5A666"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0.185</w:t>
            </w:r>
            <w:r w:rsidRPr="00DE13EE">
              <w:rPr>
                <w:rFonts w:ascii="Times New Roman" w:hAnsi="Times New Roman" w:cs="Times New Roman"/>
                <w:color w:val="000000" w:themeColor="text1"/>
                <w:sz w:val="20"/>
                <w:szCs w:val="20"/>
                <w:vertAlign w:val="superscript"/>
              </w:rPr>
              <w:t>***</w:t>
            </w:r>
          </w:p>
        </w:tc>
        <w:tc>
          <w:tcPr>
            <w:tcW w:w="933" w:type="dxa"/>
            <w:tcBorders>
              <w:top w:val="nil"/>
              <w:left w:val="nil"/>
              <w:bottom w:val="nil"/>
              <w:right w:val="nil"/>
            </w:tcBorders>
            <w:vAlign w:val="bottom"/>
          </w:tcPr>
          <w:p w14:paraId="49BD916A"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1.000</w:t>
            </w:r>
          </w:p>
        </w:tc>
        <w:tc>
          <w:tcPr>
            <w:tcW w:w="1021" w:type="dxa"/>
            <w:tcBorders>
              <w:top w:val="nil"/>
              <w:left w:val="nil"/>
              <w:bottom w:val="nil"/>
              <w:right w:val="nil"/>
            </w:tcBorders>
          </w:tcPr>
          <w:p w14:paraId="08805AD1" w14:textId="77777777" w:rsidR="00FA14FE" w:rsidRPr="00DE13EE" w:rsidRDefault="00FA14FE" w:rsidP="009D0993">
            <w:pPr>
              <w:rPr>
                <w:rFonts w:ascii="Times New Roman" w:hAnsi="Times New Roman" w:cs="Times New Roman"/>
                <w:color w:val="000000" w:themeColor="text1"/>
                <w:sz w:val="20"/>
                <w:szCs w:val="20"/>
              </w:rPr>
            </w:pPr>
          </w:p>
        </w:tc>
        <w:tc>
          <w:tcPr>
            <w:tcW w:w="845" w:type="dxa"/>
            <w:tcBorders>
              <w:top w:val="nil"/>
              <w:left w:val="nil"/>
              <w:bottom w:val="nil"/>
              <w:right w:val="nil"/>
            </w:tcBorders>
          </w:tcPr>
          <w:p w14:paraId="3F28A618" w14:textId="77777777" w:rsidR="00FA14FE" w:rsidRPr="00DE13EE" w:rsidRDefault="00FA14FE" w:rsidP="009D0993">
            <w:pPr>
              <w:rPr>
                <w:rFonts w:ascii="Times New Roman" w:hAnsi="Times New Roman" w:cs="Times New Roman"/>
                <w:color w:val="000000" w:themeColor="text1"/>
                <w:sz w:val="20"/>
                <w:szCs w:val="20"/>
              </w:rPr>
            </w:pPr>
          </w:p>
        </w:tc>
      </w:tr>
      <w:tr w:rsidR="00DE13EE" w:rsidRPr="00DE13EE" w14:paraId="067597C0" w14:textId="77777777" w:rsidTr="009D0993">
        <w:trPr>
          <w:trHeight w:val="264"/>
          <w:jc w:val="center"/>
        </w:trPr>
        <w:tc>
          <w:tcPr>
            <w:tcW w:w="2434" w:type="dxa"/>
            <w:vMerge/>
            <w:tcBorders>
              <w:top w:val="nil"/>
              <w:left w:val="nil"/>
              <w:bottom w:val="nil"/>
              <w:right w:val="nil"/>
            </w:tcBorders>
          </w:tcPr>
          <w:p w14:paraId="53830B00" w14:textId="77777777" w:rsidR="00FA14FE" w:rsidRPr="00DE13EE" w:rsidRDefault="00FA14FE" w:rsidP="009D0993">
            <w:pPr>
              <w:rPr>
                <w:rFonts w:ascii="Times New Roman" w:hAnsi="Times New Roman" w:cs="Times New Roman"/>
                <w:color w:val="000000" w:themeColor="text1"/>
                <w:sz w:val="20"/>
                <w:szCs w:val="20"/>
              </w:rPr>
            </w:pPr>
          </w:p>
        </w:tc>
        <w:tc>
          <w:tcPr>
            <w:tcW w:w="1158" w:type="dxa"/>
            <w:tcBorders>
              <w:top w:val="nil"/>
              <w:left w:val="nil"/>
              <w:bottom w:val="nil"/>
              <w:right w:val="nil"/>
            </w:tcBorders>
            <w:vAlign w:val="bottom"/>
          </w:tcPr>
          <w:p w14:paraId="6549E9C5"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(0.089)</w:t>
            </w:r>
          </w:p>
        </w:tc>
        <w:tc>
          <w:tcPr>
            <w:tcW w:w="1287" w:type="dxa"/>
            <w:tcBorders>
              <w:top w:val="nil"/>
              <w:left w:val="nil"/>
              <w:bottom w:val="nil"/>
              <w:right w:val="nil"/>
            </w:tcBorders>
            <w:vAlign w:val="bottom"/>
          </w:tcPr>
          <w:p w14:paraId="5F9A248C"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(0.314)</w:t>
            </w:r>
          </w:p>
        </w:tc>
        <w:tc>
          <w:tcPr>
            <w:tcW w:w="1048" w:type="dxa"/>
            <w:tcBorders>
              <w:top w:val="nil"/>
              <w:left w:val="nil"/>
              <w:bottom w:val="nil"/>
              <w:right w:val="nil"/>
            </w:tcBorders>
            <w:vAlign w:val="bottom"/>
          </w:tcPr>
          <w:p w14:paraId="377903F9"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(0.000)</w:t>
            </w:r>
          </w:p>
        </w:tc>
        <w:tc>
          <w:tcPr>
            <w:tcW w:w="1050" w:type="dxa"/>
            <w:tcBorders>
              <w:top w:val="nil"/>
              <w:left w:val="nil"/>
              <w:bottom w:val="nil"/>
              <w:right w:val="nil"/>
            </w:tcBorders>
            <w:vAlign w:val="bottom"/>
          </w:tcPr>
          <w:p w14:paraId="389A3DA0"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(0.512)</w:t>
            </w:r>
          </w:p>
        </w:tc>
        <w:tc>
          <w:tcPr>
            <w:tcW w:w="1048" w:type="dxa"/>
            <w:tcBorders>
              <w:top w:val="nil"/>
              <w:left w:val="nil"/>
              <w:bottom w:val="nil"/>
              <w:right w:val="nil"/>
            </w:tcBorders>
            <w:vAlign w:val="bottom"/>
          </w:tcPr>
          <w:p w14:paraId="103AF89F"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(0.000)</w:t>
            </w:r>
          </w:p>
        </w:tc>
        <w:tc>
          <w:tcPr>
            <w:tcW w:w="1050" w:type="dxa"/>
            <w:tcBorders>
              <w:top w:val="nil"/>
              <w:left w:val="nil"/>
              <w:bottom w:val="nil"/>
              <w:right w:val="nil"/>
            </w:tcBorders>
            <w:vAlign w:val="bottom"/>
          </w:tcPr>
          <w:p w14:paraId="4160A8E7"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(0.800)</w:t>
            </w:r>
          </w:p>
        </w:tc>
        <w:tc>
          <w:tcPr>
            <w:tcW w:w="1048" w:type="dxa"/>
            <w:tcBorders>
              <w:top w:val="nil"/>
              <w:left w:val="nil"/>
              <w:bottom w:val="nil"/>
              <w:right w:val="nil"/>
            </w:tcBorders>
            <w:vAlign w:val="bottom"/>
          </w:tcPr>
          <w:p w14:paraId="343C8826"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(0.001)</w:t>
            </w:r>
          </w:p>
        </w:tc>
        <w:tc>
          <w:tcPr>
            <w:tcW w:w="1050" w:type="dxa"/>
            <w:tcBorders>
              <w:top w:val="nil"/>
              <w:left w:val="nil"/>
              <w:bottom w:val="nil"/>
              <w:right w:val="nil"/>
            </w:tcBorders>
            <w:vAlign w:val="bottom"/>
          </w:tcPr>
          <w:p w14:paraId="113FF8AB"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(0.676)</w:t>
            </w:r>
          </w:p>
        </w:tc>
        <w:tc>
          <w:tcPr>
            <w:tcW w:w="1048" w:type="dxa"/>
            <w:tcBorders>
              <w:top w:val="nil"/>
              <w:left w:val="nil"/>
              <w:bottom w:val="nil"/>
              <w:right w:val="nil"/>
            </w:tcBorders>
            <w:vAlign w:val="bottom"/>
          </w:tcPr>
          <w:p w14:paraId="5E3369F2"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(0.904)</w:t>
            </w:r>
          </w:p>
        </w:tc>
        <w:tc>
          <w:tcPr>
            <w:tcW w:w="1134" w:type="dxa"/>
            <w:tcBorders>
              <w:top w:val="nil"/>
              <w:left w:val="nil"/>
              <w:bottom w:val="nil"/>
              <w:right w:val="nil"/>
            </w:tcBorders>
            <w:vAlign w:val="bottom"/>
          </w:tcPr>
          <w:p w14:paraId="75746119"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(0.000)</w:t>
            </w:r>
          </w:p>
        </w:tc>
        <w:tc>
          <w:tcPr>
            <w:tcW w:w="933" w:type="dxa"/>
            <w:tcBorders>
              <w:top w:val="nil"/>
              <w:left w:val="nil"/>
              <w:bottom w:val="nil"/>
              <w:right w:val="nil"/>
            </w:tcBorders>
            <w:vAlign w:val="bottom"/>
          </w:tcPr>
          <w:p w14:paraId="0CBDE369" w14:textId="77777777" w:rsidR="00FA14FE" w:rsidRPr="00DE13EE" w:rsidRDefault="00FA14FE" w:rsidP="009D0993">
            <w:pPr>
              <w:rPr>
                <w:rFonts w:ascii="Times New Roman" w:hAnsi="Times New Roman" w:cs="Times New Roman"/>
                <w:color w:val="000000" w:themeColor="text1"/>
                <w:sz w:val="20"/>
                <w:szCs w:val="20"/>
              </w:rPr>
            </w:pPr>
          </w:p>
        </w:tc>
        <w:tc>
          <w:tcPr>
            <w:tcW w:w="1021" w:type="dxa"/>
            <w:tcBorders>
              <w:top w:val="nil"/>
              <w:left w:val="nil"/>
              <w:bottom w:val="nil"/>
              <w:right w:val="nil"/>
            </w:tcBorders>
          </w:tcPr>
          <w:p w14:paraId="6BC9F933" w14:textId="77777777" w:rsidR="00FA14FE" w:rsidRPr="00DE13EE" w:rsidRDefault="00FA14FE" w:rsidP="009D0993">
            <w:pPr>
              <w:rPr>
                <w:rFonts w:ascii="Times New Roman" w:hAnsi="Times New Roman" w:cs="Times New Roman"/>
                <w:color w:val="000000" w:themeColor="text1"/>
                <w:sz w:val="20"/>
                <w:szCs w:val="20"/>
              </w:rPr>
            </w:pPr>
          </w:p>
        </w:tc>
        <w:tc>
          <w:tcPr>
            <w:tcW w:w="845" w:type="dxa"/>
            <w:tcBorders>
              <w:top w:val="nil"/>
              <w:left w:val="nil"/>
              <w:bottom w:val="nil"/>
              <w:right w:val="nil"/>
            </w:tcBorders>
          </w:tcPr>
          <w:p w14:paraId="3E6A135C" w14:textId="77777777" w:rsidR="00FA14FE" w:rsidRPr="00DE13EE" w:rsidRDefault="00FA14FE" w:rsidP="009D0993">
            <w:pPr>
              <w:rPr>
                <w:rFonts w:ascii="Times New Roman" w:hAnsi="Times New Roman" w:cs="Times New Roman"/>
                <w:color w:val="000000" w:themeColor="text1"/>
                <w:sz w:val="20"/>
                <w:szCs w:val="20"/>
              </w:rPr>
            </w:pPr>
          </w:p>
        </w:tc>
      </w:tr>
      <w:tr w:rsidR="00DE13EE" w:rsidRPr="00DE13EE" w14:paraId="5657C987" w14:textId="77777777" w:rsidTr="009D0993">
        <w:trPr>
          <w:trHeight w:val="180"/>
          <w:jc w:val="center"/>
        </w:trPr>
        <w:tc>
          <w:tcPr>
            <w:tcW w:w="2434" w:type="dxa"/>
            <w:vMerge w:val="restart"/>
            <w:tcBorders>
              <w:top w:val="nil"/>
              <w:left w:val="nil"/>
              <w:bottom w:val="nil"/>
              <w:right w:val="nil"/>
            </w:tcBorders>
          </w:tcPr>
          <w:p w14:paraId="684B66BB" w14:textId="77777777" w:rsidR="00FA14FE" w:rsidRPr="00DE13EE" w:rsidRDefault="00FA14FE" w:rsidP="009D0993">
            <w:pPr>
              <w:rPr>
                <w:rFonts w:ascii="Times New Roman" w:hAnsi="Times New Roman" w:cs="Times New Roman"/>
                <w:b/>
                <w:bCs/>
                <w:color w:val="000000" w:themeColor="text1"/>
                <w:sz w:val="12"/>
                <w:szCs w:val="20"/>
              </w:rPr>
            </w:pPr>
          </w:p>
          <w:p w14:paraId="2FB106CD" w14:textId="77777777" w:rsidR="00FA14FE" w:rsidRPr="00DE13EE" w:rsidRDefault="00FA14FE" w:rsidP="009D0993">
            <w:pPr>
              <w:rPr>
                <w:rFonts w:ascii="Times New Roman" w:hAnsi="Times New Roman" w:cs="Times New Roman"/>
                <w:b/>
                <w:bCs/>
                <w:color w:val="000000" w:themeColor="text1"/>
                <w:sz w:val="20"/>
                <w:szCs w:val="20"/>
              </w:rPr>
            </w:pPr>
            <w:r w:rsidRPr="00DE13EE">
              <w:rPr>
                <w:rFonts w:ascii="Times New Roman" w:hAnsi="Times New Roman" w:cs="Times New Roman"/>
                <w:b/>
                <w:bCs/>
                <w:color w:val="000000" w:themeColor="text1"/>
                <w:sz w:val="20"/>
                <w:szCs w:val="20"/>
              </w:rPr>
              <w:t>(12) LNGTH</w:t>
            </w:r>
          </w:p>
        </w:tc>
        <w:tc>
          <w:tcPr>
            <w:tcW w:w="1158" w:type="dxa"/>
            <w:tcBorders>
              <w:top w:val="nil"/>
              <w:left w:val="nil"/>
              <w:bottom w:val="nil"/>
              <w:right w:val="nil"/>
            </w:tcBorders>
          </w:tcPr>
          <w:p w14:paraId="355EAB68"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0.029</w:t>
            </w:r>
          </w:p>
        </w:tc>
        <w:tc>
          <w:tcPr>
            <w:tcW w:w="1287" w:type="dxa"/>
            <w:tcBorders>
              <w:top w:val="nil"/>
              <w:left w:val="nil"/>
              <w:bottom w:val="nil"/>
              <w:right w:val="nil"/>
            </w:tcBorders>
          </w:tcPr>
          <w:p w14:paraId="0BE292D2"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-0.435***</w:t>
            </w:r>
          </w:p>
        </w:tc>
        <w:tc>
          <w:tcPr>
            <w:tcW w:w="1048" w:type="dxa"/>
            <w:tcBorders>
              <w:top w:val="nil"/>
              <w:left w:val="nil"/>
              <w:bottom w:val="nil"/>
              <w:right w:val="nil"/>
            </w:tcBorders>
          </w:tcPr>
          <w:p w14:paraId="0E273432"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0.361***</w:t>
            </w:r>
          </w:p>
        </w:tc>
        <w:tc>
          <w:tcPr>
            <w:tcW w:w="1050" w:type="dxa"/>
            <w:tcBorders>
              <w:top w:val="nil"/>
              <w:left w:val="nil"/>
              <w:bottom w:val="nil"/>
              <w:right w:val="nil"/>
            </w:tcBorders>
          </w:tcPr>
          <w:p w14:paraId="110A1498"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0.082***</w:t>
            </w:r>
          </w:p>
        </w:tc>
        <w:tc>
          <w:tcPr>
            <w:tcW w:w="1048" w:type="dxa"/>
            <w:tcBorders>
              <w:top w:val="nil"/>
              <w:left w:val="nil"/>
              <w:bottom w:val="nil"/>
              <w:right w:val="nil"/>
            </w:tcBorders>
          </w:tcPr>
          <w:p w14:paraId="4AC4C80F"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0.089***</w:t>
            </w:r>
          </w:p>
        </w:tc>
        <w:tc>
          <w:tcPr>
            <w:tcW w:w="1050" w:type="dxa"/>
            <w:tcBorders>
              <w:top w:val="nil"/>
              <w:left w:val="nil"/>
              <w:bottom w:val="nil"/>
              <w:right w:val="nil"/>
            </w:tcBorders>
          </w:tcPr>
          <w:p w14:paraId="7A3BD42B"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0.139***</w:t>
            </w:r>
          </w:p>
        </w:tc>
        <w:tc>
          <w:tcPr>
            <w:tcW w:w="1048" w:type="dxa"/>
            <w:tcBorders>
              <w:top w:val="nil"/>
              <w:left w:val="nil"/>
              <w:bottom w:val="nil"/>
              <w:right w:val="nil"/>
            </w:tcBorders>
          </w:tcPr>
          <w:p w14:paraId="644764F6"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-.129****</w:t>
            </w:r>
          </w:p>
        </w:tc>
        <w:tc>
          <w:tcPr>
            <w:tcW w:w="1050" w:type="dxa"/>
            <w:tcBorders>
              <w:top w:val="nil"/>
              <w:left w:val="nil"/>
              <w:bottom w:val="nil"/>
              <w:right w:val="nil"/>
            </w:tcBorders>
          </w:tcPr>
          <w:p w14:paraId="21F92E93"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0.072***</w:t>
            </w:r>
          </w:p>
        </w:tc>
        <w:tc>
          <w:tcPr>
            <w:tcW w:w="1048" w:type="dxa"/>
            <w:tcBorders>
              <w:top w:val="nil"/>
              <w:left w:val="nil"/>
              <w:bottom w:val="nil"/>
              <w:right w:val="nil"/>
            </w:tcBorders>
          </w:tcPr>
          <w:p w14:paraId="6F7C84E2"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-0.159***</w:t>
            </w:r>
          </w:p>
        </w:tc>
        <w:tc>
          <w:tcPr>
            <w:tcW w:w="1134" w:type="dxa"/>
            <w:tcBorders>
              <w:top w:val="nil"/>
              <w:left w:val="nil"/>
              <w:bottom w:val="nil"/>
              <w:right w:val="nil"/>
            </w:tcBorders>
          </w:tcPr>
          <w:p w14:paraId="1702B6E2"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0.010</w:t>
            </w:r>
          </w:p>
        </w:tc>
        <w:tc>
          <w:tcPr>
            <w:tcW w:w="933" w:type="dxa"/>
            <w:tcBorders>
              <w:top w:val="nil"/>
              <w:left w:val="nil"/>
              <w:bottom w:val="nil"/>
              <w:right w:val="nil"/>
            </w:tcBorders>
          </w:tcPr>
          <w:p w14:paraId="5E2EBB6A"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0.035*</w:t>
            </w:r>
          </w:p>
        </w:tc>
        <w:tc>
          <w:tcPr>
            <w:tcW w:w="1021" w:type="dxa"/>
            <w:tcBorders>
              <w:top w:val="nil"/>
              <w:left w:val="nil"/>
              <w:bottom w:val="nil"/>
              <w:right w:val="nil"/>
            </w:tcBorders>
          </w:tcPr>
          <w:p w14:paraId="41D8BE01"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1.000</w:t>
            </w:r>
          </w:p>
        </w:tc>
        <w:tc>
          <w:tcPr>
            <w:tcW w:w="845" w:type="dxa"/>
            <w:tcBorders>
              <w:top w:val="nil"/>
              <w:left w:val="nil"/>
              <w:bottom w:val="nil"/>
              <w:right w:val="nil"/>
            </w:tcBorders>
          </w:tcPr>
          <w:p w14:paraId="32FE06CE" w14:textId="77777777" w:rsidR="00FA14FE" w:rsidRPr="00DE13EE" w:rsidRDefault="00FA14FE" w:rsidP="009D0993">
            <w:pPr>
              <w:rPr>
                <w:rFonts w:ascii="Times New Roman" w:hAnsi="Times New Roman" w:cs="Times New Roman"/>
                <w:color w:val="000000" w:themeColor="text1"/>
                <w:sz w:val="20"/>
                <w:szCs w:val="20"/>
              </w:rPr>
            </w:pPr>
          </w:p>
        </w:tc>
      </w:tr>
      <w:tr w:rsidR="00DE13EE" w:rsidRPr="00DE13EE" w14:paraId="4D1712AF" w14:textId="77777777" w:rsidTr="009D0993">
        <w:trPr>
          <w:trHeight w:val="70"/>
          <w:jc w:val="center"/>
        </w:trPr>
        <w:tc>
          <w:tcPr>
            <w:tcW w:w="2434" w:type="dxa"/>
            <w:vMerge/>
            <w:tcBorders>
              <w:top w:val="nil"/>
              <w:left w:val="nil"/>
              <w:bottom w:val="nil"/>
              <w:right w:val="nil"/>
            </w:tcBorders>
          </w:tcPr>
          <w:p w14:paraId="00DB1ED5" w14:textId="77777777" w:rsidR="00FA14FE" w:rsidRPr="00DE13EE" w:rsidRDefault="00FA14FE" w:rsidP="009D0993">
            <w:pPr>
              <w:rPr>
                <w:rFonts w:ascii="Times New Roman" w:hAnsi="Times New Roman" w:cs="Times New Roman"/>
                <w:color w:val="000000" w:themeColor="text1"/>
                <w:sz w:val="20"/>
                <w:szCs w:val="20"/>
              </w:rPr>
            </w:pPr>
          </w:p>
        </w:tc>
        <w:tc>
          <w:tcPr>
            <w:tcW w:w="1158" w:type="dxa"/>
            <w:tcBorders>
              <w:top w:val="nil"/>
              <w:left w:val="nil"/>
              <w:bottom w:val="nil"/>
              <w:right w:val="nil"/>
            </w:tcBorders>
          </w:tcPr>
          <w:p w14:paraId="713A7C3C"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(0.162)</w:t>
            </w:r>
          </w:p>
        </w:tc>
        <w:tc>
          <w:tcPr>
            <w:tcW w:w="1287" w:type="dxa"/>
            <w:tcBorders>
              <w:top w:val="nil"/>
              <w:left w:val="nil"/>
              <w:bottom w:val="nil"/>
              <w:right w:val="nil"/>
            </w:tcBorders>
          </w:tcPr>
          <w:p w14:paraId="6BBD061A"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(0.000)</w:t>
            </w:r>
          </w:p>
        </w:tc>
        <w:tc>
          <w:tcPr>
            <w:tcW w:w="1048" w:type="dxa"/>
            <w:tcBorders>
              <w:top w:val="nil"/>
              <w:left w:val="nil"/>
              <w:bottom w:val="nil"/>
              <w:right w:val="nil"/>
            </w:tcBorders>
          </w:tcPr>
          <w:p w14:paraId="4DA00603"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(0.000)</w:t>
            </w:r>
          </w:p>
        </w:tc>
        <w:tc>
          <w:tcPr>
            <w:tcW w:w="1050" w:type="dxa"/>
            <w:tcBorders>
              <w:top w:val="nil"/>
              <w:left w:val="nil"/>
              <w:bottom w:val="nil"/>
              <w:right w:val="nil"/>
            </w:tcBorders>
          </w:tcPr>
          <w:p w14:paraId="0F137098"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(0.000)</w:t>
            </w:r>
          </w:p>
        </w:tc>
        <w:tc>
          <w:tcPr>
            <w:tcW w:w="1048" w:type="dxa"/>
            <w:tcBorders>
              <w:top w:val="nil"/>
              <w:left w:val="nil"/>
              <w:bottom w:val="nil"/>
              <w:right w:val="nil"/>
            </w:tcBorders>
          </w:tcPr>
          <w:p w14:paraId="77D31FFA"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(.000)</w:t>
            </w:r>
          </w:p>
        </w:tc>
        <w:tc>
          <w:tcPr>
            <w:tcW w:w="1050" w:type="dxa"/>
            <w:tcBorders>
              <w:top w:val="nil"/>
              <w:left w:val="nil"/>
              <w:bottom w:val="nil"/>
              <w:right w:val="nil"/>
            </w:tcBorders>
          </w:tcPr>
          <w:p w14:paraId="797EB2D4"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(0.000)</w:t>
            </w:r>
          </w:p>
        </w:tc>
        <w:tc>
          <w:tcPr>
            <w:tcW w:w="1048" w:type="dxa"/>
            <w:tcBorders>
              <w:top w:val="nil"/>
              <w:left w:val="nil"/>
              <w:bottom w:val="nil"/>
              <w:right w:val="nil"/>
            </w:tcBorders>
          </w:tcPr>
          <w:p w14:paraId="0C9F5658"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(0.000)</w:t>
            </w:r>
          </w:p>
        </w:tc>
        <w:tc>
          <w:tcPr>
            <w:tcW w:w="1050" w:type="dxa"/>
            <w:tcBorders>
              <w:top w:val="nil"/>
              <w:left w:val="nil"/>
              <w:bottom w:val="nil"/>
              <w:right w:val="nil"/>
            </w:tcBorders>
          </w:tcPr>
          <w:p w14:paraId="57C03407"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(0.000)</w:t>
            </w:r>
          </w:p>
        </w:tc>
        <w:tc>
          <w:tcPr>
            <w:tcW w:w="1048" w:type="dxa"/>
            <w:tcBorders>
              <w:top w:val="nil"/>
              <w:left w:val="nil"/>
              <w:bottom w:val="nil"/>
              <w:right w:val="nil"/>
            </w:tcBorders>
          </w:tcPr>
          <w:p w14:paraId="0398C404"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(0.000)</w:t>
            </w:r>
          </w:p>
        </w:tc>
        <w:tc>
          <w:tcPr>
            <w:tcW w:w="1134" w:type="dxa"/>
            <w:tcBorders>
              <w:top w:val="nil"/>
              <w:left w:val="nil"/>
              <w:bottom w:val="nil"/>
              <w:right w:val="nil"/>
            </w:tcBorders>
          </w:tcPr>
          <w:p w14:paraId="16A48E45"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(0.615)</w:t>
            </w:r>
          </w:p>
        </w:tc>
        <w:tc>
          <w:tcPr>
            <w:tcW w:w="933" w:type="dxa"/>
            <w:tcBorders>
              <w:top w:val="nil"/>
              <w:left w:val="nil"/>
              <w:bottom w:val="nil"/>
              <w:right w:val="nil"/>
            </w:tcBorders>
          </w:tcPr>
          <w:p w14:paraId="41F2A51D"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(0.088)</w:t>
            </w:r>
          </w:p>
        </w:tc>
        <w:tc>
          <w:tcPr>
            <w:tcW w:w="1021" w:type="dxa"/>
            <w:tcBorders>
              <w:top w:val="nil"/>
              <w:left w:val="nil"/>
              <w:bottom w:val="nil"/>
              <w:right w:val="nil"/>
            </w:tcBorders>
          </w:tcPr>
          <w:p w14:paraId="14B51E48" w14:textId="77777777" w:rsidR="00FA14FE" w:rsidRPr="00DE13EE" w:rsidRDefault="00FA14FE" w:rsidP="009D0993">
            <w:pPr>
              <w:rPr>
                <w:rFonts w:ascii="Times New Roman" w:hAnsi="Times New Roman" w:cs="Times New Roman"/>
                <w:color w:val="000000" w:themeColor="text1"/>
                <w:sz w:val="20"/>
                <w:szCs w:val="20"/>
              </w:rPr>
            </w:pPr>
          </w:p>
        </w:tc>
        <w:tc>
          <w:tcPr>
            <w:tcW w:w="845" w:type="dxa"/>
            <w:tcBorders>
              <w:top w:val="nil"/>
              <w:left w:val="nil"/>
              <w:bottom w:val="nil"/>
              <w:right w:val="nil"/>
            </w:tcBorders>
          </w:tcPr>
          <w:p w14:paraId="03577458" w14:textId="77777777" w:rsidR="00FA14FE" w:rsidRPr="00DE13EE" w:rsidRDefault="00FA14FE" w:rsidP="009D0993">
            <w:pPr>
              <w:rPr>
                <w:rFonts w:ascii="Times New Roman" w:hAnsi="Times New Roman" w:cs="Times New Roman"/>
                <w:color w:val="000000" w:themeColor="text1"/>
                <w:sz w:val="20"/>
                <w:szCs w:val="20"/>
              </w:rPr>
            </w:pPr>
          </w:p>
        </w:tc>
      </w:tr>
      <w:tr w:rsidR="00DE13EE" w:rsidRPr="00DE13EE" w14:paraId="482D6CC2" w14:textId="77777777" w:rsidTr="009D0993">
        <w:trPr>
          <w:trHeight w:val="202"/>
          <w:jc w:val="center"/>
        </w:trPr>
        <w:tc>
          <w:tcPr>
            <w:tcW w:w="2434" w:type="dxa"/>
            <w:vMerge w:val="restart"/>
            <w:tcBorders>
              <w:top w:val="nil"/>
              <w:left w:val="nil"/>
              <w:bottom w:val="nil"/>
              <w:right w:val="nil"/>
            </w:tcBorders>
          </w:tcPr>
          <w:p w14:paraId="09349EB1" w14:textId="77777777" w:rsidR="00FA14FE" w:rsidRPr="00DE13EE" w:rsidRDefault="00FA14FE" w:rsidP="009D0993">
            <w:pPr>
              <w:rPr>
                <w:rFonts w:ascii="Times New Roman" w:hAnsi="Times New Roman" w:cs="Times New Roman"/>
                <w:b/>
                <w:bCs/>
                <w:color w:val="000000" w:themeColor="text1"/>
                <w:sz w:val="14"/>
                <w:szCs w:val="20"/>
              </w:rPr>
            </w:pPr>
          </w:p>
          <w:p w14:paraId="42B89AFB"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b/>
                <w:bCs/>
                <w:color w:val="000000" w:themeColor="text1"/>
                <w:sz w:val="20"/>
                <w:szCs w:val="20"/>
              </w:rPr>
              <w:t>(13) Auditor Size</w:t>
            </w:r>
            <w:r w:rsidRPr="00DE13EE">
              <w:rPr>
                <w:rFonts w:ascii="Times New Roman" w:hAnsi="Times New Roman" w:cs="Times New Roman"/>
                <w:color w:val="000000" w:themeColor="text1"/>
                <w:sz w:val="20"/>
                <w:szCs w:val="20"/>
              </w:rPr>
              <w:t xml:space="preserve"> </w:t>
            </w:r>
          </w:p>
        </w:tc>
        <w:tc>
          <w:tcPr>
            <w:tcW w:w="1158" w:type="dxa"/>
            <w:tcBorders>
              <w:top w:val="nil"/>
              <w:left w:val="nil"/>
              <w:bottom w:val="nil"/>
              <w:right w:val="nil"/>
            </w:tcBorders>
          </w:tcPr>
          <w:p w14:paraId="3F1E6F3E"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0.036*</w:t>
            </w:r>
          </w:p>
        </w:tc>
        <w:tc>
          <w:tcPr>
            <w:tcW w:w="1287" w:type="dxa"/>
            <w:tcBorders>
              <w:top w:val="nil"/>
              <w:left w:val="nil"/>
              <w:bottom w:val="nil"/>
              <w:right w:val="nil"/>
            </w:tcBorders>
          </w:tcPr>
          <w:p w14:paraId="0D9E721F"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-0.225***</w:t>
            </w:r>
          </w:p>
        </w:tc>
        <w:tc>
          <w:tcPr>
            <w:tcW w:w="1048" w:type="dxa"/>
            <w:tcBorders>
              <w:top w:val="nil"/>
              <w:left w:val="nil"/>
              <w:bottom w:val="nil"/>
              <w:right w:val="nil"/>
            </w:tcBorders>
          </w:tcPr>
          <w:p w14:paraId="128CC583"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0.453***</w:t>
            </w:r>
          </w:p>
        </w:tc>
        <w:tc>
          <w:tcPr>
            <w:tcW w:w="1050" w:type="dxa"/>
            <w:tcBorders>
              <w:top w:val="nil"/>
              <w:left w:val="nil"/>
              <w:bottom w:val="nil"/>
              <w:right w:val="nil"/>
            </w:tcBorders>
          </w:tcPr>
          <w:p w14:paraId="3D81F98C"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0.145***</w:t>
            </w:r>
          </w:p>
        </w:tc>
        <w:tc>
          <w:tcPr>
            <w:tcW w:w="1048" w:type="dxa"/>
            <w:tcBorders>
              <w:top w:val="nil"/>
              <w:left w:val="nil"/>
              <w:bottom w:val="nil"/>
              <w:right w:val="nil"/>
            </w:tcBorders>
          </w:tcPr>
          <w:p w14:paraId="3E4F4A39"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0.123***</w:t>
            </w:r>
          </w:p>
        </w:tc>
        <w:tc>
          <w:tcPr>
            <w:tcW w:w="1050" w:type="dxa"/>
            <w:tcBorders>
              <w:top w:val="nil"/>
              <w:left w:val="nil"/>
              <w:bottom w:val="nil"/>
              <w:right w:val="nil"/>
            </w:tcBorders>
          </w:tcPr>
          <w:p w14:paraId="02DF48CC"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0.227***</w:t>
            </w:r>
          </w:p>
        </w:tc>
        <w:tc>
          <w:tcPr>
            <w:tcW w:w="1048" w:type="dxa"/>
            <w:tcBorders>
              <w:top w:val="nil"/>
              <w:left w:val="nil"/>
              <w:bottom w:val="nil"/>
              <w:right w:val="nil"/>
            </w:tcBorders>
          </w:tcPr>
          <w:p w14:paraId="4AF876A7"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-0.227***</w:t>
            </w:r>
          </w:p>
        </w:tc>
        <w:tc>
          <w:tcPr>
            <w:tcW w:w="1050" w:type="dxa"/>
            <w:tcBorders>
              <w:top w:val="nil"/>
              <w:left w:val="nil"/>
              <w:bottom w:val="nil"/>
              <w:right w:val="nil"/>
            </w:tcBorders>
          </w:tcPr>
          <w:p w14:paraId="38ECB585"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0.161***</w:t>
            </w:r>
          </w:p>
        </w:tc>
        <w:tc>
          <w:tcPr>
            <w:tcW w:w="1048" w:type="dxa"/>
            <w:tcBorders>
              <w:top w:val="nil"/>
              <w:left w:val="nil"/>
              <w:bottom w:val="nil"/>
              <w:right w:val="nil"/>
            </w:tcBorders>
          </w:tcPr>
          <w:p w14:paraId="6BFC796B"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-.0313***</w:t>
            </w:r>
          </w:p>
        </w:tc>
        <w:tc>
          <w:tcPr>
            <w:tcW w:w="1134" w:type="dxa"/>
            <w:tcBorders>
              <w:top w:val="nil"/>
              <w:left w:val="nil"/>
              <w:bottom w:val="nil"/>
              <w:right w:val="nil"/>
            </w:tcBorders>
          </w:tcPr>
          <w:p w14:paraId="4FCAF05C"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-0.010</w:t>
            </w:r>
          </w:p>
        </w:tc>
        <w:tc>
          <w:tcPr>
            <w:tcW w:w="933" w:type="dxa"/>
            <w:tcBorders>
              <w:top w:val="nil"/>
              <w:left w:val="nil"/>
              <w:bottom w:val="nil"/>
              <w:right w:val="nil"/>
            </w:tcBorders>
          </w:tcPr>
          <w:p w14:paraId="3773E83E"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.089***</w:t>
            </w:r>
          </w:p>
        </w:tc>
        <w:tc>
          <w:tcPr>
            <w:tcW w:w="1021" w:type="dxa"/>
            <w:tcBorders>
              <w:top w:val="nil"/>
              <w:left w:val="nil"/>
              <w:bottom w:val="nil"/>
              <w:right w:val="nil"/>
            </w:tcBorders>
          </w:tcPr>
          <w:p w14:paraId="74A15ECC"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0.168***</w:t>
            </w:r>
          </w:p>
        </w:tc>
        <w:tc>
          <w:tcPr>
            <w:tcW w:w="845" w:type="dxa"/>
            <w:tcBorders>
              <w:top w:val="nil"/>
              <w:left w:val="nil"/>
              <w:bottom w:val="nil"/>
              <w:right w:val="nil"/>
            </w:tcBorders>
          </w:tcPr>
          <w:p w14:paraId="6DBEB4DD"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1.000</w:t>
            </w:r>
          </w:p>
        </w:tc>
      </w:tr>
      <w:tr w:rsidR="00DE13EE" w:rsidRPr="00DE13EE" w14:paraId="3ACC1B13" w14:textId="77777777" w:rsidTr="009D0993">
        <w:trPr>
          <w:trHeight w:val="264"/>
          <w:jc w:val="center"/>
        </w:trPr>
        <w:tc>
          <w:tcPr>
            <w:tcW w:w="2434" w:type="dxa"/>
            <w:vMerge/>
            <w:tcBorders>
              <w:top w:val="nil"/>
              <w:left w:val="nil"/>
              <w:bottom w:val="single" w:sz="4" w:space="0" w:color="auto"/>
              <w:right w:val="nil"/>
            </w:tcBorders>
          </w:tcPr>
          <w:p w14:paraId="11B22CAA" w14:textId="77777777" w:rsidR="00FA14FE" w:rsidRPr="00DE13EE" w:rsidRDefault="00FA14FE" w:rsidP="009D0993">
            <w:pPr>
              <w:rPr>
                <w:rFonts w:ascii="Times New Roman" w:hAnsi="Times New Roman" w:cs="Times New Roman"/>
                <w:color w:val="000000" w:themeColor="text1"/>
                <w:sz w:val="20"/>
                <w:szCs w:val="20"/>
              </w:rPr>
            </w:pPr>
          </w:p>
        </w:tc>
        <w:tc>
          <w:tcPr>
            <w:tcW w:w="1158" w:type="dxa"/>
            <w:tcBorders>
              <w:top w:val="nil"/>
              <w:left w:val="nil"/>
              <w:bottom w:val="single" w:sz="4" w:space="0" w:color="auto"/>
              <w:right w:val="nil"/>
            </w:tcBorders>
          </w:tcPr>
          <w:p w14:paraId="7B683598"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(0.081)</w:t>
            </w:r>
          </w:p>
        </w:tc>
        <w:tc>
          <w:tcPr>
            <w:tcW w:w="1287" w:type="dxa"/>
            <w:tcBorders>
              <w:top w:val="nil"/>
              <w:left w:val="nil"/>
              <w:bottom w:val="single" w:sz="4" w:space="0" w:color="auto"/>
              <w:right w:val="nil"/>
            </w:tcBorders>
          </w:tcPr>
          <w:p w14:paraId="67DCFF21"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(0.000)</w:t>
            </w:r>
          </w:p>
        </w:tc>
        <w:tc>
          <w:tcPr>
            <w:tcW w:w="1048" w:type="dxa"/>
            <w:tcBorders>
              <w:top w:val="nil"/>
              <w:left w:val="nil"/>
              <w:bottom w:val="single" w:sz="4" w:space="0" w:color="auto"/>
              <w:right w:val="nil"/>
            </w:tcBorders>
          </w:tcPr>
          <w:p w14:paraId="24347905"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(0.000)</w:t>
            </w:r>
          </w:p>
        </w:tc>
        <w:tc>
          <w:tcPr>
            <w:tcW w:w="1050" w:type="dxa"/>
            <w:tcBorders>
              <w:top w:val="nil"/>
              <w:left w:val="nil"/>
              <w:bottom w:val="single" w:sz="4" w:space="0" w:color="auto"/>
              <w:right w:val="nil"/>
            </w:tcBorders>
          </w:tcPr>
          <w:p w14:paraId="0C137B1A"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(0.000)</w:t>
            </w:r>
          </w:p>
        </w:tc>
        <w:tc>
          <w:tcPr>
            <w:tcW w:w="1048" w:type="dxa"/>
            <w:tcBorders>
              <w:top w:val="nil"/>
              <w:left w:val="nil"/>
              <w:bottom w:val="single" w:sz="4" w:space="0" w:color="auto"/>
              <w:right w:val="nil"/>
            </w:tcBorders>
          </w:tcPr>
          <w:p w14:paraId="62665675"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(0.000)</w:t>
            </w:r>
          </w:p>
        </w:tc>
        <w:tc>
          <w:tcPr>
            <w:tcW w:w="1050" w:type="dxa"/>
            <w:tcBorders>
              <w:top w:val="nil"/>
              <w:left w:val="nil"/>
              <w:bottom w:val="single" w:sz="4" w:space="0" w:color="auto"/>
              <w:right w:val="nil"/>
            </w:tcBorders>
          </w:tcPr>
          <w:p w14:paraId="0B0FA152"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(0.000)</w:t>
            </w:r>
          </w:p>
        </w:tc>
        <w:tc>
          <w:tcPr>
            <w:tcW w:w="1048" w:type="dxa"/>
            <w:tcBorders>
              <w:top w:val="nil"/>
              <w:left w:val="nil"/>
              <w:bottom w:val="single" w:sz="4" w:space="0" w:color="auto"/>
              <w:right w:val="nil"/>
            </w:tcBorders>
          </w:tcPr>
          <w:p w14:paraId="71AC7FF5"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(0.000)</w:t>
            </w:r>
          </w:p>
        </w:tc>
        <w:tc>
          <w:tcPr>
            <w:tcW w:w="1050" w:type="dxa"/>
            <w:tcBorders>
              <w:top w:val="nil"/>
              <w:left w:val="nil"/>
              <w:bottom w:val="single" w:sz="4" w:space="0" w:color="auto"/>
              <w:right w:val="nil"/>
            </w:tcBorders>
          </w:tcPr>
          <w:p w14:paraId="01B5CA8D"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(0.000)</w:t>
            </w:r>
          </w:p>
        </w:tc>
        <w:tc>
          <w:tcPr>
            <w:tcW w:w="1048" w:type="dxa"/>
            <w:tcBorders>
              <w:top w:val="nil"/>
              <w:left w:val="nil"/>
              <w:bottom w:val="single" w:sz="4" w:space="0" w:color="auto"/>
              <w:right w:val="nil"/>
            </w:tcBorders>
          </w:tcPr>
          <w:p w14:paraId="3628301B"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(0.000)</w:t>
            </w:r>
          </w:p>
        </w:tc>
        <w:tc>
          <w:tcPr>
            <w:tcW w:w="1134" w:type="dxa"/>
            <w:tcBorders>
              <w:top w:val="nil"/>
              <w:left w:val="nil"/>
              <w:bottom w:val="single" w:sz="4" w:space="0" w:color="auto"/>
              <w:right w:val="nil"/>
            </w:tcBorders>
          </w:tcPr>
          <w:p w14:paraId="3ECA4E15"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(0.628)</w:t>
            </w:r>
          </w:p>
        </w:tc>
        <w:tc>
          <w:tcPr>
            <w:tcW w:w="933" w:type="dxa"/>
            <w:tcBorders>
              <w:top w:val="nil"/>
              <w:left w:val="nil"/>
              <w:bottom w:val="single" w:sz="4" w:space="0" w:color="auto"/>
              <w:right w:val="nil"/>
            </w:tcBorders>
          </w:tcPr>
          <w:p w14:paraId="7222570A"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(0.000)</w:t>
            </w:r>
          </w:p>
        </w:tc>
        <w:tc>
          <w:tcPr>
            <w:tcW w:w="1021" w:type="dxa"/>
            <w:tcBorders>
              <w:top w:val="nil"/>
              <w:left w:val="nil"/>
              <w:bottom w:val="single" w:sz="4" w:space="0" w:color="auto"/>
              <w:right w:val="nil"/>
            </w:tcBorders>
          </w:tcPr>
          <w:p w14:paraId="2A720B8D"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(0.000)</w:t>
            </w:r>
          </w:p>
        </w:tc>
        <w:tc>
          <w:tcPr>
            <w:tcW w:w="845" w:type="dxa"/>
            <w:tcBorders>
              <w:top w:val="nil"/>
              <w:left w:val="nil"/>
              <w:bottom w:val="single" w:sz="4" w:space="0" w:color="auto"/>
              <w:right w:val="nil"/>
            </w:tcBorders>
          </w:tcPr>
          <w:p w14:paraId="7431EFDE" w14:textId="77777777" w:rsidR="00FA14FE" w:rsidRPr="00DE13EE" w:rsidRDefault="00FA14FE" w:rsidP="009D0993">
            <w:pPr>
              <w:rPr>
                <w:rFonts w:ascii="Times New Roman" w:hAnsi="Times New Roman" w:cs="Times New Roman"/>
                <w:color w:val="000000" w:themeColor="text1"/>
                <w:sz w:val="20"/>
                <w:szCs w:val="20"/>
              </w:rPr>
            </w:pPr>
          </w:p>
        </w:tc>
      </w:tr>
      <w:tr w:rsidR="00DE13EE" w:rsidRPr="00DE13EE" w14:paraId="412EC214" w14:textId="77777777" w:rsidTr="009D0993">
        <w:trPr>
          <w:trHeight w:val="264"/>
          <w:jc w:val="center"/>
        </w:trPr>
        <w:tc>
          <w:tcPr>
            <w:tcW w:w="16154" w:type="dxa"/>
            <w:gridSpan w:val="14"/>
            <w:tcBorders>
              <w:left w:val="nil"/>
              <w:bottom w:val="nil"/>
              <w:right w:val="nil"/>
            </w:tcBorders>
          </w:tcPr>
          <w:p w14:paraId="43377275"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b/>
                <w:color w:val="000000" w:themeColor="text1"/>
                <w:sz w:val="20"/>
                <w:szCs w:val="20"/>
              </w:rPr>
              <w:t>Notes</w:t>
            </w:r>
            <w:r w:rsidRPr="00DE13EE">
              <w:rPr>
                <w:rFonts w:ascii="Times New Roman" w:hAnsi="Times New Roman" w:cs="Times New Roman"/>
                <w:color w:val="000000" w:themeColor="text1"/>
                <w:sz w:val="20"/>
                <w:szCs w:val="20"/>
              </w:rPr>
              <w:t>: This Table presents the Pearson Correlation Matrix among all variables.</w:t>
            </w:r>
          </w:p>
        </w:tc>
      </w:tr>
      <w:tr w:rsidR="00DE13EE" w:rsidRPr="00DE13EE" w14:paraId="3A694AF3" w14:textId="77777777" w:rsidTr="009D0993">
        <w:trPr>
          <w:trHeight w:val="264"/>
          <w:jc w:val="center"/>
        </w:trPr>
        <w:tc>
          <w:tcPr>
            <w:tcW w:w="16154" w:type="dxa"/>
            <w:gridSpan w:val="14"/>
            <w:tcBorders>
              <w:top w:val="nil"/>
              <w:left w:val="nil"/>
              <w:bottom w:val="nil"/>
              <w:right w:val="nil"/>
            </w:tcBorders>
          </w:tcPr>
          <w:p w14:paraId="39D84F5C"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Variables’ definitions and measurements are the same as summarized in Appendix (2).</w:t>
            </w:r>
          </w:p>
        </w:tc>
      </w:tr>
      <w:tr w:rsidR="00FA14FE" w:rsidRPr="00DE13EE" w14:paraId="16AD48FE" w14:textId="77777777" w:rsidTr="009D0993">
        <w:trPr>
          <w:trHeight w:val="264"/>
          <w:jc w:val="center"/>
        </w:trPr>
        <w:tc>
          <w:tcPr>
            <w:tcW w:w="16154" w:type="dxa"/>
            <w:gridSpan w:val="14"/>
            <w:tcBorders>
              <w:top w:val="nil"/>
              <w:left w:val="nil"/>
              <w:bottom w:val="nil"/>
              <w:right w:val="nil"/>
            </w:tcBorders>
          </w:tcPr>
          <w:p w14:paraId="746D0D89" w14:textId="77777777" w:rsidR="00FA14FE" w:rsidRPr="00DE13EE" w:rsidRDefault="00FA14FE" w:rsidP="009D0993">
            <w:pPr>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 **, and * indicate significance at 0.01, 0.05, and 0.1, respectively.</w:t>
            </w:r>
          </w:p>
        </w:tc>
      </w:tr>
    </w:tbl>
    <w:p w14:paraId="10D5F472" w14:textId="77777777" w:rsidR="00FA14FE" w:rsidRPr="00DE13EE" w:rsidRDefault="00FA14FE" w:rsidP="00FA14FE">
      <w:pPr>
        <w:spacing w:before="120" w:after="400"/>
        <w:rPr>
          <w:rFonts w:ascii="Times New Roman" w:eastAsia="SimHei" w:hAnsi="Times New Roman" w:cs="Times New Roman"/>
          <w:color w:val="000000" w:themeColor="text1"/>
          <w:sz w:val="24"/>
          <w:szCs w:val="24"/>
        </w:rPr>
      </w:pPr>
    </w:p>
    <w:p w14:paraId="7B0F676B" w14:textId="77777777" w:rsidR="00FA14FE" w:rsidRPr="00DE13EE" w:rsidRDefault="00FA14FE" w:rsidP="00FA14FE">
      <w:pPr>
        <w:rPr>
          <w:rFonts w:ascii="Times New Roman" w:eastAsia="SimHei" w:hAnsi="Times New Roman" w:cs="Times New Roman"/>
          <w:color w:val="000000" w:themeColor="text1"/>
          <w:sz w:val="24"/>
          <w:szCs w:val="24"/>
        </w:rPr>
        <w:sectPr w:rsidR="00FA14FE" w:rsidRPr="00DE13EE" w:rsidSect="000A0153">
          <w:endnotePr>
            <w:numFmt w:val="decimal"/>
          </w:endnotePr>
          <w:pgSz w:w="16838" w:h="11906" w:orient="landscape"/>
          <w:pgMar w:top="1440" w:right="1440" w:bottom="1440" w:left="1440" w:header="709" w:footer="709" w:gutter="0"/>
          <w:cols w:space="708"/>
          <w:docGrid w:linePitch="360"/>
        </w:sectPr>
      </w:pPr>
    </w:p>
    <w:tbl>
      <w:tblPr>
        <w:tblStyle w:val="TableGrid3"/>
        <w:tblW w:w="9354" w:type="dxa"/>
        <w:jc w:val="center"/>
        <w:tblLayout w:type="fixed"/>
        <w:tblLook w:val="04A0" w:firstRow="1" w:lastRow="0" w:firstColumn="1" w:lastColumn="0" w:noHBand="0" w:noVBand="1"/>
      </w:tblPr>
      <w:tblGrid>
        <w:gridCol w:w="2926"/>
        <w:gridCol w:w="1501"/>
        <w:gridCol w:w="1092"/>
        <w:gridCol w:w="1711"/>
        <w:gridCol w:w="2124"/>
      </w:tblGrid>
      <w:tr w:rsidR="00DE13EE" w:rsidRPr="00DE13EE" w14:paraId="49B87D1F" w14:textId="77777777" w:rsidTr="009D0993">
        <w:trPr>
          <w:trHeight w:val="404"/>
          <w:jc w:val="center"/>
        </w:trPr>
        <w:tc>
          <w:tcPr>
            <w:tcW w:w="9354" w:type="dxa"/>
            <w:gridSpan w:val="5"/>
            <w:tcBorders>
              <w:top w:val="nil"/>
              <w:left w:val="nil"/>
              <w:bottom w:val="single" w:sz="4" w:space="0" w:color="auto"/>
              <w:right w:val="nil"/>
            </w:tcBorders>
          </w:tcPr>
          <w:p w14:paraId="18FF61F2" w14:textId="77777777" w:rsidR="00FA14FE" w:rsidRPr="00DE13EE" w:rsidRDefault="00FA14FE" w:rsidP="009D0993">
            <w:pPr>
              <w:rPr>
                <w:rFonts w:ascii="Times New Roman" w:hAnsi="Times New Roman" w:cs="Times New Roman"/>
                <w:b/>
                <w:bCs/>
                <w:color w:val="000000" w:themeColor="text1"/>
                <w:sz w:val="20"/>
                <w:szCs w:val="20"/>
              </w:rPr>
            </w:pPr>
            <w:r w:rsidRPr="00DE13EE">
              <w:rPr>
                <w:rFonts w:ascii="Times New Roman" w:hAnsi="Times New Roman" w:cs="Times New Roman"/>
                <w:b/>
                <w:bCs/>
                <w:color w:val="000000" w:themeColor="text1"/>
                <w:sz w:val="20"/>
                <w:szCs w:val="20"/>
              </w:rPr>
              <w:lastRenderedPageBreak/>
              <w:t xml:space="preserve">Table (4): Models (1) &amp; (2) results: FLD impact on values of FTSE all-shares firms </w:t>
            </w:r>
          </w:p>
          <w:p w14:paraId="185D2DF3" w14:textId="77777777" w:rsidR="00FA14FE" w:rsidRPr="00DE13EE" w:rsidRDefault="00FA14FE" w:rsidP="009D0993">
            <w:pPr>
              <w:rPr>
                <w:rFonts w:ascii="Times New Roman" w:hAnsi="Times New Roman" w:cs="Times New Roman"/>
                <w:b/>
                <w:bCs/>
                <w:color w:val="000000" w:themeColor="text1"/>
                <w:sz w:val="20"/>
                <w:szCs w:val="20"/>
              </w:rPr>
            </w:pPr>
          </w:p>
        </w:tc>
      </w:tr>
      <w:tr w:rsidR="00DE13EE" w:rsidRPr="00DE13EE" w14:paraId="3FB8CD53" w14:textId="77777777" w:rsidTr="009D0993">
        <w:trPr>
          <w:trHeight w:val="404"/>
          <w:jc w:val="center"/>
        </w:trPr>
        <w:tc>
          <w:tcPr>
            <w:tcW w:w="2926" w:type="dxa"/>
            <w:tcBorders>
              <w:left w:val="nil"/>
              <w:right w:val="nil"/>
            </w:tcBorders>
          </w:tcPr>
          <w:p w14:paraId="45A4F0CB" w14:textId="77777777" w:rsidR="00FA14FE" w:rsidRPr="00DE13EE" w:rsidRDefault="00FA14FE" w:rsidP="009D0993">
            <w:pPr>
              <w:rPr>
                <w:rFonts w:ascii="Times New Roman" w:hAnsi="Times New Roman" w:cs="Times New Roman"/>
                <w:b/>
                <w:bCs/>
                <w:color w:val="000000" w:themeColor="text1"/>
                <w:sz w:val="20"/>
                <w:szCs w:val="20"/>
              </w:rPr>
            </w:pPr>
          </w:p>
        </w:tc>
        <w:tc>
          <w:tcPr>
            <w:tcW w:w="1501" w:type="dxa"/>
            <w:tcBorders>
              <w:left w:val="nil"/>
              <w:right w:val="nil"/>
            </w:tcBorders>
          </w:tcPr>
          <w:p w14:paraId="63B6701D" w14:textId="77777777" w:rsidR="00FA14FE" w:rsidRPr="00DE13EE" w:rsidRDefault="00FA14FE" w:rsidP="009D0993">
            <w:pPr>
              <w:rPr>
                <w:rFonts w:ascii="Times New Roman" w:hAnsi="Times New Roman" w:cs="Times New Roman"/>
                <w:b/>
                <w:bCs/>
                <w:color w:val="000000" w:themeColor="text1"/>
                <w:sz w:val="20"/>
                <w:szCs w:val="20"/>
              </w:rPr>
            </w:pPr>
          </w:p>
        </w:tc>
        <w:tc>
          <w:tcPr>
            <w:tcW w:w="1092" w:type="dxa"/>
            <w:tcBorders>
              <w:left w:val="nil"/>
              <w:right w:val="nil"/>
            </w:tcBorders>
          </w:tcPr>
          <w:p w14:paraId="68F7F69A" w14:textId="77777777" w:rsidR="00FA14FE" w:rsidRPr="00DE13EE" w:rsidRDefault="00FA14FE" w:rsidP="009D0993">
            <w:pPr>
              <w:jc w:val="center"/>
              <w:rPr>
                <w:rFonts w:ascii="Times New Roman" w:hAnsi="Times New Roman" w:cs="Times New Roman"/>
                <w:b/>
                <w:bCs/>
                <w:color w:val="000000" w:themeColor="text1"/>
                <w:sz w:val="20"/>
                <w:szCs w:val="20"/>
              </w:rPr>
            </w:pPr>
          </w:p>
        </w:tc>
        <w:tc>
          <w:tcPr>
            <w:tcW w:w="1711" w:type="dxa"/>
            <w:tcBorders>
              <w:left w:val="nil"/>
              <w:right w:val="nil"/>
            </w:tcBorders>
            <w:vAlign w:val="center"/>
          </w:tcPr>
          <w:p w14:paraId="0BBC6BA2" w14:textId="77777777" w:rsidR="00FA14FE" w:rsidRPr="00DE13EE" w:rsidRDefault="00FA14FE" w:rsidP="009D0993">
            <w:pPr>
              <w:rPr>
                <w:rFonts w:ascii="Times New Roman" w:hAnsi="Times New Roman" w:cs="Times New Roman"/>
                <w:b/>
                <w:bCs/>
                <w:color w:val="000000" w:themeColor="text1"/>
                <w:sz w:val="20"/>
                <w:szCs w:val="20"/>
              </w:rPr>
            </w:pPr>
            <w:r w:rsidRPr="00DE13EE">
              <w:rPr>
                <w:rFonts w:ascii="Times New Roman" w:hAnsi="Times New Roman" w:cs="Times New Roman"/>
                <w:b/>
                <w:bCs/>
                <w:color w:val="000000" w:themeColor="text1"/>
                <w:sz w:val="20"/>
                <w:szCs w:val="20"/>
              </w:rPr>
              <w:t>Fixed-effect Model (1)</w:t>
            </w:r>
          </w:p>
          <w:p w14:paraId="5679D8BA" w14:textId="77777777" w:rsidR="00FA14FE" w:rsidRPr="00DE13EE" w:rsidRDefault="00FA14FE" w:rsidP="009D0993">
            <w:pPr>
              <w:rPr>
                <w:rFonts w:ascii="Times New Roman" w:hAnsi="Times New Roman" w:cs="Times New Roman"/>
                <w:b/>
                <w:bCs/>
                <w:color w:val="000000" w:themeColor="text1"/>
                <w:sz w:val="20"/>
                <w:szCs w:val="20"/>
              </w:rPr>
            </w:pPr>
          </w:p>
        </w:tc>
        <w:tc>
          <w:tcPr>
            <w:tcW w:w="2124" w:type="dxa"/>
            <w:tcBorders>
              <w:left w:val="nil"/>
              <w:right w:val="nil"/>
            </w:tcBorders>
          </w:tcPr>
          <w:p w14:paraId="1B7C3E3A" w14:textId="77777777" w:rsidR="00FA14FE" w:rsidRPr="00DE13EE" w:rsidRDefault="00FA14FE" w:rsidP="009D0993">
            <w:pPr>
              <w:rPr>
                <w:rFonts w:ascii="Times New Roman" w:hAnsi="Times New Roman" w:cs="Times New Roman"/>
                <w:b/>
                <w:bCs/>
                <w:color w:val="000000" w:themeColor="text1"/>
                <w:sz w:val="20"/>
                <w:szCs w:val="20"/>
              </w:rPr>
            </w:pPr>
            <w:r w:rsidRPr="00DE13EE">
              <w:rPr>
                <w:rFonts w:ascii="Times New Roman" w:hAnsi="Times New Roman" w:cs="Times New Roman"/>
                <w:b/>
                <w:bCs/>
                <w:color w:val="000000" w:themeColor="text1"/>
                <w:sz w:val="20"/>
                <w:szCs w:val="20"/>
              </w:rPr>
              <w:t>Random-effect</w:t>
            </w:r>
          </w:p>
          <w:p w14:paraId="086BE4B5" w14:textId="77777777" w:rsidR="00FA14FE" w:rsidRPr="00DE13EE" w:rsidRDefault="00FA14FE" w:rsidP="009D0993">
            <w:pPr>
              <w:rPr>
                <w:rFonts w:ascii="Times New Roman" w:hAnsi="Times New Roman" w:cs="Times New Roman"/>
                <w:b/>
                <w:bCs/>
                <w:color w:val="000000" w:themeColor="text1"/>
                <w:sz w:val="20"/>
                <w:szCs w:val="20"/>
              </w:rPr>
            </w:pPr>
            <w:r w:rsidRPr="00DE13EE">
              <w:rPr>
                <w:rFonts w:ascii="Times New Roman" w:hAnsi="Times New Roman" w:cs="Times New Roman"/>
                <w:b/>
                <w:bCs/>
                <w:color w:val="000000" w:themeColor="text1"/>
                <w:sz w:val="20"/>
                <w:szCs w:val="20"/>
              </w:rPr>
              <w:t xml:space="preserve"> Model (2) </w:t>
            </w:r>
          </w:p>
          <w:p w14:paraId="2E31989F" w14:textId="77777777" w:rsidR="00FA14FE" w:rsidRPr="00DE13EE" w:rsidRDefault="00FA14FE" w:rsidP="009D0993">
            <w:pPr>
              <w:rPr>
                <w:rFonts w:ascii="Times New Roman" w:hAnsi="Times New Roman" w:cs="Times New Roman"/>
                <w:b/>
                <w:bCs/>
                <w:color w:val="000000" w:themeColor="text1"/>
                <w:sz w:val="20"/>
                <w:szCs w:val="20"/>
              </w:rPr>
            </w:pPr>
          </w:p>
        </w:tc>
      </w:tr>
      <w:tr w:rsidR="00DE13EE" w:rsidRPr="00DE13EE" w14:paraId="30594098" w14:textId="77777777" w:rsidTr="009D0993">
        <w:trPr>
          <w:trHeight w:val="404"/>
          <w:jc w:val="center"/>
        </w:trPr>
        <w:tc>
          <w:tcPr>
            <w:tcW w:w="2926" w:type="dxa"/>
            <w:tcBorders>
              <w:left w:val="nil"/>
              <w:bottom w:val="single" w:sz="4" w:space="0" w:color="auto"/>
              <w:right w:val="nil"/>
            </w:tcBorders>
          </w:tcPr>
          <w:p w14:paraId="2FA9C085" w14:textId="77777777" w:rsidR="00FA14FE" w:rsidRPr="00DE13EE" w:rsidRDefault="00FA14FE" w:rsidP="009D0993">
            <w:pPr>
              <w:rPr>
                <w:rFonts w:ascii="Times New Roman" w:hAnsi="Times New Roman" w:cs="Times New Roman"/>
                <w:b/>
                <w:bCs/>
                <w:color w:val="000000" w:themeColor="text1"/>
                <w:sz w:val="20"/>
                <w:szCs w:val="20"/>
              </w:rPr>
            </w:pPr>
          </w:p>
        </w:tc>
        <w:tc>
          <w:tcPr>
            <w:tcW w:w="1501" w:type="dxa"/>
            <w:tcBorders>
              <w:left w:val="nil"/>
              <w:bottom w:val="single" w:sz="4" w:space="0" w:color="auto"/>
              <w:right w:val="nil"/>
            </w:tcBorders>
            <w:vAlign w:val="center"/>
            <w:hideMark/>
          </w:tcPr>
          <w:p w14:paraId="1E4B8037" w14:textId="77777777" w:rsidR="00FA14FE" w:rsidRPr="00DE13EE" w:rsidRDefault="00FA14FE" w:rsidP="009D0993">
            <w:pPr>
              <w:rPr>
                <w:rFonts w:ascii="Times New Roman" w:hAnsi="Times New Roman" w:cs="Times New Roman"/>
                <w:b/>
                <w:bCs/>
                <w:color w:val="000000" w:themeColor="text1"/>
                <w:sz w:val="20"/>
                <w:szCs w:val="20"/>
              </w:rPr>
            </w:pPr>
            <w:r w:rsidRPr="00DE13EE">
              <w:rPr>
                <w:rFonts w:ascii="Times New Roman" w:hAnsi="Times New Roman" w:cs="Times New Roman"/>
                <w:b/>
                <w:bCs/>
                <w:color w:val="000000" w:themeColor="text1"/>
                <w:sz w:val="20"/>
                <w:szCs w:val="20"/>
              </w:rPr>
              <w:t>Independent Variables</w:t>
            </w:r>
          </w:p>
          <w:p w14:paraId="518285E9" w14:textId="77777777" w:rsidR="00FA14FE" w:rsidRPr="00DE13EE" w:rsidRDefault="00FA14FE" w:rsidP="009D0993">
            <w:pPr>
              <w:rPr>
                <w:rFonts w:ascii="Times New Roman" w:hAnsi="Times New Roman" w:cs="Times New Roman"/>
                <w:b/>
                <w:bCs/>
                <w:color w:val="000000" w:themeColor="text1"/>
                <w:sz w:val="20"/>
                <w:szCs w:val="20"/>
              </w:rPr>
            </w:pPr>
          </w:p>
        </w:tc>
        <w:tc>
          <w:tcPr>
            <w:tcW w:w="1092" w:type="dxa"/>
            <w:tcBorders>
              <w:left w:val="nil"/>
              <w:bottom w:val="single" w:sz="4" w:space="0" w:color="auto"/>
              <w:right w:val="nil"/>
            </w:tcBorders>
            <w:vAlign w:val="center"/>
            <w:hideMark/>
          </w:tcPr>
          <w:p w14:paraId="175823DF" w14:textId="77777777" w:rsidR="00FA14FE" w:rsidRPr="00DE13EE" w:rsidRDefault="00FA14FE" w:rsidP="009D0993">
            <w:pPr>
              <w:rPr>
                <w:rFonts w:ascii="Times New Roman" w:hAnsi="Times New Roman" w:cs="Times New Roman"/>
                <w:b/>
                <w:bCs/>
                <w:color w:val="000000" w:themeColor="text1"/>
                <w:sz w:val="20"/>
                <w:szCs w:val="20"/>
              </w:rPr>
            </w:pPr>
            <w:r w:rsidRPr="00DE13EE">
              <w:rPr>
                <w:rFonts w:ascii="Times New Roman" w:hAnsi="Times New Roman" w:cs="Times New Roman"/>
                <w:b/>
                <w:bCs/>
                <w:color w:val="000000" w:themeColor="text1"/>
                <w:sz w:val="20"/>
                <w:szCs w:val="20"/>
              </w:rPr>
              <w:t>Pred.</w:t>
            </w:r>
            <w:r w:rsidRPr="00DE13EE">
              <w:rPr>
                <w:rFonts w:ascii="Times New Roman" w:hAnsi="Times New Roman" w:cs="Times New Roman"/>
                <w:b/>
                <w:bCs/>
                <w:color w:val="000000" w:themeColor="text1"/>
                <w:sz w:val="20"/>
                <w:szCs w:val="20"/>
              </w:rPr>
              <w:br/>
              <w:t>Sign</w:t>
            </w:r>
          </w:p>
          <w:p w14:paraId="2B64EEE4" w14:textId="77777777" w:rsidR="00FA14FE" w:rsidRPr="00DE13EE" w:rsidRDefault="00FA14FE" w:rsidP="009D0993">
            <w:pPr>
              <w:rPr>
                <w:rFonts w:ascii="Times New Roman" w:hAnsi="Times New Roman" w:cs="Times New Roman"/>
                <w:b/>
                <w:bCs/>
                <w:color w:val="000000" w:themeColor="text1"/>
                <w:sz w:val="20"/>
                <w:szCs w:val="20"/>
              </w:rPr>
            </w:pPr>
          </w:p>
        </w:tc>
        <w:tc>
          <w:tcPr>
            <w:tcW w:w="1711" w:type="dxa"/>
            <w:tcBorders>
              <w:left w:val="nil"/>
              <w:bottom w:val="single" w:sz="4" w:space="0" w:color="auto"/>
              <w:right w:val="nil"/>
            </w:tcBorders>
            <w:vAlign w:val="center"/>
          </w:tcPr>
          <w:p w14:paraId="5A2D623D" w14:textId="77777777" w:rsidR="00FA14FE" w:rsidRPr="00DE13EE" w:rsidRDefault="00FA14FE" w:rsidP="009D0993">
            <w:pPr>
              <w:rPr>
                <w:rFonts w:ascii="Times New Roman" w:hAnsi="Times New Roman" w:cs="Times New Roman"/>
                <w:b/>
                <w:bCs/>
                <w:color w:val="000000" w:themeColor="text1"/>
                <w:sz w:val="20"/>
                <w:szCs w:val="20"/>
              </w:rPr>
            </w:pPr>
            <w:r w:rsidRPr="00DE13EE">
              <w:rPr>
                <w:rFonts w:ascii="Times New Roman" w:hAnsi="Times New Roman" w:cs="Times New Roman"/>
                <w:b/>
                <w:bCs/>
                <w:color w:val="000000" w:themeColor="text1"/>
                <w:sz w:val="20"/>
                <w:szCs w:val="20"/>
              </w:rPr>
              <w:t>Coefficient</w:t>
            </w:r>
          </w:p>
          <w:p w14:paraId="1A1EADF5" w14:textId="77777777" w:rsidR="00FA14FE" w:rsidRPr="00DE13EE" w:rsidRDefault="00FA14FE" w:rsidP="009D0993">
            <w:pPr>
              <w:rPr>
                <w:rFonts w:ascii="Times New Roman" w:hAnsi="Times New Roman" w:cs="Times New Roman"/>
                <w:b/>
                <w:bCs/>
                <w:color w:val="000000" w:themeColor="text1"/>
                <w:sz w:val="20"/>
                <w:szCs w:val="20"/>
              </w:rPr>
            </w:pPr>
            <w:r w:rsidRPr="00DE13EE">
              <w:rPr>
                <w:rFonts w:ascii="Times New Roman" w:hAnsi="Times New Roman" w:cs="Times New Roman"/>
                <w:b/>
                <w:bCs/>
                <w:color w:val="000000" w:themeColor="text1"/>
                <w:sz w:val="20"/>
                <w:szCs w:val="20"/>
              </w:rPr>
              <w:t>(t-statistic)</w:t>
            </w:r>
          </w:p>
          <w:p w14:paraId="260443C8" w14:textId="77777777" w:rsidR="00FA14FE" w:rsidRPr="00DE13EE" w:rsidRDefault="00FA14FE" w:rsidP="009D0993">
            <w:pPr>
              <w:rPr>
                <w:rFonts w:ascii="Times New Roman" w:hAnsi="Times New Roman" w:cs="Times New Roman"/>
                <w:b/>
                <w:bCs/>
                <w:color w:val="000000" w:themeColor="text1"/>
                <w:sz w:val="20"/>
                <w:szCs w:val="20"/>
              </w:rPr>
            </w:pPr>
          </w:p>
        </w:tc>
        <w:tc>
          <w:tcPr>
            <w:tcW w:w="2124" w:type="dxa"/>
            <w:tcBorders>
              <w:left w:val="nil"/>
              <w:bottom w:val="single" w:sz="4" w:space="0" w:color="auto"/>
              <w:right w:val="nil"/>
            </w:tcBorders>
          </w:tcPr>
          <w:p w14:paraId="0CA916D7" w14:textId="77777777" w:rsidR="00FA14FE" w:rsidRPr="00DE13EE" w:rsidRDefault="00FA14FE" w:rsidP="009D0993">
            <w:pPr>
              <w:rPr>
                <w:rFonts w:ascii="Times New Roman" w:hAnsi="Times New Roman" w:cs="Times New Roman"/>
                <w:b/>
                <w:bCs/>
                <w:color w:val="000000" w:themeColor="text1"/>
                <w:sz w:val="20"/>
                <w:szCs w:val="20"/>
              </w:rPr>
            </w:pPr>
            <w:r w:rsidRPr="00DE13EE">
              <w:rPr>
                <w:rFonts w:ascii="Times New Roman" w:hAnsi="Times New Roman" w:cs="Times New Roman"/>
                <w:b/>
                <w:bCs/>
                <w:color w:val="000000" w:themeColor="text1"/>
                <w:sz w:val="20"/>
                <w:szCs w:val="20"/>
              </w:rPr>
              <w:t>Coefficient</w:t>
            </w:r>
          </w:p>
          <w:p w14:paraId="4DDDFF03" w14:textId="77777777" w:rsidR="00FA14FE" w:rsidRPr="00DE13EE" w:rsidRDefault="00FA14FE" w:rsidP="009D0993">
            <w:pPr>
              <w:rPr>
                <w:rFonts w:ascii="Times New Roman" w:hAnsi="Times New Roman" w:cs="Times New Roman"/>
                <w:b/>
                <w:bCs/>
                <w:color w:val="000000" w:themeColor="text1"/>
                <w:sz w:val="20"/>
                <w:szCs w:val="20"/>
              </w:rPr>
            </w:pPr>
            <w:r w:rsidRPr="00DE13EE">
              <w:rPr>
                <w:rFonts w:ascii="Times New Roman" w:hAnsi="Times New Roman" w:cs="Times New Roman"/>
                <w:b/>
                <w:bCs/>
                <w:color w:val="000000" w:themeColor="text1"/>
                <w:sz w:val="20"/>
                <w:szCs w:val="20"/>
              </w:rPr>
              <w:t>(z-statistic)</w:t>
            </w:r>
          </w:p>
          <w:p w14:paraId="588CE5D0" w14:textId="77777777" w:rsidR="00FA14FE" w:rsidRPr="00DE13EE" w:rsidRDefault="00FA14FE" w:rsidP="009D0993">
            <w:pPr>
              <w:rPr>
                <w:rFonts w:ascii="Times New Roman" w:hAnsi="Times New Roman" w:cs="Times New Roman"/>
                <w:b/>
                <w:bCs/>
                <w:color w:val="000000" w:themeColor="text1"/>
                <w:sz w:val="20"/>
                <w:szCs w:val="20"/>
              </w:rPr>
            </w:pPr>
          </w:p>
        </w:tc>
      </w:tr>
      <w:tr w:rsidR="00DE13EE" w:rsidRPr="00DE13EE" w14:paraId="389C3A9D" w14:textId="77777777" w:rsidTr="009D0993">
        <w:trPr>
          <w:trHeight w:val="287"/>
          <w:jc w:val="center"/>
        </w:trPr>
        <w:tc>
          <w:tcPr>
            <w:tcW w:w="2926" w:type="dxa"/>
            <w:tcBorders>
              <w:left w:val="nil"/>
              <w:bottom w:val="nil"/>
              <w:right w:val="nil"/>
            </w:tcBorders>
            <w:vAlign w:val="center"/>
            <w:hideMark/>
          </w:tcPr>
          <w:p w14:paraId="6B0FCD80"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Intercept</w:t>
            </w:r>
          </w:p>
        </w:tc>
        <w:tc>
          <w:tcPr>
            <w:tcW w:w="1501" w:type="dxa"/>
            <w:tcBorders>
              <w:left w:val="nil"/>
              <w:bottom w:val="nil"/>
              <w:right w:val="nil"/>
            </w:tcBorders>
            <w:vAlign w:val="center"/>
          </w:tcPr>
          <w:p w14:paraId="584B8FE0" w14:textId="77777777" w:rsidR="00FA14FE" w:rsidRPr="00DE13EE" w:rsidRDefault="00FA14FE" w:rsidP="009D0993">
            <w:pPr>
              <w:spacing w:line="276" w:lineRule="auto"/>
              <w:rPr>
                <w:rFonts w:ascii="Times New Roman" w:hAnsi="Times New Roman" w:cs="Times New Roman"/>
                <w:color w:val="000000" w:themeColor="text1"/>
                <w:sz w:val="20"/>
                <w:szCs w:val="20"/>
              </w:rPr>
            </w:pPr>
          </w:p>
        </w:tc>
        <w:tc>
          <w:tcPr>
            <w:tcW w:w="1092" w:type="dxa"/>
            <w:tcBorders>
              <w:left w:val="nil"/>
              <w:bottom w:val="nil"/>
              <w:right w:val="nil"/>
            </w:tcBorders>
            <w:vAlign w:val="center"/>
          </w:tcPr>
          <w:p w14:paraId="65DB5F43" w14:textId="77777777" w:rsidR="00FA14FE" w:rsidRPr="00DE13EE" w:rsidRDefault="00FA14FE" w:rsidP="009D0993">
            <w:pPr>
              <w:spacing w:line="276" w:lineRule="auto"/>
              <w:rPr>
                <w:rFonts w:ascii="Times New Roman" w:hAnsi="Times New Roman" w:cs="Times New Roman"/>
                <w:color w:val="000000" w:themeColor="text1"/>
                <w:sz w:val="20"/>
                <w:szCs w:val="20"/>
              </w:rPr>
            </w:pPr>
          </w:p>
        </w:tc>
        <w:tc>
          <w:tcPr>
            <w:tcW w:w="1711" w:type="dxa"/>
            <w:tcBorders>
              <w:left w:val="nil"/>
              <w:bottom w:val="nil"/>
              <w:right w:val="nil"/>
            </w:tcBorders>
          </w:tcPr>
          <w:p w14:paraId="2BE273D8"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-4.268***</w:t>
            </w:r>
          </w:p>
          <w:p w14:paraId="2982EB87"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(-4.61)</w:t>
            </w:r>
          </w:p>
        </w:tc>
        <w:tc>
          <w:tcPr>
            <w:tcW w:w="2124" w:type="dxa"/>
            <w:tcBorders>
              <w:left w:val="nil"/>
              <w:bottom w:val="nil"/>
              <w:right w:val="nil"/>
            </w:tcBorders>
          </w:tcPr>
          <w:p w14:paraId="1E926D84"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-6.373***</w:t>
            </w:r>
          </w:p>
          <w:p w14:paraId="728021C3"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(-4.76)</w:t>
            </w:r>
          </w:p>
        </w:tc>
      </w:tr>
      <w:tr w:rsidR="00DE13EE" w:rsidRPr="00DE13EE" w14:paraId="4978A261" w14:textId="77777777" w:rsidTr="009D0993">
        <w:trPr>
          <w:trHeight w:val="561"/>
          <w:jc w:val="center"/>
        </w:trPr>
        <w:tc>
          <w:tcPr>
            <w:tcW w:w="2926" w:type="dxa"/>
            <w:tcBorders>
              <w:top w:val="nil"/>
              <w:left w:val="nil"/>
              <w:bottom w:val="nil"/>
              <w:right w:val="nil"/>
            </w:tcBorders>
            <w:vAlign w:val="center"/>
          </w:tcPr>
          <w:p w14:paraId="5C816DC7"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 xml:space="preserve">Forward-looking disclosure </w:t>
            </w:r>
          </w:p>
        </w:tc>
        <w:tc>
          <w:tcPr>
            <w:tcW w:w="1501" w:type="dxa"/>
            <w:tcBorders>
              <w:top w:val="nil"/>
              <w:left w:val="nil"/>
              <w:bottom w:val="nil"/>
              <w:right w:val="nil"/>
            </w:tcBorders>
            <w:vAlign w:val="center"/>
          </w:tcPr>
          <w:p w14:paraId="6C5D55D7"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FLD</w:t>
            </w:r>
          </w:p>
        </w:tc>
        <w:tc>
          <w:tcPr>
            <w:tcW w:w="1092" w:type="dxa"/>
            <w:tcBorders>
              <w:top w:val="nil"/>
              <w:left w:val="nil"/>
              <w:bottom w:val="nil"/>
              <w:right w:val="nil"/>
            </w:tcBorders>
            <w:vAlign w:val="center"/>
          </w:tcPr>
          <w:p w14:paraId="53B2FE2F" w14:textId="77777777" w:rsidR="00FA14FE" w:rsidRPr="00DE13EE" w:rsidRDefault="00FA14FE" w:rsidP="009D0993">
            <w:pPr>
              <w:spacing w:line="276" w:lineRule="auto"/>
              <w:rPr>
                <w:rFonts w:ascii="Times New Roman" w:hAnsi="Times New Roman" w:cs="Times New Roman"/>
                <w:bCs/>
                <w:color w:val="000000" w:themeColor="text1"/>
                <w:sz w:val="20"/>
                <w:szCs w:val="20"/>
              </w:rPr>
            </w:pPr>
            <w:r w:rsidRPr="00DE13EE">
              <w:rPr>
                <w:rFonts w:ascii="Times New Roman" w:hAnsi="Times New Roman" w:cs="Times New Roman"/>
                <w:bCs/>
                <w:color w:val="000000" w:themeColor="text1"/>
                <w:sz w:val="20"/>
                <w:szCs w:val="20"/>
              </w:rPr>
              <w:t>(+)</w:t>
            </w:r>
          </w:p>
        </w:tc>
        <w:tc>
          <w:tcPr>
            <w:tcW w:w="1711" w:type="dxa"/>
            <w:tcBorders>
              <w:top w:val="nil"/>
              <w:left w:val="nil"/>
              <w:bottom w:val="nil"/>
              <w:right w:val="nil"/>
            </w:tcBorders>
            <w:vAlign w:val="bottom"/>
          </w:tcPr>
          <w:p w14:paraId="14CE2C44"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7.907***</w:t>
            </w:r>
          </w:p>
          <w:p w14:paraId="4484E25A"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(8.42)</w:t>
            </w:r>
          </w:p>
        </w:tc>
        <w:tc>
          <w:tcPr>
            <w:tcW w:w="2124" w:type="dxa"/>
            <w:tcBorders>
              <w:top w:val="nil"/>
              <w:left w:val="nil"/>
              <w:bottom w:val="nil"/>
              <w:right w:val="nil"/>
            </w:tcBorders>
          </w:tcPr>
          <w:p w14:paraId="38EC72A2"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1.792***</w:t>
            </w:r>
          </w:p>
          <w:p w14:paraId="61F685D2" w14:textId="77777777" w:rsidR="00FA14FE" w:rsidRPr="00DE13EE" w:rsidRDefault="00FA14FE" w:rsidP="009D0993">
            <w:pPr>
              <w:spacing w:line="276" w:lineRule="auto"/>
              <w:rPr>
                <w:rFonts w:ascii="Times New Roman" w:hAnsi="Times New Roman" w:cs="Times New Roman"/>
                <w:b/>
                <w:bCs/>
                <w:color w:val="000000" w:themeColor="text1"/>
                <w:sz w:val="20"/>
                <w:szCs w:val="20"/>
              </w:rPr>
            </w:pPr>
            <w:r w:rsidRPr="00DE13EE">
              <w:rPr>
                <w:rFonts w:ascii="Times New Roman" w:hAnsi="Times New Roman" w:cs="Times New Roman"/>
                <w:color w:val="000000" w:themeColor="text1"/>
                <w:sz w:val="20"/>
                <w:szCs w:val="20"/>
              </w:rPr>
              <w:t>(2.78</w:t>
            </w:r>
            <w:r w:rsidRPr="00DE13EE">
              <w:rPr>
                <w:rFonts w:ascii="Times New Roman" w:hAnsi="Times New Roman" w:cs="Times New Roman"/>
                <w:b/>
                <w:bCs/>
                <w:color w:val="000000" w:themeColor="text1"/>
                <w:sz w:val="20"/>
                <w:szCs w:val="20"/>
              </w:rPr>
              <w:t>)</w:t>
            </w:r>
          </w:p>
        </w:tc>
      </w:tr>
      <w:tr w:rsidR="00DE13EE" w:rsidRPr="00DE13EE" w14:paraId="2E653A34" w14:textId="77777777" w:rsidTr="009D0993">
        <w:trPr>
          <w:trHeight w:val="430"/>
          <w:jc w:val="center"/>
        </w:trPr>
        <w:tc>
          <w:tcPr>
            <w:tcW w:w="2926" w:type="dxa"/>
            <w:tcBorders>
              <w:top w:val="nil"/>
              <w:left w:val="nil"/>
              <w:bottom w:val="nil"/>
              <w:right w:val="nil"/>
            </w:tcBorders>
            <w:vAlign w:val="center"/>
          </w:tcPr>
          <w:p w14:paraId="33FA3BF4"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 xml:space="preserve">Firm size </w:t>
            </w:r>
          </w:p>
        </w:tc>
        <w:tc>
          <w:tcPr>
            <w:tcW w:w="1501" w:type="dxa"/>
            <w:tcBorders>
              <w:top w:val="nil"/>
              <w:left w:val="nil"/>
              <w:bottom w:val="nil"/>
              <w:right w:val="nil"/>
            </w:tcBorders>
            <w:vAlign w:val="center"/>
          </w:tcPr>
          <w:p w14:paraId="21DADBE1"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LnMK</w:t>
            </w:r>
          </w:p>
        </w:tc>
        <w:tc>
          <w:tcPr>
            <w:tcW w:w="1092" w:type="dxa"/>
            <w:tcBorders>
              <w:top w:val="nil"/>
              <w:left w:val="nil"/>
              <w:bottom w:val="nil"/>
              <w:right w:val="nil"/>
            </w:tcBorders>
            <w:vAlign w:val="center"/>
          </w:tcPr>
          <w:p w14:paraId="64321137" w14:textId="77777777" w:rsidR="00FA14FE" w:rsidRPr="00DE13EE" w:rsidRDefault="00FA14FE" w:rsidP="009D0993">
            <w:pPr>
              <w:spacing w:line="276" w:lineRule="auto"/>
              <w:rPr>
                <w:rFonts w:ascii="Times New Roman" w:hAnsi="Times New Roman" w:cs="Times New Roman"/>
                <w:bCs/>
                <w:color w:val="000000" w:themeColor="text1"/>
                <w:sz w:val="20"/>
                <w:szCs w:val="20"/>
              </w:rPr>
            </w:pPr>
            <w:r w:rsidRPr="00DE13EE">
              <w:rPr>
                <w:rFonts w:ascii="Times New Roman" w:hAnsi="Times New Roman" w:cs="Times New Roman"/>
                <w:bCs/>
                <w:color w:val="000000" w:themeColor="text1"/>
                <w:sz w:val="20"/>
                <w:szCs w:val="20"/>
              </w:rPr>
              <w:t>(?)</w:t>
            </w:r>
          </w:p>
        </w:tc>
        <w:tc>
          <w:tcPr>
            <w:tcW w:w="1711" w:type="dxa"/>
            <w:tcBorders>
              <w:top w:val="nil"/>
              <w:left w:val="nil"/>
              <w:bottom w:val="nil"/>
              <w:right w:val="nil"/>
            </w:tcBorders>
            <w:vAlign w:val="bottom"/>
          </w:tcPr>
          <w:p w14:paraId="6FCB59F2"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0.081**</w:t>
            </w:r>
          </w:p>
          <w:p w14:paraId="6746997D"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(2.05)</w:t>
            </w:r>
          </w:p>
        </w:tc>
        <w:tc>
          <w:tcPr>
            <w:tcW w:w="2124" w:type="dxa"/>
            <w:tcBorders>
              <w:top w:val="nil"/>
              <w:left w:val="nil"/>
              <w:bottom w:val="nil"/>
              <w:right w:val="nil"/>
            </w:tcBorders>
          </w:tcPr>
          <w:p w14:paraId="1A7B44ED"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0.172***</w:t>
            </w:r>
          </w:p>
          <w:p w14:paraId="060FFCE3"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(2.98)</w:t>
            </w:r>
          </w:p>
        </w:tc>
      </w:tr>
      <w:tr w:rsidR="00DE13EE" w:rsidRPr="00DE13EE" w14:paraId="3C43F9A4" w14:textId="77777777" w:rsidTr="009D0993">
        <w:trPr>
          <w:trHeight w:val="430"/>
          <w:jc w:val="center"/>
        </w:trPr>
        <w:tc>
          <w:tcPr>
            <w:tcW w:w="2926" w:type="dxa"/>
            <w:tcBorders>
              <w:top w:val="nil"/>
              <w:left w:val="nil"/>
              <w:bottom w:val="nil"/>
              <w:right w:val="nil"/>
            </w:tcBorders>
            <w:vAlign w:val="center"/>
          </w:tcPr>
          <w:p w14:paraId="7C769708"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 xml:space="preserve">Firm dividend </w:t>
            </w:r>
          </w:p>
        </w:tc>
        <w:tc>
          <w:tcPr>
            <w:tcW w:w="1501" w:type="dxa"/>
            <w:tcBorders>
              <w:top w:val="nil"/>
              <w:left w:val="nil"/>
              <w:bottom w:val="nil"/>
              <w:right w:val="nil"/>
            </w:tcBorders>
            <w:vAlign w:val="center"/>
          </w:tcPr>
          <w:p w14:paraId="6C8D0C4F"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DY</w:t>
            </w:r>
          </w:p>
        </w:tc>
        <w:tc>
          <w:tcPr>
            <w:tcW w:w="1092" w:type="dxa"/>
            <w:tcBorders>
              <w:top w:val="nil"/>
              <w:left w:val="nil"/>
              <w:bottom w:val="nil"/>
              <w:right w:val="nil"/>
            </w:tcBorders>
            <w:vAlign w:val="center"/>
          </w:tcPr>
          <w:p w14:paraId="7A1E1D05" w14:textId="77777777" w:rsidR="00FA14FE" w:rsidRPr="00DE13EE" w:rsidRDefault="00FA14FE" w:rsidP="009D0993">
            <w:pPr>
              <w:spacing w:line="276" w:lineRule="auto"/>
              <w:rPr>
                <w:rFonts w:ascii="Times New Roman" w:hAnsi="Times New Roman" w:cs="Times New Roman"/>
                <w:bCs/>
                <w:color w:val="000000" w:themeColor="text1"/>
                <w:sz w:val="20"/>
                <w:szCs w:val="20"/>
              </w:rPr>
            </w:pPr>
            <w:r w:rsidRPr="00DE13EE">
              <w:rPr>
                <w:rFonts w:ascii="Times New Roman" w:hAnsi="Times New Roman" w:cs="Times New Roman"/>
                <w:bCs/>
                <w:color w:val="000000" w:themeColor="text1"/>
                <w:sz w:val="20"/>
                <w:szCs w:val="20"/>
              </w:rPr>
              <w:t>(?)</w:t>
            </w:r>
          </w:p>
        </w:tc>
        <w:tc>
          <w:tcPr>
            <w:tcW w:w="1711" w:type="dxa"/>
            <w:tcBorders>
              <w:top w:val="nil"/>
              <w:left w:val="nil"/>
              <w:bottom w:val="nil"/>
              <w:right w:val="nil"/>
            </w:tcBorders>
            <w:vAlign w:val="bottom"/>
          </w:tcPr>
          <w:p w14:paraId="704C3F6D"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-0.116***</w:t>
            </w:r>
          </w:p>
          <w:p w14:paraId="382A271E"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(-4.61)</w:t>
            </w:r>
          </w:p>
        </w:tc>
        <w:tc>
          <w:tcPr>
            <w:tcW w:w="2124" w:type="dxa"/>
            <w:tcBorders>
              <w:top w:val="nil"/>
              <w:left w:val="nil"/>
              <w:bottom w:val="nil"/>
              <w:right w:val="nil"/>
            </w:tcBorders>
          </w:tcPr>
          <w:p w14:paraId="442B80BE"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-0.047***</w:t>
            </w:r>
          </w:p>
          <w:p w14:paraId="53F6C081"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(-2.73)</w:t>
            </w:r>
          </w:p>
        </w:tc>
      </w:tr>
      <w:tr w:rsidR="00DE13EE" w:rsidRPr="00DE13EE" w14:paraId="55729E53" w14:textId="77777777" w:rsidTr="009D0993">
        <w:trPr>
          <w:trHeight w:val="424"/>
          <w:jc w:val="center"/>
        </w:trPr>
        <w:tc>
          <w:tcPr>
            <w:tcW w:w="2926" w:type="dxa"/>
            <w:tcBorders>
              <w:top w:val="nil"/>
              <w:left w:val="nil"/>
              <w:bottom w:val="nil"/>
              <w:right w:val="nil"/>
            </w:tcBorders>
            <w:vAlign w:val="center"/>
          </w:tcPr>
          <w:p w14:paraId="16CCEE2F"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 xml:space="preserve">Firm current earnings </w:t>
            </w:r>
          </w:p>
        </w:tc>
        <w:tc>
          <w:tcPr>
            <w:tcW w:w="1501" w:type="dxa"/>
            <w:tcBorders>
              <w:top w:val="nil"/>
              <w:left w:val="nil"/>
              <w:bottom w:val="nil"/>
              <w:right w:val="nil"/>
            </w:tcBorders>
            <w:vAlign w:val="center"/>
          </w:tcPr>
          <w:p w14:paraId="4EDA403D"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ROA</w:t>
            </w:r>
          </w:p>
        </w:tc>
        <w:tc>
          <w:tcPr>
            <w:tcW w:w="1092" w:type="dxa"/>
            <w:tcBorders>
              <w:top w:val="nil"/>
              <w:left w:val="nil"/>
              <w:bottom w:val="nil"/>
              <w:right w:val="nil"/>
            </w:tcBorders>
            <w:vAlign w:val="center"/>
          </w:tcPr>
          <w:p w14:paraId="25DF42B9" w14:textId="77777777" w:rsidR="00FA14FE" w:rsidRPr="00DE13EE" w:rsidRDefault="00FA14FE" w:rsidP="009D0993">
            <w:pPr>
              <w:spacing w:line="276" w:lineRule="auto"/>
              <w:rPr>
                <w:rFonts w:ascii="Times New Roman" w:hAnsi="Times New Roman" w:cs="Times New Roman"/>
                <w:bCs/>
                <w:color w:val="000000" w:themeColor="text1"/>
                <w:sz w:val="20"/>
                <w:szCs w:val="20"/>
              </w:rPr>
            </w:pPr>
            <w:r w:rsidRPr="00DE13EE">
              <w:rPr>
                <w:rFonts w:ascii="Times New Roman" w:hAnsi="Times New Roman" w:cs="Times New Roman"/>
                <w:bCs/>
                <w:color w:val="000000" w:themeColor="text1"/>
                <w:sz w:val="20"/>
                <w:szCs w:val="20"/>
              </w:rPr>
              <w:t>(+)</w:t>
            </w:r>
          </w:p>
        </w:tc>
        <w:tc>
          <w:tcPr>
            <w:tcW w:w="1711" w:type="dxa"/>
            <w:tcBorders>
              <w:top w:val="nil"/>
              <w:left w:val="nil"/>
              <w:bottom w:val="nil"/>
              <w:right w:val="nil"/>
            </w:tcBorders>
            <w:vAlign w:val="bottom"/>
          </w:tcPr>
          <w:p w14:paraId="010F6F87"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-0.021***</w:t>
            </w:r>
          </w:p>
          <w:p w14:paraId="483649FC"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(-3.21)</w:t>
            </w:r>
          </w:p>
        </w:tc>
        <w:tc>
          <w:tcPr>
            <w:tcW w:w="2124" w:type="dxa"/>
            <w:tcBorders>
              <w:top w:val="nil"/>
              <w:left w:val="nil"/>
              <w:bottom w:val="nil"/>
              <w:right w:val="nil"/>
            </w:tcBorders>
          </w:tcPr>
          <w:p w14:paraId="65C12E60"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-0.0217***</w:t>
            </w:r>
          </w:p>
          <w:p w14:paraId="3F1CF869"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(-4.11)</w:t>
            </w:r>
          </w:p>
        </w:tc>
      </w:tr>
      <w:tr w:rsidR="00DE13EE" w:rsidRPr="00DE13EE" w14:paraId="79019E0D" w14:textId="77777777" w:rsidTr="009D0993">
        <w:trPr>
          <w:trHeight w:val="432"/>
          <w:jc w:val="center"/>
        </w:trPr>
        <w:tc>
          <w:tcPr>
            <w:tcW w:w="2926" w:type="dxa"/>
            <w:tcBorders>
              <w:top w:val="nil"/>
              <w:left w:val="nil"/>
              <w:bottom w:val="nil"/>
              <w:right w:val="nil"/>
            </w:tcBorders>
            <w:vAlign w:val="center"/>
          </w:tcPr>
          <w:p w14:paraId="2930A940"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 xml:space="preserve">Firm leverage </w:t>
            </w:r>
          </w:p>
        </w:tc>
        <w:tc>
          <w:tcPr>
            <w:tcW w:w="1501" w:type="dxa"/>
            <w:tcBorders>
              <w:top w:val="nil"/>
              <w:left w:val="nil"/>
              <w:bottom w:val="nil"/>
              <w:right w:val="nil"/>
            </w:tcBorders>
            <w:vAlign w:val="center"/>
          </w:tcPr>
          <w:p w14:paraId="4AD9C096"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Lev</w:t>
            </w:r>
          </w:p>
        </w:tc>
        <w:tc>
          <w:tcPr>
            <w:tcW w:w="1092" w:type="dxa"/>
            <w:tcBorders>
              <w:top w:val="nil"/>
              <w:left w:val="nil"/>
              <w:bottom w:val="nil"/>
              <w:right w:val="nil"/>
            </w:tcBorders>
            <w:vAlign w:val="center"/>
          </w:tcPr>
          <w:p w14:paraId="1EBE0725" w14:textId="77777777" w:rsidR="00FA14FE" w:rsidRPr="00DE13EE" w:rsidRDefault="00FA14FE" w:rsidP="009D0993">
            <w:pPr>
              <w:spacing w:line="276" w:lineRule="auto"/>
              <w:rPr>
                <w:rFonts w:ascii="Times New Roman" w:hAnsi="Times New Roman" w:cs="Times New Roman"/>
                <w:bCs/>
                <w:color w:val="000000" w:themeColor="text1"/>
                <w:sz w:val="20"/>
                <w:szCs w:val="20"/>
              </w:rPr>
            </w:pPr>
            <w:r w:rsidRPr="00DE13EE">
              <w:rPr>
                <w:rFonts w:ascii="Times New Roman" w:hAnsi="Times New Roman" w:cs="Times New Roman"/>
                <w:bCs/>
                <w:color w:val="000000" w:themeColor="text1"/>
                <w:sz w:val="20"/>
                <w:szCs w:val="20"/>
              </w:rPr>
              <w:t>(−)</w:t>
            </w:r>
          </w:p>
        </w:tc>
        <w:tc>
          <w:tcPr>
            <w:tcW w:w="1711" w:type="dxa"/>
            <w:tcBorders>
              <w:top w:val="nil"/>
              <w:left w:val="nil"/>
              <w:bottom w:val="nil"/>
              <w:right w:val="nil"/>
            </w:tcBorders>
            <w:vAlign w:val="bottom"/>
          </w:tcPr>
          <w:p w14:paraId="7B24E94F"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0.111***</w:t>
            </w:r>
          </w:p>
          <w:p w14:paraId="521777DB"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(117.95)</w:t>
            </w:r>
          </w:p>
        </w:tc>
        <w:tc>
          <w:tcPr>
            <w:tcW w:w="2124" w:type="dxa"/>
            <w:tcBorders>
              <w:top w:val="nil"/>
              <w:left w:val="nil"/>
              <w:bottom w:val="nil"/>
              <w:right w:val="nil"/>
            </w:tcBorders>
          </w:tcPr>
          <w:p w14:paraId="695DE5A5"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0.101***</w:t>
            </w:r>
          </w:p>
          <w:p w14:paraId="523FEA05"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(165.31)</w:t>
            </w:r>
          </w:p>
        </w:tc>
      </w:tr>
      <w:tr w:rsidR="00DE13EE" w:rsidRPr="00DE13EE" w14:paraId="5A91A312" w14:textId="77777777" w:rsidTr="009D0993">
        <w:trPr>
          <w:trHeight w:val="448"/>
          <w:jc w:val="center"/>
        </w:trPr>
        <w:tc>
          <w:tcPr>
            <w:tcW w:w="2926" w:type="dxa"/>
            <w:tcBorders>
              <w:top w:val="nil"/>
              <w:left w:val="nil"/>
              <w:bottom w:val="nil"/>
              <w:right w:val="nil"/>
            </w:tcBorders>
            <w:vAlign w:val="center"/>
          </w:tcPr>
          <w:p w14:paraId="4E194990"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 xml:space="preserve">Firm liquidity </w:t>
            </w:r>
          </w:p>
        </w:tc>
        <w:tc>
          <w:tcPr>
            <w:tcW w:w="1501" w:type="dxa"/>
            <w:tcBorders>
              <w:top w:val="nil"/>
              <w:left w:val="nil"/>
              <w:bottom w:val="nil"/>
              <w:right w:val="nil"/>
            </w:tcBorders>
            <w:vAlign w:val="center"/>
          </w:tcPr>
          <w:p w14:paraId="3B28086F"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CR</w:t>
            </w:r>
          </w:p>
        </w:tc>
        <w:tc>
          <w:tcPr>
            <w:tcW w:w="1092" w:type="dxa"/>
            <w:tcBorders>
              <w:top w:val="nil"/>
              <w:left w:val="nil"/>
              <w:bottom w:val="nil"/>
              <w:right w:val="nil"/>
            </w:tcBorders>
            <w:vAlign w:val="center"/>
          </w:tcPr>
          <w:p w14:paraId="09D84C1D" w14:textId="77777777" w:rsidR="00FA14FE" w:rsidRPr="00DE13EE" w:rsidRDefault="00FA14FE" w:rsidP="009D0993">
            <w:pPr>
              <w:spacing w:line="276" w:lineRule="auto"/>
              <w:rPr>
                <w:rFonts w:ascii="Times New Roman" w:hAnsi="Times New Roman" w:cs="Times New Roman"/>
                <w:bCs/>
                <w:color w:val="000000" w:themeColor="text1"/>
                <w:sz w:val="20"/>
                <w:szCs w:val="20"/>
              </w:rPr>
            </w:pPr>
            <w:r w:rsidRPr="00DE13EE">
              <w:rPr>
                <w:rFonts w:ascii="Times New Roman" w:hAnsi="Times New Roman" w:cs="Times New Roman"/>
                <w:bCs/>
                <w:color w:val="000000" w:themeColor="text1"/>
                <w:sz w:val="20"/>
                <w:szCs w:val="20"/>
              </w:rPr>
              <w:t>(+)</w:t>
            </w:r>
          </w:p>
        </w:tc>
        <w:tc>
          <w:tcPr>
            <w:tcW w:w="1711" w:type="dxa"/>
            <w:tcBorders>
              <w:top w:val="nil"/>
              <w:left w:val="nil"/>
              <w:bottom w:val="nil"/>
              <w:right w:val="nil"/>
            </w:tcBorders>
            <w:vAlign w:val="bottom"/>
          </w:tcPr>
          <w:p w14:paraId="49ECBA71"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0.377***</w:t>
            </w:r>
          </w:p>
          <w:p w14:paraId="19B96CF3"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(7.73)</w:t>
            </w:r>
          </w:p>
        </w:tc>
        <w:tc>
          <w:tcPr>
            <w:tcW w:w="2124" w:type="dxa"/>
            <w:tcBorders>
              <w:top w:val="nil"/>
              <w:left w:val="nil"/>
              <w:bottom w:val="nil"/>
              <w:right w:val="nil"/>
            </w:tcBorders>
          </w:tcPr>
          <w:p w14:paraId="79956F54"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0.288***</w:t>
            </w:r>
          </w:p>
          <w:p w14:paraId="74DCED89"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(6.46)</w:t>
            </w:r>
          </w:p>
        </w:tc>
      </w:tr>
      <w:tr w:rsidR="00DE13EE" w:rsidRPr="00DE13EE" w14:paraId="5CDDBFA7" w14:textId="77777777" w:rsidTr="009D0993">
        <w:trPr>
          <w:trHeight w:val="442"/>
          <w:jc w:val="center"/>
        </w:trPr>
        <w:tc>
          <w:tcPr>
            <w:tcW w:w="2926" w:type="dxa"/>
            <w:tcBorders>
              <w:top w:val="nil"/>
              <w:left w:val="nil"/>
              <w:bottom w:val="nil"/>
              <w:right w:val="nil"/>
            </w:tcBorders>
            <w:vAlign w:val="center"/>
          </w:tcPr>
          <w:p w14:paraId="2029BE96"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 xml:space="preserve">Earnings volatility </w:t>
            </w:r>
          </w:p>
        </w:tc>
        <w:tc>
          <w:tcPr>
            <w:tcW w:w="1501" w:type="dxa"/>
            <w:tcBorders>
              <w:top w:val="nil"/>
              <w:left w:val="nil"/>
              <w:bottom w:val="nil"/>
              <w:right w:val="nil"/>
            </w:tcBorders>
            <w:vAlign w:val="center"/>
          </w:tcPr>
          <w:p w14:paraId="7C813A2F"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Ear.Vol</w:t>
            </w:r>
          </w:p>
        </w:tc>
        <w:tc>
          <w:tcPr>
            <w:tcW w:w="1092" w:type="dxa"/>
            <w:tcBorders>
              <w:top w:val="nil"/>
              <w:left w:val="nil"/>
              <w:bottom w:val="nil"/>
              <w:right w:val="nil"/>
            </w:tcBorders>
            <w:vAlign w:val="center"/>
          </w:tcPr>
          <w:p w14:paraId="04A21809" w14:textId="77777777" w:rsidR="00FA14FE" w:rsidRPr="00DE13EE" w:rsidRDefault="00FA14FE" w:rsidP="009D0993">
            <w:pPr>
              <w:spacing w:line="276" w:lineRule="auto"/>
              <w:rPr>
                <w:rFonts w:ascii="Times New Roman" w:hAnsi="Times New Roman" w:cs="Times New Roman"/>
                <w:bCs/>
                <w:color w:val="000000" w:themeColor="text1"/>
                <w:sz w:val="20"/>
                <w:szCs w:val="20"/>
              </w:rPr>
            </w:pPr>
            <w:r w:rsidRPr="00DE13EE">
              <w:rPr>
                <w:rFonts w:ascii="Times New Roman" w:hAnsi="Times New Roman" w:cs="Times New Roman"/>
                <w:bCs/>
                <w:color w:val="000000" w:themeColor="text1"/>
                <w:sz w:val="20"/>
                <w:szCs w:val="20"/>
              </w:rPr>
              <w:t>(−)</w:t>
            </w:r>
          </w:p>
        </w:tc>
        <w:tc>
          <w:tcPr>
            <w:tcW w:w="1711" w:type="dxa"/>
            <w:tcBorders>
              <w:top w:val="nil"/>
              <w:left w:val="nil"/>
              <w:bottom w:val="nil"/>
              <w:right w:val="nil"/>
            </w:tcBorders>
            <w:vAlign w:val="bottom"/>
          </w:tcPr>
          <w:p w14:paraId="5980C797"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-0.315**</w:t>
            </w:r>
          </w:p>
          <w:p w14:paraId="3C75E025"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(-2.52)</w:t>
            </w:r>
          </w:p>
        </w:tc>
        <w:tc>
          <w:tcPr>
            <w:tcW w:w="2124" w:type="dxa"/>
            <w:tcBorders>
              <w:top w:val="nil"/>
              <w:left w:val="nil"/>
              <w:bottom w:val="nil"/>
              <w:right w:val="nil"/>
            </w:tcBorders>
          </w:tcPr>
          <w:p w14:paraId="1124C1B0"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-0.179*</w:t>
            </w:r>
          </w:p>
          <w:p w14:paraId="4A273309"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(-1.90)</w:t>
            </w:r>
          </w:p>
        </w:tc>
      </w:tr>
      <w:tr w:rsidR="00DE13EE" w:rsidRPr="00DE13EE" w14:paraId="108D5573" w14:textId="77777777" w:rsidTr="009D0993">
        <w:trPr>
          <w:trHeight w:val="450"/>
          <w:jc w:val="center"/>
        </w:trPr>
        <w:tc>
          <w:tcPr>
            <w:tcW w:w="2926" w:type="dxa"/>
            <w:tcBorders>
              <w:top w:val="nil"/>
              <w:left w:val="nil"/>
              <w:bottom w:val="nil"/>
              <w:right w:val="nil"/>
            </w:tcBorders>
            <w:vAlign w:val="center"/>
          </w:tcPr>
          <w:p w14:paraId="420E4C46"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 xml:space="preserve">Managerial ownership </w:t>
            </w:r>
          </w:p>
        </w:tc>
        <w:tc>
          <w:tcPr>
            <w:tcW w:w="1501" w:type="dxa"/>
            <w:tcBorders>
              <w:top w:val="nil"/>
              <w:left w:val="nil"/>
              <w:bottom w:val="nil"/>
              <w:right w:val="nil"/>
            </w:tcBorders>
            <w:vAlign w:val="center"/>
          </w:tcPr>
          <w:p w14:paraId="3990F4C5"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%MO</w:t>
            </w:r>
          </w:p>
        </w:tc>
        <w:tc>
          <w:tcPr>
            <w:tcW w:w="1092" w:type="dxa"/>
            <w:tcBorders>
              <w:top w:val="nil"/>
              <w:left w:val="nil"/>
              <w:bottom w:val="nil"/>
              <w:right w:val="nil"/>
            </w:tcBorders>
            <w:vAlign w:val="center"/>
          </w:tcPr>
          <w:p w14:paraId="090AED28" w14:textId="77777777" w:rsidR="00FA14FE" w:rsidRPr="00DE13EE" w:rsidRDefault="00FA14FE" w:rsidP="009D0993">
            <w:pPr>
              <w:spacing w:line="276" w:lineRule="auto"/>
              <w:rPr>
                <w:rFonts w:ascii="Times New Roman" w:hAnsi="Times New Roman" w:cs="Times New Roman"/>
                <w:bCs/>
                <w:color w:val="000000" w:themeColor="text1"/>
                <w:sz w:val="20"/>
                <w:szCs w:val="20"/>
              </w:rPr>
            </w:pPr>
            <w:r w:rsidRPr="00DE13EE">
              <w:rPr>
                <w:rFonts w:ascii="Times New Roman" w:hAnsi="Times New Roman" w:cs="Times New Roman"/>
                <w:bCs/>
                <w:color w:val="000000" w:themeColor="text1"/>
                <w:sz w:val="20"/>
                <w:szCs w:val="20"/>
              </w:rPr>
              <w:t>(?)</w:t>
            </w:r>
          </w:p>
        </w:tc>
        <w:tc>
          <w:tcPr>
            <w:tcW w:w="1711" w:type="dxa"/>
            <w:tcBorders>
              <w:top w:val="nil"/>
              <w:left w:val="nil"/>
              <w:bottom w:val="nil"/>
              <w:right w:val="nil"/>
            </w:tcBorders>
            <w:vAlign w:val="bottom"/>
          </w:tcPr>
          <w:p w14:paraId="0338C4DE"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0.002</w:t>
            </w:r>
          </w:p>
          <w:p w14:paraId="33E52801"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(0.53)</w:t>
            </w:r>
          </w:p>
        </w:tc>
        <w:tc>
          <w:tcPr>
            <w:tcW w:w="2124" w:type="dxa"/>
            <w:tcBorders>
              <w:top w:val="nil"/>
              <w:left w:val="nil"/>
              <w:bottom w:val="nil"/>
              <w:right w:val="nil"/>
            </w:tcBorders>
          </w:tcPr>
          <w:p w14:paraId="793C8069"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0.005</w:t>
            </w:r>
          </w:p>
          <w:p w14:paraId="21172904"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(1.00)</w:t>
            </w:r>
          </w:p>
        </w:tc>
      </w:tr>
      <w:tr w:rsidR="00DE13EE" w:rsidRPr="00DE13EE" w14:paraId="42B7776D" w14:textId="77777777" w:rsidTr="009D0993">
        <w:trPr>
          <w:trHeight w:val="561"/>
          <w:jc w:val="center"/>
        </w:trPr>
        <w:tc>
          <w:tcPr>
            <w:tcW w:w="2926" w:type="dxa"/>
            <w:tcBorders>
              <w:top w:val="nil"/>
              <w:left w:val="nil"/>
              <w:bottom w:val="nil"/>
              <w:right w:val="nil"/>
            </w:tcBorders>
            <w:vAlign w:val="center"/>
          </w:tcPr>
          <w:p w14:paraId="1913CBD6"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 xml:space="preserve">Firm growth </w:t>
            </w:r>
          </w:p>
        </w:tc>
        <w:tc>
          <w:tcPr>
            <w:tcW w:w="1501" w:type="dxa"/>
            <w:tcBorders>
              <w:top w:val="nil"/>
              <w:left w:val="nil"/>
              <w:bottom w:val="nil"/>
              <w:right w:val="nil"/>
            </w:tcBorders>
            <w:vAlign w:val="center"/>
          </w:tcPr>
          <w:p w14:paraId="277F86EB"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GRTH</w:t>
            </w:r>
          </w:p>
        </w:tc>
        <w:tc>
          <w:tcPr>
            <w:tcW w:w="1092" w:type="dxa"/>
            <w:tcBorders>
              <w:top w:val="nil"/>
              <w:left w:val="nil"/>
              <w:bottom w:val="nil"/>
              <w:right w:val="nil"/>
            </w:tcBorders>
            <w:vAlign w:val="center"/>
          </w:tcPr>
          <w:p w14:paraId="6267A55C" w14:textId="77777777" w:rsidR="00FA14FE" w:rsidRPr="00DE13EE" w:rsidRDefault="00FA14FE" w:rsidP="009D0993">
            <w:pPr>
              <w:spacing w:line="276" w:lineRule="auto"/>
              <w:rPr>
                <w:rFonts w:ascii="Times New Roman" w:hAnsi="Times New Roman" w:cs="Times New Roman"/>
                <w:bCs/>
                <w:color w:val="000000" w:themeColor="text1"/>
                <w:sz w:val="20"/>
                <w:szCs w:val="20"/>
              </w:rPr>
            </w:pPr>
            <w:r w:rsidRPr="00DE13EE">
              <w:rPr>
                <w:rFonts w:ascii="Times New Roman" w:hAnsi="Times New Roman" w:cs="Times New Roman"/>
                <w:bCs/>
                <w:color w:val="000000" w:themeColor="text1"/>
                <w:sz w:val="20"/>
                <w:szCs w:val="20"/>
              </w:rPr>
              <w:t>(+)</w:t>
            </w:r>
          </w:p>
        </w:tc>
        <w:tc>
          <w:tcPr>
            <w:tcW w:w="1711" w:type="dxa"/>
            <w:tcBorders>
              <w:top w:val="nil"/>
              <w:left w:val="nil"/>
              <w:bottom w:val="nil"/>
              <w:right w:val="nil"/>
            </w:tcBorders>
            <w:vAlign w:val="bottom"/>
          </w:tcPr>
          <w:p w14:paraId="3D3F98E8"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0.010**</w:t>
            </w:r>
          </w:p>
          <w:p w14:paraId="4BD9D7FE"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(2.27)</w:t>
            </w:r>
          </w:p>
        </w:tc>
        <w:tc>
          <w:tcPr>
            <w:tcW w:w="2124" w:type="dxa"/>
            <w:tcBorders>
              <w:top w:val="nil"/>
              <w:left w:val="nil"/>
              <w:bottom w:val="nil"/>
              <w:right w:val="nil"/>
            </w:tcBorders>
          </w:tcPr>
          <w:p w14:paraId="7F4011B2"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0.007**</w:t>
            </w:r>
          </w:p>
          <w:p w14:paraId="57F3E57B"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(2.07)</w:t>
            </w:r>
          </w:p>
        </w:tc>
      </w:tr>
      <w:tr w:rsidR="00DE13EE" w:rsidRPr="00DE13EE" w14:paraId="01641F5D" w14:textId="77777777" w:rsidTr="009D0993">
        <w:trPr>
          <w:trHeight w:val="429"/>
          <w:jc w:val="center"/>
        </w:trPr>
        <w:tc>
          <w:tcPr>
            <w:tcW w:w="2926" w:type="dxa"/>
            <w:tcBorders>
              <w:top w:val="nil"/>
              <w:left w:val="nil"/>
              <w:bottom w:val="nil"/>
              <w:right w:val="nil"/>
            </w:tcBorders>
            <w:vAlign w:val="center"/>
          </w:tcPr>
          <w:p w14:paraId="136D5EFA"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 xml:space="preserve">Capital expenditure </w:t>
            </w:r>
          </w:p>
        </w:tc>
        <w:tc>
          <w:tcPr>
            <w:tcW w:w="1501" w:type="dxa"/>
            <w:tcBorders>
              <w:top w:val="nil"/>
              <w:left w:val="nil"/>
              <w:bottom w:val="nil"/>
              <w:right w:val="nil"/>
            </w:tcBorders>
            <w:vAlign w:val="center"/>
          </w:tcPr>
          <w:p w14:paraId="65E15025"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CAPEX</w:t>
            </w:r>
          </w:p>
        </w:tc>
        <w:tc>
          <w:tcPr>
            <w:tcW w:w="1092" w:type="dxa"/>
            <w:tcBorders>
              <w:top w:val="nil"/>
              <w:left w:val="nil"/>
              <w:bottom w:val="nil"/>
              <w:right w:val="nil"/>
            </w:tcBorders>
            <w:vAlign w:val="center"/>
          </w:tcPr>
          <w:p w14:paraId="0FCC858B" w14:textId="77777777" w:rsidR="00FA14FE" w:rsidRPr="00DE13EE" w:rsidRDefault="00FA14FE" w:rsidP="009D0993">
            <w:pPr>
              <w:spacing w:line="276" w:lineRule="auto"/>
              <w:rPr>
                <w:rFonts w:ascii="Times New Roman" w:hAnsi="Times New Roman" w:cs="Times New Roman"/>
                <w:bCs/>
                <w:color w:val="000000" w:themeColor="text1"/>
                <w:sz w:val="20"/>
                <w:szCs w:val="20"/>
              </w:rPr>
            </w:pPr>
            <w:r w:rsidRPr="00DE13EE">
              <w:rPr>
                <w:rFonts w:ascii="Times New Roman" w:hAnsi="Times New Roman" w:cs="Times New Roman"/>
                <w:bCs/>
                <w:color w:val="000000" w:themeColor="text1"/>
                <w:sz w:val="20"/>
                <w:szCs w:val="20"/>
              </w:rPr>
              <w:t>(?)</w:t>
            </w:r>
          </w:p>
        </w:tc>
        <w:tc>
          <w:tcPr>
            <w:tcW w:w="1711" w:type="dxa"/>
            <w:tcBorders>
              <w:top w:val="nil"/>
              <w:left w:val="nil"/>
              <w:bottom w:val="nil"/>
              <w:right w:val="nil"/>
            </w:tcBorders>
            <w:vAlign w:val="bottom"/>
          </w:tcPr>
          <w:p w14:paraId="342BE0C4"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-0.050***</w:t>
            </w:r>
          </w:p>
          <w:p w14:paraId="125A8CAF"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(-3.45)</w:t>
            </w:r>
          </w:p>
        </w:tc>
        <w:tc>
          <w:tcPr>
            <w:tcW w:w="2124" w:type="dxa"/>
            <w:tcBorders>
              <w:top w:val="nil"/>
              <w:left w:val="nil"/>
              <w:bottom w:val="nil"/>
              <w:right w:val="nil"/>
            </w:tcBorders>
          </w:tcPr>
          <w:p w14:paraId="36D3C202"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-0.051***</w:t>
            </w:r>
          </w:p>
          <w:p w14:paraId="74C6958C"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(-2.72)</w:t>
            </w:r>
          </w:p>
        </w:tc>
      </w:tr>
      <w:tr w:rsidR="00DE13EE" w:rsidRPr="00DE13EE" w14:paraId="0661F684" w14:textId="77777777" w:rsidTr="009D0993">
        <w:trPr>
          <w:trHeight w:val="607"/>
          <w:jc w:val="center"/>
        </w:trPr>
        <w:tc>
          <w:tcPr>
            <w:tcW w:w="2926" w:type="dxa"/>
            <w:tcBorders>
              <w:top w:val="nil"/>
              <w:left w:val="nil"/>
              <w:bottom w:val="nil"/>
              <w:right w:val="nil"/>
            </w:tcBorders>
            <w:vAlign w:val="center"/>
          </w:tcPr>
          <w:p w14:paraId="7913DDDE"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 xml:space="preserve">Length of narrative document </w:t>
            </w:r>
          </w:p>
        </w:tc>
        <w:tc>
          <w:tcPr>
            <w:tcW w:w="1501" w:type="dxa"/>
            <w:tcBorders>
              <w:top w:val="nil"/>
              <w:left w:val="nil"/>
              <w:bottom w:val="nil"/>
              <w:right w:val="nil"/>
            </w:tcBorders>
            <w:vAlign w:val="center"/>
          </w:tcPr>
          <w:p w14:paraId="0A337880"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LNGTH</w:t>
            </w:r>
          </w:p>
        </w:tc>
        <w:tc>
          <w:tcPr>
            <w:tcW w:w="1092" w:type="dxa"/>
            <w:tcBorders>
              <w:top w:val="nil"/>
              <w:left w:val="nil"/>
              <w:bottom w:val="nil"/>
              <w:right w:val="nil"/>
            </w:tcBorders>
            <w:vAlign w:val="center"/>
          </w:tcPr>
          <w:p w14:paraId="73A28643" w14:textId="77777777" w:rsidR="00FA14FE" w:rsidRPr="00DE13EE" w:rsidRDefault="00FA14FE" w:rsidP="009D0993">
            <w:pPr>
              <w:spacing w:line="276" w:lineRule="auto"/>
              <w:rPr>
                <w:rFonts w:ascii="Times New Roman" w:hAnsi="Times New Roman" w:cs="Times New Roman"/>
                <w:bCs/>
                <w:color w:val="000000" w:themeColor="text1"/>
                <w:sz w:val="20"/>
                <w:szCs w:val="20"/>
              </w:rPr>
            </w:pPr>
            <w:r w:rsidRPr="00DE13EE">
              <w:rPr>
                <w:rFonts w:ascii="Times New Roman" w:hAnsi="Times New Roman" w:cs="Times New Roman"/>
                <w:bCs/>
                <w:color w:val="000000" w:themeColor="text1"/>
                <w:sz w:val="20"/>
                <w:szCs w:val="20"/>
              </w:rPr>
              <w:t>(+)</w:t>
            </w:r>
          </w:p>
        </w:tc>
        <w:tc>
          <w:tcPr>
            <w:tcW w:w="1711" w:type="dxa"/>
            <w:tcBorders>
              <w:top w:val="nil"/>
              <w:left w:val="nil"/>
              <w:bottom w:val="nil"/>
              <w:right w:val="nil"/>
            </w:tcBorders>
            <w:vAlign w:val="bottom"/>
          </w:tcPr>
          <w:p w14:paraId="3D05A849"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-.074***</w:t>
            </w:r>
          </w:p>
          <w:p w14:paraId="1D15BA62"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(-3.17)</w:t>
            </w:r>
          </w:p>
        </w:tc>
        <w:tc>
          <w:tcPr>
            <w:tcW w:w="2124" w:type="dxa"/>
            <w:tcBorders>
              <w:top w:val="nil"/>
              <w:left w:val="nil"/>
              <w:bottom w:val="nil"/>
              <w:right w:val="nil"/>
            </w:tcBorders>
          </w:tcPr>
          <w:p w14:paraId="659C0E7A"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-.039*</w:t>
            </w:r>
          </w:p>
          <w:p w14:paraId="2EE44619"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(-1.66)</w:t>
            </w:r>
          </w:p>
        </w:tc>
      </w:tr>
      <w:tr w:rsidR="00DE13EE" w:rsidRPr="00DE13EE" w14:paraId="0F126B4E" w14:textId="77777777" w:rsidTr="009D0993">
        <w:trPr>
          <w:trHeight w:val="234"/>
          <w:jc w:val="center"/>
        </w:trPr>
        <w:tc>
          <w:tcPr>
            <w:tcW w:w="5519" w:type="dxa"/>
            <w:gridSpan w:val="3"/>
            <w:tcBorders>
              <w:top w:val="nil"/>
              <w:left w:val="nil"/>
              <w:bottom w:val="nil"/>
              <w:right w:val="nil"/>
            </w:tcBorders>
            <w:vAlign w:val="center"/>
          </w:tcPr>
          <w:p w14:paraId="773AD9BA"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Wald Chi-square</w:t>
            </w:r>
          </w:p>
        </w:tc>
        <w:tc>
          <w:tcPr>
            <w:tcW w:w="1711" w:type="dxa"/>
            <w:tcBorders>
              <w:top w:val="nil"/>
              <w:left w:val="nil"/>
              <w:bottom w:val="nil"/>
              <w:right w:val="nil"/>
            </w:tcBorders>
          </w:tcPr>
          <w:p w14:paraId="27BFA21E" w14:textId="77777777" w:rsidR="00FA14FE" w:rsidRPr="00DE13EE" w:rsidRDefault="00FA14FE" w:rsidP="009D0993">
            <w:pPr>
              <w:spacing w:line="276" w:lineRule="auto"/>
              <w:jc w:val="center"/>
              <w:rPr>
                <w:rFonts w:ascii="Times New Roman" w:hAnsi="Times New Roman" w:cs="Times New Roman"/>
                <w:color w:val="000000" w:themeColor="text1"/>
                <w:sz w:val="20"/>
                <w:szCs w:val="20"/>
              </w:rPr>
            </w:pPr>
          </w:p>
        </w:tc>
        <w:tc>
          <w:tcPr>
            <w:tcW w:w="2124" w:type="dxa"/>
            <w:tcBorders>
              <w:top w:val="nil"/>
              <w:left w:val="nil"/>
              <w:bottom w:val="nil"/>
              <w:right w:val="nil"/>
            </w:tcBorders>
          </w:tcPr>
          <w:p w14:paraId="7DBB21F3"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28068.29***</w:t>
            </w:r>
          </w:p>
        </w:tc>
      </w:tr>
      <w:tr w:rsidR="00DE13EE" w:rsidRPr="00DE13EE" w14:paraId="6380CF57" w14:textId="77777777" w:rsidTr="009D0993">
        <w:trPr>
          <w:trHeight w:val="229"/>
          <w:jc w:val="center"/>
        </w:trPr>
        <w:tc>
          <w:tcPr>
            <w:tcW w:w="5519" w:type="dxa"/>
            <w:gridSpan w:val="3"/>
            <w:tcBorders>
              <w:top w:val="nil"/>
              <w:left w:val="nil"/>
              <w:bottom w:val="nil"/>
              <w:right w:val="nil"/>
            </w:tcBorders>
            <w:hideMark/>
          </w:tcPr>
          <w:p w14:paraId="50AB44E9"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F-test</w:t>
            </w:r>
          </w:p>
        </w:tc>
        <w:tc>
          <w:tcPr>
            <w:tcW w:w="1711" w:type="dxa"/>
            <w:tcBorders>
              <w:top w:val="nil"/>
              <w:left w:val="nil"/>
              <w:bottom w:val="nil"/>
              <w:right w:val="nil"/>
            </w:tcBorders>
          </w:tcPr>
          <w:p w14:paraId="557F739D"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608.78***</w:t>
            </w:r>
          </w:p>
        </w:tc>
        <w:tc>
          <w:tcPr>
            <w:tcW w:w="2124" w:type="dxa"/>
            <w:tcBorders>
              <w:top w:val="nil"/>
              <w:left w:val="nil"/>
              <w:bottom w:val="nil"/>
              <w:right w:val="nil"/>
            </w:tcBorders>
          </w:tcPr>
          <w:p w14:paraId="15832721" w14:textId="77777777" w:rsidR="00FA14FE" w:rsidRPr="00DE13EE" w:rsidRDefault="00FA14FE" w:rsidP="009D0993">
            <w:pPr>
              <w:spacing w:line="276" w:lineRule="auto"/>
              <w:rPr>
                <w:rFonts w:ascii="Times New Roman" w:hAnsi="Times New Roman" w:cs="Times New Roman"/>
                <w:color w:val="000000" w:themeColor="text1"/>
                <w:sz w:val="20"/>
                <w:szCs w:val="20"/>
              </w:rPr>
            </w:pPr>
          </w:p>
        </w:tc>
      </w:tr>
      <w:tr w:rsidR="00DE13EE" w:rsidRPr="00DE13EE" w14:paraId="3F51C264" w14:textId="77777777" w:rsidTr="009D0993">
        <w:trPr>
          <w:trHeight w:val="269"/>
          <w:jc w:val="center"/>
        </w:trPr>
        <w:tc>
          <w:tcPr>
            <w:tcW w:w="5519" w:type="dxa"/>
            <w:gridSpan w:val="3"/>
            <w:tcBorders>
              <w:top w:val="nil"/>
              <w:left w:val="nil"/>
              <w:bottom w:val="nil"/>
              <w:right w:val="nil"/>
            </w:tcBorders>
            <w:hideMark/>
          </w:tcPr>
          <w:p w14:paraId="5F9F18D7"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Adjusted R- squared (%)</w:t>
            </w:r>
          </w:p>
        </w:tc>
        <w:tc>
          <w:tcPr>
            <w:tcW w:w="1711" w:type="dxa"/>
            <w:tcBorders>
              <w:top w:val="nil"/>
              <w:left w:val="nil"/>
              <w:bottom w:val="nil"/>
              <w:right w:val="nil"/>
            </w:tcBorders>
          </w:tcPr>
          <w:p w14:paraId="7588E0F2"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86.78</w:t>
            </w:r>
          </w:p>
        </w:tc>
        <w:tc>
          <w:tcPr>
            <w:tcW w:w="2124" w:type="dxa"/>
            <w:tcBorders>
              <w:top w:val="nil"/>
              <w:left w:val="nil"/>
              <w:bottom w:val="nil"/>
              <w:right w:val="nil"/>
            </w:tcBorders>
          </w:tcPr>
          <w:p w14:paraId="1F2A92E3"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86.44</w:t>
            </w:r>
          </w:p>
        </w:tc>
      </w:tr>
      <w:tr w:rsidR="00DE13EE" w:rsidRPr="00DE13EE" w14:paraId="2D80A7AB" w14:textId="77777777" w:rsidTr="009D0993">
        <w:trPr>
          <w:trHeight w:val="269"/>
          <w:jc w:val="center"/>
        </w:trPr>
        <w:tc>
          <w:tcPr>
            <w:tcW w:w="5519" w:type="dxa"/>
            <w:gridSpan w:val="3"/>
            <w:tcBorders>
              <w:top w:val="nil"/>
              <w:left w:val="nil"/>
              <w:bottom w:val="single" w:sz="4" w:space="0" w:color="auto"/>
              <w:right w:val="nil"/>
            </w:tcBorders>
            <w:hideMark/>
          </w:tcPr>
          <w:p w14:paraId="3E9B4B72"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 xml:space="preserve">No. of observations </w:t>
            </w:r>
          </w:p>
        </w:tc>
        <w:tc>
          <w:tcPr>
            <w:tcW w:w="1711" w:type="dxa"/>
            <w:tcBorders>
              <w:top w:val="nil"/>
              <w:left w:val="nil"/>
              <w:bottom w:val="single" w:sz="4" w:space="0" w:color="auto"/>
              <w:right w:val="nil"/>
            </w:tcBorders>
          </w:tcPr>
          <w:p w14:paraId="66AA3B70"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2932</w:t>
            </w:r>
          </w:p>
        </w:tc>
        <w:tc>
          <w:tcPr>
            <w:tcW w:w="2124" w:type="dxa"/>
            <w:tcBorders>
              <w:top w:val="nil"/>
              <w:left w:val="nil"/>
              <w:bottom w:val="single" w:sz="4" w:space="0" w:color="auto"/>
              <w:right w:val="nil"/>
            </w:tcBorders>
          </w:tcPr>
          <w:p w14:paraId="2BB72E86"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2932</w:t>
            </w:r>
          </w:p>
        </w:tc>
      </w:tr>
      <w:tr w:rsidR="00DE13EE" w:rsidRPr="00DE13EE" w14:paraId="791449B4" w14:textId="77777777" w:rsidTr="009D0993">
        <w:trPr>
          <w:trHeight w:val="635"/>
          <w:jc w:val="center"/>
        </w:trPr>
        <w:tc>
          <w:tcPr>
            <w:tcW w:w="9354" w:type="dxa"/>
            <w:gridSpan w:val="5"/>
            <w:tcBorders>
              <w:left w:val="nil"/>
              <w:bottom w:val="nil"/>
              <w:right w:val="nil"/>
            </w:tcBorders>
          </w:tcPr>
          <w:p w14:paraId="3BAD0E8F" w14:textId="77777777" w:rsidR="00FA14FE" w:rsidRPr="00DE13EE" w:rsidRDefault="00FA14FE" w:rsidP="009D0993">
            <w:pPr>
              <w:jc w:val="both"/>
              <w:rPr>
                <w:rFonts w:ascii="Times New Roman" w:hAnsi="Times New Roman" w:cs="Times New Roman"/>
                <w:color w:val="000000" w:themeColor="text1"/>
                <w:sz w:val="20"/>
                <w:szCs w:val="20"/>
              </w:rPr>
            </w:pPr>
            <w:r w:rsidRPr="00DE13EE">
              <w:rPr>
                <w:rFonts w:ascii="Times New Roman" w:hAnsi="Times New Roman" w:cs="Times New Roman"/>
                <w:b/>
                <w:color w:val="000000" w:themeColor="text1"/>
                <w:sz w:val="20"/>
                <w:szCs w:val="20"/>
              </w:rPr>
              <w:t>Notes</w:t>
            </w:r>
            <w:r w:rsidRPr="00DE13EE">
              <w:rPr>
                <w:rFonts w:ascii="Times New Roman" w:hAnsi="Times New Roman" w:cs="Times New Roman"/>
                <w:color w:val="000000" w:themeColor="text1"/>
                <w:sz w:val="20"/>
                <w:szCs w:val="20"/>
              </w:rPr>
              <w:t>: This Table reports the coefficients estimate of models (1) &amp; (2). The dependent variable is IMadj.TQ</w:t>
            </w:r>
            <w:r w:rsidRPr="00DE13EE">
              <w:rPr>
                <w:rFonts w:ascii="Times New Roman" w:hAnsi="Times New Roman" w:cs="Times New Roman"/>
                <w:color w:val="000000" w:themeColor="text1"/>
                <w:sz w:val="20"/>
                <w:szCs w:val="20"/>
                <w:vertAlign w:val="subscript"/>
              </w:rPr>
              <w:t>+3</w:t>
            </w:r>
            <w:r w:rsidRPr="00DE13EE">
              <w:rPr>
                <w:rFonts w:ascii="Times New Roman" w:hAnsi="Times New Roman" w:cs="Times New Roman"/>
                <w:color w:val="000000" w:themeColor="text1"/>
                <w:sz w:val="20"/>
                <w:szCs w:val="20"/>
              </w:rPr>
              <w:t xml:space="preserve"> – Firm Value measured using an industry median adjusted Tobin’s Q ratio at three months after the date of annual report. The </w:t>
            </w:r>
            <w:r w:rsidRPr="00DE13EE">
              <w:rPr>
                <w:rFonts w:ascii="Times New Roman" w:hAnsi="Times New Roman" w:cs="Times New Roman"/>
                <w:i/>
                <w:color w:val="000000" w:themeColor="text1"/>
                <w:sz w:val="20"/>
                <w:szCs w:val="20"/>
              </w:rPr>
              <w:t>t</w:t>
            </w:r>
            <w:r w:rsidRPr="00DE13EE">
              <w:rPr>
                <w:rFonts w:ascii="Times New Roman" w:hAnsi="Times New Roman" w:cs="Times New Roman"/>
                <w:color w:val="000000" w:themeColor="text1"/>
                <w:sz w:val="20"/>
                <w:szCs w:val="20"/>
              </w:rPr>
              <w:t xml:space="preserve">-statistics and </w:t>
            </w:r>
            <w:r w:rsidRPr="00DE13EE">
              <w:rPr>
                <w:rFonts w:ascii="Times New Roman" w:hAnsi="Times New Roman" w:cs="Times New Roman"/>
                <w:i/>
                <w:color w:val="000000" w:themeColor="text1"/>
                <w:sz w:val="20"/>
                <w:szCs w:val="20"/>
              </w:rPr>
              <w:t>z</w:t>
            </w:r>
            <w:r w:rsidRPr="00DE13EE">
              <w:rPr>
                <w:rFonts w:ascii="Times New Roman" w:hAnsi="Times New Roman" w:cs="Times New Roman"/>
                <w:color w:val="000000" w:themeColor="text1"/>
                <w:sz w:val="20"/>
                <w:szCs w:val="20"/>
              </w:rPr>
              <w:t>-statistics are presented in parentheses for fixed and random effects estimates, respectively.</w:t>
            </w:r>
          </w:p>
        </w:tc>
      </w:tr>
      <w:tr w:rsidR="00DE13EE" w:rsidRPr="00DE13EE" w14:paraId="6A0F77ED" w14:textId="77777777" w:rsidTr="009D0993">
        <w:trPr>
          <w:trHeight w:val="224"/>
          <w:jc w:val="center"/>
        </w:trPr>
        <w:tc>
          <w:tcPr>
            <w:tcW w:w="9354" w:type="dxa"/>
            <w:gridSpan w:val="5"/>
            <w:tcBorders>
              <w:top w:val="nil"/>
              <w:left w:val="nil"/>
              <w:bottom w:val="nil"/>
              <w:right w:val="nil"/>
            </w:tcBorders>
          </w:tcPr>
          <w:p w14:paraId="1A5C82B7" w14:textId="77777777" w:rsidR="00FA14FE" w:rsidRPr="00DE13EE" w:rsidRDefault="00FA14FE" w:rsidP="009D0993">
            <w:pPr>
              <w:jc w:val="both"/>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Variables’ definitions and measurements are the same as summarized in Appendix (2).</w:t>
            </w:r>
          </w:p>
        </w:tc>
      </w:tr>
      <w:tr w:rsidR="00FA14FE" w:rsidRPr="00DE13EE" w14:paraId="261C8381" w14:textId="77777777" w:rsidTr="009D0993">
        <w:trPr>
          <w:trHeight w:val="239"/>
          <w:jc w:val="center"/>
        </w:trPr>
        <w:tc>
          <w:tcPr>
            <w:tcW w:w="9354" w:type="dxa"/>
            <w:gridSpan w:val="5"/>
            <w:tcBorders>
              <w:top w:val="nil"/>
              <w:left w:val="nil"/>
              <w:bottom w:val="nil"/>
              <w:right w:val="nil"/>
            </w:tcBorders>
          </w:tcPr>
          <w:p w14:paraId="6E78A9F1" w14:textId="77777777" w:rsidR="00FA14FE" w:rsidRPr="00DE13EE" w:rsidRDefault="00FA14FE" w:rsidP="009D0993">
            <w:pPr>
              <w:jc w:val="both"/>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 **, and *** indicate significance at 0.1, 0.05 and 0.01, respectively.</w:t>
            </w:r>
          </w:p>
        </w:tc>
      </w:tr>
    </w:tbl>
    <w:p w14:paraId="2EEDB691" w14:textId="77777777" w:rsidR="00FA14FE" w:rsidRPr="00DE13EE" w:rsidRDefault="00FA14FE" w:rsidP="00FA14FE">
      <w:pPr>
        <w:rPr>
          <w:color w:val="000000" w:themeColor="text1"/>
        </w:rPr>
      </w:pPr>
    </w:p>
    <w:p w14:paraId="7081B62F" w14:textId="77777777" w:rsidR="00FA14FE" w:rsidRPr="00DE13EE" w:rsidRDefault="00FA14FE" w:rsidP="00FA14FE">
      <w:pPr>
        <w:rPr>
          <w:color w:val="000000" w:themeColor="text1"/>
        </w:rPr>
      </w:pPr>
    </w:p>
    <w:p w14:paraId="3B371D4A" w14:textId="77777777" w:rsidR="00FA14FE" w:rsidRPr="00DE13EE" w:rsidRDefault="00FA14FE" w:rsidP="00FA14FE">
      <w:pPr>
        <w:rPr>
          <w:color w:val="000000" w:themeColor="text1"/>
        </w:rPr>
      </w:pPr>
    </w:p>
    <w:p w14:paraId="4C6B6F3B" w14:textId="77777777" w:rsidR="00FA14FE" w:rsidRPr="00DE13EE" w:rsidRDefault="00FA14FE" w:rsidP="00FA14FE">
      <w:pPr>
        <w:rPr>
          <w:color w:val="000000" w:themeColor="text1"/>
        </w:rPr>
      </w:pPr>
    </w:p>
    <w:p w14:paraId="509711FC" w14:textId="77777777" w:rsidR="00FA14FE" w:rsidRPr="00DE13EE" w:rsidRDefault="00FA14FE" w:rsidP="00FA14FE">
      <w:pPr>
        <w:rPr>
          <w:color w:val="000000" w:themeColor="text1"/>
        </w:rPr>
      </w:pPr>
    </w:p>
    <w:p w14:paraId="4E99CB6F" w14:textId="77777777" w:rsidR="00FA14FE" w:rsidRPr="00DE13EE" w:rsidRDefault="00FA14FE" w:rsidP="00FA14FE">
      <w:pPr>
        <w:rPr>
          <w:color w:val="000000" w:themeColor="text1"/>
        </w:rPr>
      </w:pPr>
    </w:p>
    <w:p w14:paraId="7D1E47D3" w14:textId="77777777" w:rsidR="00FA14FE" w:rsidRPr="00DE13EE" w:rsidRDefault="00FA14FE" w:rsidP="00FA14FE">
      <w:pPr>
        <w:rPr>
          <w:color w:val="000000" w:themeColor="text1"/>
        </w:rPr>
      </w:pPr>
    </w:p>
    <w:tbl>
      <w:tblPr>
        <w:tblStyle w:val="TableGrid212"/>
        <w:tblW w:w="11408" w:type="dxa"/>
        <w:jc w:val="center"/>
        <w:tblLayout w:type="fixed"/>
        <w:tblLook w:val="04A0" w:firstRow="1" w:lastRow="0" w:firstColumn="1" w:lastColumn="0" w:noHBand="0" w:noVBand="1"/>
      </w:tblPr>
      <w:tblGrid>
        <w:gridCol w:w="2154"/>
        <w:gridCol w:w="1330"/>
        <w:gridCol w:w="850"/>
        <w:gridCol w:w="1559"/>
        <w:gridCol w:w="1985"/>
        <w:gridCol w:w="1559"/>
        <w:gridCol w:w="1971"/>
      </w:tblGrid>
      <w:tr w:rsidR="00DE13EE" w:rsidRPr="00DE13EE" w14:paraId="4EFF058F" w14:textId="77777777" w:rsidTr="009D0993">
        <w:trPr>
          <w:trHeight w:val="393"/>
          <w:jc w:val="center"/>
        </w:trPr>
        <w:tc>
          <w:tcPr>
            <w:tcW w:w="11408" w:type="dxa"/>
            <w:gridSpan w:val="7"/>
            <w:tcBorders>
              <w:top w:val="nil"/>
              <w:left w:val="nil"/>
              <w:bottom w:val="single" w:sz="4" w:space="0" w:color="auto"/>
              <w:right w:val="nil"/>
            </w:tcBorders>
          </w:tcPr>
          <w:p w14:paraId="0DB65614" w14:textId="77777777" w:rsidR="00FA14FE" w:rsidRPr="00DE13EE" w:rsidRDefault="00FA14FE" w:rsidP="009D0993">
            <w:pPr>
              <w:rPr>
                <w:rFonts w:ascii="Times New Roman" w:hAnsi="Times New Roman" w:cs="Times New Roman"/>
                <w:b/>
                <w:bCs/>
                <w:color w:val="000000" w:themeColor="text1"/>
                <w:sz w:val="20"/>
                <w:szCs w:val="20"/>
              </w:rPr>
            </w:pPr>
            <w:r w:rsidRPr="00DE13EE">
              <w:rPr>
                <w:rFonts w:ascii="Times New Roman" w:hAnsi="Times New Roman" w:cs="Times New Roman"/>
                <w:b/>
                <w:bCs/>
                <w:color w:val="000000" w:themeColor="text1"/>
                <w:sz w:val="20"/>
                <w:szCs w:val="20"/>
              </w:rPr>
              <w:t xml:space="preserve">Table (5): Models (1) &amp; (2) results: High-performing vs. low-performing firms   </w:t>
            </w:r>
          </w:p>
          <w:p w14:paraId="2710EA73" w14:textId="77777777" w:rsidR="00FA14FE" w:rsidRPr="00DE13EE" w:rsidRDefault="00FA14FE" w:rsidP="009D0993">
            <w:pPr>
              <w:jc w:val="center"/>
              <w:rPr>
                <w:rFonts w:ascii="Times New Roman" w:hAnsi="Times New Roman" w:cs="Times New Roman"/>
                <w:b/>
                <w:bCs/>
                <w:color w:val="000000" w:themeColor="text1"/>
                <w:sz w:val="20"/>
                <w:szCs w:val="20"/>
              </w:rPr>
            </w:pPr>
          </w:p>
        </w:tc>
      </w:tr>
      <w:tr w:rsidR="00DE13EE" w:rsidRPr="00DE13EE" w14:paraId="747F9131" w14:textId="77777777" w:rsidTr="009D0993">
        <w:trPr>
          <w:trHeight w:val="393"/>
          <w:jc w:val="center"/>
        </w:trPr>
        <w:tc>
          <w:tcPr>
            <w:tcW w:w="2154" w:type="dxa"/>
            <w:tcBorders>
              <w:left w:val="nil"/>
              <w:right w:val="nil"/>
            </w:tcBorders>
          </w:tcPr>
          <w:p w14:paraId="2885193D" w14:textId="77777777" w:rsidR="00FA14FE" w:rsidRPr="00DE13EE" w:rsidRDefault="00FA14FE" w:rsidP="009D0993">
            <w:pPr>
              <w:rPr>
                <w:rFonts w:ascii="Times New Roman" w:hAnsi="Times New Roman" w:cs="Times New Roman"/>
                <w:b/>
                <w:bCs/>
                <w:color w:val="000000" w:themeColor="text1"/>
                <w:sz w:val="20"/>
                <w:szCs w:val="20"/>
              </w:rPr>
            </w:pPr>
          </w:p>
        </w:tc>
        <w:tc>
          <w:tcPr>
            <w:tcW w:w="1330" w:type="dxa"/>
            <w:tcBorders>
              <w:left w:val="nil"/>
              <w:right w:val="nil"/>
            </w:tcBorders>
          </w:tcPr>
          <w:p w14:paraId="15260E48" w14:textId="77777777" w:rsidR="00FA14FE" w:rsidRPr="00DE13EE" w:rsidRDefault="00FA14FE" w:rsidP="009D0993">
            <w:pPr>
              <w:rPr>
                <w:rFonts w:ascii="Times New Roman" w:hAnsi="Times New Roman" w:cs="Times New Roman"/>
                <w:b/>
                <w:bCs/>
                <w:color w:val="000000" w:themeColor="text1"/>
                <w:sz w:val="20"/>
                <w:szCs w:val="20"/>
              </w:rPr>
            </w:pPr>
          </w:p>
        </w:tc>
        <w:tc>
          <w:tcPr>
            <w:tcW w:w="850" w:type="dxa"/>
            <w:tcBorders>
              <w:left w:val="nil"/>
              <w:right w:val="nil"/>
            </w:tcBorders>
          </w:tcPr>
          <w:p w14:paraId="6FFEA0D1" w14:textId="77777777" w:rsidR="00FA14FE" w:rsidRPr="00DE13EE" w:rsidRDefault="00FA14FE" w:rsidP="009D0993">
            <w:pPr>
              <w:jc w:val="center"/>
              <w:rPr>
                <w:rFonts w:ascii="Times New Roman" w:hAnsi="Times New Roman" w:cs="Times New Roman"/>
                <w:b/>
                <w:bCs/>
                <w:color w:val="000000" w:themeColor="text1"/>
                <w:sz w:val="20"/>
                <w:szCs w:val="20"/>
              </w:rPr>
            </w:pPr>
          </w:p>
        </w:tc>
        <w:tc>
          <w:tcPr>
            <w:tcW w:w="3544" w:type="dxa"/>
            <w:gridSpan w:val="2"/>
            <w:tcBorders>
              <w:left w:val="nil"/>
              <w:right w:val="nil"/>
            </w:tcBorders>
          </w:tcPr>
          <w:p w14:paraId="166C68C4" w14:textId="77777777" w:rsidR="00FA14FE" w:rsidRPr="00DE13EE" w:rsidRDefault="00FA14FE" w:rsidP="009D0993">
            <w:pPr>
              <w:rPr>
                <w:rFonts w:ascii="Times New Roman" w:hAnsi="Times New Roman" w:cs="Times New Roman"/>
                <w:b/>
                <w:bCs/>
                <w:color w:val="000000" w:themeColor="text1"/>
                <w:sz w:val="20"/>
                <w:szCs w:val="20"/>
              </w:rPr>
            </w:pPr>
            <w:r w:rsidRPr="00DE13EE">
              <w:rPr>
                <w:rFonts w:ascii="Times New Roman" w:hAnsi="Times New Roman" w:cs="Times New Roman"/>
                <w:b/>
                <w:bCs/>
                <w:color w:val="000000" w:themeColor="text1"/>
                <w:sz w:val="20"/>
                <w:szCs w:val="20"/>
              </w:rPr>
              <w:t>(1) High-performing firms</w:t>
            </w:r>
          </w:p>
        </w:tc>
        <w:tc>
          <w:tcPr>
            <w:tcW w:w="3530" w:type="dxa"/>
            <w:gridSpan w:val="2"/>
            <w:tcBorders>
              <w:left w:val="nil"/>
              <w:right w:val="nil"/>
            </w:tcBorders>
          </w:tcPr>
          <w:p w14:paraId="57FBDDF9" w14:textId="77777777" w:rsidR="00FA14FE" w:rsidRPr="00DE13EE" w:rsidRDefault="00FA14FE" w:rsidP="009D0993">
            <w:pPr>
              <w:rPr>
                <w:rFonts w:ascii="Times New Roman" w:hAnsi="Times New Roman" w:cs="Times New Roman"/>
                <w:b/>
                <w:bCs/>
                <w:color w:val="000000" w:themeColor="text1"/>
                <w:sz w:val="20"/>
                <w:szCs w:val="20"/>
              </w:rPr>
            </w:pPr>
            <w:r w:rsidRPr="00DE13EE">
              <w:rPr>
                <w:rFonts w:ascii="Times New Roman" w:hAnsi="Times New Roman" w:cs="Times New Roman"/>
                <w:b/>
                <w:bCs/>
                <w:color w:val="000000" w:themeColor="text1"/>
                <w:sz w:val="20"/>
                <w:szCs w:val="20"/>
              </w:rPr>
              <w:t xml:space="preserve">(2) Low-performing firms  </w:t>
            </w:r>
          </w:p>
        </w:tc>
      </w:tr>
      <w:tr w:rsidR="00DE13EE" w:rsidRPr="00DE13EE" w14:paraId="3FAED19F" w14:textId="77777777" w:rsidTr="009D0993">
        <w:trPr>
          <w:trHeight w:val="393"/>
          <w:jc w:val="center"/>
        </w:trPr>
        <w:tc>
          <w:tcPr>
            <w:tcW w:w="2154" w:type="dxa"/>
            <w:tcBorders>
              <w:left w:val="nil"/>
              <w:right w:val="nil"/>
            </w:tcBorders>
          </w:tcPr>
          <w:p w14:paraId="5CF1E8AE" w14:textId="77777777" w:rsidR="00FA14FE" w:rsidRPr="00DE13EE" w:rsidRDefault="00FA14FE" w:rsidP="009D0993">
            <w:pPr>
              <w:rPr>
                <w:rFonts w:ascii="Times New Roman" w:hAnsi="Times New Roman" w:cs="Times New Roman"/>
                <w:b/>
                <w:bCs/>
                <w:color w:val="000000" w:themeColor="text1"/>
                <w:sz w:val="20"/>
                <w:szCs w:val="20"/>
              </w:rPr>
            </w:pPr>
          </w:p>
        </w:tc>
        <w:tc>
          <w:tcPr>
            <w:tcW w:w="1330" w:type="dxa"/>
            <w:tcBorders>
              <w:left w:val="nil"/>
              <w:right w:val="nil"/>
            </w:tcBorders>
          </w:tcPr>
          <w:p w14:paraId="477839FF" w14:textId="77777777" w:rsidR="00FA14FE" w:rsidRPr="00DE13EE" w:rsidRDefault="00FA14FE" w:rsidP="009D0993">
            <w:pPr>
              <w:rPr>
                <w:rFonts w:ascii="Times New Roman" w:hAnsi="Times New Roman" w:cs="Times New Roman"/>
                <w:b/>
                <w:bCs/>
                <w:color w:val="000000" w:themeColor="text1"/>
                <w:sz w:val="20"/>
                <w:szCs w:val="20"/>
              </w:rPr>
            </w:pPr>
          </w:p>
        </w:tc>
        <w:tc>
          <w:tcPr>
            <w:tcW w:w="850" w:type="dxa"/>
            <w:tcBorders>
              <w:left w:val="nil"/>
              <w:right w:val="nil"/>
            </w:tcBorders>
          </w:tcPr>
          <w:p w14:paraId="6A55BCDB" w14:textId="77777777" w:rsidR="00FA14FE" w:rsidRPr="00DE13EE" w:rsidRDefault="00FA14FE" w:rsidP="009D0993">
            <w:pPr>
              <w:jc w:val="center"/>
              <w:rPr>
                <w:rFonts w:ascii="Times New Roman" w:hAnsi="Times New Roman" w:cs="Times New Roman"/>
                <w:b/>
                <w:bCs/>
                <w:color w:val="000000" w:themeColor="text1"/>
                <w:sz w:val="20"/>
                <w:szCs w:val="20"/>
              </w:rPr>
            </w:pPr>
          </w:p>
        </w:tc>
        <w:tc>
          <w:tcPr>
            <w:tcW w:w="1559" w:type="dxa"/>
            <w:tcBorders>
              <w:left w:val="nil"/>
              <w:right w:val="nil"/>
            </w:tcBorders>
            <w:vAlign w:val="center"/>
          </w:tcPr>
          <w:p w14:paraId="763B19DD" w14:textId="77777777" w:rsidR="00FA14FE" w:rsidRPr="00DE13EE" w:rsidRDefault="00FA14FE" w:rsidP="009D0993">
            <w:pPr>
              <w:rPr>
                <w:rFonts w:ascii="Times New Roman" w:hAnsi="Times New Roman" w:cs="Times New Roman"/>
                <w:b/>
                <w:bCs/>
                <w:color w:val="000000" w:themeColor="text1"/>
                <w:sz w:val="20"/>
                <w:szCs w:val="20"/>
              </w:rPr>
            </w:pPr>
            <w:r w:rsidRPr="00DE13EE">
              <w:rPr>
                <w:rFonts w:ascii="Times New Roman" w:hAnsi="Times New Roman" w:cs="Times New Roman"/>
                <w:b/>
                <w:bCs/>
                <w:color w:val="000000" w:themeColor="text1"/>
                <w:sz w:val="20"/>
                <w:szCs w:val="20"/>
              </w:rPr>
              <w:t>Fixed-effect Model (1)</w:t>
            </w:r>
          </w:p>
          <w:p w14:paraId="545C1A3C" w14:textId="77777777" w:rsidR="00FA14FE" w:rsidRPr="00DE13EE" w:rsidRDefault="00FA14FE" w:rsidP="009D0993">
            <w:pPr>
              <w:rPr>
                <w:rFonts w:ascii="Times New Roman" w:hAnsi="Times New Roman" w:cs="Times New Roman"/>
                <w:b/>
                <w:bCs/>
                <w:color w:val="000000" w:themeColor="text1"/>
                <w:sz w:val="20"/>
                <w:szCs w:val="20"/>
              </w:rPr>
            </w:pPr>
          </w:p>
        </w:tc>
        <w:tc>
          <w:tcPr>
            <w:tcW w:w="1985" w:type="dxa"/>
            <w:tcBorders>
              <w:left w:val="nil"/>
              <w:right w:val="nil"/>
            </w:tcBorders>
          </w:tcPr>
          <w:p w14:paraId="6C675FD0" w14:textId="77777777" w:rsidR="00FA14FE" w:rsidRPr="00DE13EE" w:rsidRDefault="00FA14FE" w:rsidP="009D0993">
            <w:pPr>
              <w:rPr>
                <w:rFonts w:ascii="Times New Roman" w:hAnsi="Times New Roman" w:cs="Times New Roman"/>
                <w:b/>
                <w:bCs/>
                <w:color w:val="000000" w:themeColor="text1"/>
                <w:sz w:val="20"/>
                <w:szCs w:val="20"/>
              </w:rPr>
            </w:pPr>
            <w:r w:rsidRPr="00DE13EE">
              <w:rPr>
                <w:rFonts w:ascii="Times New Roman" w:hAnsi="Times New Roman" w:cs="Times New Roman"/>
                <w:b/>
                <w:bCs/>
                <w:color w:val="000000" w:themeColor="text1"/>
                <w:sz w:val="20"/>
                <w:szCs w:val="20"/>
              </w:rPr>
              <w:t xml:space="preserve">Random-effect Model (2) </w:t>
            </w:r>
          </w:p>
        </w:tc>
        <w:tc>
          <w:tcPr>
            <w:tcW w:w="1559" w:type="dxa"/>
            <w:tcBorders>
              <w:left w:val="nil"/>
              <w:right w:val="nil"/>
            </w:tcBorders>
            <w:vAlign w:val="center"/>
          </w:tcPr>
          <w:p w14:paraId="54D39D9B" w14:textId="77777777" w:rsidR="00FA14FE" w:rsidRPr="00DE13EE" w:rsidRDefault="00FA14FE" w:rsidP="009D0993">
            <w:pPr>
              <w:rPr>
                <w:rFonts w:ascii="Times New Roman" w:hAnsi="Times New Roman" w:cs="Times New Roman"/>
                <w:b/>
                <w:bCs/>
                <w:color w:val="000000" w:themeColor="text1"/>
                <w:sz w:val="20"/>
                <w:szCs w:val="20"/>
              </w:rPr>
            </w:pPr>
            <w:r w:rsidRPr="00DE13EE">
              <w:rPr>
                <w:rFonts w:ascii="Times New Roman" w:hAnsi="Times New Roman" w:cs="Times New Roman"/>
                <w:b/>
                <w:bCs/>
                <w:color w:val="000000" w:themeColor="text1"/>
                <w:sz w:val="20"/>
                <w:szCs w:val="20"/>
              </w:rPr>
              <w:t>Fixed-effect Model (1)</w:t>
            </w:r>
          </w:p>
          <w:p w14:paraId="555224A4" w14:textId="77777777" w:rsidR="00FA14FE" w:rsidRPr="00DE13EE" w:rsidRDefault="00FA14FE" w:rsidP="009D0993">
            <w:pPr>
              <w:rPr>
                <w:rFonts w:ascii="Times New Roman" w:hAnsi="Times New Roman" w:cs="Times New Roman"/>
                <w:b/>
                <w:bCs/>
                <w:color w:val="000000" w:themeColor="text1"/>
                <w:sz w:val="20"/>
                <w:szCs w:val="20"/>
              </w:rPr>
            </w:pPr>
          </w:p>
        </w:tc>
        <w:tc>
          <w:tcPr>
            <w:tcW w:w="1971" w:type="dxa"/>
            <w:tcBorders>
              <w:left w:val="nil"/>
              <w:right w:val="nil"/>
            </w:tcBorders>
          </w:tcPr>
          <w:p w14:paraId="4B547F8B" w14:textId="77777777" w:rsidR="00FA14FE" w:rsidRPr="00DE13EE" w:rsidRDefault="00FA14FE" w:rsidP="009D0993">
            <w:pPr>
              <w:rPr>
                <w:rFonts w:ascii="Times New Roman" w:hAnsi="Times New Roman" w:cs="Times New Roman"/>
                <w:b/>
                <w:bCs/>
                <w:color w:val="000000" w:themeColor="text1"/>
                <w:sz w:val="20"/>
                <w:szCs w:val="20"/>
              </w:rPr>
            </w:pPr>
            <w:r w:rsidRPr="00DE13EE">
              <w:rPr>
                <w:rFonts w:ascii="Times New Roman" w:hAnsi="Times New Roman" w:cs="Times New Roman"/>
                <w:b/>
                <w:bCs/>
                <w:color w:val="000000" w:themeColor="text1"/>
                <w:sz w:val="20"/>
                <w:szCs w:val="20"/>
              </w:rPr>
              <w:t xml:space="preserve">Random-effect Model (2) </w:t>
            </w:r>
          </w:p>
          <w:p w14:paraId="03ADDAC8" w14:textId="77777777" w:rsidR="00FA14FE" w:rsidRPr="00DE13EE" w:rsidRDefault="00FA14FE" w:rsidP="009D0993">
            <w:pPr>
              <w:rPr>
                <w:rFonts w:ascii="Times New Roman" w:hAnsi="Times New Roman" w:cs="Times New Roman"/>
                <w:b/>
                <w:bCs/>
                <w:color w:val="000000" w:themeColor="text1"/>
                <w:sz w:val="20"/>
                <w:szCs w:val="20"/>
              </w:rPr>
            </w:pPr>
          </w:p>
        </w:tc>
      </w:tr>
      <w:tr w:rsidR="00DE13EE" w:rsidRPr="00DE13EE" w14:paraId="7A6E6FF7" w14:textId="77777777" w:rsidTr="009D0993">
        <w:trPr>
          <w:trHeight w:val="393"/>
          <w:jc w:val="center"/>
        </w:trPr>
        <w:tc>
          <w:tcPr>
            <w:tcW w:w="2154" w:type="dxa"/>
            <w:tcBorders>
              <w:left w:val="nil"/>
              <w:bottom w:val="single" w:sz="4" w:space="0" w:color="auto"/>
              <w:right w:val="nil"/>
            </w:tcBorders>
          </w:tcPr>
          <w:p w14:paraId="30AC859F" w14:textId="77777777" w:rsidR="00FA14FE" w:rsidRPr="00DE13EE" w:rsidRDefault="00FA14FE" w:rsidP="009D0993">
            <w:pPr>
              <w:rPr>
                <w:rFonts w:ascii="Times New Roman" w:hAnsi="Times New Roman" w:cs="Times New Roman"/>
                <w:b/>
                <w:bCs/>
                <w:color w:val="000000" w:themeColor="text1"/>
                <w:sz w:val="20"/>
                <w:szCs w:val="20"/>
              </w:rPr>
            </w:pPr>
          </w:p>
        </w:tc>
        <w:tc>
          <w:tcPr>
            <w:tcW w:w="1330" w:type="dxa"/>
            <w:tcBorders>
              <w:left w:val="nil"/>
              <w:bottom w:val="single" w:sz="4" w:space="0" w:color="auto"/>
              <w:right w:val="nil"/>
            </w:tcBorders>
            <w:vAlign w:val="center"/>
            <w:hideMark/>
          </w:tcPr>
          <w:p w14:paraId="658EFBD4" w14:textId="77777777" w:rsidR="00FA14FE" w:rsidRPr="00DE13EE" w:rsidRDefault="00FA14FE" w:rsidP="009D0993">
            <w:pPr>
              <w:rPr>
                <w:rFonts w:ascii="Times New Roman" w:hAnsi="Times New Roman" w:cs="Times New Roman"/>
                <w:b/>
                <w:bCs/>
                <w:color w:val="000000" w:themeColor="text1"/>
                <w:sz w:val="20"/>
                <w:szCs w:val="20"/>
              </w:rPr>
            </w:pPr>
            <w:r w:rsidRPr="00DE13EE">
              <w:rPr>
                <w:rFonts w:ascii="Times New Roman" w:hAnsi="Times New Roman" w:cs="Times New Roman"/>
                <w:b/>
                <w:bCs/>
                <w:color w:val="000000" w:themeColor="text1"/>
                <w:sz w:val="20"/>
                <w:szCs w:val="20"/>
              </w:rPr>
              <w:t>Indep. Variables</w:t>
            </w:r>
          </w:p>
          <w:p w14:paraId="395FD067" w14:textId="77777777" w:rsidR="00FA14FE" w:rsidRPr="00DE13EE" w:rsidRDefault="00FA14FE" w:rsidP="009D0993">
            <w:pPr>
              <w:rPr>
                <w:rFonts w:ascii="Times New Roman" w:hAnsi="Times New Roman" w:cs="Times New Roman"/>
                <w:b/>
                <w:bCs/>
                <w:color w:val="000000" w:themeColor="text1"/>
                <w:sz w:val="20"/>
                <w:szCs w:val="20"/>
              </w:rPr>
            </w:pPr>
          </w:p>
        </w:tc>
        <w:tc>
          <w:tcPr>
            <w:tcW w:w="850" w:type="dxa"/>
            <w:tcBorders>
              <w:left w:val="nil"/>
              <w:bottom w:val="single" w:sz="4" w:space="0" w:color="auto"/>
              <w:right w:val="nil"/>
            </w:tcBorders>
            <w:vAlign w:val="center"/>
            <w:hideMark/>
          </w:tcPr>
          <w:p w14:paraId="2BCAD7D6" w14:textId="77777777" w:rsidR="00FA14FE" w:rsidRPr="00DE13EE" w:rsidRDefault="00FA14FE" w:rsidP="009D0993">
            <w:pPr>
              <w:rPr>
                <w:rFonts w:ascii="Times New Roman" w:hAnsi="Times New Roman" w:cs="Times New Roman"/>
                <w:b/>
                <w:bCs/>
                <w:color w:val="000000" w:themeColor="text1"/>
                <w:sz w:val="20"/>
                <w:szCs w:val="20"/>
              </w:rPr>
            </w:pPr>
            <w:r w:rsidRPr="00DE13EE">
              <w:rPr>
                <w:rFonts w:ascii="Times New Roman" w:hAnsi="Times New Roman" w:cs="Times New Roman"/>
                <w:b/>
                <w:bCs/>
                <w:color w:val="000000" w:themeColor="text1"/>
                <w:sz w:val="20"/>
                <w:szCs w:val="20"/>
              </w:rPr>
              <w:t>Pred.</w:t>
            </w:r>
            <w:r w:rsidRPr="00DE13EE">
              <w:rPr>
                <w:rFonts w:ascii="Times New Roman" w:hAnsi="Times New Roman" w:cs="Times New Roman"/>
                <w:b/>
                <w:bCs/>
                <w:color w:val="000000" w:themeColor="text1"/>
                <w:sz w:val="20"/>
                <w:szCs w:val="20"/>
              </w:rPr>
              <w:br/>
              <w:t>Sign</w:t>
            </w:r>
          </w:p>
          <w:p w14:paraId="1FC6ED1C" w14:textId="77777777" w:rsidR="00FA14FE" w:rsidRPr="00DE13EE" w:rsidRDefault="00FA14FE" w:rsidP="009D0993">
            <w:pPr>
              <w:rPr>
                <w:rFonts w:ascii="Times New Roman" w:hAnsi="Times New Roman" w:cs="Times New Roman"/>
                <w:b/>
                <w:bCs/>
                <w:color w:val="000000" w:themeColor="text1"/>
                <w:sz w:val="20"/>
                <w:szCs w:val="20"/>
              </w:rPr>
            </w:pPr>
          </w:p>
        </w:tc>
        <w:tc>
          <w:tcPr>
            <w:tcW w:w="1559" w:type="dxa"/>
            <w:tcBorders>
              <w:left w:val="nil"/>
              <w:bottom w:val="single" w:sz="4" w:space="0" w:color="auto"/>
              <w:right w:val="nil"/>
            </w:tcBorders>
            <w:vAlign w:val="center"/>
          </w:tcPr>
          <w:p w14:paraId="2D82FFC6" w14:textId="77777777" w:rsidR="00FA14FE" w:rsidRPr="00DE13EE" w:rsidRDefault="00FA14FE" w:rsidP="009D0993">
            <w:pPr>
              <w:rPr>
                <w:rFonts w:ascii="Times New Roman" w:hAnsi="Times New Roman" w:cs="Times New Roman"/>
                <w:b/>
                <w:bCs/>
                <w:color w:val="000000" w:themeColor="text1"/>
                <w:sz w:val="20"/>
                <w:szCs w:val="20"/>
              </w:rPr>
            </w:pPr>
            <w:r w:rsidRPr="00DE13EE">
              <w:rPr>
                <w:rFonts w:ascii="Times New Roman" w:hAnsi="Times New Roman" w:cs="Times New Roman"/>
                <w:b/>
                <w:bCs/>
                <w:color w:val="000000" w:themeColor="text1"/>
                <w:sz w:val="20"/>
                <w:szCs w:val="20"/>
              </w:rPr>
              <w:t>Coefficient</w:t>
            </w:r>
          </w:p>
          <w:p w14:paraId="159B160A" w14:textId="77777777" w:rsidR="00FA14FE" w:rsidRPr="00DE13EE" w:rsidRDefault="00FA14FE" w:rsidP="009D0993">
            <w:pPr>
              <w:rPr>
                <w:rFonts w:ascii="Times New Roman" w:hAnsi="Times New Roman" w:cs="Times New Roman"/>
                <w:b/>
                <w:bCs/>
                <w:color w:val="000000" w:themeColor="text1"/>
                <w:sz w:val="20"/>
                <w:szCs w:val="20"/>
              </w:rPr>
            </w:pPr>
            <w:r w:rsidRPr="00DE13EE">
              <w:rPr>
                <w:rFonts w:ascii="Times New Roman" w:hAnsi="Times New Roman" w:cs="Times New Roman"/>
                <w:b/>
                <w:bCs/>
                <w:color w:val="000000" w:themeColor="text1"/>
                <w:sz w:val="20"/>
                <w:szCs w:val="20"/>
              </w:rPr>
              <w:t>(t-statistic)</w:t>
            </w:r>
          </w:p>
          <w:p w14:paraId="79A93F91" w14:textId="77777777" w:rsidR="00FA14FE" w:rsidRPr="00DE13EE" w:rsidRDefault="00FA14FE" w:rsidP="009D0993">
            <w:pPr>
              <w:rPr>
                <w:rFonts w:ascii="Times New Roman" w:hAnsi="Times New Roman" w:cs="Times New Roman"/>
                <w:b/>
                <w:bCs/>
                <w:color w:val="000000" w:themeColor="text1"/>
                <w:sz w:val="20"/>
                <w:szCs w:val="20"/>
              </w:rPr>
            </w:pPr>
          </w:p>
        </w:tc>
        <w:tc>
          <w:tcPr>
            <w:tcW w:w="1985" w:type="dxa"/>
            <w:tcBorders>
              <w:left w:val="nil"/>
              <w:bottom w:val="single" w:sz="4" w:space="0" w:color="auto"/>
              <w:right w:val="nil"/>
            </w:tcBorders>
          </w:tcPr>
          <w:p w14:paraId="6CF897E2" w14:textId="77777777" w:rsidR="00FA14FE" w:rsidRPr="00DE13EE" w:rsidRDefault="00FA14FE" w:rsidP="009D0993">
            <w:pPr>
              <w:rPr>
                <w:rFonts w:ascii="Times New Roman" w:hAnsi="Times New Roman" w:cs="Times New Roman"/>
                <w:b/>
                <w:bCs/>
                <w:color w:val="000000" w:themeColor="text1"/>
                <w:sz w:val="20"/>
                <w:szCs w:val="20"/>
              </w:rPr>
            </w:pPr>
            <w:r w:rsidRPr="00DE13EE">
              <w:rPr>
                <w:rFonts w:ascii="Times New Roman" w:hAnsi="Times New Roman" w:cs="Times New Roman"/>
                <w:b/>
                <w:bCs/>
                <w:color w:val="000000" w:themeColor="text1"/>
                <w:sz w:val="20"/>
                <w:szCs w:val="20"/>
              </w:rPr>
              <w:t>Coefficient</w:t>
            </w:r>
          </w:p>
          <w:p w14:paraId="17E79CD5" w14:textId="77777777" w:rsidR="00FA14FE" w:rsidRPr="00DE13EE" w:rsidRDefault="00FA14FE" w:rsidP="009D0993">
            <w:pPr>
              <w:rPr>
                <w:rFonts w:ascii="Times New Roman" w:hAnsi="Times New Roman" w:cs="Times New Roman"/>
                <w:b/>
                <w:bCs/>
                <w:color w:val="000000" w:themeColor="text1"/>
                <w:sz w:val="20"/>
                <w:szCs w:val="20"/>
              </w:rPr>
            </w:pPr>
            <w:r w:rsidRPr="00DE13EE">
              <w:rPr>
                <w:rFonts w:ascii="Times New Roman" w:hAnsi="Times New Roman" w:cs="Times New Roman"/>
                <w:b/>
                <w:bCs/>
                <w:color w:val="000000" w:themeColor="text1"/>
                <w:sz w:val="20"/>
                <w:szCs w:val="20"/>
              </w:rPr>
              <w:t>(z-statistic)</w:t>
            </w:r>
          </w:p>
          <w:p w14:paraId="2B78683A" w14:textId="77777777" w:rsidR="00FA14FE" w:rsidRPr="00DE13EE" w:rsidRDefault="00FA14FE" w:rsidP="009D0993">
            <w:pPr>
              <w:rPr>
                <w:rFonts w:ascii="Times New Roman" w:hAnsi="Times New Roman" w:cs="Times New Roman"/>
                <w:b/>
                <w:bCs/>
                <w:color w:val="000000" w:themeColor="text1"/>
                <w:sz w:val="20"/>
                <w:szCs w:val="20"/>
              </w:rPr>
            </w:pPr>
          </w:p>
        </w:tc>
        <w:tc>
          <w:tcPr>
            <w:tcW w:w="1559" w:type="dxa"/>
            <w:tcBorders>
              <w:left w:val="nil"/>
              <w:bottom w:val="single" w:sz="4" w:space="0" w:color="auto"/>
              <w:right w:val="nil"/>
            </w:tcBorders>
            <w:vAlign w:val="center"/>
          </w:tcPr>
          <w:p w14:paraId="45435289" w14:textId="77777777" w:rsidR="00FA14FE" w:rsidRPr="00DE13EE" w:rsidRDefault="00FA14FE" w:rsidP="009D0993">
            <w:pPr>
              <w:rPr>
                <w:rFonts w:ascii="Times New Roman" w:hAnsi="Times New Roman" w:cs="Times New Roman"/>
                <w:b/>
                <w:bCs/>
                <w:color w:val="000000" w:themeColor="text1"/>
                <w:sz w:val="20"/>
                <w:szCs w:val="20"/>
              </w:rPr>
            </w:pPr>
            <w:r w:rsidRPr="00DE13EE">
              <w:rPr>
                <w:rFonts w:ascii="Times New Roman" w:hAnsi="Times New Roman" w:cs="Times New Roman"/>
                <w:b/>
                <w:bCs/>
                <w:color w:val="000000" w:themeColor="text1"/>
                <w:sz w:val="20"/>
                <w:szCs w:val="20"/>
              </w:rPr>
              <w:t>Coefficient</w:t>
            </w:r>
          </w:p>
          <w:p w14:paraId="42C226F7" w14:textId="77777777" w:rsidR="00FA14FE" w:rsidRPr="00DE13EE" w:rsidRDefault="00FA14FE" w:rsidP="009D0993">
            <w:pPr>
              <w:rPr>
                <w:rFonts w:ascii="Times New Roman" w:hAnsi="Times New Roman" w:cs="Times New Roman"/>
                <w:b/>
                <w:bCs/>
                <w:color w:val="000000" w:themeColor="text1"/>
                <w:sz w:val="20"/>
                <w:szCs w:val="20"/>
              </w:rPr>
            </w:pPr>
            <w:r w:rsidRPr="00DE13EE">
              <w:rPr>
                <w:rFonts w:ascii="Times New Roman" w:hAnsi="Times New Roman" w:cs="Times New Roman"/>
                <w:b/>
                <w:bCs/>
                <w:color w:val="000000" w:themeColor="text1"/>
                <w:sz w:val="20"/>
                <w:szCs w:val="20"/>
              </w:rPr>
              <w:t>(t-statistic)</w:t>
            </w:r>
          </w:p>
          <w:p w14:paraId="2D5D995D" w14:textId="77777777" w:rsidR="00FA14FE" w:rsidRPr="00DE13EE" w:rsidRDefault="00FA14FE" w:rsidP="009D0993">
            <w:pPr>
              <w:rPr>
                <w:rFonts w:ascii="Times New Roman" w:hAnsi="Times New Roman" w:cs="Times New Roman"/>
                <w:b/>
                <w:bCs/>
                <w:color w:val="000000" w:themeColor="text1"/>
                <w:sz w:val="20"/>
                <w:szCs w:val="20"/>
              </w:rPr>
            </w:pPr>
          </w:p>
        </w:tc>
        <w:tc>
          <w:tcPr>
            <w:tcW w:w="1971" w:type="dxa"/>
            <w:tcBorders>
              <w:left w:val="nil"/>
              <w:bottom w:val="single" w:sz="4" w:space="0" w:color="auto"/>
              <w:right w:val="nil"/>
            </w:tcBorders>
          </w:tcPr>
          <w:p w14:paraId="7AD15122" w14:textId="77777777" w:rsidR="00FA14FE" w:rsidRPr="00DE13EE" w:rsidRDefault="00FA14FE" w:rsidP="009D0993">
            <w:pPr>
              <w:rPr>
                <w:rFonts w:ascii="Times New Roman" w:hAnsi="Times New Roman" w:cs="Times New Roman"/>
                <w:b/>
                <w:bCs/>
                <w:color w:val="000000" w:themeColor="text1"/>
                <w:sz w:val="20"/>
                <w:szCs w:val="20"/>
              </w:rPr>
            </w:pPr>
            <w:r w:rsidRPr="00DE13EE">
              <w:rPr>
                <w:rFonts w:ascii="Times New Roman" w:hAnsi="Times New Roman" w:cs="Times New Roman"/>
                <w:b/>
                <w:bCs/>
                <w:color w:val="000000" w:themeColor="text1"/>
                <w:sz w:val="20"/>
                <w:szCs w:val="20"/>
              </w:rPr>
              <w:t>Coefficient</w:t>
            </w:r>
          </w:p>
          <w:p w14:paraId="4B228913" w14:textId="77777777" w:rsidR="00FA14FE" w:rsidRPr="00DE13EE" w:rsidRDefault="00FA14FE" w:rsidP="009D0993">
            <w:pPr>
              <w:rPr>
                <w:rFonts w:ascii="Times New Roman" w:hAnsi="Times New Roman" w:cs="Times New Roman"/>
                <w:b/>
                <w:bCs/>
                <w:color w:val="000000" w:themeColor="text1"/>
                <w:sz w:val="20"/>
                <w:szCs w:val="20"/>
              </w:rPr>
            </w:pPr>
            <w:r w:rsidRPr="00DE13EE">
              <w:rPr>
                <w:rFonts w:ascii="Times New Roman" w:hAnsi="Times New Roman" w:cs="Times New Roman"/>
                <w:b/>
                <w:bCs/>
                <w:color w:val="000000" w:themeColor="text1"/>
                <w:sz w:val="20"/>
                <w:szCs w:val="20"/>
              </w:rPr>
              <w:t>(z-statistic)</w:t>
            </w:r>
          </w:p>
          <w:p w14:paraId="06F18455" w14:textId="77777777" w:rsidR="00FA14FE" w:rsidRPr="00DE13EE" w:rsidRDefault="00FA14FE" w:rsidP="009D0993">
            <w:pPr>
              <w:rPr>
                <w:rFonts w:ascii="Times New Roman" w:hAnsi="Times New Roman" w:cs="Times New Roman"/>
                <w:b/>
                <w:bCs/>
                <w:color w:val="000000" w:themeColor="text1"/>
                <w:sz w:val="20"/>
                <w:szCs w:val="20"/>
              </w:rPr>
            </w:pPr>
          </w:p>
        </w:tc>
      </w:tr>
      <w:tr w:rsidR="00DE13EE" w:rsidRPr="00DE13EE" w14:paraId="7C4AB8BF" w14:textId="77777777" w:rsidTr="009D0993">
        <w:trPr>
          <w:trHeight w:val="280"/>
          <w:jc w:val="center"/>
        </w:trPr>
        <w:tc>
          <w:tcPr>
            <w:tcW w:w="2154" w:type="dxa"/>
            <w:tcBorders>
              <w:left w:val="nil"/>
              <w:bottom w:val="nil"/>
              <w:right w:val="nil"/>
            </w:tcBorders>
            <w:vAlign w:val="center"/>
            <w:hideMark/>
          </w:tcPr>
          <w:p w14:paraId="79CA54AF"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Intercept</w:t>
            </w:r>
          </w:p>
        </w:tc>
        <w:tc>
          <w:tcPr>
            <w:tcW w:w="1330" w:type="dxa"/>
            <w:tcBorders>
              <w:left w:val="nil"/>
              <w:bottom w:val="nil"/>
              <w:right w:val="nil"/>
            </w:tcBorders>
            <w:vAlign w:val="center"/>
          </w:tcPr>
          <w:p w14:paraId="621FA473" w14:textId="77777777" w:rsidR="00FA14FE" w:rsidRPr="00DE13EE" w:rsidRDefault="00FA14FE" w:rsidP="009D0993">
            <w:pPr>
              <w:spacing w:line="276" w:lineRule="auto"/>
              <w:rPr>
                <w:rFonts w:ascii="Times New Roman" w:hAnsi="Times New Roman" w:cs="Times New Roman"/>
                <w:color w:val="000000" w:themeColor="text1"/>
                <w:sz w:val="20"/>
                <w:szCs w:val="20"/>
              </w:rPr>
            </w:pPr>
          </w:p>
        </w:tc>
        <w:tc>
          <w:tcPr>
            <w:tcW w:w="850" w:type="dxa"/>
            <w:tcBorders>
              <w:left w:val="nil"/>
              <w:bottom w:val="nil"/>
              <w:right w:val="nil"/>
            </w:tcBorders>
            <w:vAlign w:val="center"/>
          </w:tcPr>
          <w:p w14:paraId="72F4B8C0" w14:textId="77777777" w:rsidR="00FA14FE" w:rsidRPr="00DE13EE" w:rsidRDefault="00FA14FE" w:rsidP="009D0993">
            <w:pPr>
              <w:spacing w:line="276" w:lineRule="auto"/>
              <w:rPr>
                <w:rFonts w:ascii="Times New Roman" w:hAnsi="Times New Roman" w:cs="Times New Roman"/>
                <w:color w:val="000000" w:themeColor="text1"/>
                <w:sz w:val="20"/>
                <w:szCs w:val="20"/>
              </w:rPr>
            </w:pPr>
          </w:p>
        </w:tc>
        <w:tc>
          <w:tcPr>
            <w:tcW w:w="1559" w:type="dxa"/>
            <w:tcBorders>
              <w:left w:val="nil"/>
              <w:bottom w:val="nil"/>
              <w:right w:val="nil"/>
            </w:tcBorders>
          </w:tcPr>
          <w:p w14:paraId="316089F3"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-2.326***</w:t>
            </w:r>
          </w:p>
          <w:p w14:paraId="5F98EDD7"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(-4.80)</w:t>
            </w:r>
          </w:p>
        </w:tc>
        <w:tc>
          <w:tcPr>
            <w:tcW w:w="1985" w:type="dxa"/>
            <w:tcBorders>
              <w:left w:val="nil"/>
              <w:bottom w:val="nil"/>
              <w:right w:val="nil"/>
            </w:tcBorders>
          </w:tcPr>
          <w:p w14:paraId="08E944A6"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-2.672***</w:t>
            </w:r>
          </w:p>
          <w:p w14:paraId="77FB4B39"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(-3.85)</w:t>
            </w:r>
          </w:p>
        </w:tc>
        <w:tc>
          <w:tcPr>
            <w:tcW w:w="1559" w:type="dxa"/>
            <w:tcBorders>
              <w:left w:val="nil"/>
              <w:bottom w:val="nil"/>
              <w:right w:val="nil"/>
            </w:tcBorders>
          </w:tcPr>
          <w:p w14:paraId="7E81CF60"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-5.437***</w:t>
            </w:r>
          </w:p>
          <w:p w14:paraId="54FD97E0"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(-3.39)</w:t>
            </w:r>
          </w:p>
        </w:tc>
        <w:tc>
          <w:tcPr>
            <w:tcW w:w="1971" w:type="dxa"/>
            <w:tcBorders>
              <w:left w:val="nil"/>
              <w:bottom w:val="nil"/>
              <w:right w:val="nil"/>
            </w:tcBorders>
          </w:tcPr>
          <w:p w14:paraId="1FB84BE9"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-5.631***</w:t>
            </w:r>
          </w:p>
          <w:p w14:paraId="7C44F3D2"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(-3.42)</w:t>
            </w:r>
          </w:p>
        </w:tc>
      </w:tr>
      <w:tr w:rsidR="00DE13EE" w:rsidRPr="00DE13EE" w14:paraId="0774C151" w14:textId="77777777" w:rsidTr="009D0993">
        <w:trPr>
          <w:trHeight w:val="547"/>
          <w:jc w:val="center"/>
        </w:trPr>
        <w:tc>
          <w:tcPr>
            <w:tcW w:w="2154" w:type="dxa"/>
            <w:tcBorders>
              <w:top w:val="nil"/>
              <w:left w:val="nil"/>
              <w:bottom w:val="nil"/>
              <w:right w:val="nil"/>
            </w:tcBorders>
            <w:vAlign w:val="center"/>
          </w:tcPr>
          <w:p w14:paraId="599E6229"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 xml:space="preserve">Forward-looking disclosure </w:t>
            </w:r>
          </w:p>
        </w:tc>
        <w:tc>
          <w:tcPr>
            <w:tcW w:w="1330" w:type="dxa"/>
            <w:tcBorders>
              <w:top w:val="nil"/>
              <w:left w:val="nil"/>
              <w:bottom w:val="nil"/>
              <w:right w:val="nil"/>
            </w:tcBorders>
            <w:vAlign w:val="center"/>
          </w:tcPr>
          <w:p w14:paraId="2C289297"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FLD</w:t>
            </w:r>
          </w:p>
        </w:tc>
        <w:tc>
          <w:tcPr>
            <w:tcW w:w="850" w:type="dxa"/>
            <w:tcBorders>
              <w:top w:val="nil"/>
              <w:left w:val="nil"/>
              <w:bottom w:val="nil"/>
              <w:right w:val="nil"/>
            </w:tcBorders>
            <w:vAlign w:val="center"/>
          </w:tcPr>
          <w:p w14:paraId="2B8C8093" w14:textId="77777777" w:rsidR="00FA14FE" w:rsidRPr="00DE13EE" w:rsidRDefault="00FA14FE" w:rsidP="009D0993">
            <w:pPr>
              <w:spacing w:line="276" w:lineRule="auto"/>
              <w:rPr>
                <w:rFonts w:ascii="Times New Roman" w:hAnsi="Times New Roman" w:cs="Times New Roman"/>
                <w:bCs/>
                <w:color w:val="000000" w:themeColor="text1"/>
                <w:sz w:val="20"/>
                <w:szCs w:val="20"/>
              </w:rPr>
            </w:pPr>
            <w:r w:rsidRPr="00DE13EE">
              <w:rPr>
                <w:rFonts w:ascii="Times New Roman" w:hAnsi="Times New Roman" w:cs="Times New Roman"/>
                <w:bCs/>
                <w:color w:val="000000" w:themeColor="text1"/>
                <w:sz w:val="20"/>
                <w:szCs w:val="20"/>
              </w:rPr>
              <w:t>(+)</w:t>
            </w:r>
          </w:p>
        </w:tc>
        <w:tc>
          <w:tcPr>
            <w:tcW w:w="1559" w:type="dxa"/>
            <w:tcBorders>
              <w:top w:val="nil"/>
              <w:left w:val="nil"/>
              <w:bottom w:val="nil"/>
              <w:right w:val="nil"/>
            </w:tcBorders>
            <w:vAlign w:val="bottom"/>
          </w:tcPr>
          <w:p w14:paraId="482D5973"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-.284</w:t>
            </w:r>
          </w:p>
          <w:p w14:paraId="0ECD66A6"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(-0.46)</w:t>
            </w:r>
          </w:p>
        </w:tc>
        <w:tc>
          <w:tcPr>
            <w:tcW w:w="1985" w:type="dxa"/>
            <w:tcBorders>
              <w:top w:val="nil"/>
              <w:left w:val="nil"/>
              <w:bottom w:val="nil"/>
              <w:right w:val="nil"/>
            </w:tcBorders>
          </w:tcPr>
          <w:p w14:paraId="78E7A7EC" w14:textId="77777777" w:rsidR="00FA14FE" w:rsidRPr="00DE13EE" w:rsidRDefault="00FA14FE" w:rsidP="009D0993">
            <w:pPr>
              <w:spacing w:line="276" w:lineRule="auto"/>
              <w:rPr>
                <w:rFonts w:ascii="Times New Roman" w:hAnsi="Times New Roman" w:cs="Times New Roman"/>
                <w:bCs/>
                <w:color w:val="000000" w:themeColor="text1"/>
                <w:sz w:val="20"/>
                <w:szCs w:val="20"/>
              </w:rPr>
            </w:pPr>
            <w:r w:rsidRPr="00DE13EE">
              <w:rPr>
                <w:rFonts w:ascii="Times New Roman" w:hAnsi="Times New Roman" w:cs="Times New Roman"/>
                <w:bCs/>
                <w:color w:val="000000" w:themeColor="text1"/>
                <w:sz w:val="20"/>
                <w:szCs w:val="20"/>
              </w:rPr>
              <w:t>-.232</w:t>
            </w:r>
          </w:p>
          <w:p w14:paraId="6A21FCB9"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bCs/>
                <w:color w:val="000000" w:themeColor="text1"/>
                <w:sz w:val="20"/>
                <w:szCs w:val="20"/>
              </w:rPr>
              <w:t>(-0.57)</w:t>
            </w:r>
          </w:p>
        </w:tc>
        <w:tc>
          <w:tcPr>
            <w:tcW w:w="1559" w:type="dxa"/>
            <w:tcBorders>
              <w:top w:val="nil"/>
              <w:left w:val="nil"/>
              <w:bottom w:val="nil"/>
              <w:right w:val="nil"/>
            </w:tcBorders>
          </w:tcPr>
          <w:p w14:paraId="34E925F1"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11.031***</w:t>
            </w:r>
          </w:p>
          <w:p w14:paraId="6F615521"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(7.50)</w:t>
            </w:r>
          </w:p>
        </w:tc>
        <w:tc>
          <w:tcPr>
            <w:tcW w:w="1971" w:type="dxa"/>
            <w:tcBorders>
              <w:top w:val="nil"/>
              <w:left w:val="nil"/>
              <w:bottom w:val="nil"/>
              <w:right w:val="nil"/>
            </w:tcBorders>
          </w:tcPr>
          <w:p w14:paraId="040BD73E"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3.808***</w:t>
            </w:r>
          </w:p>
          <w:p w14:paraId="554D0990"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(3.42)</w:t>
            </w:r>
          </w:p>
        </w:tc>
      </w:tr>
      <w:tr w:rsidR="00DE13EE" w:rsidRPr="00DE13EE" w14:paraId="3DCDD7C6" w14:textId="77777777" w:rsidTr="009D0993">
        <w:trPr>
          <w:trHeight w:val="419"/>
          <w:jc w:val="center"/>
        </w:trPr>
        <w:tc>
          <w:tcPr>
            <w:tcW w:w="2154" w:type="dxa"/>
            <w:tcBorders>
              <w:top w:val="nil"/>
              <w:left w:val="nil"/>
              <w:bottom w:val="nil"/>
              <w:right w:val="nil"/>
            </w:tcBorders>
            <w:vAlign w:val="center"/>
          </w:tcPr>
          <w:p w14:paraId="2528F866"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 xml:space="preserve">Firm size </w:t>
            </w:r>
          </w:p>
        </w:tc>
        <w:tc>
          <w:tcPr>
            <w:tcW w:w="1330" w:type="dxa"/>
            <w:tcBorders>
              <w:top w:val="nil"/>
              <w:left w:val="nil"/>
              <w:bottom w:val="nil"/>
              <w:right w:val="nil"/>
            </w:tcBorders>
            <w:vAlign w:val="center"/>
          </w:tcPr>
          <w:p w14:paraId="2FCE2ED5"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LnMK</w:t>
            </w:r>
          </w:p>
        </w:tc>
        <w:tc>
          <w:tcPr>
            <w:tcW w:w="850" w:type="dxa"/>
            <w:tcBorders>
              <w:top w:val="nil"/>
              <w:left w:val="nil"/>
              <w:bottom w:val="nil"/>
              <w:right w:val="nil"/>
            </w:tcBorders>
            <w:vAlign w:val="center"/>
          </w:tcPr>
          <w:p w14:paraId="13E769B0" w14:textId="77777777" w:rsidR="00FA14FE" w:rsidRPr="00DE13EE" w:rsidRDefault="00FA14FE" w:rsidP="009D0993">
            <w:pPr>
              <w:spacing w:line="276" w:lineRule="auto"/>
              <w:rPr>
                <w:rFonts w:ascii="Times New Roman" w:hAnsi="Times New Roman" w:cs="Times New Roman"/>
                <w:bCs/>
                <w:color w:val="000000" w:themeColor="text1"/>
                <w:sz w:val="20"/>
                <w:szCs w:val="20"/>
              </w:rPr>
            </w:pPr>
            <w:r w:rsidRPr="00DE13EE">
              <w:rPr>
                <w:rFonts w:ascii="Times New Roman" w:hAnsi="Times New Roman" w:cs="Times New Roman"/>
                <w:bCs/>
                <w:color w:val="000000" w:themeColor="text1"/>
                <w:sz w:val="20"/>
                <w:szCs w:val="20"/>
              </w:rPr>
              <w:t>(?)</w:t>
            </w:r>
          </w:p>
        </w:tc>
        <w:tc>
          <w:tcPr>
            <w:tcW w:w="1559" w:type="dxa"/>
            <w:tcBorders>
              <w:top w:val="nil"/>
              <w:left w:val="nil"/>
              <w:bottom w:val="nil"/>
              <w:right w:val="nil"/>
            </w:tcBorders>
            <w:vAlign w:val="bottom"/>
          </w:tcPr>
          <w:p w14:paraId="2FCE4347"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.116***</w:t>
            </w:r>
          </w:p>
          <w:p w14:paraId="16F7D96E"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(4.91)</w:t>
            </w:r>
          </w:p>
        </w:tc>
        <w:tc>
          <w:tcPr>
            <w:tcW w:w="1985" w:type="dxa"/>
            <w:tcBorders>
              <w:top w:val="nil"/>
              <w:left w:val="nil"/>
              <w:bottom w:val="nil"/>
              <w:right w:val="nil"/>
            </w:tcBorders>
          </w:tcPr>
          <w:p w14:paraId="3D5D143F"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.128***</w:t>
            </w:r>
          </w:p>
          <w:p w14:paraId="36DE9313"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(4.02)</w:t>
            </w:r>
          </w:p>
        </w:tc>
        <w:tc>
          <w:tcPr>
            <w:tcW w:w="1559" w:type="dxa"/>
            <w:tcBorders>
              <w:top w:val="nil"/>
              <w:left w:val="nil"/>
              <w:bottom w:val="nil"/>
              <w:right w:val="nil"/>
            </w:tcBorders>
          </w:tcPr>
          <w:p w14:paraId="13BCFFBF"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.123*</w:t>
            </w:r>
          </w:p>
          <w:p w14:paraId="54ABEC92"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(1.83)</w:t>
            </w:r>
          </w:p>
        </w:tc>
        <w:tc>
          <w:tcPr>
            <w:tcW w:w="1971" w:type="dxa"/>
            <w:tcBorders>
              <w:top w:val="nil"/>
              <w:left w:val="nil"/>
              <w:bottom w:val="nil"/>
              <w:right w:val="nil"/>
            </w:tcBorders>
          </w:tcPr>
          <w:p w14:paraId="629F80FE"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.145*</w:t>
            </w:r>
          </w:p>
          <w:p w14:paraId="1C2475F4"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(1.93)</w:t>
            </w:r>
          </w:p>
        </w:tc>
      </w:tr>
      <w:tr w:rsidR="00DE13EE" w:rsidRPr="00DE13EE" w14:paraId="72A2C0BA" w14:textId="77777777" w:rsidTr="009D0993">
        <w:trPr>
          <w:trHeight w:val="419"/>
          <w:jc w:val="center"/>
        </w:trPr>
        <w:tc>
          <w:tcPr>
            <w:tcW w:w="2154" w:type="dxa"/>
            <w:tcBorders>
              <w:top w:val="nil"/>
              <w:left w:val="nil"/>
              <w:bottom w:val="nil"/>
              <w:right w:val="nil"/>
            </w:tcBorders>
            <w:vAlign w:val="center"/>
          </w:tcPr>
          <w:p w14:paraId="1CDBA15F"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 xml:space="preserve">Firm dividend </w:t>
            </w:r>
          </w:p>
        </w:tc>
        <w:tc>
          <w:tcPr>
            <w:tcW w:w="1330" w:type="dxa"/>
            <w:tcBorders>
              <w:top w:val="nil"/>
              <w:left w:val="nil"/>
              <w:bottom w:val="nil"/>
              <w:right w:val="nil"/>
            </w:tcBorders>
            <w:vAlign w:val="center"/>
          </w:tcPr>
          <w:p w14:paraId="30CA7634"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DY</w:t>
            </w:r>
          </w:p>
        </w:tc>
        <w:tc>
          <w:tcPr>
            <w:tcW w:w="850" w:type="dxa"/>
            <w:tcBorders>
              <w:top w:val="nil"/>
              <w:left w:val="nil"/>
              <w:bottom w:val="nil"/>
              <w:right w:val="nil"/>
            </w:tcBorders>
            <w:vAlign w:val="center"/>
          </w:tcPr>
          <w:p w14:paraId="622587AC" w14:textId="77777777" w:rsidR="00FA14FE" w:rsidRPr="00DE13EE" w:rsidRDefault="00FA14FE" w:rsidP="009D0993">
            <w:pPr>
              <w:spacing w:line="276" w:lineRule="auto"/>
              <w:rPr>
                <w:rFonts w:ascii="Times New Roman" w:hAnsi="Times New Roman" w:cs="Times New Roman"/>
                <w:bCs/>
                <w:color w:val="000000" w:themeColor="text1"/>
                <w:sz w:val="20"/>
                <w:szCs w:val="20"/>
              </w:rPr>
            </w:pPr>
            <w:r w:rsidRPr="00DE13EE">
              <w:rPr>
                <w:rFonts w:ascii="Times New Roman" w:hAnsi="Times New Roman" w:cs="Times New Roman"/>
                <w:bCs/>
                <w:color w:val="000000" w:themeColor="text1"/>
                <w:sz w:val="20"/>
                <w:szCs w:val="20"/>
              </w:rPr>
              <w:t>(?)</w:t>
            </w:r>
          </w:p>
        </w:tc>
        <w:tc>
          <w:tcPr>
            <w:tcW w:w="1559" w:type="dxa"/>
            <w:tcBorders>
              <w:top w:val="nil"/>
              <w:left w:val="nil"/>
              <w:bottom w:val="nil"/>
              <w:right w:val="nil"/>
            </w:tcBorders>
            <w:vAlign w:val="bottom"/>
          </w:tcPr>
          <w:p w14:paraId="54D2C912"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-.069***</w:t>
            </w:r>
          </w:p>
          <w:p w14:paraId="35788D7C"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(-3.48)</w:t>
            </w:r>
          </w:p>
        </w:tc>
        <w:tc>
          <w:tcPr>
            <w:tcW w:w="1985" w:type="dxa"/>
            <w:tcBorders>
              <w:top w:val="nil"/>
              <w:left w:val="nil"/>
              <w:bottom w:val="nil"/>
              <w:right w:val="nil"/>
            </w:tcBorders>
          </w:tcPr>
          <w:p w14:paraId="6CD88EA2"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-.048***</w:t>
            </w:r>
          </w:p>
          <w:p w14:paraId="4AE4CCB8"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(-3.33)</w:t>
            </w:r>
          </w:p>
        </w:tc>
        <w:tc>
          <w:tcPr>
            <w:tcW w:w="1559" w:type="dxa"/>
            <w:tcBorders>
              <w:top w:val="nil"/>
              <w:left w:val="nil"/>
              <w:bottom w:val="nil"/>
              <w:right w:val="nil"/>
            </w:tcBorders>
          </w:tcPr>
          <w:p w14:paraId="468E9007"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-.151***</w:t>
            </w:r>
          </w:p>
          <w:p w14:paraId="66382692"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(-4.15)</w:t>
            </w:r>
          </w:p>
        </w:tc>
        <w:tc>
          <w:tcPr>
            <w:tcW w:w="1971" w:type="dxa"/>
            <w:tcBorders>
              <w:top w:val="nil"/>
              <w:left w:val="nil"/>
              <w:bottom w:val="nil"/>
              <w:right w:val="nil"/>
            </w:tcBorders>
          </w:tcPr>
          <w:p w14:paraId="132C9A90"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-.091***</w:t>
            </w:r>
          </w:p>
          <w:p w14:paraId="313252E4"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(-3.31)</w:t>
            </w:r>
          </w:p>
        </w:tc>
      </w:tr>
      <w:tr w:rsidR="00DE13EE" w:rsidRPr="00DE13EE" w14:paraId="079C99E2" w14:textId="77777777" w:rsidTr="009D0993">
        <w:trPr>
          <w:trHeight w:val="421"/>
          <w:jc w:val="center"/>
        </w:trPr>
        <w:tc>
          <w:tcPr>
            <w:tcW w:w="2154" w:type="dxa"/>
            <w:tcBorders>
              <w:top w:val="nil"/>
              <w:left w:val="nil"/>
              <w:bottom w:val="nil"/>
              <w:right w:val="nil"/>
            </w:tcBorders>
            <w:vAlign w:val="center"/>
          </w:tcPr>
          <w:p w14:paraId="68C89FD8"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 xml:space="preserve">Firm leverage </w:t>
            </w:r>
          </w:p>
        </w:tc>
        <w:tc>
          <w:tcPr>
            <w:tcW w:w="1330" w:type="dxa"/>
            <w:tcBorders>
              <w:top w:val="nil"/>
              <w:left w:val="nil"/>
              <w:bottom w:val="nil"/>
              <w:right w:val="nil"/>
            </w:tcBorders>
            <w:vAlign w:val="center"/>
          </w:tcPr>
          <w:p w14:paraId="73A92078"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Lev</w:t>
            </w:r>
          </w:p>
        </w:tc>
        <w:tc>
          <w:tcPr>
            <w:tcW w:w="850" w:type="dxa"/>
            <w:tcBorders>
              <w:top w:val="nil"/>
              <w:left w:val="nil"/>
              <w:bottom w:val="nil"/>
              <w:right w:val="nil"/>
            </w:tcBorders>
            <w:vAlign w:val="center"/>
          </w:tcPr>
          <w:p w14:paraId="3A4F973A" w14:textId="77777777" w:rsidR="00FA14FE" w:rsidRPr="00DE13EE" w:rsidRDefault="00FA14FE" w:rsidP="009D0993">
            <w:pPr>
              <w:spacing w:line="276" w:lineRule="auto"/>
              <w:rPr>
                <w:rFonts w:ascii="Times New Roman" w:hAnsi="Times New Roman" w:cs="Times New Roman"/>
                <w:bCs/>
                <w:color w:val="000000" w:themeColor="text1"/>
                <w:sz w:val="20"/>
                <w:szCs w:val="20"/>
              </w:rPr>
            </w:pPr>
            <w:r w:rsidRPr="00DE13EE">
              <w:rPr>
                <w:rFonts w:ascii="Times New Roman" w:hAnsi="Times New Roman" w:cs="Times New Roman"/>
                <w:bCs/>
                <w:color w:val="000000" w:themeColor="text1"/>
                <w:sz w:val="20"/>
                <w:szCs w:val="20"/>
              </w:rPr>
              <w:t>(+)</w:t>
            </w:r>
          </w:p>
        </w:tc>
        <w:tc>
          <w:tcPr>
            <w:tcW w:w="1559" w:type="dxa"/>
            <w:tcBorders>
              <w:top w:val="nil"/>
              <w:left w:val="nil"/>
              <w:bottom w:val="nil"/>
              <w:right w:val="nil"/>
            </w:tcBorders>
            <w:vAlign w:val="bottom"/>
          </w:tcPr>
          <w:p w14:paraId="1A695AD3"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.014***</w:t>
            </w:r>
          </w:p>
          <w:p w14:paraId="56CE0075"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(5.44)</w:t>
            </w:r>
          </w:p>
        </w:tc>
        <w:tc>
          <w:tcPr>
            <w:tcW w:w="1985" w:type="dxa"/>
            <w:tcBorders>
              <w:top w:val="nil"/>
              <w:left w:val="nil"/>
              <w:bottom w:val="nil"/>
              <w:right w:val="nil"/>
            </w:tcBorders>
          </w:tcPr>
          <w:p w14:paraId="37F45DFF"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.022***</w:t>
            </w:r>
          </w:p>
          <w:p w14:paraId="34C6E324"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(9.90)</w:t>
            </w:r>
          </w:p>
        </w:tc>
        <w:tc>
          <w:tcPr>
            <w:tcW w:w="1559" w:type="dxa"/>
            <w:tcBorders>
              <w:top w:val="nil"/>
              <w:left w:val="nil"/>
              <w:bottom w:val="nil"/>
              <w:right w:val="nil"/>
            </w:tcBorders>
          </w:tcPr>
          <w:p w14:paraId="4D04BE4F"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.112***</w:t>
            </w:r>
          </w:p>
          <w:p w14:paraId="4A05BB8F"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(96.68)</w:t>
            </w:r>
          </w:p>
        </w:tc>
        <w:tc>
          <w:tcPr>
            <w:tcW w:w="1971" w:type="dxa"/>
            <w:tcBorders>
              <w:top w:val="nil"/>
              <w:left w:val="nil"/>
              <w:bottom w:val="nil"/>
              <w:right w:val="nil"/>
            </w:tcBorders>
          </w:tcPr>
          <w:p w14:paraId="58F93523"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.103***</w:t>
            </w:r>
          </w:p>
          <w:p w14:paraId="6B7877E6"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(127.59)</w:t>
            </w:r>
          </w:p>
        </w:tc>
      </w:tr>
      <w:tr w:rsidR="00DE13EE" w:rsidRPr="00DE13EE" w14:paraId="676EA92A" w14:textId="77777777" w:rsidTr="009D0993">
        <w:trPr>
          <w:trHeight w:val="437"/>
          <w:jc w:val="center"/>
        </w:trPr>
        <w:tc>
          <w:tcPr>
            <w:tcW w:w="2154" w:type="dxa"/>
            <w:tcBorders>
              <w:top w:val="nil"/>
              <w:left w:val="nil"/>
              <w:bottom w:val="nil"/>
              <w:right w:val="nil"/>
            </w:tcBorders>
            <w:vAlign w:val="center"/>
          </w:tcPr>
          <w:p w14:paraId="1DC83929"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 xml:space="preserve">Firm liquidity </w:t>
            </w:r>
          </w:p>
        </w:tc>
        <w:tc>
          <w:tcPr>
            <w:tcW w:w="1330" w:type="dxa"/>
            <w:tcBorders>
              <w:top w:val="nil"/>
              <w:left w:val="nil"/>
              <w:bottom w:val="nil"/>
              <w:right w:val="nil"/>
            </w:tcBorders>
            <w:vAlign w:val="center"/>
          </w:tcPr>
          <w:p w14:paraId="2545AD5E"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CR</w:t>
            </w:r>
          </w:p>
        </w:tc>
        <w:tc>
          <w:tcPr>
            <w:tcW w:w="850" w:type="dxa"/>
            <w:tcBorders>
              <w:top w:val="nil"/>
              <w:left w:val="nil"/>
              <w:bottom w:val="nil"/>
              <w:right w:val="nil"/>
            </w:tcBorders>
            <w:vAlign w:val="center"/>
          </w:tcPr>
          <w:p w14:paraId="7D18AFF5" w14:textId="77777777" w:rsidR="00FA14FE" w:rsidRPr="00DE13EE" w:rsidRDefault="00FA14FE" w:rsidP="009D0993">
            <w:pPr>
              <w:spacing w:line="276" w:lineRule="auto"/>
              <w:rPr>
                <w:rFonts w:ascii="Times New Roman" w:hAnsi="Times New Roman" w:cs="Times New Roman"/>
                <w:bCs/>
                <w:color w:val="000000" w:themeColor="text1"/>
                <w:sz w:val="20"/>
                <w:szCs w:val="20"/>
              </w:rPr>
            </w:pPr>
            <w:r w:rsidRPr="00DE13EE">
              <w:rPr>
                <w:rFonts w:ascii="Times New Roman" w:hAnsi="Times New Roman" w:cs="Times New Roman"/>
                <w:bCs/>
                <w:color w:val="000000" w:themeColor="text1"/>
                <w:sz w:val="20"/>
                <w:szCs w:val="20"/>
              </w:rPr>
              <w:t>(−)</w:t>
            </w:r>
          </w:p>
        </w:tc>
        <w:tc>
          <w:tcPr>
            <w:tcW w:w="1559" w:type="dxa"/>
            <w:tcBorders>
              <w:top w:val="nil"/>
              <w:left w:val="nil"/>
              <w:bottom w:val="nil"/>
              <w:right w:val="nil"/>
            </w:tcBorders>
            <w:vAlign w:val="bottom"/>
          </w:tcPr>
          <w:p w14:paraId="37234EC7"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.123***</w:t>
            </w:r>
          </w:p>
          <w:p w14:paraId="6091FD09"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(4.51)</w:t>
            </w:r>
          </w:p>
        </w:tc>
        <w:tc>
          <w:tcPr>
            <w:tcW w:w="1985" w:type="dxa"/>
            <w:tcBorders>
              <w:top w:val="nil"/>
              <w:left w:val="nil"/>
              <w:bottom w:val="nil"/>
              <w:right w:val="nil"/>
            </w:tcBorders>
          </w:tcPr>
          <w:p w14:paraId="5BA52CD1"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.044**</w:t>
            </w:r>
          </w:p>
          <w:p w14:paraId="6AB53300"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(1.95)</w:t>
            </w:r>
          </w:p>
        </w:tc>
        <w:tc>
          <w:tcPr>
            <w:tcW w:w="1559" w:type="dxa"/>
            <w:tcBorders>
              <w:top w:val="nil"/>
              <w:left w:val="nil"/>
              <w:bottom w:val="nil"/>
              <w:right w:val="nil"/>
            </w:tcBorders>
          </w:tcPr>
          <w:p w14:paraId="4472887A"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.430***</w:t>
            </w:r>
          </w:p>
          <w:p w14:paraId="78EA855C"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(4.79)</w:t>
            </w:r>
          </w:p>
        </w:tc>
        <w:tc>
          <w:tcPr>
            <w:tcW w:w="1971" w:type="dxa"/>
            <w:tcBorders>
              <w:top w:val="nil"/>
              <w:left w:val="nil"/>
              <w:bottom w:val="nil"/>
              <w:right w:val="nil"/>
            </w:tcBorders>
          </w:tcPr>
          <w:p w14:paraId="580B20D8"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.405***</w:t>
            </w:r>
          </w:p>
          <w:p w14:paraId="3DF7D337"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(4.72)</w:t>
            </w:r>
          </w:p>
        </w:tc>
      </w:tr>
      <w:tr w:rsidR="00DE13EE" w:rsidRPr="00DE13EE" w14:paraId="6EAE398D" w14:textId="77777777" w:rsidTr="009D0993">
        <w:trPr>
          <w:trHeight w:val="431"/>
          <w:jc w:val="center"/>
        </w:trPr>
        <w:tc>
          <w:tcPr>
            <w:tcW w:w="2154" w:type="dxa"/>
            <w:tcBorders>
              <w:top w:val="nil"/>
              <w:left w:val="nil"/>
              <w:bottom w:val="nil"/>
              <w:right w:val="nil"/>
            </w:tcBorders>
            <w:vAlign w:val="center"/>
          </w:tcPr>
          <w:p w14:paraId="1B5C9557"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 xml:space="preserve">Earnings volatility </w:t>
            </w:r>
          </w:p>
        </w:tc>
        <w:tc>
          <w:tcPr>
            <w:tcW w:w="1330" w:type="dxa"/>
            <w:tcBorders>
              <w:top w:val="nil"/>
              <w:left w:val="nil"/>
              <w:bottom w:val="nil"/>
              <w:right w:val="nil"/>
            </w:tcBorders>
            <w:vAlign w:val="center"/>
          </w:tcPr>
          <w:p w14:paraId="49D9DF5B"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Ear.Vol</w:t>
            </w:r>
          </w:p>
        </w:tc>
        <w:tc>
          <w:tcPr>
            <w:tcW w:w="850" w:type="dxa"/>
            <w:tcBorders>
              <w:top w:val="nil"/>
              <w:left w:val="nil"/>
              <w:bottom w:val="nil"/>
              <w:right w:val="nil"/>
            </w:tcBorders>
            <w:vAlign w:val="center"/>
          </w:tcPr>
          <w:p w14:paraId="465A7B1A" w14:textId="77777777" w:rsidR="00FA14FE" w:rsidRPr="00DE13EE" w:rsidRDefault="00FA14FE" w:rsidP="009D0993">
            <w:pPr>
              <w:spacing w:line="276" w:lineRule="auto"/>
              <w:rPr>
                <w:rFonts w:ascii="Times New Roman" w:hAnsi="Times New Roman" w:cs="Times New Roman"/>
                <w:bCs/>
                <w:color w:val="000000" w:themeColor="text1"/>
                <w:sz w:val="20"/>
                <w:szCs w:val="20"/>
              </w:rPr>
            </w:pPr>
            <w:r w:rsidRPr="00DE13EE">
              <w:rPr>
                <w:rFonts w:ascii="Times New Roman" w:hAnsi="Times New Roman" w:cs="Times New Roman"/>
                <w:bCs/>
                <w:color w:val="000000" w:themeColor="text1"/>
                <w:sz w:val="20"/>
                <w:szCs w:val="20"/>
              </w:rPr>
              <w:t>(+)</w:t>
            </w:r>
          </w:p>
        </w:tc>
        <w:tc>
          <w:tcPr>
            <w:tcW w:w="1559" w:type="dxa"/>
            <w:tcBorders>
              <w:top w:val="nil"/>
              <w:left w:val="nil"/>
              <w:bottom w:val="nil"/>
              <w:right w:val="nil"/>
            </w:tcBorders>
            <w:vAlign w:val="bottom"/>
          </w:tcPr>
          <w:p w14:paraId="18317482"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-.037</w:t>
            </w:r>
          </w:p>
          <w:p w14:paraId="3C4F4D75"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(-0.51)</w:t>
            </w:r>
          </w:p>
        </w:tc>
        <w:tc>
          <w:tcPr>
            <w:tcW w:w="1985" w:type="dxa"/>
            <w:tcBorders>
              <w:top w:val="nil"/>
              <w:left w:val="nil"/>
              <w:bottom w:val="nil"/>
              <w:right w:val="nil"/>
            </w:tcBorders>
          </w:tcPr>
          <w:p w14:paraId="495B5E1D"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-.034</w:t>
            </w:r>
          </w:p>
          <w:p w14:paraId="51366BDB"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(-0.62)</w:t>
            </w:r>
          </w:p>
        </w:tc>
        <w:tc>
          <w:tcPr>
            <w:tcW w:w="1559" w:type="dxa"/>
            <w:tcBorders>
              <w:top w:val="nil"/>
              <w:left w:val="nil"/>
              <w:bottom w:val="nil"/>
              <w:right w:val="nil"/>
            </w:tcBorders>
          </w:tcPr>
          <w:p w14:paraId="2FD48AEC"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-.614***</w:t>
            </w:r>
          </w:p>
          <w:p w14:paraId="07E25BD3"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(-2.83)</w:t>
            </w:r>
          </w:p>
        </w:tc>
        <w:tc>
          <w:tcPr>
            <w:tcW w:w="1971" w:type="dxa"/>
            <w:tcBorders>
              <w:top w:val="nil"/>
              <w:left w:val="nil"/>
              <w:bottom w:val="nil"/>
              <w:right w:val="nil"/>
            </w:tcBorders>
          </w:tcPr>
          <w:p w14:paraId="11E96A33"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-.458***</w:t>
            </w:r>
          </w:p>
          <w:p w14:paraId="429BD103"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(-2.64)</w:t>
            </w:r>
          </w:p>
        </w:tc>
      </w:tr>
      <w:tr w:rsidR="00DE13EE" w:rsidRPr="00DE13EE" w14:paraId="1F2AEC5E" w14:textId="77777777" w:rsidTr="009D0993">
        <w:trPr>
          <w:trHeight w:val="439"/>
          <w:jc w:val="center"/>
        </w:trPr>
        <w:tc>
          <w:tcPr>
            <w:tcW w:w="2154" w:type="dxa"/>
            <w:tcBorders>
              <w:top w:val="nil"/>
              <w:left w:val="nil"/>
              <w:bottom w:val="nil"/>
              <w:right w:val="nil"/>
            </w:tcBorders>
            <w:vAlign w:val="center"/>
          </w:tcPr>
          <w:p w14:paraId="2CE2D1C8"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 xml:space="preserve">Managerial ownership </w:t>
            </w:r>
          </w:p>
        </w:tc>
        <w:tc>
          <w:tcPr>
            <w:tcW w:w="1330" w:type="dxa"/>
            <w:tcBorders>
              <w:top w:val="nil"/>
              <w:left w:val="nil"/>
              <w:bottom w:val="nil"/>
              <w:right w:val="nil"/>
            </w:tcBorders>
            <w:vAlign w:val="center"/>
          </w:tcPr>
          <w:p w14:paraId="1496AD5E"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%MO</w:t>
            </w:r>
          </w:p>
        </w:tc>
        <w:tc>
          <w:tcPr>
            <w:tcW w:w="850" w:type="dxa"/>
            <w:tcBorders>
              <w:top w:val="nil"/>
              <w:left w:val="nil"/>
              <w:bottom w:val="nil"/>
              <w:right w:val="nil"/>
            </w:tcBorders>
            <w:vAlign w:val="center"/>
          </w:tcPr>
          <w:p w14:paraId="73859C1A" w14:textId="77777777" w:rsidR="00FA14FE" w:rsidRPr="00DE13EE" w:rsidRDefault="00FA14FE" w:rsidP="009D0993">
            <w:pPr>
              <w:spacing w:line="276" w:lineRule="auto"/>
              <w:rPr>
                <w:rFonts w:ascii="Times New Roman" w:hAnsi="Times New Roman" w:cs="Times New Roman"/>
                <w:bCs/>
                <w:color w:val="000000" w:themeColor="text1"/>
                <w:sz w:val="20"/>
                <w:szCs w:val="20"/>
              </w:rPr>
            </w:pPr>
            <w:r w:rsidRPr="00DE13EE">
              <w:rPr>
                <w:rFonts w:ascii="Times New Roman" w:hAnsi="Times New Roman" w:cs="Times New Roman"/>
                <w:bCs/>
                <w:color w:val="000000" w:themeColor="text1"/>
                <w:sz w:val="20"/>
                <w:szCs w:val="20"/>
              </w:rPr>
              <w:t>(−)</w:t>
            </w:r>
          </w:p>
        </w:tc>
        <w:tc>
          <w:tcPr>
            <w:tcW w:w="1559" w:type="dxa"/>
            <w:tcBorders>
              <w:top w:val="nil"/>
              <w:left w:val="nil"/>
              <w:bottom w:val="nil"/>
              <w:right w:val="nil"/>
            </w:tcBorders>
            <w:vAlign w:val="bottom"/>
          </w:tcPr>
          <w:p w14:paraId="67C2910C"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.007**</w:t>
            </w:r>
          </w:p>
          <w:p w14:paraId="2E436016"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(2.59)</w:t>
            </w:r>
          </w:p>
        </w:tc>
        <w:tc>
          <w:tcPr>
            <w:tcW w:w="1985" w:type="dxa"/>
            <w:tcBorders>
              <w:top w:val="nil"/>
              <w:left w:val="nil"/>
              <w:bottom w:val="nil"/>
              <w:right w:val="nil"/>
            </w:tcBorders>
          </w:tcPr>
          <w:p w14:paraId="69CA06F4"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.010***</w:t>
            </w:r>
          </w:p>
          <w:p w14:paraId="0679AC1D"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(3.05)</w:t>
            </w:r>
          </w:p>
        </w:tc>
        <w:tc>
          <w:tcPr>
            <w:tcW w:w="1559" w:type="dxa"/>
            <w:tcBorders>
              <w:top w:val="nil"/>
              <w:left w:val="nil"/>
              <w:bottom w:val="nil"/>
              <w:right w:val="nil"/>
            </w:tcBorders>
          </w:tcPr>
          <w:p w14:paraId="04CC967A"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.007</w:t>
            </w:r>
          </w:p>
          <w:p w14:paraId="37B573CD"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(0.92)</w:t>
            </w:r>
          </w:p>
        </w:tc>
        <w:tc>
          <w:tcPr>
            <w:tcW w:w="1971" w:type="dxa"/>
            <w:tcBorders>
              <w:top w:val="nil"/>
              <w:left w:val="nil"/>
              <w:bottom w:val="nil"/>
              <w:right w:val="nil"/>
            </w:tcBorders>
          </w:tcPr>
          <w:p w14:paraId="47286321"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.006</w:t>
            </w:r>
          </w:p>
          <w:p w14:paraId="736FB2CA"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(0.77)</w:t>
            </w:r>
          </w:p>
        </w:tc>
      </w:tr>
      <w:tr w:rsidR="00DE13EE" w:rsidRPr="00DE13EE" w14:paraId="1B7F0B0A" w14:textId="77777777" w:rsidTr="009D0993">
        <w:trPr>
          <w:trHeight w:val="547"/>
          <w:jc w:val="center"/>
        </w:trPr>
        <w:tc>
          <w:tcPr>
            <w:tcW w:w="2154" w:type="dxa"/>
            <w:tcBorders>
              <w:top w:val="nil"/>
              <w:left w:val="nil"/>
              <w:bottom w:val="nil"/>
              <w:right w:val="nil"/>
            </w:tcBorders>
            <w:vAlign w:val="center"/>
          </w:tcPr>
          <w:p w14:paraId="4CBA84B9"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 xml:space="preserve">Firm growth </w:t>
            </w:r>
          </w:p>
        </w:tc>
        <w:tc>
          <w:tcPr>
            <w:tcW w:w="1330" w:type="dxa"/>
            <w:tcBorders>
              <w:top w:val="nil"/>
              <w:left w:val="nil"/>
              <w:bottom w:val="nil"/>
              <w:right w:val="nil"/>
            </w:tcBorders>
            <w:vAlign w:val="center"/>
          </w:tcPr>
          <w:p w14:paraId="2A829E5A"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GRTH</w:t>
            </w:r>
          </w:p>
        </w:tc>
        <w:tc>
          <w:tcPr>
            <w:tcW w:w="850" w:type="dxa"/>
            <w:tcBorders>
              <w:top w:val="nil"/>
              <w:left w:val="nil"/>
              <w:bottom w:val="nil"/>
              <w:right w:val="nil"/>
            </w:tcBorders>
            <w:vAlign w:val="center"/>
          </w:tcPr>
          <w:p w14:paraId="7001A0CF" w14:textId="77777777" w:rsidR="00FA14FE" w:rsidRPr="00DE13EE" w:rsidRDefault="00FA14FE" w:rsidP="009D0993">
            <w:pPr>
              <w:spacing w:line="276" w:lineRule="auto"/>
              <w:rPr>
                <w:rFonts w:ascii="Times New Roman" w:hAnsi="Times New Roman" w:cs="Times New Roman"/>
                <w:bCs/>
                <w:color w:val="000000" w:themeColor="text1"/>
                <w:sz w:val="20"/>
                <w:szCs w:val="20"/>
              </w:rPr>
            </w:pPr>
            <w:r w:rsidRPr="00DE13EE">
              <w:rPr>
                <w:rFonts w:ascii="Times New Roman" w:hAnsi="Times New Roman" w:cs="Times New Roman"/>
                <w:bCs/>
                <w:color w:val="000000" w:themeColor="text1"/>
                <w:sz w:val="20"/>
                <w:szCs w:val="20"/>
              </w:rPr>
              <w:t>(?)</w:t>
            </w:r>
          </w:p>
        </w:tc>
        <w:tc>
          <w:tcPr>
            <w:tcW w:w="1559" w:type="dxa"/>
            <w:tcBorders>
              <w:top w:val="nil"/>
              <w:left w:val="nil"/>
              <w:bottom w:val="nil"/>
              <w:right w:val="nil"/>
            </w:tcBorders>
            <w:vAlign w:val="bottom"/>
          </w:tcPr>
          <w:p w14:paraId="0983154C"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.011***</w:t>
            </w:r>
          </w:p>
          <w:p w14:paraId="04D4ADE6"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(4.48)</w:t>
            </w:r>
          </w:p>
        </w:tc>
        <w:tc>
          <w:tcPr>
            <w:tcW w:w="1985" w:type="dxa"/>
            <w:tcBorders>
              <w:top w:val="nil"/>
              <w:left w:val="nil"/>
              <w:bottom w:val="nil"/>
              <w:right w:val="nil"/>
            </w:tcBorders>
          </w:tcPr>
          <w:p w14:paraId="6E200740"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.005***</w:t>
            </w:r>
          </w:p>
          <w:p w14:paraId="5DC31304"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(2.67)</w:t>
            </w:r>
          </w:p>
        </w:tc>
        <w:tc>
          <w:tcPr>
            <w:tcW w:w="1559" w:type="dxa"/>
            <w:tcBorders>
              <w:top w:val="nil"/>
              <w:left w:val="nil"/>
              <w:bottom w:val="nil"/>
              <w:right w:val="nil"/>
            </w:tcBorders>
          </w:tcPr>
          <w:p w14:paraId="1FBD6888"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.006</w:t>
            </w:r>
          </w:p>
          <w:p w14:paraId="405FE859"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(0.87)</w:t>
            </w:r>
          </w:p>
        </w:tc>
        <w:tc>
          <w:tcPr>
            <w:tcW w:w="1971" w:type="dxa"/>
            <w:tcBorders>
              <w:top w:val="nil"/>
              <w:left w:val="nil"/>
              <w:bottom w:val="nil"/>
              <w:right w:val="nil"/>
            </w:tcBorders>
          </w:tcPr>
          <w:p w14:paraId="3A6167FD"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.006</w:t>
            </w:r>
          </w:p>
          <w:p w14:paraId="45DF1D97"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(1.11)</w:t>
            </w:r>
          </w:p>
        </w:tc>
      </w:tr>
      <w:tr w:rsidR="00DE13EE" w:rsidRPr="00DE13EE" w14:paraId="20F035F2" w14:textId="77777777" w:rsidTr="009D0993">
        <w:trPr>
          <w:trHeight w:val="547"/>
          <w:jc w:val="center"/>
        </w:trPr>
        <w:tc>
          <w:tcPr>
            <w:tcW w:w="2154" w:type="dxa"/>
            <w:tcBorders>
              <w:top w:val="nil"/>
              <w:left w:val="nil"/>
              <w:bottom w:val="nil"/>
              <w:right w:val="nil"/>
            </w:tcBorders>
            <w:vAlign w:val="center"/>
          </w:tcPr>
          <w:p w14:paraId="73D748A9"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 xml:space="preserve">Capital expenditure </w:t>
            </w:r>
          </w:p>
        </w:tc>
        <w:tc>
          <w:tcPr>
            <w:tcW w:w="1330" w:type="dxa"/>
            <w:tcBorders>
              <w:top w:val="nil"/>
              <w:left w:val="nil"/>
              <w:bottom w:val="nil"/>
              <w:right w:val="nil"/>
            </w:tcBorders>
            <w:vAlign w:val="center"/>
          </w:tcPr>
          <w:p w14:paraId="250B66EB"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CAPEX</w:t>
            </w:r>
          </w:p>
        </w:tc>
        <w:tc>
          <w:tcPr>
            <w:tcW w:w="850" w:type="dxa"/>
            <w:tcBorders>
              <w:top w:val="nil"/>
              <w:left w:val="nil"/>
              <w:bottom w:val="nil"/>
              <w:right w:val="nil"/>
            </w:tcBorders>
            <w:vAlign w:val="center"/>
          </w:tcPr>
          <w:p w14:paraId="41781206" w14:textId="77777777" w:rsidR="00FA14FE" w:rsidRPr="00DE13EE" w:rsidRDefault="00FA14FE" w:rsidP="009D0993">
            <w:pPr>
              <w:spacing w:line="276" w:lineRule="auto"/>
              <w:rPr>
                <w:rFonts w:ascii="Times New Roman" w:hAnsi="Times New Roman" w:cs="Times New Roman"/>
                <w:bCs/>
                <w:color w:val="000000" w:themeColor="text1"/>
                <w:sz w:val="20"/>
                <w:szCs w:val="20"/>
              </w:rPr>
            </w:pPr>
            <w:r w:rsidRPr="00DE13EE">
              <w:rPr>
                <w:rFonts w:ascii="Times New Roman" w:hAnsi="Times New Roman" w:cs="Times New Roman"/>
                <w:bCs/>
                <w:color w:val="000000" w:themeColor="text1"/>
                <w:sz w:val="20"/>
                <w:szCs w:val="20"/>
              </w:rPr>
              <w:t>(+)</w:t>
            </w:r>
          </w:p>
        </w:tc>
        <w:tc>
          <w:tcPr>
            <w:tcW w:w="1559" w:type="dxa"/>
            <w:tcBorders>
              <w:top w:val="nil"/>
              <w:left w:val="nil"/>
              <w:bottom w:val="nil"/>
              <w:right w:val="nil"/>
            </w:tcBorders>
            <w:vAlign w:val="bottom"/>
          </w:tcPr>
          <w:p w14:paraId="3658430D"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-.009</w:t>
            </w:r>
          </w:p>
          <w:p w14:paraId="73111F83"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(-1.03)</w:t>
            </w:r>
          </w:p>
        </w:tc>
        <w:tc>
          <w:tcPr>
            <w:tcW w:w="1985" w:type="dxa"/>
            <w:tcBorders>
              <w:top w:val="nil"/>
              <w:left w:val="nil"/>
              <w:bottom w:val="nil"/>
              <w:right w:val="nil"/>
            </w:tcBorders>
          </w:tcPr>
          <w:p w14:paraId="72F2E3F7"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.002</w:t>
            </w:r>
          </w:p>
          <w:p w14:paraId="6B2072D7"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(0.03)</w:t>
            </w:r>
          </w:p>
        </w:tc>
        <w:tc>
          <w:tcPr>
            <w:tcW w:w="1559" w:type="dxa"/>
            <w:tcBorders>
              <w:top w:val="nil"/>
              <w:left w:val="nil"/>
              <w:bottom w:val="nil"/>
              <w:right w:val="nil"/>
            </w:tcBorders>
          </w:tcPr>
          <w:p w14:paraId="56E2828A"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-.046*</w:t>
            </w:r>
          </w:p>
          <w:p w14:paraId="4AB6B948"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(-1.87)</w:t>
            </w:r>
          </w:p>
        </w:tc>
        <w:tc>
          <w:tcPr>
            <w:tcW w:w="1971" w:type="dxa"/>
            <w:tcBorders>
              <w:top w:val="nil"/>
              <w:left w:val="nil"/>
              <w:bottom w:val="nil"/>
              <w:right w:val="nil"/>
            </w:tcBorders>
          </w:tcPr>
          <w:p w14:paraId="5EEECE21"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-.048*</w:t>
            </w:r>
          </w:p>
          <w:p w14:paraId="0A66B310"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(-1.73)</w:t>
            </w:r>
          </w:p>
        </w:tc>
      </w:tr>
      <w:tr w:rsidR="00DE13EE" w:rsidRPr="00DE13EE" w14:paraId="126B54EF" w14:textId="77777777" w:rsidTr="009D0993">
        <w:trPr>
          <w:trHeight w:val="665"/>
          <w:jc w:val="center"/>
        </w:trPr>
        <w:tc>
          <w:tcPr>
            <w:tcW w:w="2154" w:type="dxa"/>
            <w:tcBorders>
              <w:top w:val="nil"/>
              <w:left w:val="nil"/>
              <w:bottom w:val="nil"/>
              <w:right w:val="nil"/>
            </w:tcBorders>
          </w:tcPr>
          <w:p w14:paraId="3A52432E"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Length of narrative document</w:t>
            </w:r>
          </w:p>
        </w:tc>
        <w:tc>
          <w:tcPr>
            <w:tcW w:w="1330" w:type="dxa"/>
            <w:tcBorders>
              <w:top w:val="nil"/>
              <w:left w:val="nil"/>
              <w:bottom w:val="nil"/>
              <w:right w:val="nil"/>
            </w:tcBorders>
          </w:tcPr>
          <w:p w14:paraId="00E81362" w14:textId="77777777" w:rsidR="00FA14FE" w:rsidRPr="00DE13EE" w:rsidRDefault="00FA14FE" w:rsidP="009D0993">
            <w:pPr>
              <w:spacing w:line="276" w:lineRule="auto"/>
              <w:rPr>
                <w:rFonts w:ascii="Times New Roman" w:hAnsi="Times New Roman" w:cs="Times New Roman"/>
                <w:color w:val="000000" w:themeColor="text1"/>
                <w:sz w:val="20"/>
                <w:szCs w:val="20"/>
              </w:rPr>
            </w:pPr>
          </w:p>
          <w:p w14:paraId="623C37A5"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LNGTH</w:t>
            </w:r>
          </w:p>
        </w:tc>
        <w:tc>
          <w:tcPr>
            <w:tcW w:w="850" w:type="dxa"/>
            <w:tcBorders>
              <w:top w:val="nil"/>
              <w:left w:val="nil"/>
              <w:bottom w:val="nil"/>
              <w:right w:val="nil"/>
            </w:tcBorders>
          </w:tcPr>
          <w:p w14:paraId="3B2F92C1" w14:textId="77777777" w:rsidR="00FA14FE" w:rsidRPr="00DE13EE" w:rsidRDefault="00FA14FE" w:rsidP="009D0993">
            <w:pPr>
              <w:spacing w:line="276" w:lineRule="auto"/>
              <w:rPr>
                <w:rFonts w:ascii="Times New Roman" w:hAnsi="Times New Roman" w:cs="Times New Roman"/>
                <w:color w:val="000000" w:themeColor="text1"/>
                <w:sz w:val="20"/>
                <w:szCs w:val="20"/>
              </w:rPr>
            </w:pPr>
          </w:p>
          <w:p w14:paraId="2B1DC4F0"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w:t>
            </w:r>
          </w:p>
        </w:tc>
        <w:tc>
          <w:tcPr>
            <w:tcW w:w="1559" w:type="dxa"/>
            <w:tcBorders>
              <w:top w:val="nil"/>
              <w:left w:val="nil"/>
              <w:bottom w:val="nil"/>
              <w:right w:val="nil"/>
            </w:tcBorders>
            <w:vAlign w:val="bottom"/>
          </w:tcPr>
          <w:p w14:paraId="30190853"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-.104***</w:t>
            </w:r>
          </w:p>
          <w:p w14:paraId="4B612986"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(-3.108)</w:t>
            </w:r>
          </w:p>
        </w:tc>
        <w:tc>
          <w:tcPr>
            <w:tcW w:w="1985" w:type="dxa"/>
            <w:tcBorders>
              <w:top w:val="nil"/>
              <w:left w:val="nil"/>
              <w:bottom w:val="nil"/>
              <w:right w:val="nil"/>
            </w:tcBorders>
          </w:tcPr>
          <w:p w14:paraId="6982DD8F"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-.080**</w:t>
            </w:r>
          </w:p>
          <w:p w14:paraId="5C7A95A8"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(-2.532)</w:t>
            </w:r>
          </w:p>
        </w:tc>
        <w:tc>
          <w:tcPr>
            <w:tcW w:w="1559" w:type="dxa"/>
            <w:tcBorders>
              <w:top w:val="nil"/>
              <w:left w:val="nil"/>
              <w:bottom w:val="nil"/>
              <w:right w:val="nil"/>
            </w:tcBorders>
          </w:tcPr>
          <w:p w14:paraId="65CC3EA6"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-.006</w:t>
            </w:r>
          </w:p>
          <w:p w14:paraId="678C405E"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(-.177)</w:t>
            </w:r>
          </w:p>
        </w:tc>
        <w:tc>
          <w:tcPr>
            <w:tcW w:w="1971" w:type="dxa"/>
            <w:tcBorders>
              <w:top w:val="nil"/>
              <w:left w:val="nil"/>
              <w:bottom w:val="nil"/>
              <w:right w:val="nil"/>
            </w:tcBorders>
          </w:tcPr>
          <w:p w14:paraId="0A8E3CBB"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-.005</w:t>
            </w:r>
          </w:p>
          <w:p w14:paraId="0DBC789A"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(-.170)</w:t>
            </w:r>
          </w:p>
        </w:tc>
      </w:tr>
      <w:tr w:rsidR="00DE13EE" w:rsidRPr="00DE13EE" w14:paraId="099CE40B" w14:textId="77777777" w:rsidTr="009D0993">
        <w:trPr>
          <w:trHeight w:val="217"/>
          <w:jc w:val="center"/>
        </w:trPr>
        <w:tc>
          <w:tcPr>
            <w:tcW w:w="4334" w:type="dxa"/>
            <w:gridSpan w:val="3"/>
            <w:tcBorders>
              <w:top w:val="nil"/>
              <w:left w:val="nil"/>
              <w:bottom w:val="nil"/>
              <w:right w:val="nil"/>
            </w:tcBorders>
            <w:vAlign w:val="center"/>
          </w:tcPr>
          <w:p w14:paraId="3AA61603"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Wald Chi-square</w:t>
            </w:r>
          </w:p>
        </w:tc>
        <w:tc>
          <w:tcPr>
            <w:tcW w:w="1559" w:type="dxa"/>
            <w:tcBorders>
              <w:top w:val="nil"/>
              <w:left w:val="nil"/>
              <w:bottom w:val="nil"/>
              <w:right w:val="nil"/>
            </w:tcBorders>
          </w:tcPr>
          <w:p w14:paraId="10A74BFB" w14:textId="77777777" w:rsidR="00FA14FE" w:rsidRPr="00DE13EE" w:rsidRDefault="00FA14FE" w:rsidP="009D0993">
            <w:pPr>
              <w:spacing w:line="276" w:lineRule="auto"/>
              <w:rPr>
                <w:rFonts w:ascii="Times New Roman" w:hAnsi="Times New Roman" w:cs="Times New Roman"/>
                <w:color w:val="000000" w:themeColor="text1"/>
                <w:sz w:val="20"/>
                <w:szCs w:val="20"/>
              </w:rPr>
            </w:pPr>
          </w:p>
        </w:tc>
        <w:tc>
          <w:tcPr>
            <w:tcW w:w="1985" w:type="dxa"/>
            <w:tcBorders>
              <w:top w:val="nil"/>
              <w:left w:val="nil"/>
              <w:bottom w:val="nil"/>
              <w:right w:val="nil"/>
            </w:tcBorders>
          </w:tcPr>
          <w:p w14:paraId="7D1A9C52"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168.52***</w:t>
            </w:r>
          </w:p>
        </w:tc>
        <w:tc>
          <w:tcPr>
            <w:tcW w:w="1559" w:type="dxa"/>
            <w:tcBorders>
              <w:top w:val="nil"/>
              <w:left w:val="nil"/>
              <w:bottom w:val="nil"/>
              <w:right w:val="nil"/>
            </w:tcBorders>
          </w:tcPr>
          <w:p w14:paraId="00EBE237" w14:textId="77777777" w:rsidR="00FA14FE" w:rsidRPr="00DE13EE" w:rsidRDefault="00FA14FE" w:rsidP="009D0993">
            <w:pPr>
              <w:spacing w:line="276" w:lineRule="auto"/>
              <w:rPr>
                <w:rFonts w:ascii="Times New Roman" w:hAnsi="Times New Roman" w:cs="Times New Roman"/>
                <w:color w:val="000000" w:themeColor="text1"/>
                <w:sz w:val="20"/>
                <w:szCs w:val="20"/>
              </w:rPr>
            </w:pPr>
          </w:p>
        </w:tc>
        <w:tc>
          <w:tcPr>
            <w:tcW w:w="1971" w:type="dxa"/>
            <w:tcBorders>
              <w:top w:val="nil"/>
              <w:left w:val="nil"/>
              <w:bottom w:val="nil"/>
              <w:right w:val="nil"/>
            </w:tcBorders>
          </w:tcPr>
          <w:p w14:paraId="74520529"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17108.31***</w:t>
            </w:r>
          </w:p>
        </w:tc>
      </w:tr>
      <w:tr w:rsidR="00DE13EE" w:rsidRPr="00DE13EE" w14:paraId="1A13BB0F" w14:textId="77777777" w:rsidTr="009D0993">
        <w:trPr>
          <w:trHeight w:val="207"/>
          <w:jc w:val="center"/>
        </w:trPr>
        <w:tc>
          <w:tcPr>
            <w:tcW w:w="4334" w:type="dxa"/>
            <w:gridSpan w:val="3"/>
            <w:tcBorders>
              <w:top w:val="nil"/>
              <w:left w:val="nil"/>
              <w:bottom w:val="nil"/>
              <w:right w:val="nil"/>
            </w:tcBorders>
            <w:hideMark/>
          </w:tcPr>
          <w:p w14:paraId="62E53975"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 xml:space="preserve">F-test </w:t>
            </w:r>
          </w:p>
        </w:tc>
        <w:tc>
          <w:tcPr>
            <w:tcW w:w="1559" w:type="dxa"/>
            <w:tcBorders>
              <w:top w:val="nil"/>
              <w:left w:val="nil"/>
              <w:bottom w:val="nil"/>
              <w:right w:val="nil"/>
            </w:tcBorders>
          </w:tcPr>
          <w:p w14:paraId="0EDA37F1"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6.30***</w:t>
            </w:r>
          </w:p>
        </w:tc>
        <w:tc>
          <w:tcPr>
            <w:tcW w:w="1985" w:type="dxa"/>
            <w:tcBorders>
              <w:top w:val="nil"/>
              <w:left w:val="nil"/>
              <w:bottom w:val="nil"/>
              <w:right w:val="nil"/>
            </w:tcBorders>
          </w:tcPr>
          <w:p w14:paraId="64A0C462" w14:textId="77777777" w:rsidR="00FA14FE" w:rsidRPr="00DE13EE" w:rsidRDefault="00FA14FE" w:rsidP="009D0993">
            <w:pPr>
              <w:spacing w:line="276" w:lineRule="auto"/>
              <w:rPr>
                <w:rFonts w:ascii="Times New Roman" w:hAnsi="Times New Roman" w:cs="Times New Roman"/>
                <w:color w:val="000000" w:themeColor="text1"/>
                <w:sz w:val="20"/>
                <w:szCs w:val="20"/>
              </w:rPr>
            </w:pPr>
          </w:p>
        </w:tc>
        <w:tc>
          <w:tcPr>
            <w:tcW w:w="1559" w:type="dxa"/>
            <w:tcBorders>
              <w:top w:val="nil"/>
              <w:left w:val="nil"/>
              <w:bottom w:val="nil"/>
              <w:right w:val="nil"/>
            </w:tcBorders>
          </w:tcPr>
          <w:p w14:paraId="069AC769"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423.92***</w:t>
            </w:r>
          </w:p>
        </w:tc>
        <w:tc>
          <w:tcPr>
            <w:tcW w:w="1971" w:type="dxa"/>
            <w:tcBorders>
              <w:top w:val="nil"/>
              <w:left w:val="nil"/>
              <w:bottom w:val="nil"/>
              <w:right w:val="nil"/>
            </w:tcBorders>
          </w:tcPr>
          <w:p w14:paraId="7AE0B885" w14:textId="77777777" w:rsidR="00FA14FE" w:rsidRPr="00DE13EE" w:rsidRDefault="00FA14FE" w:rsidP="009D0993">
            <w:pPr>
              <w:spacing w:line="276" w:lineRule="auto"/>
              <w:rPr>
                <w:rFonts w:ascii="Times New Roman" w:hAnsi="Times New Roman" w:cs="Times New Roman"/>
                <w:color w:val="000000" w:themeColor="text1"/>
                <w:sz w:val="20"/>
                <w:szCs w:val="20"/>
              </w:rPr>
            </w:pPr>
          </w:p>
        </w:tc>
      </w:tr>
      <w:tr w:rsidR="00DE13EE" w:rsidRPr="00DE13EE" w14:paraId="27FD2600" w14:textId="77777777" w:rsidTr="009D0993">
        <w:trPr>
          <w:trHeight w:val="262"/>
          <w:jc w:val="center"/>
        </w:trPr>
        <w:tc>
          <w:tcPr>
            <w:tcW w:w="4334" w:type="dxa"/>
            <w:gridSpan w:val="3"/>
            <w:tcBorders>
              <w:top w:val="nil"/>
              <w:left w:val="nil"/>
              <w:bottom w:val="nil"/>
              <w:right w:val="nil"/>
            </w:tcBorders>
            <w:hideMark/>
          </w:tcPr>
          <w:p w14:paraId="01FBE1EE"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Adjusted R- squared (%)</w:t>
            </w:r>
          </w:p>
        </w:tc>
        <w:tc>
          <w:tcPr>
            <w:tcW w:w="1559" w:type="dxa"/>
            <w:tcBorders>
              <w:top w:val="nil"/>
              <w:left w:val="nil"/>
              <w:bottom w:val="nil"/>
              <w:right w:val="nil"/>
            </w:tcBorders>
          </w:tcPr>
          <w:p w14:paraId="371712C5"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10.53</w:t>
            </w:r>
          </w:p>
        </w:tc>
        <w:tc>
          <w:tcPr>
            <w:tcW w:w="1985" w:type="dxa"/>
            <w:tcBorders>
              <w:top w:val="nil"/>
              <w:left w:val="nil"/>
              <w:bottom w:val="nil"/>
              <w:right w:val="nil"/>
            </w:tcBorders>
          </w:tcPr>
          <w:p w14:paraId="0B37E8F6"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9.52</w:t>
            </w:r>
          </w:p>
        </w:tc>
        <w:tc>
          <w:tcPr>
            <w:tcW w:w="1559" w:type="dxa"/>
            <w:tcBorders>
              <w:top w:val="nil"/>
              <w:left w:val="nil"/>
              <w:bottom w:val="nil"/>
              <w:right w:val="nil"/>
            </w:tcBorders>
          </w:tcPr>
          <w:p w14:paraId="7AF0E43B"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89.90</w:t>
            </w:r>
          </w:p>
        </w:tc>
        <w:tc>
          <w:tcPr>
            <w:tcW w:w="1971" w:type="dxa"/>
            <w:tcBorders>
              <w:top w:val="nil"/>
              <w:left w:val="nil"/>
              <w:bottom w:val="nil"/>
              <w:right w:val="nil"/>
            </w:tcBorders>
          </w:tcPr>
          <w:p w14:paraId="0670947D"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89.79</w:t>
            </w:r>
          </w:p>
        </w:tc>
      </w:tr>
      <w:tr w:rsidR="00DE13EE" w:rsidRPr="00DE13EE" w14:paraId="6EE355D8" w14:textId="77777777" w:rsidTr="009D0993">
        <w:trPr>
          <w:trHeight w:val="262"/>
          <w:jc w:val="center"/>
        </w:trPr>
        <w:tc>
          <w:tcPr>
            <w:tcW w:w="4334" w:type="dxa"/>
            <w:gridSpan w:val="3"/>
            <w:tcBorders>
              <w:top w:val="nil"/>
              <w:left w:val="nil"/>
              <w:bottom w:val="single" w:sz="4" w:space="0" w:color="auto"/>
              <w:right w:val="nil"/>
            </w:tcBorders>
            <w:hideMark/>
          </w:tcPr>
          <w:p w14:paraId="35A79662"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 xml:space="preserve">No. of observation </w:t>
            </w:r>
          </w:p>
        </w:tc>
        <w:tc>
          <w:tcPr>
            <w:tcW w:w="1559" w:type="dxa"/>
            <w:tcBorders>
              <w:top w:val="nil"/>
              <w:left w:val="nil"/>
              <w:bottom w:val="single" w:sz="4" w:space="0" w:color="auto"/>
              <w:right w:val="nil"/>
            </w:tcBorders>
          </w:tcPr>
          <w:p w14:paraId="7940F2E8"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1294</w:t>
            </w:r>
          </w:p>
        </w:tc>
        <w:tc>
          <w:tcPr>
            <w:tcW w:w="1985" w:type="dxa"/>
            <w:tcBorders>
              <w:top w:val="nil"/>
              <w:left w:val="nil"/>
              <w:bottom w:val="single" w:sz="4" w:space="0" w:color="auto"/>
              <w:right w:val="nil"/>
            </w:tcBorders>
          </w:tcPr>
          <w:p w14:paraId="4BB3AF28"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1294</w:t>
            </w:r>
          </w:p>
        </w:tc>
        <w:tc>
          <w:tcPr>
            <w:tcW w:w="1559" w:type="dxa"/>
            <w:tcBorders>
              <w:top w:val="nil"/>
              <w:left w:val="nil"/>
              <w:bottom w:val="single" w:sz="4" w:space="0" w:color="auto"/>
              <w:right w:val="nil"/>
            </w:tcBorders>
          </w:tcPr>
          <w:p w14:paraId="47537B8E"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1382</w:t>
            </w:r>
          </w:p>
        </w:tc>
        <w:tc>
          <w:tcPr>
            <w:tcW w:w="1971" w:type="dxa"/>
            <w:tcBorders>
              <w:top w:val="nil"/>
              <w:left w:val="nil"/>
              <w:bottom w:val="single" w:sz="4" w:space="0" w:color="auto"/>
              <w:right w:val="nil"/>
            </w:tcBorders>
          </w:tcPr>
          <w:p w14:paraId="68B7D13F"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1382</w:t>
            </w:r>
          </w:p>
        </w:tc>
      </w:tr>
      <w:tr w:rsidR="00DE13EE" w:rsidRPr="00DE13EE" w14:paraId="06B7E7F7" w14:textId="77777777" w:rsidTr="009D0993">
        <w:trPr>
          <w:trHeight w:val="262"/>
          <w:jc w:val="center"/>
        </w:trPr>
        <w:tc>
          <w:tcPr>
            <w:tcW w:w="11408" w:type="dxa"/>
            <w:gridSpan w:val="7"/>
            <w:tcBorders>
              <w:left w:val="nil"/>
              <w:bottom w:val="nil"/>
              <w:right w:val="nil"/>
            </w:tcBorders>
          </w:tcPr>
          <w:p w14:paraId="22613841" w14:textId="77777777" w:rsidR="00FA14FE" w:rsidRPr="00DE13EE" w:rsidRDefault="00FA14FE" w:rsidP="009D0993">
            <w:pPr>
              <w:jc w:val="both"/>
              <w:rPr>
                <w:rFonts w:ascii="Times New Roman" w:hAnsi="Times New Roman" w:cs="Times New Roman"/>
                <w:color w:val="000000" w:themeColor="text1"/>
                <w:sz w:val="20"/>
                <w:szCs w:val="20"/>
              </w:rPr>
            </w:pPr>
            <w:r w:rsidRPr="00DE13EE">
              <w:rPr>
                <w:rFonts w:ascii="Times New Roman" w:hAnsi="Times New Roman" w:cs="Times New Roman"/>
                <w:b/>
                <w:color w:val="000000" w:themeColor="text1"/>
                <w:sz w:val="20"/>
                <w:szCs w:val="20"/>
              </w:rPr>
              <w:t>Notes</w:t>
            </w:r>
            <w:r w:rsidRPr="00DE13EE">
              <w:rPr>
                <w:rFonts w:ascii="Times New Roman" w:hAnsi="Times New Roman" w:cs="Times New Roman"/>
                <w:color w:val="000000" w:themeColor="text1"/>
                <w:sz w:val="20"/>
                <w:szCs w:val="20"/>
              </w:rPr>
              <w:t>: This Table reports the coefficients estimate of models (1) &amp; (2) for two sub-samples: high- and low-performing firms. The dependent variable is IMadj.TQ</w:t>
            </w:r>
            <w:r w:rsidRPr="00DE13EE">
              <w:rPr>
                <w:rFonts w:ascii="Times New Roman" w:hAnsi="Times New Roman" w:cs="Times New Roman"/>
                <w:color w:val="000000" w:themeColor="text1"/>
                <w:sz w:val="20"/>
                <w:szCs w:val="20"/>
                <w:vertAlign w:val="subscript"/>
              </w:rPr>
              <w:t>+3</w:t>
            </w:r>
            <w:r w:rsidRPr="00DE13EE">
              <w:rPr>
                <w:rFonts w:ascii="Times New Roman" w:hAnsi="Times New Roman" w:cs="Times New Roman"/>
                <w:color w:val="000000" w:themeColor="text1"/>
                <w:sz w:val="20"/>
                <w:szCs w:val="20"/>
              </w:rPr>
              <w:t xml:space="preserve"> – Firm Value measured using an industry median adjusted Tobin’s Q ratio at three months after the date of the annual report. The </w:t>
            </w:r>
            <w:r w:rsidRPr="00DE13EE">
              <w:rPr>
                <w:rFonts w:ascii="Times New Roman" w:hAnsi="Times New Roman" w:cs="Times New Roman"/>
                <w:i/>
                <w:color w:val="000000" w:themeColor="text1"/>
                <w:sz w:val="20"/>
                <w:szCs w:val="20"/>
              </w:rPr>
              <w:t>t</w:t>
            </w:r>
            <w:r w:rsidRPr="00DE13EE">
              <w:rPr>
                <w:rFonts w:ascii="Times New Roman" w:hAnsi="Times New Roman" w:cs="Times New Roman"/>
                <w:color w:val="000000" w:themeColor="text1"/>
                <w:sz w:val="20"/>
                <w:szCs w:val="20"/>
              </w:rPr>
              <w:t xml:space="preserve">-statistics and </w:t>
            </w:r>
            <w:r w:rsidRPr="00DE13EE">
              <w:rPr>
                <w:rFonts w:ascii="Times New Roman" w:hAnsi="Times New Roman" w:cs="Times New Roman"/>
                <w:i/>
                <w:color w:val="000000" w:themeColor="text1"/>
                <w:sz w:val="20"/>
                <w:szCs w:val="20"/>
              </w:rPr>
              <w:t>z</w:t>
            </w:r>
            <w:r w:rsidRPr="00DE13EE">
              <w:rPr>
                <w:rFonts w:ascii="Times New Roman" w:hAnsi="Times New Roman" w:cs="Times New Roman"/>
                <w:color w:val="000000" w:themeColor="text1"/>
                <w:sz w:val="20"/>
                <w:szCs w:val="20"/>
              </w:rPr>
              <w:t>-statistics are presented in parentheses for fixed and random effects estimates, respectively.</w:t>
            </w:r>
          </w:p>
        </w:tc>
      </w:tr>
      <w:tr w:rsidR="00DE13EE" w:rsidRPr="00DE13EE" w14:paraId="4012D5E3" w14:textId="77777777" w:rsidTr="009D0993">
        <w:trPr>
          <w:trHeight w:val="262"/>
          <w:jc w:val="center"/>
        </w:trPr>
        <w:tc>
          <w:tcPr>
            <w:tcW w:w="11408" w:type="dxa"/>
            <w:gridSpan w:val="7"/>
            <w:tcBorders>
              <w:top w:val="nil"/>
              <w:left w:val="nil"/>
              <w:bottom w:val="nil"/>
              <w:right w:val="nil"/>
            </w:tcBorders>
          </w:tcPr>
          <w:p w14:paraId="584A93BE" w14:textId="77777777" w:rsidR="00FA14FE" w:rsidRPr="00DE13EE" w:rsidRDefault="00FA14FE" w:rsidP="009D0993">
            <w:pPr>
              <w:jc w:val="both"/>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Variables’ definitions and measurements are the same as summarized in Appendix (2).</w:t>
            </w:r>
          </w:p>
        </w:tc>
      </w:tr>
      <w:tr w:rsidR="00FA14FE" w:rsidRPr="00DE13EE" w14:paraId="0F825781" w14:textId="77777777" w:rsidTr="009D0993">
        <w:trPr>
          <w:trHeight w:val="262"/>
          <w:jc w:val="center"/>
        </w:trPr>
        <w:tc>
          <w:tcPr>
            <w:tcW w:w="11408" w:type="dxa"/>
            <w:gridSpan w:val="7"/>
            <w:tcBorders>
              <w:top w:val="nil"/>
              <w:left w:val="nil"/>
              <w:bottom w:val="nil"/>
              <w:right w:val="nil"/>
            </w:tcBorders>
          </w:tcPr>
          <w:p w14:paraId="2DA43497" w14:textId="77777777" w:rsidR="00FA14FE" w:rsidRPr="00DE13EE" w:rsidRDefault="00FA14FE" w:rsidP="009D0993">
            <w:pPr>
              <w:jc w:val="both"/>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 **, and *** indicate significance at 0.1, 0.05 and 0.01, respectively.</w:t>
            </w:r>
          </w:p>
        </w:tc>
      </w:tr>
    </w:tbl>
    <w:p w14:paraId="1663B0C1" w14:textId="77777777" w:rsidR="00FA14FE" w:rsidRPr="00DE13EE" w:rsidRDefault="00FA14FE" w:rsidP="00FA14FE">
      <w:pPr>
        <w:rPr>
          <w:color w:val="000000" w:themeColor="text1"/>
        </w:rPr>
      </w:pPr>
    </w:p>
    <w:p w14:paraId="09809B22" w14:textId="77777777" w:rsidR="00FA14FE" w:rsidRPr="00DE13EE" w:rsidRDefault="00FA14FE" w:rsidP="00FA14FE">
      <w:pPr>
        <w:rPr>
          <w:color w:val="000000" w:themeColor="text1"/>
        </w:rPr>
      </w:pPr>
    </w:p>
    <w:p w14:paraId="25CC119D" w14:textId="77777777" w:rsidR="00FA14FE" w:rsidRPr="00DE13EE" w:rsidRDefault="00FA14FE" w:rsidP="00FA14FE">
      <w:pPr>
        <w:rPr>
          <w:color w:val="000000" w:themeColor="text1"/>
        </w:rPr>
      </w:pPr>
    </w:p>
    <w:p w14:paraId="20CC7899" w14:textId="77777777" w:rsidR="00FA14FE" w:rsidRPr="00DE13EE" w:rsidRDefault="00FA14FE" w:rsidP="00FA14FE">
      <w:pPr>
        <w:rPr>
          <w:color w:val="000000" w:themeColor="text1"/>
        </w:rPr>
      </w:pPr>
    </w:p>
    <w:p w14:paraId="5F3B40C6" w14:textId="77777777" w:rsidR="00FA14FE" w:rsidRPr="00DE13EE" w:rsidRDefault="00FA14FE" w:rsidP="00FA14FE">
      <w:pPr>
        <w:rPr>
          <w:color w:val="000000" w:themeColor="text1"/>
        </w:rPr>
      </w:pPr>
    </w:p>
    <w:p w14:paraId="7F30D8CC" w14:textId="77777777" w:rsidR="00FA14FE" w:rsidRPr="00DE13EE" w:rsidRDefault="00FA14FE" w:rsidP="00FA14FE">
      <w:pPr>
        <w:rPr>
          <w:color w:val="000000" w:themeColor="text1"/>
        </w:rPr>
      </w:pPr>
    </w:p>
    <w:p w14:paraId="0FFA0765" w14:textId="77777777" w:rsidR="00FA14FE" w:rsidRPr="00DE13EE" w:rsidRDefault="00FA14FE" w:rsidP="00FA14FE">
      <w:pPr>
        <w:rPr>
          <w:color w:val="000000" w:themeColor="text1"/>
        </w:rPr>
      </w:pPr>
    </w:p>
    <w:tbl>
      <w:tblPr>
        <w:tblStyle w:val="TableGrid211"/>
        <w:tblW w:w="11408" w:type="dxa"/>
        <w:jc w:val="center"/>
        <w:tblLayout w:type="fixed"/>
        <w:tblLook w:val="04A0" w:firstRow="1" w:lastRow="0" w:firstColumn="1" w:lastColumn="0" w:noHBand="0" w:noVBand="1"/>
      </w:tblPr>
      <w:tblGrid>
        <w:gridCol w:w="2319"/>
        <w:gridCol w:w="1234"/>
        <w:gridCol w:w="853"/>
        <w:gridCol w:w="1562"/>
        <w:gridCol w:w="1989"/>
        <w:gridCol w:w="1472"/>
        <w:gridCol w:w="1979"/>
      </w:tblGrid>
      <w:tr w:rsidR="00DE13EE" w:rsidRPr="00DE13EE" w14:paraId="3D6DB741" w14:textId="77777777" w:rsidTr="009D0993">
        <w:trPr>
          <w:trHeight w:val="398"/>
          <w:jc w:val="center"/>
        </w:trPr>
        <w:tc>
          <w:tcPr>
            <w:tcW w:w="11408" w:type="dxa"/>
            <w:gridSpan w:val="7"/>
            <w:tcBorders>
              <w:top w:val="nil"/>
              <w:left w:val="nil"/>
              <w:bottom w:val="single" w:sz="4" w:space="0" w:color="auto"/>
              <w:right w:val="nil"/>
            </w:tcBorders>
          </w:tcPr>
          <w:p w14:paraId="05FA55C8" w14:textId="77777777" w:rsidR="00FA14FE" w:rsidRPr="00DE13EE" w:rsidRDefault="00FA14FE" w:rsidP="009D0993">
            <w:pPr>
              <w:rPr>
                <w:rFonts w:ascii="Times New Roman" w:hAnsi="Times New Roman" w:cs="Times New Roman"/>
                <w:b/>
                <w:bCs/>
                <w:color w:val="000000" w:themeColor="text1"/>
                <w:sz w:val="20"/>
                <w:szCs w:val="20"/>
              </w:rPr>
            </w:pPr>
            <w:r w:rsidRPr="00DE13EE">
              <w:rPr>
                <w:rFonts w:ascii="Times New Roman" w:hAnsi="Times New Roman" w:cs="Times New Roman"/>
                <w:b/>
                <w:bCs/>
                <w:color w:val="000000" w:themeColor="text1"/>
                <w:sz w:val="20"/>
                <w:szCs w:val="20"/>
              </w:rPr>
              <w:t>Table (6): Models (1) &amp; (2) results: Big-N vs. non Big-N auditors</w:t>
            </w:r>
          </w:p>
          <w:p w14:paraId="6FB993F3" w14:textId="77777777" w:rsidR="00FA14FE" w:rsidRPr="00DE13EE" w:rsidRDefault="00FA14FE" w:rsidP="009D0993">
            <w:pPr>
              <w:rPr>
                <w:rFonts w:ascii="Times New Roman" w:hAnsi="Times New Roman" w:cs="Times New Roman"/>
                <w:b/>
                <w:bCs/>
                <w:color w:val="000000" w:themeColor="text1"/>
                <w:sz w:val="20"/>
                <w:szCs w:val="20"/>
              </w:rPr>
            </w:pPr>
          </w:p>
        </w:tc>
      </w:tr>
      <w:tr w:rsidR="00DE13EE" w:rsidRPr="00DE13EE" w14:paraId="40AEFA1B" w14:textId="77777777" w:rsidTr="009D0993">
        <w:trPr>
          <w:trHeight w:val="398"/>
          <w:jc w:val="center"/>
        </w:trPr>
        <w:tc>
          <w:tcPr>
            <w:tcW w:w="2319" w:type="dxa"/>
            <w:tcBorders>
              <w:left w:val="nil"/>
              <w:right w:val="nil"/>
            </w:tcBorders>
          </w:tcPr>
          <w:p w14:paraId="351C1AB2" w14:textId="77777777" w:rsidR="00FA14FE" w:rsidRPr="00DE13EE" w:rsidRDefault="00FA14FE" w:rsidP="009D0993">
            <w:pPr>
              <w:rPr>
                <w:rFonts w:ascii="Times New Roman" w:hAnsi="Times New Roman" w:cs="Times New Roman"/>
                <w:b/>
                <w:bCs/>
                <w:color w:val="000000" w:themeColor="text1"/>
                <w:sz w:val="20"/>
                <w:szCs w:val="20"/>
              </w:rPr>
            </w:pPr>
          </w:p>
        </w:tc>
        <w:tc>
          <w:tcPr>
            <w:tcW w:w="1234" w:type="dxa"/>
            <w:tcBorders>
              <w:left w:val="nil"/>
              <w:right w:val="nil"/>
            </w:tcBorders>
          </w:tcPr>
          <w:p w14:paraId="1238EF97" w14:textId="77777777" w:rsidR="00FA14FE" w:rsidRPr="00DE13EE" w:rsidRDefault="00FA14FE" w:rsidP="009D0993">
            <w:pPr>
              <w:rPr>
                <w:rFonts w:ascii="Times New Roman" w:hAnsi="Times New Roman" w:cs="Times New Roman"/>
                <w:b/>
                <w:bCs/>
                <w:color w:val="000000" w:themeColor="text1"/>
                <w:sz w:val="20"/>
                <w:szCs w:val="20"/>
              </w:rPr>
            </w:pPr>
          </w:p>
        </w:tc>
        <w:tc>
          <w:tcPr>
            <w:tcW w:w="853" w:type="dxa"/>
            <w:tcBorders>
              <w:left w:val="nil"/>
              <w:right w:val="nil"/>
            </w:tcBorders>
          </w:tcPr>
          <w:p w14:paraId="2D4C2DED" w14:textId="77777777" w:rsidR="00FA14FE" w:rsidRPr="00DE13EE" w:rsidRDefault="00FA14FE" w:rsidP="009D0993">
            <w:pPr>
              <w:jc w:val="center"/>
              <w:rPr>
                <w:rFonts w:ascii="Times New Roman" w:hAnsi="Times New Roman" w:cs="Times New Roman"/>
                <w:b/>
                <w:bCs/>
                <w:color w:val="000000" w:themeColor="text1"/>
                <w:sz w:val="20"/>
                <w:szCs w:val="20"/>
              </w:rPr>
            </w:pPr>
          </w:p>
        </w:tc>
        <w:tc>
          <w:tcPr>
            <w:tcW w:w="3551" w:type="dxa"/>
            <w:gridSpan w:val="2"/>
            <w:tcBorders>
              <w:left w:val="nil"/>
              <w:right w:val="nil"/>
            </w:tcBorders>
          </w:tcPr>
          <w:p w14:paraId="5E8AAE2B" w14:textId="77777777" w:rsidR="00FA14FE" w:rsidRPr="00DE13EE" w:rsidRDefault="00FA14FE" w:rsidP="009D0993">
            <w:pPr>
              <w:rPr>
                <w:rFonts w:ascii="Times New Roman" w:hAnsi="Times New Roman" w:cs="Times New Roman"/>
                <w:b/>
                <w:bCs/>
                <w:color w:val="000000" w:themeColor="text1"/>
                <w:sz w:val="20"/>
                <w:szCs w:val="20"/>
              </w:rPr>
            </w:pPr>
            <w:r w:rsidRPr="00DE13EE">
              <w:rPr>
                <w:rFonts w:ascii="Times New Roman" w:hAnsi="Times New Roman" w:cs="Times New Roman"/>
                <w:b/>
                <w:bCs/>
                <w:color w:val="000000" w:themeColor="text1"/>
                <w:sz w:val="20"/>
                <w:szCs w:val="20"/>
              </w:rPr>
              <w:t xml:space="preserve">(1) Big-N Auditors </w:t>
            </w:r>
          </w:p>
        </w:tc>
        <w:tc>
          <w:tcPr>
            <w:tcW w:w="3451" w:type="dxa"/>
            <w:gridSpan w:val="2"/>
            <w:tcBorders>
              <w:left w:val="nil"/>
              <w:right w:val="nil"/>
            </w:tcBorders>
          </w:tcPr>
          <w:p w14:paraId="094895FE" w14:textId="77777777" w:rsidR="00FA14FE" w:rsidRPr="00DE13EE" w:rsidRDefault="00FA14FE" w:rsidP="009D0993">
            <w:pPr>
              <w:rPr>
                <w:rFonts w:ascii="Times New Roman" w:hAnsi="Times New Roman" w:cs="Times New Roman"/>
                <w:b/>
                <w:bCs/>
                <w:color w:val="000000" w:themeColor="text1"/>
                <w:sz w:val="20"/>
                <w:szCs w:val="20"/>
              </w:rPr>
            </w:pPr>
            <w:r w:rsidRPr="00DE13EE">
              <w:rPr>
                <w:rFonts w:ascii="Times New Roman" w:hAnsi="Times New Roman" w:cs="Times New Roman"/>
                <w:b/>
                <w:bCs/>
                <w:color w:val="000000" w:themeColor="text1"/>
                <w:sz w:val="20"/>
                <w:szCs w:val="20"/>
              </w:rPr>
              <w:t>(2) Non Big-N Auditors</w:t>
            </w:r>
          </w:p>
        </w:tc>
      </w:tr>
      <w:tr w:rsidR="00DE13EE" w:rsidRPr="00DE13EE" w14:paraId="1BBF579A" w14:textId="77777777" w:rsidTr="009D0993">
        <w:trPr>
          <w:trHeight w:val="257"/>
          <w:jc w:val="center"/>
        </w:trPr>
        <w:tc>
          <w:tcPr>
            <w:tcW w:w="2319" w:type="dxa"/>
            <w:tcBorders>
              <w:left w:val="nil"/>
              <w:right w:val="nil"/>
            </w:tcBorders>
          </w:tcPr>
          <w:p w14:paraId="13BDA691" w14:textId="77777777" w:rsidR="00FA14FE" w:rsidRPr="00DE13EE" w:rsidRDefault="00FA14FE" w:rsidP="009D0993">
            <w:pPr>
              <w:rPr>
                <w:rFonts w:ascii="Times New Roman" w:hAnsi="Times New Roman" w:cs="Times New Roman"/>
                <w:b/>
                <w:bCs/>
                <w:color w:val="000000" w:themeColor="text1"/>
                <w:sz w:val="20"/>
                <w:szCs w:val="20"/>
              </w:rPr>
            </w:pPr>
          </w:p>
        </w:tc>
        <w:tc>
          <w:tcPr>
            <w:tcW w:w="1234" w:type="dxa"/>
            <w:tcBorders>
              <w:left w:val="nil"/>
              <w:right w:val="nil"/>
            </w:tcBorders>
          </w:tcPr>
          <w:p w14:paraId="6DABCA76" w14:textId="77777777" w:rsidR="00FA14FE" w:rsidRPr="00DE13EE" w:rsidRDefault="00FA14FE" w:rsidP="009D0993">
            <w:pPr>
              <w:rPr>
                <w:rFonts w:ascii="Times New Roman" w:hAnsi="Times New Roman" w:cs="Times New Roman"/>
                <w:b/>
                <w:bCs/>
                <w:color w:val="000000" w:themeColor="text1"/>
                <w:sz w:val="20"/>
                <w:szCs w:val="20"/>
              </w:rPr>
            </w:pPr>
          </w:p>
        </w:tc>
        <w:tc>
          <w:tcPr>
            <w:tcW w:w="853" w:type="dxa"/>
            <w:tcBorders>
              <w:left w:val="nil"/>
              <w:right w:val="nil"/>
            </w:tcBorders>
          </w:tcPr>
          <w:p w14:paraId="7282FD23" w14:textId="77777777" w:rsidR="00FA14FE" w:rsidRPr="00DE13EE" w:rsidRDefault="00FA14FE" w:rsidP="009D0993">
            <w:pPr>
              <w:jc w:val="center"/>
              <w:rPr>
                <w:rFonts w:ascii="Times New Roman" w:hAnsi="Times New Roman" w:cs="Times New Roman"/>
                <w:b/>
                <w:bCs/>
                <w:color w:val="000000" w:themeColor="text1"/>
                <w:sz w:val="20"/>
                <w:szCs w:val="20"/>
              </w:rPr>
            </w:pPr>
          </w:p>
        </w:tc>
        <w:tc>
          <w:tcPr>
            <w:tcW w:w="1562" w:type="dxa"/>
            <w:tcBorders>
              <w:left w:val="nil"/>
              <w:right w:val="nil"/>
            </w:tcBorders>
            <w:vAlign w:val="center"/>
          </w:tcPr>
          <w:p w14:paraId="263613B0" w14:textId="77777777" w:rsidR="00FA14FE" w:rsidRPr="00DE13EE" w:rsidRDefault="00FA14FE" w:rsidP="009D0993">
            <w:pPr>
              <w:rPr>
                <w:rFonts w:ascii="Times New Roman" w:hAnsi="Times New Roman" w:cs="Times New Roman"/>
                <w:b/>
                <w:bCs/>
                <w:color w:val="000000" w:themeColor="text1"/>
                <w:sz w:val="20"/>
                <w:szCs w:val="20"/>
              </w:rPr>
            </w:pPr>
            <w:r w:rsidRPr="00DE13EE">
              <w:rPr>
                <w:rFonts w:ascii="Times New Roman" w:hAnsi="Times New Roman" w:cs="Times New Roman"/>
                <w:b/>
                <w:bCs/>
                <w:color w:val="000000" w:themeColor="text1"/>
                <w:sz w:val="20"/>
                <w:szCs w:val="20"/>
              </w:rPr>
              <w:t>Fixed-effect Model (1)</w:t>
            </w:r>
          </w:p>
          <w:p w14:paraId="039E170A" w14:textId="77777777" w:rsidR="00FA14FE" w:rsidRPr="00DE13EE" w:rsidRDefault="00FA14FE" w:rsidP="009D0993">
            <w:pPr>
              <w:rPr>
                <w:rFonts w:ascii="Times New Roman" w:hAnsi="Times New Roman" w:cs="Times New Roman"/>
                <w:b/>
                <w:bCs/>
                <w:color w:val="000000" w:themeColor="text1"/>
                <w:sz w:val="20"/>
                <w:szCs w:val="20"/>
              </w:rPr>
            </w:pPr>
          </w:p>
        </w:tc>
        <w:tc>
          <w:tcPr>
            <w:tcW w:w="1989" w:type="dxa"/>
            <w:tcBorders>
              <w:left w:val="nil"/>
              <w:right w:val="nil"/>
            </w:tcBorders>
          </w:tcPr>
          <w:p w14:paraId="62E694C6" w14:textId="77777777" w:rsidR="00FA14FE" w:rsidRPr="00DE13EE" w:rsidRDefault="00FA14FE" w:rsidP="009D0993">
            <w:pPr>
              <w:rPr>
                <w:rFonts w:ascii="Times New Roman" w:hAnsi="Times New Roman" w:cs="Times New Roman"/>
                <w:b/>
                <w:bCs/>
                <w:color w:val="000000" w:themeColor="text1"/>
                <w:sz w:val="20"/>
                <w:szCs w:val="20"/>
              </w:rPr>
            </w:pPr>
            <w:r w:rsidRPr="00DE13EE">
              <w:rPr>
                <w:rFonts w:ascii="Times New Roman" w:hAnsi="Times New Roman" w:cs="Times New Roman"/>
                <w:b/>
                <w:bCs/>
                <w:color w:val="000000" w:themeColor="text1"/>
                <w:sz w:val="20"/>
                <w:szCs w:val="20"/>
              </w:rPr>
              <w:t xml:space="preserve">Random-effect Model (2) </w:t>
            </w:r>
          </w:p>
        </w:tc>
        <w:tc>
          <w:tcPr>
            <w:tcW w:w="1472" w:type="dxa"/>
            <w:tcBorders>
              <w:left w:val="nil"/>
              <w:right w:val="nil"/>
            </w:tcBorders>
            <w:vAlign w:val="center"/>
          </w:tcPr>
          <w:p w14:paraId="42E66E55" w14:textId="77777777" w:rsidR="00FA14FE" w:rsidRPr="00DE13EE" w:rsidRDefault="00FA14FE" w:rsidP="009D0993">
            <w:pPr>
              <w:rPr>
                <w:rFonts w:ascii="Times New Roman" w:hAnsi="Times New Roman" w:cs="Times New Roman"/>
                <w:b/>
                <w:bCs/>
                <w:color w:val="000000" w:themeColor="text1"/>
                <w:sz w:val="20"/>
                <w:szCs w:val="20"/>
              </w:rPr>
            </w:pPr>
            <w:r w:rsidRPr="00DE13EE">
              <w:rPr>
                <w:rFonts w:ascii="Times New Roman" w:hAnsi="Times New Roman" w:cs="Times New Roman"/>
                <w:b/>
                <w:bCs/>
                <w:color w:val="000000" w:themeColor="text1"/>
                <w:sz w:val="20"/>
                <w:szCs w:val="20"/>
              </w:rPr>
              <w:t>Fixed-effect Model (1)</w:t>
            </w:r>
          </w:p>
          <w:p w14:paraId="1D239D21" w14:textId="77777777" w:rsidR="00FA14FE" w:rsidRPr="00DE13EE" w:rsidRDefault="00FA14FE" w:rsidP="009D0993">
            <w:pPr>
              <w:rPr>
                <w:rFonts w:ascii="Times New Roman" w:hAnsi="Times New Roman" w:cs="Times New Roman"/>
                <w:b/>
                <w:bCs/>
                <w:color w:val="000000" w:themeColor="text1"/>
                <w:sz w:val="20"/>
                <w:szCs w:val="20"/>
              </w:rPr>
            </w:pPr>
          </w:p>
        </w:tc>
        <w:tc>
          <w:tcPr>
            <w:tcW w:w="1979" w:type="dxa"/>
            <w:tcBorders>
              <w:left w:val="nil"/>
              <w:right w:val="nil"/>
            </w:tcBorders>
          </w:tcPr>
          <w:p w14:paraId="7A4FC431" w14:textId="77777777" w:rsidR="00FA14FE" w:rsidRPr="00DE13EE" w:rsidRDefault="00FA14FE" w:rsidP="009D0993">
            <w:pPr>
              <w:rPr>
                <w:rFonts w:ascii="Times New Roman" w:hAnsi="Times New Roman" w:cs="Times New Roman"/>
                <w:b/>
                <w:bCs/>
                <w:color w:val="000000" w:themeColor="text1"/>
                <w:sz w:val="20"/>
                <w:szCs w:val="20"/>
              </w:rPr>
            </w:pPr>
            <w:r w:rsidRPr="00DE13EE">
              <w:rPr>
                <w:rFonts w:ascii="Times New Roman" w:hAnsi="Times New Roman" w:cs="Times New Roman"/>
                <w:b/>
                <w:bCs/>
                <w:color w:val="000000" w:themeColor="text1"/>
                <w:sz w:val="20"/>
                <w:szCs w:val="20"/>
              </w:rPr>
              <w:t xml:space="preserve">Random-effect Model (2) </w:t>
            </w:r>
          </w:p>
          <w:p w14:paraId="61267765" w14:textId="77777777" w:rsidR="00FA14FE" w:rsidRPr="00DE13EE" w:rsidRDefault="00FA14FE" w:rsidP="009D0993">
            <w:pPr>
              <w:rPr>
                <w:rFonts w:ascii="Times New Roman" w:hAnsi="Times New Roman" w:cs="Times New Roman"/>
                <w:b/>
                <w:bCs/>
                <w:color w:val="000000" w:themeColor="text1"/>
                <w:sz w:val="20"/>
                <w:szCs w:val="20"/>
              </w:rPr>
            </w:pPr>
          </w:p>
        </w:tc>
      </w:tr>
      <w:tr w:rsidR="00DE13EE" w:rsidRPr="00DE13EE" w14:paraId="4E7DB5E6" w14:textId="77777777" w:rsidTr="009D0993">
        <w:trPr>
          <w:trHeight w:val="398"/>
          <w:jc w:val="center"/>
        </w:trPr>
        <w:tc>
          <w:tcPr>
            <w:tcW w:w="2319" w:type="dxa"/>
            <w:tcBorders>
              <w:left w:val="nil"/>
              <w:bottom w:val="single" w:sz="4" w:space="0" w:color="auto"/>
              <w:right w:val="nil"/>
            </w:tcBorders>
          </w:tcPr>
          <w:p w14:paraId="169076BB" w14:textId="77777777" w:rsidR="00FA14FE" w:rsidRPr="00DE13EE" w:rsidRDefault="00FA14FE" w:rsidP="009D0993">
            <w:pPr>
              <w:rPr>
                <w:rFonts w:ascii="Times New Roman" w:hAnsi="Times New Roman" w:cs="Times New Roman"/>
                <w:b/>
                <w:bCs/>
                <w:color w:val="000000" w:themeColor="text1"/>
                <w:sz w:val="20"/>
                <w:szCs w:val="20"/>
              </w:rPr>
            </w:pPr>
          </w:p>
        </w:tc>
        <w:tc>
          <w:tcPr>
            <w:tcW w:w="1234" w:type="dxa"/>
            <w:tcBorders>
              <w:left w:val="nil"/>
              <w:bottom w:val="single" w:sz="4" w:space="0" w:color="auto"/>
              <w:right w:val="nil"/>
            </w:tcBorders>
            <w:vAlign w:val="center"/>
            <w:hideMark/>
          </w:tcPr>
          <w:p w14:paraId="3F2797DC" w14:textId="77777777" w:rsidR="00FA14FE" w:rsidRPr="00DE13EE" w:rsidRDefault="00FA14FE" w:rsidP="009D0993">
            <w:pPr>
              <w:rPr>
                <w:rFonts w:ascii="Times New Roman" w:hAnsi="Times New Roman" w:cs="Times New Roman"/>
                <w:b/>
                <w:bCs/>
                <w:color w:val="000000" w:themeColor="text1"/>
                <w:sz w:val="20"/>
                <w:szCs w:val="20"/>
              </w:rPr>
            </w:pPr>
            <w:r w:rsidRPr="00DE13EE">
              <w:rPr>
                <w:rFonts w:ascii="Times New Roman" w:hAnsi="Times New Roman" w:cs="Times New Roman"/>
                <w:b/>
                <w:bCs/>
                <w:color w:val="000000" w:themeColor="text1"/>
                <w:sz w:val="20"/>
                <w:szCs w:val="20"/>
              </w:rPr>
              <w:t>Indep. Variables</w:t>
            </w:r>
          </w:p>
          <w:p w14:paraId="6CF9A80A" w14:textId="77777777" w:rsidR="00FA14FE" w:rsidRPr="00DE13EE" w:rsidRDefault="00FA14FE" w:rsidP="009D0993">
            <w:pPr>
              <w:rPr>
                <w:rFonts w:ascii="Times New Roman" w:hAnsi="Times New Roman" w:cs="Times New Roman"/>
                <w:b/>
                <w:bCs/>
                <w:color w:val="000000" w:themeColor="text1"/>
                <w:sz w:val="20"/>
                <w:szCs w:val="20"/>
              </w:rPr>
            </w:pPr>
          </w:p>
        </w:tc>
        <w:tc>
          <w:tcPr>
            <w:tcW w:w="853" w:type="dxa"/>
            <w:tcBorders>
              <w:left w:val="nil"/>
              <w:bottom w:val="single" w:sz="4" w:space="0" w:color="auto"/>
              <w:right w:val="nil"/>
            </w:tcBorders>
            <w:vAlign w:val="center"/>
            <w:hideMark/>
          </w:tcPr>
          <w:p w14:paraId="40B06EA9" w14:textId="77777777" w:rsidR="00FA14FE" w:rsidRPr="00DE13EE" w:rsidRDefault="00FA14FE" w:rsidP="009D0993">
            <w:pPr>
              <w:rPr>
                <w:rFonts w:ascii="Times New Roman" w:hAnsi="Times New Roman" w:cs="Times New Roman"/>
                <w:b/>
                <w:bCs/>
                <w:color w:val="000000" w:themeColor="text1"/>
                <w:sz w:val="20"/>
                <w:szCs w:val="20"/>
              </w:rPr>
            </w:pPr>
            <w:r w:rsidRPr="00DE13EE">
              <w:rPr>
                <w:rFonts w:ascii="Times New Roman" w:hAnsi="Times New Roman" w:cs="Times New Roman"/>
                <w:b/>
                <w:bCs/>
                <w:color w:val="000000" w:themeColor="text1"/>
                <w:sz w:val="20"/>
                <w:szCs w:val="20"/>
              </w:rPr>
              <w:t>Pred.</w:t>
            </w:r>
            <w:r w:rsidRPr="00DE13EE">
              <w:rPr>
                <w:rFonts w:ascii="Times New Roman" w:hAnsi="Times New Roman" w:cs="Times New Roman"/>
                <w:b/>
                <w:bCs/>
                <w:color w:val="000000" w:themeColor="text1"/>
                <w:sz w:val="20"/>
                <w:szCs w:val="20"/>
              </w:rPr>
              <w:br/>
              <w:t>Sign</w:t>
            </w:r>
          </w:p>
          <w:p w14:paraId="4B9219F1" w14:textId="77777777" w:rsidR="00FA14FE" w:rsidRPr="00DE13EE" w:rsidRDefault="00FA14FE" w:rsidP="009D0993">
            <w:pPr>
              <w:rPr>
                <w:rFonts w:ascii="Times New Roman" w:hAnsi="Times New Roman" w:cs="Times New Roman"/>
                <w:b/>
                <w:bCs/>
                <w:color w:val="000000" w:themeColor="text1"/>
                <w:sz w:val="20"/>
                <w:szCs w:val="20"/>
              </w:rPr>
            </w:pPr>
          </w:p>
        </w:tc>
        <w:tc>
          <w:tcPr>
            <w:tcW w:w="1562" w:type="dxa"/>
            <w:tcBorders>
              <w:left w:val="nil"/>
              <w:bottom w:val="single" w:sz="4" w:space="0" w:color="auto"/>
              <w:right w:val="nil"/>
            </w:tcBorders>
            <w:vAlign w:val="center"/>
          </w:tcPr>
          <w:p w14:paraId="3EFA1681" w14:textId="77777777" w:rsidR="00FA14FE" w:rsidRPr="00DE13EE" w:rsidRDefault="00FA14FE" w:rsidP="009D0993">
            <w:pPr>
              <w:rPr>
                <w:rFonts w:ascii="Times New Roman" w:hAnsi="Times New Roman" w:cs="Times New Roman"/>
                <w:b/>
                <w:bCs/>
                <w:color w:val="000000" w:themeColor="text1"/>
                <w:sz w:val="20"/>
                <w:szCs w:val="20"/>
              </w:rPr>
            </w:pPr>
            <w:r w:rsidRPr="00DE13EE">
              <w:rPr>
                <w:rFonts w:ascii="Times New Roman" w:hAnsi="Times New Roman" w:cs="Times New Roman"/>
                <w:b/>
                <w:bCs/>
                <w:color w:val="000000" w:themeColor="text1"/>
                <w:sz w:val="20"/>
                <w:szCs w:val="20"/>
              </w:rPr>
              <w:t>Coefficient</w:t>
            </w:r>
          </w:p>
          <w:p w14:paraId="1B3E388B" w14:textId="77777777" w:rsidR="00FA14FE" w:rsidRPr="00DE13EE" w:rsidRDefault="00FA14FE" w:rsidP="009D0993">
            <w:pPr>
              <w:rPr>
                <w:rFonts w:ascii="Times New Roman" w:hAnsi="Times New Roman" w:cs="Times New Roman"/>
                <w:b/>
                <w:bCs/>
                <w:color w:val="000000" w:themeColor="text1"/>
                <w:sz w:val="20"/>
                <w:szCs w:val="20"/>
              </w:rPr>
            </w:pPr>
            <w:r w:rsidRPr="00DE13EE">
              <w:rPr>
                <w:rFonts w:ascii="Times New Roman" w:hAnsi="Times New Roman" w:cs="Times New Roman"/>
                <w:b/>
                <w:bCs/>
                <w:color w:val="000000" w:themeColor="text1"/>
                <w:sz w:val="20"/>
                <w:szCs w:val="20"/>
              </w:rPr>
              <w:t>(t-statistic)</w:t>
            </w:r>
          </w:p>
          <w:p w14:paraId="3D0BF2A1" w14:textId="77777777" w:rsidR="00FA14FE" w:rsidRPr="00DE13EE" w:rsidRDefault="00FA14FE" w:rsidP="009D0993">
            <w:pPr>
              <w:rPr>
                <w:rFonts w:ascii="Times New Roman" w:hAnsi="Times New Roman" w:cs="Times New Roman"/>
                <w:b/>
                <w:bCs/>
                <w:color w:val="000000" w:themeColor="text1"/>
                <w:sz w:val="20"/>
                <w:szCs w:val="20"/>
              </w:rPr>
            </w:pPr>
          </w:p>
        </w:tc>
        <w:tc>
          <w:tcPr>
            <w:tcW w:w="1989" w:type="dxa"/>
            <w:tcBorders>
              <w:left w:val="nil"/>
              <w:bottom w:val="single" w:sz="4" w:space="0" w:color="auto"/>
              <w:right w:val="nil"/>
            </w:tcBorders>
          </w:tcPr>
          <w:p w14:paraId="0E67E4EE" w14:textId="77777777" w:rsidR="00FA14FE" w:rsidRPr="00DE13EE" w:rsidRDefault="00FA14FE" w:rsidP="009D0993">
            <w:pPr>
              <w:rPr>
                <w:rFonts w:ascii="Times New Roman" w:hAnsi="Times New Roman" w:cs="Times New Roman"/>
                <w:b/>
                <w:bCs/>
                <w:color w:val="000000" w:themeColor="text1"/>
                <w:sz w:val="20"/>
                <w:szCs w:val="20"/>
              </w:rPr>
            </w:pPr>
            <w:r w:rsidRPr="00DE13EE">
              <w:rPr>
                <w:rFonts w:ascii="Times New Roman" w:hAnsi="Times New Roman" w:cs="Times New Roman"/>
                <w:b/>
                <w:bCs/>
                <w:color w:val="000000" w:themeColor="text1"/>
                <w:sz w:val="20"/>
                <w:szCs w:val="20"/>
              </w:rPr>
              <w:t>Coefficient</w:t>
            </w:r>
          </w:p>
          <w:p w14:paraId="42C63B27" w14:textId="77777777" w:rsidR="00FA14FE" w:rsidRPr="00DE13EE" w:rsidRDefault="00FA14FE" w:rsidP="009D0993">
            <w:pPr>
              <w:rPr>
                <w:rFonts w:ascii="Times New Roman" w:hAnsi="Times New Roman" w:cs="Times New Roman"/>
                <w:b/>
                <w:bCs/>
                <w:color w:val="000000" w:themeColor="text1"/>
                <w:sz w:val="20"/>
                <w:szCs w:val="20"/>
              </w:rPr>
            </w:pPr>
            <w:r w:rsidRPr="00DE13EE">
              <w:rPr>
                <w:rFonts w:ascii="Times New Roman" w:hAnsi="Times New Roman" w:cs="Times New Roman"/>
                <w:b/>
                <w:bCs/>
                <w:color w:val="000000" w:themeColor="text1"/>
                <w:sz w:val="20"/>
                <w:szCs w:val="20"/>
              </w:rPr>
              <w:t>(z-statistic)</w:t>
            </w:r>
          </w:p>
          <w:p w14:paraId="49D825F4" w14:textId="77777777" w:rsidR="00FA14FE" w:rsidRPr="00DE13EE" w:rsidRDefault="00FA14FE" w:rsidP="009D0993">
            <w:pPr>
              <w:rPr>
                <w:rFonts w:ascii="Times New Roman" w:hAnsi="Times New Roman" w:cs="Times New Roman"/>
                <w:b/>
                <w:bCs/>
                <w:color w:val="000000" w:themeColor="text1"/>
                <w:sz w:val="20"/>
                <w:szCs w:val="20"/>
              </w:rPr>
            </w:pPr>
          </w:p>
        </w:tc>
        <w:tc>
          <w:tcPr>
            <w:tcW w:w="1472" w:type="dxa"/>
            <w:tcBorders>
              <w:left w:val="nil"/>
              <w:bottom w:val="single" w:sz="4" w:space="0" w:color="auto"/>
              <w:right w:val="nil"/>
            </w:tcBorders>
            <w:vAlign w:val="center"/>
          </w:tcPr>
          <w:p w14:paraId="0434D2DE" w14:textId="77777777" w:rsidR="00FA14FE" w:rsidRPr="00DE13EE" w:rsidRDefault="00FA14FE" w:rsidP="009D0993">
            <w:pPr>
              <w:rPr>
                <w:rFonts w:ascii="Times New Roman" w:hAnsi="Times New Roman" w:cs="Times New Roman"/>
                <w:b/>
                <w:bCs/>
                <w:color w:val="000000" w:themeColor="text1"/>
                <w:sz w:val="20"/>
                <w:szCs w:val="20"/>
              </w:rPr>
            </w:pPr>
            <w:r w:rsidRPr="00DE13EE">
              <w:rPr>
                <w:rFonts w:ascii="Times New Roman" w:hAnsi="Times New Roman" w:cs="Times New Roman"/>
                <w:b/>
                <w:bCs/>
                <w:color w:val="000000" w:themeColor="text1"/>
                <w:sz w:val="20"/>
                <w:szCs w:val="20"/>
              </w:rPr>
              <w:t>Coefficient</w:t>
            </w:r>
          </w:p>
          <w:p w14:paraId="798A3E3A" w14:textId="77777777" w:rsidR="00FA14FE" w:rsidRPr="00DE13EE" w:rsidRDefault="00FA14FE" w:rsidP="009D0993">
            <w:pPr>
              <w:rPr>
                <w:rFonts w:ascii="Times New Roman" w:hAnsi="Times New Roman" w:cs="Times New Roman"/>
                <w:b/>
                <w:bCs/>
                <w:color w:val="000000" w:themeColor="text1"/>
                <w:sz w:val="20"/>
                <w:szCs w:val="20"/>
              </w:rPr>
            </w:pPr>
            <w:r w:rsidRPr="00DE13EE">
              <w:rPr>
                <w:rFonts w:ascii="Times New Roman" w:hAnsi="Times New Roman" w:cs="Times New Roman"/>
                <w:b/>
                <w:bCs/>
                <w:color w:val="000000" w:themeColor="text1"/>
                <w:sz w:val="20"/>
                <w:szCs w:val="20"/>
              </w:rPr>
              <w:t>(t-statistic)</w:t>
            </w:r>
          </w:p>
          <w:p w14:paraId="47821E06" w14:textId="77777777" w:rsidR="00FA14FE" w:rsidRPr="00DE13EE" w:rsidRDefault="00FA14FE" w:rsidP="009D0993">
            <w:pPr>
              <w:rPr>
                <w:rFonts w:ascii="Times New Roman" w:hAnsi="Times New Roman" w:cs="Times New Roman"/>
                <w:b/>
                <w:bCs/>
                <w:color w:val="000000" w:themeColor="text1"/>
                <w:sz w:val="20"/>
                <w:szCs w:val="20"/>
              </w:rPr>
            </w:pPr>
          </w:p>
        </w:tc>
        <w:tc>
          <w:tcPr>
            <w:tcW w:w="1979" w:type="dxa"/>
            <w:tcBorders>
              <w:left w:val="nil"/>
              <w:bottom w:val="single" w:sz="4" w:space="0" w:color="auto"/>
              <w:right w:val="nil"/>
            </w:tcBorders>
          </w:tcPr>
          <w:p w14:paraId="65C695D5" w14:textId="77777777" w:rsidR="00FA14FE" w:rsidRPr="00DE13EE" w:rsidRDefault="00FA14FE" w:rsidP="009D0993">
            <w:pPr>
              <w:rPr>
                <w:rFonts w:ascii="Times New Roman" w:hAnsi="Times New Roman" w:cs="Times New Roman"/>
                <w:b/>
                <w:bCs/>
                <w:color w:val="000000" w:themeColor="text1"/>
                <w:sz w:val="20"/>
                <w:szCs w:val="20"/>
              </w:rPr>
            </w:pPr>
            <w:r w:rsidRPr="00DE13EE">
              <w:rPr>
                <w:rFonts w:ascii="Times New Roman" w:hAnsi="Times New Roman" w:cs="Times New Roman"/>
                <w:b/>
                <w:bCs/>
                <w:color w:val="000000" w:themeColor="text1"/>
                <w:sz w:val="20"/>
                <w:szCs w:val="20"/>
              </w:rPr>
              <w:t>Coefficient</w:t>
            </w:r>
          </w:p>
          <w:p w14:paraId="0E6EFB6D" w14:textId="77777777" w:rsidR="00FA14FE" w:rsidRPr="00DE13EE" w:rsidRDefault="00FA14FE" w:rsidP="009D0993">
            <w:pPr>
              <w:rPr>
                <w:rFonts w:ascii="Times New Roman" w:hAnsi="Times New Roman" w:cs="Times New Roman"/>
                <w:b/>
                <w:bCs/>
                <w:color w:val="000000" w:themeColor="text1"/>
                <w:sz w:val="20"/>
                <w:szCs w:val="20"/>
              </w:rPr>
            </w:pPr>
            <w:r w:rsidRPr="00DE13EE">
              <w:rPr>
                <w:rFonts w:ascii="Times New Roman" w:hAnsi="Times New Roman" w:cs="Times New Roman"/>
                <w:b/>
                <w:bCs/>
                <w:color w:val="000000" w:themeColor="text1"/>
                <w:sz w:val="20"/>
                <w:szCs w:val="20"/>
              </w:rPr>
              <w:t>(z-statistic)</w:t>
            </w:r>
          </w:p>
          <w:p w14:paraId="52B03F6A" w14:textId="77777777" w:rsidR="00FA14FE" w:rsidRPr="00DE13EE" w:rsidRDefault="00FA14FE" w:rsidP="009D0993">
            <w:pPr>
              <w:rPr>
                <w:rFonts w:ascii="Times New Roman" w:hAnsi="Times New Roman" w:cs="Times New Roman"/>
                <w:b/>
                <w:bCs/>
                <w:color w:val="000000" w:themeColor="text1"/>
                <w:sz w:val="20"/>
                <w:szCs w:val="20"/>
              </w:rPr>
            </w:pPr>
          </w:p>
        </w:tc>
      </w:tr>
      <w:tr w:rsidR="00DE13EE" w:rsidRPr="00DE13EE" w14:paraId="4225879F" w14:textId="77777777" w:rsidTr="009D0993">
        <w:trPr>
          <w:trHeight w:val="284"/>
          <w:jc w:val="center"/>
        </w:trPr>
        <w:tc>
          <w:tcPr>
            <w:tcW w:w="2319" w:type="dxa"/>
            <w:tcBorders>
              <w:left w:val="nil"/>
              <w:bottom w:val="nil"/>
              <w:right w:val="nil"/>
            </w:tcBorders>
            <w:vAlign w:val="center"/>
            <w:hideMark/>
          </w:tcPr>
          <w:p w14:paraId="47B82414"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Intercept</w:t>
            </w:r>
          </w:p>
        </w:tc>
        <w:tc>
          <w:tcPr>
            <w:tcW w:w="1234" w:type="dxa"/>
            <w:tcBorders>
              <w:left w:val="nil"/>
              <w:bottom w:val="nil"/>
              <w:right w:val="nil"/>
            </w:tcBorders>
            <w:vAlign w:val="center"/>
          </w:tcPr>
          <w:p w14:paraId="7E4CDFD7" w14:textId="77777777" w:rsidR="00FA14FE" w:rsidRPr="00DE13EE" w:rsidRDefault="00FA14FE" w:rsidP="009D0993">
            <w:pPr>
              <w:spacing w:line="276" w:lineRule="auto"/>
              <w:jc w:val="center"/>
              <w:rPr>
                <w:rFonts w:ascii="Times New Roman" w:hAnsi="Times New Roman" w:cs="Times New Roman"/>
                <w:color w:val="000000" w:themeColor="text1"/>
                <w:sz w:val="20"/>
                <w:szCs w:val="20"/>
              </w:rPr>
            </w:pPr>
          </w:p>
        </w:tc>
        <w:tc>
          <w:tcPr>
            <w:tcW w:w="853" w:type="dxa"/>
            <w:tcBorders>
              <w:left w:val="nil"/>
              <w:bottom w:val="nil"/>
              <w:right w:val="nil"/>
            </w:tcBorders>
            <w:vAlign w:val="center"/>
          </w:tcPr>
          <w:p w14:paraId="66342D5E" w14:textId="77777777" w:rsidR="00FA14FE" w:rsidRPr="00DE13EE" w:rsidRDefault="00FA14FE" w:rsidP="009D0993">
            <w:pPr>
              <w:spacing w:line="276" w:lineRule="auto"/>
              <w:jc w:val="center"/>
              <w:rPr>
                <w:rFonts w:ascii="Times New Roman" w:hAnsi="Times New Roman" w:cs="Times New Roman"/>
                <w:color w:val="000000" w:themeColor="text1"/>
                <w:sz w:val="20"/>
                <w:szCs w:val="20"/>
              </w:rPr>
            </w:pPr>
          </w:p>
        </w:tc>
        <w:tc>
          <w:tcPr>
            <w:tcW w:w="1562" w:type="dxa"/>
            <w:tcBorders>
              <w:left w:val="nil"/>
              <w:bottom w:val="nil"/>
              <w:right w:val="nil"/>
            </w:tcBorders>
          </w:tcPr>
          <w:p w14:paraId="7ABD6F7F"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-1.616***</w:t>
            </w:r>
          </w:p>
          <w:p w14:paraId="506B611C"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(-3.75)</w:t>
            </w:r>
          </w:p>
        </w:tc>
        <w:tc>
          <w:tcPr>
            <w:tcW w:w="1989" w:type="dxa"/>
            <w:tcBorders>
              <w:left w:val="nil"/>
              <w:bottom w:val="nil"/>
              <w:right w:val="nil"/>
            </w:tcBorders>
          </w:tcPr>
          <w:p w14:paraId="42794052"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-1.426*</w:t>
            </w:r>
          </w:p>
          <w:p w14:paraId="40A558C4"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(-1.74)</w:t>
            </w:r>
          </w:p>
        </w:tc>
        <w:tc>
          <w:tcPr>
            <w:tcW w:w="1472" w:type="dxa"/>
            <w:tcBorders>
              <w:left w:val="nil"/>
              <w:bottom w:val="nil"/>
              <w:right w:val="nil"/>
            </w:tcBorders>
          </w:tcPr>
          <w:p w14:paraId="224B1BEA"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-13.886***</w:t>
            </w:r>
          </w:p>
          <w:p w14:paraId="367AA924"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(-2.84)</w:t>
            </w:r>
          </w:p>
        </w:tc>
        <w:tc>
          <w:tcPr>
            <w:tcW w:w="1979" w:type="dxa"/>
            <w:tcBorders>
              <w:left w:val="nil"/>
              <w:bottom w:val="nil"/>
              <w:right w:val="nil"/>
            </w:tcBorders>
          </w:tcPr>
          <w:p w14:paraId="1AB78859"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10.093**</w:t>
            </w:r>
          </w:p>
          <w:p w14:paraId="0DF66FA3"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(-2.08)</w:t>
            </w:r>
          </w:p>
        </w:tc>
      </w:tr>
      <w:tr w:rsidR="00DE13EE" w:rsidRPr="00DE13EE" w14:paraId="4E3322B4" w14:textId="77777777" w:rsidTr="009D0993">
        <w:trPr>
          <w:trHeight w:val="554"/>
          <w:jc w:val="center"/>
        </w:trPr>
        <w:tc>
          <w:tcPr>
            <w:tcW w:w="2319" w:type="dxa"/>
            <w:tcBorders>
              <w:top w:val="nil"/>
              <w:left w:val="nil"/>
              <w:bottom w:val="nil"/>
              <w:right w:val="nil"/>
            </w:tcBorders>
            <w:vAlign w:val="center"/>
          </w:tcPr>
          <w:p w14:paraId="34D0BC93"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 xml:space="preserve">Forward-looking disclosure </w:t>
            </w:r>
          </w:p>
        </w:tc>
        <w:tc>
          <w:tcPr>
            <w:tcW w:w="1234" w:type="dxa"/>
            <w:tcBorders>
              <w:top w:val="nil"/>
              <w:left w:val="nil"/>
              <w:bottom w:val="nil"/>
              <w:right w:val="nil"/>
            </w:tcBorders>
            <w:vAlign w:val="center"/>
          </w:tcPr>
          <w:p w14:paraId="46DF16C3"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FLD</w:t>
            </w:r>
          </w:p>
        </w:tc>
        <w:tc>
          <w:tcPr>
            <w:tcW w:w="853" w:type="dxa"/>
            <w:tcBorders>
              <w:top w:val="nil"/>
              <w:left w:val="nil"/>
              <w:bottom w:val="nil"/>
              <w:right w:val="nil"/>
            </w:tcBorders>
            <w:vAlign w:val="center"/>
          </w:tcPr>
          <w:p w14:paraId="77791BFD" w14:textId="77777777" w:rsidR="00FA14FE" w:rsidRPr="00DE13EE" w:rsidRDefault="00FA14FE" w:rsidP="009D0993">
            <w:pPr>
              <w:spacing w:line="276" w:lineRule="auto"/>
              <w:rPr>
                <w:rFonts w:ascii="Times New Roman" w:hAnsi="Times New Roman" w:cs="Times New Roman"/>
                <w:bCs/>
                <w:color w:val="000000" w:themeColor="text1"/>
                <w:sz w:val="20"/>
                <w:szCs w:val="20"/>
              </w:rPr>
            </w:pPr>
            <w:r w:rsidRPr="00DE13EE">
              <w:rPr>
                <w:rFonts w:ascii="Times New Roman" w:hAnsi="Times New Roman" w:cs="Times New Roman"/>
                <w:bCs/>
                <w:color w:val="000000" w:themeColor="text1"/>
                <w:sz w:val="20"/>
                <w:szCs w:val="20"/>
              </w:rPr>
              <w:t>(+)</w:t>
            </w:r>
          </w:p>
        </w:tc>
        <w:tc>
          <w:tcPr>
            <w:tcW w:w="1562" w:type="dxa"/>
            <w:tcBorders>
              <w:top w:val="nil"/>
              <w:left w:val="nil"/>
              <w:bottom w:val="nil"/>
              <w:right w:val="nil"/>
            </w:tcBorders>
          </w:tcPr>
          <w:p w14:paraId="7C33C15A"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.484***</w:t>
            </w:r>
          </w:p>
          <w:p w14:paraId="688D910E"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 xml:space="preserve">(5.10) </w:t>
            </w:r>
          </w:p>
        </w:tc>
        <w:tc>
          <w:tcPr>
            <w:tcW w:w="1989" w:type="dxa"/>
            <w:tcBorders>
              <w:top w:val="nil"/>
              <w:left w:val="nil"/>
              <w:bottom w:val="nil"/>
              <w:right w:val="nil"/>
            </w:tcBorders>
          </w:tcPr>
          <w:p w14:paraId="1A02AD91"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.602***</w:t>
            </w:r>
          </w:p>
          <w:p w14:paraId="73C9413B"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 xml:space="preserve">(4.49) </w:t>
            </w:r>
          </w:p>
        </w:tc>
        <w:tc>
          <w:tcPr>
            <w:tcW w:w="1472" w:type="dxa"/>
            <w:tcBorders>
              <w:top w:val="nil"/>
              <w:left w:val="nil"/>
              <w:bottom w:val="nil"/>
              <w:right w:val="nil"/>
            </w:tcBorders>
          </w:tcPr>
          <w:p w14:paraId="0AD85F0F"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.816</w:t>
            </w:r>
          </w:p>
          <w:p w14:paraId="29C38836"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(0.95)</w:t>
            </w:r>
            <w:r w:rsidRPr="00DE13EE" w:rsidDel="003706CB">
              <w:rPr>
                <w:rFonts w:ascii="Times New Roman" w:hAnsi="Times New Roman" w:cs="Times New Roman"/>
                <w:color w:val="000000" w:themeColor="text1"/>
                <w:sz w:val="20"/>
                <w:szCs w:val="20"/>
              </w:rPr>
              <w:t xml:space="preserve"> </w:t>
            </w:r>
          </w:p>
        </w:tc>
        <w:tc>
          <w:tcPr>
            <w:tcW w:w="1979" w:type="dxa"/>
            <w:tcBorders>
              <w:top w:val="nil"/>
              <w:left w:val="nil"/>
              <w:bottom w:val="nil"/>
              <w:right w:val="nil"/>
            </w:tcBorders>
          </w:tcPr>
          <w:p w14:paraId="4D4D3737"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.539</w:t>
            </w:r>
          </w:p>
          <w:p w14:paraId="264C0A48"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 xml:space="preserve"> (1.06)</w:t>
            </w:r>
          </w:p>
        </w:tc>
      </w:tr>
      <w:tr w:rsidR="00DE13EE" w:rsidRPr="00DE13EE" w14:paraId="30AE2BF4" w14:textId="77777777" w:rsidTr="009D0993">
        <w:trPr>
          <w:trHeight w:val="425"/>
          <w:jc w:val="center"/>
        </w:trPr>
        <w:tc>
          <w:tcPr>
            <w:tcW w:w="2319" w:type="dxa"/>
            <w:tcBorders>
              <w:top w:val="nil"/>
              <w:left w:val="nil"/>
              <w:bottom w:val="nil"/>
              <w:right w:val="nil"/>
            </w:tcBorders>
            <w:vAlign w:val="center"/>
          </w:tcPr>
          <w:p w14:paraId="1AC73639"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 xml:space="preserve">Firm size </w:t>
            </w:r>
          </w:p>
        </w:tc>
        <w:tc>
          <w:tcPr>
            <w:tcW w:w="1234" w:type="dxa"/>
            <w:tcBorders>
              <w:top w:val="nil"/>
              <w:left w:val="nil"/>
              <w:bottom w:val="nil"/>
              <w:right w:val="nil"/>
            </w:tcBorders>
            <w:vAlign w:val="center"/>
          </w:tcPr>
          <w:p w14:paraId="6777F296"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LnMK</w:t>
            </w:r>
          </w:p>
        </w:tc>
        <w:tc>
          <w:tcPr>
            <w:tcW w:w="853" w:type="dxa"/>
            <w:tcBorders>
              <w:top w:val="nil"/>
              <w:left w:val="nil"/>
              <w:bottom w:val="nil"/>
              <w:right w:val="nil"/>
            </w:tcBorders>
            <w:vAlign w:val="center"/>
          </w:tcPr>
          <w:p w14:paraId="7FA24213" w14:textId="77777777" w:rsidR="00FA14FE" w:rsidRPr="00DE13EE" w:rsidRDefault="00FA14FE" w:rsidP="009D0993">
            <w:pPr>
              <w:spacing w:line="276" w:lineRule="auto"/>
              <w:rPr>
                <w:rFonts w:ascii="Times New Roman" w:hAnsi="Times New Roman" w:cs="Times New Roman"/>
                <w:bCs/>
                <w:color w:val="000000" w:themeColor="text1"/>
                <w:sz w:val="20"/>
                <w:szCs w:val="20"/>
              </w:rPr>
            </w:pPr>
            <w:r w:rsidRPr="00DE13EE">
              <w:rPr>
                <w:rFonts w:ascii="Times New Roman" w:hAnsi="Times New Roman" w:cs="Times New Roman"/>
                <w:bCs/>
                <w:color w:val="000000" w:themeColor="text1"/>
                <w:sz w:val="20"/>
                <w:szCs w:val="20"/>
              </w:rPr>
              <w:t>(?)</w:t>
            </w:r>
          </w:p>
        </w:tc>
        <w:tc>
          <w:tcPr>
            <w:tcW w:w="1562" w:type="dxa"/>
            <w:tcBorders>
              <w:top w:val="nil"/>
              <w:left w:val="nil"/>
              <w:bottom w:val="nil"/>
              <w:right w:val="nil"/>
            </w:tcBorders>
          </w:tcPr>
          <w:p w14:paraId="0ECDCE16"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.102***</w:t>
            </w:r>
          </w:p>
          <w:p w14:paraId="0867ED26"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(5.34)</w:t>
            </w:r>
          </w:p>
        </w:tc>
        <w:tc>
          <w:tcPr>
            <w:tcW w:w="1989" w:type="dxa"/>
            <w:tcBorders>
              <w:top w:val="nil"/>
              <w:left w:val="nil"/>
              <w:bottom w:val="nil"/>
              <w:right w:val="nil"/>
            </w:tcBorders>
          </w:tcPr>
          <w:p w14:paraId="16018567"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.110***</w:t>
            </w:r>
          </w:p>
          <w:p w14:paraId="5367758B"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(3.60)</w:t>
            </w:r>
          </w:p>
        </w:tc>
        <w:tc>
          <w:tcPr>
            <w:tcW w:w="1472" w:type="dxa"/>
            <w:tcBorders>
              <w:top w:val="nil"/>
              <w:left w:val="nil"/>
              <w:bottom w:val="nil"/>
              <w:right w:val="nil"/>
            </w:tcBorders>
          </w:tcPr>
          <w:p w14:paraId="43152705"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.491*</w:t>
            </w:r>
          </w:p>
          <w:p w14:paraId="1D86B646"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(1.78)</w:t>
            </w:r>
          </w:p>
        </w:tc>
        <w:tc>
          <w:tcPr>
            <w:tcW w:w="1979" w:type="dxa"/>
            <w:tcBorders>
              <w:top w:val="nil"/>
              <w:left w:val="nil"/>
              <w:bottom w:val="nil"/>
              <w:right w:val="nil"/>
            </w:tcBorders>
          </w:tcPr>
          <w:p w14:paraId="540B4B88"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.431</w:t>
            </w:r>
          </w:p>
          <w:p w14:paraId="505D91C6"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(1.51)</w:t>
            </w:r>
          </w:p>
        </w:tc>
      </w:tr>
      <w:tr w:rsidR="00DE13EE" w:rsidRPr="00DE13EE" w14:paraId="1E97EE92" w14:textId="77777777" w:rsidTr="009D0993">
        <w:trPr>
          <w:trHeight w:val="425"/>
          <w:jc w:val="center"/>
        </w:trPr>
        <w:tc>
          <w:tcPr>
            <w:tcW w:w="2319" w:type="dxa"/>
            <w:tcBorders>
              <w:top w:val="nil"/>
              <w:left w:val="nil"/>
              <w:bottom w:val="nil"/>
              <w:right w:val="nil"/>
            </w:tcBorders>
            <w:vAlign w:val="center"/>
          </w:tcPr>
          <w:p w14:paraId="24D8ED02"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 xml:space="preserve">Firm dividend </w:t>
            </w:r>
          </w:p>
        </w:tc>
        <w:tc>
          <w:tcPr>
            <w:tcW w:w="1234" w:type="dxa"/>
            <w:tcBorders>
              <w:top w:val="nil"/>
              <w:left w:val="nil"/>
              <w:bottom w:val="nil"/>
              <w:right w:val="nil"/>
            </w:tcBorders>
            <w:vAlign w:val="center"/>
          </w:tcPr>
          <w:p w14:paraId="31093680"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DY</w:t>
            </w:r>
          </w:p>
        </w:tc>
        <w:tc>
          <w:tcPr>
            <w:tcW w:w="853" w:type="dxa"/>
            <w:tcBorders>
              <w:top w:val="nil"/>
              <w:left w:val="nil"/>
              <w:bottom w:val="nil"/>
              <w:right w:val="nil"/>
            </w:tcBorders>
            <w:vAlign w:val="center"/>
          </w:tcPr>
          <w:p w14:paraId="497C9EFF" w14:textId="77777777" w:rsidR="00FA14FE" w:rsidRPr="00DE13EE" w:rsidRDefault="00FA14FE" w:rsidP="009D0993">
            <w:pPr>
              <w:spacing w:line="276" w:lineRule="auto"/>
              <w:rPr>
                <w:rFonts w:ascii="Times New Roman" w:hAnsi="Times New Roman" w:cs="Times New Roman"/>
                <w:bCs/>
                <w:color w:val="000000" w:themeColor="text1"/>
                <w:sz w:val="20"/>
                <w:szCs w:val="20"/>
              </w:rPr>
            </w:pPr>
            <w:r w:rsidRPr="00DE13EE">
              <w:rPr>
                <w:rFonts w:ascii="Times New Roman" w:hAnsi="Times New Roman" w:cs="Times New Roman"/>
                <w:bCs/>
                <w:color w:val="000000" w:themeColor="text1"/>
                <w:sz w:val="20"/>
                <w:szCs w:val="20"/>
              </w:rPr>
              <w:t>(?)</w:t>
            </w:r>
          </w:p>
        </w:tc>
        <w:tc>
          <w:tcPr>
            <w:tcW w:w="1562" w:type="dxa"/>
            <w:tcBorders>
              <w:top w:val="nil"/>
              <w:left w:val="nil"/>
              <w:bottom w:val="nil"/>
              <w:right w:val="nil"/>
            </w:tcBorders>
          </w:tcPr>
          <w:p w14:paraId="4CEC75F3"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-.025**</w:t>
            </w:r>
          </w:p>
          <w:p w14:paraId="2675D8E6"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(-2.17)</w:t>
            </w:r>
          </w:p>
        </w:tc>
        <w:tc>
          <w:tcPr>
            <w:tcW w:w="1989" w:type="dxa"/>
            <w:tcBorders>
              <w:top w:val="nil"/>
              <w:left w:val="nil"/>
              <w:bottom w:val="nil"/>
              <w:right w:val="nil"/>
            </w:tcBorders>
          </w:tcPr>
          <w:p w14:paraId="120EBF6E"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-.007</w:t>
            </w:r>
          </w:p>
          <w:p w14:paraId="5AD2AA90"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(-1.05)</w:t>
            </w:r>
          </w:p>
        </w:tc>
        <w:tc>
          <w:tcPr>
            <w:tcW w:w="1472" w:type="dxa"/>
            <w:tcBorders>
              <w:top w:val="nil"/>
              <w:left w:val="nil"/>
              <w:bottom w:val="nil"/>
              <w:right w:val="nil"/>
            </w:tcBorders>
          </w:tcPr>
          <w:p w14:paraId="5EE63AB7"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-.317**</w:t>
            </w:r>
          </w:p>
          <w:p w14:paraId="4167679B"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(-2.23)</w:t>
            </w:r>
          </w:p>
        </w:tc>
        <w:tc>
          <w:tcPr>
            <w:tcW w:w="1979" w:type="dxa"/>
            <w:tcBorders>
              <w:top w:val="nil"/>
              <w:left w:val="nil"/>
              <w:bottom w:val="nil"/>
              <w:right w:val="nil"/>
            </w:tcBorders>
          </w:tcPr>
          <w:p w14:paraId="36FE7914"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-.304**</w:t>
            </w:r>
          </w:p>
          <w:p w14:paraId="5B77D0F3"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(-2.15)</w:t>
            </w:r>
          </w:p>
        </w:tc>
      </w:tr>
      <w:tr w:rsidR="00DE13EE" w:rsidRPr="00DE13EE" w14:paraId="0720A547" w14:textId="77777777" w:rsidTr="009D0993">
        <w:trPr>
          <w:trHeight w:val="418"/>
          <w:jc w:val="center"/>
        </w:trPr>
        <w:tc>
          <w:tcPr>
            <w:tcW w:w="2319" w:type="dxa"/>
            <w:tcBorders>
              <w:top w:val="nil"/>
              <w:left w:val="nil"/>
              <w:bottom w:val="nil"/>
              <w:right w:val="nil"/>
            </w:tcBorders>
            <w:vAlign w:val="center"/>
          </w:tcPr>
          <w:p w14:paraId="45A806EB"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 xml:space="preserve">Firm current earnings </w:t>
            </w:r>
          </w:p>
        </w:tc>
        <w:tc>
          <w:tcPr>
            <w:tcW w:w="1234" w:type="dxa"/>
            <w:tcBorders>
              <w:top w:val="nil"/>
              <w:left w:val="nil"/>
              <w:bottom w:val="nil"/>
              <w:right w:val="nil"/>
            </w:tcBorders>
            <w:vAlign w:val="center"/>
          </w:tcPr>
          <w:p w14:paraId="5A1E41D5"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ROA</w:t>
            </w:r>
          </w:p>
        </w:tc>
        <w:tc>
          <w:tcPr>
            <w:tcW w:w="853" w:type="dxa"/>
            <w:tcBorders>
              <w:top w:val="nil"/>
              <w:left w:val="nil"/>
              <w:bottom w:val="nil"/>
              <w:right w:val="nil"/>
            </w:tcBorders>
            <w:vAlign w:val="center"/>
          </w:tcPr>
          <w:p w14:paraId="55D067C3" w14:textId="77777777" w:rsidR="00FA14FE" w:rsidRPr="00DE13EE" w:rsidRDefault="00FA14FE" w:rsidP="009D0993">
            <w:pPr>
              <w:spacing w:line="276" w:lineRule="auto"/>
              <w:rPr>
                <w:rFonts w:ascii="Times New Roman" w:hAnsi="Times New Roman" w:cs="Times New Roman"/>
                <w:bCs/>
                <w:color w:val="000000" w:themeColor="text1"/>
                <w:sz w:val="20"/>
                <w:szCs w:val="20"/>
              </w:rPr>
            </w:pPr>
            <w:r w:rsidRPr="00DE13EE">
              <w:rPr>
                <w:rFonts w:ascii="Times New Roman" w:hAnsi="Times New Roman" w:cs="Times New Roman"/>
                <w:bCs/>
                <w:color w:val="000000" w:themeColor="text1"/>
                <w:sz w:val="20"/>
                <w:szCs w:val="20"/>
              </w:rPr>
              <w:t>(+)</w:t>
            </w:r>
          </w:p>
        </w:tc>
        <w:tc>
          <w:tcPr>
            <w:tcW w:w="1562" w:type="dxa"/>
            <w:tcBorders>
              <w:top w:val="nil"/>
              <w:left w:val="nil"/>
              <w:bottom w:val="nil"/>
              <w:right w:val="nil"/>
            </w:tcBorders>
          </w:tcPr>
          <w:p w14:paraId="37298672"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.006*</w:t>
            </w:r>
          </w:p>
          <w:p w14:paraId="4F179EC0"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(1.79)</w:t>
            </w:r>
          </w:p>
        </w:tc>
        <w:tc>
          <w:tcPr>
            <w:tcW w:w="1989" w:type="dxa"/>
            <w:tcBorders>
              <w:top w:val="nil"/>
              <w:left w:val="nil"/>
              <w:bottom w:val="nil"/>
              <w:right w:val="nil"/>
            </w:tcBorders>
          </w:tcPr>
          <w:p w14:paraId="583215B3"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.003</w:t>
            </w:r>
          </w:p>
          <w:p w14:paraId="147747BA"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(1.56)</w:t>
            </w:r>
          </w:p>
        </w:tc>
        <w:tc>
          <w:tcPr>
            <w:tcW w:w="1472" w:type="dxa"/>
            <w:tcBorders>
              <w:top w:val="nil"/>
              <w:left w:val="nil"/>
              <w:bottom w:val="nil"/>
              <w:right w:val="nil"/>
            </w:tcBorders>
          </w:tcPr>
          <w:p w14:paraId="3F0759ED"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-.115***</w:t>
            </w:r>
          </w:p>
          <w:p w14:paraId="1811AB26"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(-4.93)</w:t>
            </w:r>
          </w:p>
        </w:tc>
        <w:tc>
          <w:tcPr>
            <w:tcW w:w="1979" w:type="dxa"/>
            <w:tcBorders>
              <w:top w:val="nil"/>
              <w:left w:val="nil"/>
              <w:bottom w:val="nil"/>
              <w:right w:val="nil"/>
            </w:tcBorders>
          </w:tcPr>
          <w:p w14:paraId="78DF804E"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-.109***</w:t>
            </w:r>
          </w:p>
          <w:p w14:paraId="314A36AF"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(-4.79)</w:t>
            </w:r>
          </w:p>
        </w:tc>
      </w:tr>
      <w:tr w:rsidR="00DE13EE" w:rsidRPr="00DE13EE" w14:paraId="2FCB1805" w14:textId="77777777" w:rsidTr="009D0993">
        <w:trPr>
          <w:trHeight w:val="427"/>
          <w:jc w:val="center"/>
        </w:trPr>
        <w:tc>
          <w:tcPr>
            <w:tcW w:w="2319" w:type="dxa"/>
            <w:tcBorders>
              <w:top w:val="nil"/>
              <w:left w:val="nil"/>
              <w:bottom w:val="nil"/>
              <w:right w:val="nil"/>
            </w:tcBorders>
            <w:vAlign w:val="center"/>
          </w:tcPr>
          <w:p w14:paraId="0A715622"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 xml:space="preserve">Firm leverage </w:t>
            </w:r>
          </w:p>
        </w:tc>
        <w:tc>
          <w:tcPr>
            <w:tcW w:w="1234" w:type="dxa"/>
            <w:tcBorders>
              <w:top w:val="nil"/>
              <w:left w:val="nil"/>
              <w:bottom w:val="nil"/>
              <w:right w:val="nil"/>
            </w:tcBorders>
            <w:vAlign w:val="center"/>
          </w:tcPr>
          <w:p w14:paraId="390218D0"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Lev</w:t>
            </w:r>
          </w:p>
        </w:tc>
        <w:tc>
          <w:tcPr>
            <w:tcW w:w="853" w:type="dxa"/>
            <w:tcBorders>
              <w:top w:val="nil"/>
              <w:left w:val="nil"/>
              <w:bottom w:val="nil"/>
              <w:right w:val="nil"/>
            </w:tcBorders>
            <w:vAlign w:val="center"/>
          </w:tcPr>
          <w:p w14:paraId="207EC1D3" w14:textId="77777777" w:rsidR="00FA14FE" w:rsidRPr="00DE13EE" w:rsidRDefault="00FA14FE" w:rsidP="009D0993">
            <w:pPr>
              <w:spacing w:line="276" w:lineRule="auto"/>
              <w:rPr>
                <w:rFonts w:ascii="Times New Roman" w:hAnsi="Times New Roman" w:cs="Times New Roman"/>
                <w:bCs/>
                <w:color w:val="000000" w:themeColor="text1"/>
                <w:sz w:val="20"/>
                <w:szCs w:val="20"/>
              </w:rPr>
            </w:pPr>
            <w:r w:rsidRPr="00DE13EE">
              <w:rPr>
                <w:rFonts w:ascii="Times New Roman" w:hAnsi="Times New Roman" w:cs="Times New Roman"/>
                <w:bCs/>
                <w:color w:val="000000" w:themeColor="text1"/>
                <w:sz w:val="20"/>
                <w:szCs w:val="20"/>
              </w:rPr>
              <w:t>(−)</w:t>
            </w:r>
          </w:p>
        </w:tc>
        <w:tc>
          <w:tcPr>
            <w:tcW w:w="1562" w:type="dxa"/>
            <w:tcBorders>
              <w:top w:val="nil"/>
              <w:left w:val="nil"/>
              <w:bottom w:val="nil"/>
              <w:right w:val="nil"/>
            </w:tcBorders>
          </w:tcPr>
          <w:p w14:paraId="39DE8276"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-.005</w:t>
            </w:r>
          </w:p>
          <w:p w14:paraId="283FB54C"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(-0.29)</w:t>
            </w:r>
          </w:p>
        </w:tc>
        <w:tc>
          <w:tcPr>
            <w:tcW w:w="1989" w:type="dxa"/>
            <w:tcBorders>
              <w:top w:val="nil"/>
              <w:left w:val="nil"/>
              <w:bottom w:val="nil"/>
              <w:right w:val="nil"/>
            </w:tcBorders>
          </w:tcPr>
          <w:p w14:paraId="2F1AE294"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-.009</w:t>
            </w:r>
          </w:p>
          <w:p w14:paraId="3573038F"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(-0.45)</w:t>
            </w:r>
          </w:p>
        </w:tc>
        <w:tc>
          <w:tcPr>
            <w:tcW w:w="1472" w:type="dxa"/>
            <w:tcBorders>
              <w:top w:val="nil"/>
              <w:left w:val="nil"/>
              <w:bottom w:val="nil"/>
              <w:right w:val="nil"/>
            </w:tcBorders>
          </w:tcPr>
          <w:p w14:paraId="185C5CD8"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.113***</w:t>
            </w:r>
          </w:p>
          <w:p w14:paraId="2A62806B"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(66.70)</w:t>
            </w:r>
          </w:p>
        </w:tc>
        <w:tc>
          <w:tcPr>
            <w:tcW w:w="1979" w:type="dxa"/>
            <w:tcBorders>
              <w:top w:val="nil"/>
              <w:left w:val="nil"/>
              <w:bottom w:val="nil"/>
              <w:right w:val="nil"/>
            </w:tcBorders>
          </w:tcPr>
          <w:p w14:paraId="1FE55A52"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.111***</w:t>
            </w:r>
          </w:p>
          <w:p w14:paraId="3CC6C046"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(68.94)</w:t>
            </w:r>
          </w:p>
        </w:tc>
      </w:tr>
      <w:tr w:rsidR="00DE13EE" w:rsidRPr="00DE13EE" w14:paraId="53DAAA8E" w14:textId="77777777" w:rsidTr="009D0993">
        <w:trPr>
          <w:trHeight w:val="443"/>
          <w:jc w:val="center"/>
        </w:trPr>
        <w:tc>
          <w:tcPr>
            <w:tcW w:w="2319" w:type="dxa"/>
            <w:tcBorders>
              <w:top w:val="nil"/>
              <w:left w:val="nil"/>
              <w:bottom w:val="nil"/>
              <w:right w:val="nil"/>
            </w:tcBorders>
            <w:vAlign w:val="center"/>
          </w:tcPr>
          <w:p w14:paraId="1D654273"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 xml:space="preserve">Firm liquidity </w:t>
            </w:r>
          </w:p>
        </w:tc>
        <w:tc>
          <w:tcPr>
            <w:tcW w:w="1234" w:type="dxa"/>
            <w:tcBorders>
              <w:top w:val="nil"/>
              <w:left w:val="nil"/>
              <w:bottom w:val="nil"/>
              <w:right w:val="nil"/>
            </w:tcBorders>
            <w:vAlign w:val="center"/>
          </w:tcPr>
          <w:p w14:paraId="50B2E5F5"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CR</w:t>
            </w:r>
          </w:p>
        </w:tc>
        <w:tc>
          <w:tcPr>
            <w:tcW w:w="853" w:type="dxa"/>
            <w:tcBorders>
              <w:top w:val="nil"/>
              <w:left w:val="nil"/>
              <w:bottom w:val="nil"/>
              <w:right w:val="nil"/>
            </w:tcBorders>
            <w:vAlign w:val="center"/>
          </w:tcPr>
          <w:p w14:paraId="7A2CB9F9" w14:textId="77777777" w:rsidR="00FA14FE" w:rsidRPr="00DE13EE" w:rsidRDefault="00FA14FE" w:rsidP="009D0993">
            <w:pPr>
              <w:spacing w:line="276" w:lineRule="auto"/>
              <w:rPr>
                <w:rFonts w:ascii="Times New Roman" w:hAnsi="Times New Roman" w:cs="Times New Roman"/>
                <w:bCs/>
                <w:color w:val="000000" w:themeColor="text1"/>
                <w:sz w:val="20"/>
                <w:szCs w:val="20"/>
              </w:rPr>
            </w:pPr>
            <w:r w:rsidRPr="00DE13EE">
              <w:rPr>
                <w:rFonts w:ascii="Times New Roman" w:hAnsi="Times New Roman" w:cs="Times New Roman"/>
                <w:bCs/>
                <w:color w:val="000000" w:themeColor="text1"/>
                <w:sz w:val="20"/>
                <w:szCs w:val="20"/>
              </w:rPr>
              <w:t>(+)</w:t>
            </w:r>
          </w:p>
        </w:tc>
        <w:tc>
          <w:tcPr>
            <w:tcW w:w="1562" w:type="dxa"/>
            <w:tcBorders>
              <w:top w:val="nil"/>
              <w:left w:val="nil"/>
              <w:bottom w:val="nil"/>
              <w:right w:val="nil"/>
            </w:tcBorders>
          </w:tcPr>
          <w:p w14:paraId="20E77AB9"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.171***</w:t>
            </w:r>
          </w:p>
          <w:p w14:paraId="6B5BC905"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(6.55)</w:t>
            </w:r>
          </w:p>
        </w:tc>
        <w:tc>
          <w:tcPr>
            <w:tcW w:w="1989" w:type="dxa"/>
            <w:tcBorders>
              <w:top w:val="nil"/>
              <w:left w:val="nil"/>
              <w:bottom w:val="nil"/>
              <w:right w:val="nil"/>
            </w:tcBorders>
          </w:tcPr>
          <w:p w14:paraId="3B3BBF66"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-.006</w:t>
            </w:r>
          </w:p>
          <w:p w14:paraId="7E2A8C2F"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(-0.33)</w:t>
            </w:r>
          </w:p>
        </w:tc>
        <w:tc>
          <w:tcPr>
            <w:tcW w:w="1472" w:type="dxa"/>
            <w:tcBorders>
              <w:top w:val="nil"/>
              <w:left w:val="nil"/>
              <w:bottom w:val="nil"/>
              <w:right w:val="nil"/>
            </w:tcBorders>
          </w:tcPr>
          <w:p w14:paraId="4150E900"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.299*</w:t>
            </w:r>
          </w:p>
          <w:p w14:paraId="58077DA4"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(1.84)</w:t>
            </w:r>
          </w:p>
        </w:tc>
        <w:tc>
          <w:tcPr>
            <w:tcW w:w="1979" w:type="dxa"/>
            <w:tcBorders>
              <w:top w:val="nil"/>
              <w:left w:val="nil"/>
              <w:bottom w:val="nil"/>
              <w:right w:val="nil"/>
            </w:tcBorders>
          </w:tcPr>
          <w:p w14:paraId="326BD1D9"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.327*</w:t>
            </w:r>
          </w:p>
          <w:p w14:paraId="6D5E406E"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(1.96)</w:t>
            </w:r>
          </w:p>
        </w:tc>
      </w:tr>
      <w:tr w:rsidR="00DE13EE" w:rsidRPr="00DE13EE" w14:paraId="51B27D9A" w14:textId="77777777" w:rsidTr="009D0993">
        <w:trPr>
          <w:trHeight w:val="437"/>
          <w:jc w:val="center"/>
        </w:trPr>
        <w:tc>
          <w:tcPr>
            <w:tcW w:w="2319" w:type="dxa"/>
            <w:tcBorders>
              <w:top w:val="nil"/>
              <w:left w:val="nil"/>
              <w:bottom w:val="nil"/>
              <w:right w:val="nil"/>
            </w:tcBorders>
            <w:vAlign w:val="center"/>
          </w:tcPr>
          <w:p w14:paraId="06CDE753"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 xml:space="preserve">Earnings volatility </w:t>
            </w:r>
          </w:p>
        </w:tc>
        <w:tc>
          <w:tcPr>
            <w:tcW w:w="1234" w:type="dxa"/>
            <w:tcBorders>
              <w:top w:val="nil"/>
              <w:left w:val="nil"/>
              <w:bottom w:val="nil"/>
              <w:right w:val="nil"/>
            </w:tcBorders>
            <w:vAlign w:val="center"/>
          </w:tcPr>
          <w:p w14:paraId="2430178C"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Ear.Vol</w:t>
            </w:r>
          </w:p>
        </w:tc>
        <w:tc>
          <w:tcPr>
            <w:tcW w:w="853" w:type="dxa"/>
            <w:tcBorders>
              <w:top w:val="nil"/>
              <w:left w:val="nil"/>
              <w:bottom w:val="nil"/>
              <w:right w:val="nil"/>
            </w:tcBorders>
            <w:vAlign w:val="center"/>
          </w:tcPr>
          <w:p w14:paraId="640418C5" w14:textId="77777777" w:rsidR="00FA14FE" w:rsidRPr="00DE13EE" w:rsidRDefault="00FA14FE" w:rsidP="009D0993">
            <w:pPr>
              <w:spacing w:line="276" w:lineRule="auto"/>
              <w:rPr>
                <w:rFonts w:ascii="Times New Roman" w:hAnsi="Times New Roman" w:cs="Times New Roman"/>
                <w:bCs/>
                <w:color w:val="000000" w:themeColor="text1"/>
                <w:sz w:val="20"/>
                <w:szCs w:val="20"/>
              </w:rPr>
            </w:pPr>
            <w:r w:rsidRPr="00DE13EE">
              <w:rPr>
                <w:rFonts w:ascii="Times New Roman" w:hAnsi="Times New Roman" w:cs="Times New Roman"/>
                <w:bCs/>
                <w:color w:val="000000" w:themeColor="text1"/>
                <w:sz w:val="20"/>
                <w:szCs w:val="20"/>
              </w:rPr>
              <w:t>(−)</w:t>
            </w:r>
          </w:p>
        </w:tc>
        <w:tc>
          <w:tcPr>
            <w:tcW w:w="1562" w:type="dxa"/>
            <w:tcBorders>
              <w:top w:val="nil"/>
              <w:left w:val="nil"/>
              <w:bottom w:val="nil"/>
              <w:right w:val="nil"/>
            </w:tcBorders>
          </w:tcPr>
          <w:p w14:paraId="0C371F47"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.089</w:t>
            </w:r>
          </w:p>
          <w:p w14:paraId="39B794E0"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(1.54)</w:t>
            </w:r>
          </w:p>
        </w:tc>
        <w:tc>
          <w:tcPr>
            <w:tcW w:w="1989" w:type="dxa"/>
            <w:tcBorders>
              <w:top w:val="nil"/>
              <w:left w:val="nil"/>
              <w:bottom w:val="nil"/>
              <w:right w:val="nil"/>
            </w:tcBorders>
          </w:tcPr>
          <w:p w14:paraId="52D7240D"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-.035</w:t>
            </w:r>
          </w:p>
          <w:p w14:paraId="228ED5ED"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(-0.90)</w:t>
            </w:r>
          </w:p>
        </w:tc>
        <w:tc>
          <w:tcPr>
            <w:tcW w:w="1472" w:type="dxa"/>
            <w:tcBorders>
              <w:top w:val="nil"/>
              <w:left w:val="nil"/>
              <w:bottom w:val="nil"/>
              <w:right w:val="nil"/>
            </w:tcBorders>
          </w:tcPr>
          <w:p w14:paraId="5CB19859"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-1.241**</w:t>
            </w:r>
          </w:p>
          <w:p w14:paraId="242E7177"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(-2.12)</w:t>
            </w:r>
          </w:p>
        </w:tc>
        <w:tc>
          <w:tcPr>
            <w:tcW w:w="1979" w:type="dxa"/>
            <w:tcBorders>
              <w:top w:val="nil"/>
              <w:left w:val="nil"/>
              <w:bottom w:val="nil"/>
              <w:right w:val="nil"/>
            </w:tcBorders>
          </w:tcPr>
          <w:p w14:paraId="24C3A19F"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-1.245**</w:t>
            </w:r>
          </w:p>
          <w:p w14:paraId="001C1DDE"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(-2.16)</w:t>
            </w:r>
          </w:p>
        </w:tc>
      </w:tr>
      <w:tr w:rsidR="00DE13EE" w:rsidRPr="00DE13EE" w14:paraId="4DC308FD" w14:textId="77777777" w:rsidTr="009D0993">
        <w:trPr>
          <w:trHeight w:val="445"/>
          <w:jc w:val="center"/>
        </w:trPr>
        <w:tc>
          <w:tcPr>
            <w:tcW w:w="2319" w:type="dxa"/>
            <w:tcBorders>
              <w:top w:val="nil"/>
              <w:left w:val="nil"/>
              <w:bottom w:val="nil"/>
              <w:right w:val="nil"/>
            </w:tcBorders>
            <w:vAlign w:val="center"/>
          </w:tcPr>
          <w:p w14:paraId="47896060"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 xml:space="preserve">Managerial ownership </w:t>
            </w:r>
          </w:p>
        </w:tc>
        <w:tc>
          <w:tcPr>
            <w:tcW w:w="1234" w:type="dxa"/>
            <w:tcBorders>
              <w:top w:val="nil"/>
              <w:left w:val="nil"/>
              <w:bottom w:val="nil"/>
              <w:right w:val="nil"/>
            </w:tcBorders>
            <w:vAlign w:val="center"/>
          </w:tcPr>
          <w:p w14:paraId="7C432C85"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%MO</w:t>
            </w:r>
          </w:p>
        </w:tc>
        <w:tc>
          <w:tcPr>
            <w:tcW w:w="853" w:type="dxa"/>
            <w:tcBorders>
              <w:top w:val="nil"/>
              <w:left w:val="nil"/>
              <w:bottom w:val="nil"/>
              <w:right w:val="nil"/>
            </w:tcBorders>
            <w:vAlign w:val="center"/>
          </w:tcPr>
          <w:p w14:paraId="380FEEDE" w14:textId="77777777" w:rsidR="00FA14FE" w:rsidRPr="00DE13EE" w:rsidRDefault="00FA14FE" w:rsidP="009D0993">
            <w:pPr>
              <w:spacing w:line="276" w:lineRule="auto"/>
              <w:rPr>
                <w:rFonts w:ascii="Times New Roman" w:hAnsi="Times New Roman" w:cs="Times New Roman"/>
                <w:bCs/>
                <w:color w:val="000000" w:themeColor="text1"/>
                <w:sz w:val="20"/>
                <w:szCs w:val="20"/>
              </w:rPr>
            </w:pPr>
            <w:r w:rsidRPr="00DE13EE">
              <w:rPr>
                <w:rFonts w:ascii="Times New Roman" w:hAnsi="Times New Roman" w:cs="Times New Roman"/>
                <w:bCs/>
                <w:color w:val="000000" w:themeColor="text1"/>
                <w:sz w:val="20"/>
                <w:szCs w:val="20"/>
              </w:rPr>
              <w:t>(?)</w:t>
            </w:r>
          </w:p>
        </w:tc>
        <w:tc>
          <w:tcPr>
            <w:tcW w:w="1562" w:type="dxa"/>
            <w:tcBorders>
              <w:top w:val="nil"/>
              <w:left w:val="nil"/>
              <w:bottom w:val="nil"/>
              <w:right w:val="nil"/>
            </w:tcBorders>
          </w:tcPr>
          <w:p w14:paraId="564B7A90"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.010***</w:t>
            </w:r>
          </w:p>
          <w:p w14:paraId="28A9BDD5"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(4.35)</w:t>
            </w:r>
          </w:p>
        </w:tc>
        <w:tc>
          <w:tcPr>
            <w:tcW w:w="1989" w:type="dxa"/>
            <w:tcBorders>
              <w:top w:val="nil"/>
              <w:left w:val="nil"/>
              <w:bottom w:val="nil"/>
              <w:right w:val="nil"/>
            </w:tcBorders>
          </w:tcPr>
          <w:p w14:paraId="12E44DDA"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.005**</w:t>
            </w:r>
          </w:p>
          <w:p w14:paraId="5B8B63E2"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(2.17)</w:t>
            </w:r>
          </w:p>
        </w:tc>
        <w:tc>
          <w:tcPr>
            <w:tcW w:w="1472" w:type="dxa"/>
            <w:tcBorders>
              <w:top w:val="nil"/>
              <w:left w:val="nil"/>
              <w:bottom w:val="nil"/>
              <w:right w:val="nil"/>
            </w:tcBorders>
          </w:tcPr>
          <w:p w14:paraId="0D83BE14"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-.045***</w:t>
            </w:r>
          </w:p>
          <w:p w14:paraId="121FCB1A"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(-2.81)</w:t>
            </w:r>
          </w:p>
        </w:tc>
        <w:tc>
          <w:tcPr>
            <w:tcW w:w="1979" w:type="dxa"/>
            <w:tcBorders>
              <w:top w:val="nil"/>
              <w:left w:val="nil"/>
              <w:bottom w:val="nil"/>
              <w:right w:val="nil"/>
            </w:tcBorders>
          </w:tcPr>
          <w:p w14:paraId="68BF6302"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-.044***</w:t>
            </w:r>
          </w:p>
          <w:p w14:paraId="11463745"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(-2.60)</w:t>
            </w:r>
          </w:p>
        </w:tc>
      </w:tr>
      <w:tr w:rsidR="00DE13EE" w:rsidRPr="00DE13EE" w14:paraId="7B7F5546" w14:textId="77777777" w:rsidTr="009D0993">
        <w:trPr>
          <w:trHeight w:val="554"/>
          <w:jc w:val="center"/>
        </w:trPr>
        <w:tc>
          <w:tcPr>
            <w:tcW w:w="2319" w:type="dxa"/>
            <w:tcBorders>
              <w:top w:val="nil"/>
              <w:left w:val="nil"/>
              <w:bottom w:val="nil"/>
              <w:right w:val="nil"/>
            </w:tcBorders>
            <w:vAlign w:val="center"/>
          </w:tcPr>
          <w:p w14:paraId="4E3CB138"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 xml:space="preserve">Firm growth </w:t>
            </w:r>
          </w:p>
        </w:tc>
        <w:tc>
          <w:tcPr>
            <w:tcW w:w="1234" w:type="dxa"/>
            <w:tcBorders>
              <w:top w:val="nil"/>
              <w:left w:val="nil"/>
              <w:bottom w:val="nil"/>
              <w:right w:val="nil"/>
            </w:tcBorders>
            <w:vAlign w:val="center"/>
          </w:tcPr>
          <w:p w14:paraId="09678CFC"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GRTH</w:t>
            </w:r>
          </w:p>
        </w:tc>
        <w:tc>
          <w:tcPr>
            <w:tcW w:w="853" w:type="dxa"/>
            <w:tcBorders>
              <w:top w:val="nil"/>
              <w:left w:val="nil"/>
              <w:bottom w:val="nil"/>
              <w:right w:val="nil"/>
            </w:tcBorders>
            <w:vAlign w:val="center"/>
          </w:tcPr>
          <w:p w14:paraId="649858A4" w14:textId="77777777" w:rsidR="00FA14FE" w:rsidRPr="00DE13EE" w:rsidRDefault="00FA14FE" w:rsidP="009D0993">
            <w:pPr>
              <w:spacing w:line="276" w:lineRule="auto"/>
              <w:rPr>
                <w:rFonts w:ascii="Times New Roman" w:hAnsi="Times New Roman" w:cs="Times New Roman"/>
                <w:bCs/>
                <w:color w:val="000000" w:themeColor="text1"/>
                <w:sz w:val="20"/>
                <w:szCs w:val="20"/>
              </w:rPr>
            </w:pPr>
            <w:r w:rsidRPr="00DE13EE">
              <w:rPr>
                <w:rFonts w:ascii="Times New Roman" w:hAnsi="Times New Roman" w:cs="Times New Roman"/>
                <w:bCs/>
                <w:color w:val="000000" w:themeColor="text1"/>
                <w:sz w:val="20"/>
                <w:szCs w:val="20"/>
              </w:rPr>
              <w:t>(+)</w:t>
            </w:r>
          </w:p>
        </w:tc>
        <w:tc>
          <w:tcPr>
            <w:tcW w:w="1562" w:type="dxa"/>
            <w:tcBorders>
              <w:top w:val="nil"/>
              <w:left w:val="nil"/>
              <w:bottom w:val="nil"/>
              <w:right w:val="nil"/>
            </w:tcBorders>
          </w:tcPr>
          <w:p w14:paraId="438D7527"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.015***</w:t>
            </w:r>
          </w:p>
          <w:p w14:paraId="24D43063"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(6.92)</w:t>
            </w:r>
          </w:p>
        </w:tc>
        <w:tc>
          <w:tcPr>
            <w:tcW w:w="1989" w:type="dxa"/>
            <w:tcBorders>
              <w:top w:val="nil"/>
              <w:left w:val="nil"/>
              <w:bottom w:val="nil"/>
              <w:right w:val="nil"/>
            </w:tcBorders>
          </w:tcPr>
          <w:p w14:paraId="7B5109EC"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.002</w:t>
            </w:r>
          </w:p>
          <w:p w14:paraId="6EF69945"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(1.61)</w:t>
            </w:r>
          </w:p>
        </w:tc>
        <w:tc>
          <w:tcPr>
            <w:tcW w:w="1472" w:type="dxa"/>
            <w:tcBorders>
              <w:top w:val="nil"/>
              <w:left w:val="nil"/>
              <w:bottom w:val="nil"/>
              <w:right w:val="nil"/>
            </w:tcBorders>
          </w:tcPr>
          <w:p w14:paraId="0562D3B2"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-.0319*</w:t>
            </w:r>
          </w:p>
          <w:p w14:paraId="3B600F3C"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(-1.84)</w:t>
            </w:r>
          </w:p>
        </w:tc>
        <w:tc>
          <w:tcPr>
            <w:tcW w:w="1979" w:type="dxa"/>
            <w:tcBorders>
              <w:top w:val="nil"/>
              <w:left w:val="nil"/>
              <w:bottom w:val="nil"/>
              <w:right w:val="nil"/>
            </w:tcBorders>
          </w:tcPr>
          <w:p w14:paraId="6F3533C8"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-.023</w:t>
            </w:r>
          </w:p>
          <w:p w14:paraId="67106854"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(-1.41)</w:t>
            </w:r>
          </w:p>
        </w:tc>
      </w:tr>
      <w:tr w:rsidR="00DE13EE" w:rsidRPr="00DE13EE" w14:paraId="05192253" w14:textId="77777777" w:rsidTr="009D0993">
        <w:trPr>
          <w:trHeight w:val="554"/>
          <w:jc w:val="center"/>
        </w:trPr>
        <w:tc>
          <w:tcPr>
            <w:tcW w:w="2319" w:type="dxa"/>
            <w:tcBorders>
              <w:top w:val="nil"/>
              <w:left w:val="nil"/>
              <w:bottom w:val="nil"/>
              <w:right w:val="nil"/>
            </w:tcBorders>
            <w:vAlign w:val="center"/>
          </w:tcPr>
          <w:p w14:paraId="5EF75ACF"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 xml:space="preserve">Capital expenditure </w:t>
            </w:r>
          </w:p>
        </w:tc>
        <w:tc>
          <w:tcPr>
            <w:tcW w:w="1234" w:type="dxa"/>
            <w:tcBorders>
              <w:top w:val="nil"/>
              <w:left w:val="nil"/>
              <w:bottom w:val="nil"/>
              <w:right w:val="nil"/>
            </w:tcBorders>
            <w:vAlign w:val="center"/>
          </w:tcPr>
          <w:p w14:paraId="5263A51E"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CAPEX</w:t>
            </w:r>
          </w:p>
        </w:tc>
        <w:tc>
          <w:tcPr>
            <w:tcW w:w="853" w:type="dxa"/>
            <w:tcBorders>
              <w:top w:val="nil"/>
              <w:left w:val="nil"/>
              <w:bottom w:val="nil"/>
              <w:right w:val="nil"/>
            </w:tcBorders>
            <w:vAlign w:val="center"/>
          </w:tcPr>
          <w:p w14:paraId="53C25BA5" w14:textId="77777777" w:rsidR="00FA14FE" w:rsidRPr="00DE13EE" w:rsidRDefault="00FA14FE" w:rsidP="009D0993">
            <w:pPr>
              <w:spacing w:line="276" w:lineRule="auto"/>
              <w:rPr>
                <w:rFonts w:ascii="Times New Roman" w:hAnsi="Times New Roman" w:cs="Times New Roman"/>
                <w:bCs/>
                <w:color w:val="000000" w:themeColor="text1"/>
                <w:sz w:val="20"/>
                <w:szCs w:val="20"/>
              </w:rPr>
            </w:pPr>
            <w:r w:rsidRPr="00DE13EE">
              <w:rPr>
                <w:rFonts w:ascii="Times New Roman" w:hAnsi="Times New Roman" w:cs="Times New Roman"/>
                <w:bCs/>
                <w:color w:val="000000" w:themeColor="text1"/>
                <w:sz w:val="20"/>
                <w:szCs w:val="20"/>
              </w:rPr>
              <w:t>(?)</w:t>
            </w:r>
          </w:p>
        </w:tc>
        <w:tc>
          <w:tcPr>
            <w:tcW w:w="1562" w:type="dxa"/>
            <w:tcBorders>
              <w:top w:val="nil"/>
              <w:left w:val="nil"/>
              <w:bottom w:val="nil"/>
              <w:right w:val="nil"/>
            </w:tcBorders>
          </w:tcPr>
          <w:p w14:paraId="6242AA6C"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-.001</w:t>
            </w:r>
          </w:p>
          <w:p w14:paraId="3290D723"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(-0.29)</w:t>
            </w:r>
          </w:p>
        </w:tc>
        <w:tc>
          <w:tcPr>
            <w:tcW w:w="1989" w:type="dxa"/>
            <w:tcBorders>
              <w:top w:val="nil"/>
              <w:left w:val="nil"/>
              <w:bottom w:val="nil"/>
              <w:right w:val="nil"/>
            </w:tcBorders>
          </w:tcPr>
          <w:p w14:paraId="799A34C0"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.002</w:t>
            </w:r>
          </w:p>
          <w:p w14:paraId="2BE69E31"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(0.24)</w:t>
            </w:r>
          </w:p>
        </w:tc>
        <w:tc>
          <w:tcPr>
            <w:tcW w:w="1472" w:type="dxa"/>
            <w:tcBorders>
              <w:top w:val="nil"/>
              <w:left w:val="nil"/>
              <w:bottom w:val="nil"/>
              <w:right w:val="nil"/>
            </w:tcBorders>
          </w:tcPr>
          <w:p w14:paraId="494F7BC4"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-.046</w:t>
            </w:r>
          </w:p>
          <w:p w14:paraId="094BF05D"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(-0.59)</w:t>
            </w:r>
          </w:p>
        </w:tc>
        <w:tc>
          <w:tcPr>
            <w:tcW w:w="1979" w:type="dxa"/>
            <w:tcBorders>
              <w:top w:val="nil"/>
              <w:left w:val="nil"/>
              <w:bottom w:val="nil"/>
              <w:right w:val="nil"/>
            </w:tcBorders>
          </w:tcPr>
          <w:p w14:paraId="4150D150"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.0381</w:t>
            </w:r>
          </w:p>
          <w:p w14:paraId="547AC660"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(-0.48)</w:t>
            </w:r>
          </w:p>
        </w:tc>
      </w:tr>
      <w:tr w:rsidR="00DE13EE" w:rsidRPr="00DE13EE" w14:paraId="709D6690" w14:textId="77777777" w:rsidTr="009D0993">
        <w:trPr>
          <w:trHeight w:val="612"/>
          <w:jc w:val="center"/>
        </w:trPr>
        <w:tc>
          <w:tcPr>
            <w:tcW w:w="2319" w:type="dxa"/>
            <w:tcBorders>
              <w:top w:val="nil"/>
              <w:left w:val="nil"/>
              <w:bottom w:val="nil"/>
              <w:right w:val="nil"/>
            </w:tcBorders>
            <w:vAlign w:val="center"/>
          </w:tcPr>
          <w:p w14:paraId="30468EA3"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Length of narrative document</w:t>
            </w:r>
          </w:p>
        </w:tc>
        <w:tc>
          <w:tcPr>
            <w:tcW w:w="1234" w:type="dxa"/>
            <w:tcBorders>
              <w:top w:val="nil"/>
              <w:left w:val="nil"/>
              <w:bottom w:val="nil"/>
              <w:right w:val="nil"/>
            </w:tcBorders>
            <w:vAlign w:val="center"/>
          </w:tcPr>
          <w:p w14:paraId="1DDADDCE"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LNGTH</w:t>
            </w:r>
          </w:p>
        </w:tc>
        <w:tc>
          <w:tcPr>
            <w:tcW w:w="853" w:type="dxa"/>
            <w:tcBorders>
              <w:top w:val="nil"/>
              <w:left w:val="nil"/>
              <w:bottom w:val="nil"/>
              <w:right w:val="nil"/>
            </w:tcBorders>
            <w:vAlign w:val="center"/>
          </w:tcPr>
          <w:p w14:paraId="707BF276" w14:textId="77777777" w:rsidR="00FA14FE" w:rsidRPr="00DE13EE" w:rsidRDefault="00FA14FE" w:rsidP="009D0993">
            <w:pPr>
              <w:spacing w:line="276" w:lineRule="auto"/>
              <w:rPr>
                <w:rFonts w:ascii="Times New Roman" w:hAnsi="Times New Roman" w:cs="Times New Roman"/>
                <w:bCs/>
                <w:color w:val="000000" w:themeColor="text1"/>
                <w:sz w:val="20"/>
                <w:szCs w:val="20"/>
              </w:rPr>
            </w:pPr>
            <w:r w:rsidRPr="00DE13EE">
              <w:rPr>
                <w:rFonts w:ascii="Times New Roman" w:hAnsi="Times New Roman" w:cs="Times New Roman"/>
                <w:bCs/>
                <w:color w:val="000000" w:themeColor="text1"/>
                <w:sz w:val="20"/>
                <w:szCs w:val="20"/>
              </w:rPr>
              <w:t>(+)</w:t>
            </w:r>
          </w:p>
        </w:tc>
        <w:tc>
          <w:tcPr>
            <w:tcW w:w="1562" w:type="dxa"/>
            <w:tcBorders>
              <w:top w:val="nil"/>
              <w:left w:val="nil"/>
              <w:bottom w:val="nil"/>
              <w:right w:val="nil"/>
            </w:tcBorders>
          </w:tcPr>
          <w:p w14:paraId="5E1195C5"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-.092***</w:t>
            </w:r>
          </w:p>
          <w:p w14:paraId="63AB9EF9"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(-3.703)</w:t>
            </w:r>
          </w:p>
        </w:tc>
        <w:tc>
          <w:tcPr>
            <w:tcW w:w="1989" w:type="dxa"/>
            <w:tcBorders>
              <w:top w:val="nil"/>
              <w:left w:val="nil"/>
              <w:bottom w:val="nil"/>
              <w:right w:val="nil"/>
            </w:tcBorders>
          </w:tcPr>
          <w:p w14:paraId="49FEB2B0"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-.056**</w:t>
            </w:r>
          </w:p>
          <w:p w14:paraId="4B19E9EC"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(-2.444)</w:t>
            </w:r>
          </w:p>
        </w:tc>
        <w:tc>
          <w:tcPr>
            <w:tcW w:w="1472" w:type="dxa"/>
            <w:tcBorders>
              <w:top w:val="nil"/>
              <w:left w:val="nil"/>
              <w:bottom w:val="nil"/>
              <w:right w:val="nil"/>
            </w:tcBorders>
          </w:tcPr>
          <w:p w14:paraId="3C2FD05C"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.014</w:t>
            </w:r>
          </w:p>
          <w:p w14:paraId="11593A28"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(.295)</w:t>
            </w:r>
          </w:p>
        </w:tc>
        <w:tc>
          <w:tcPr>
            <w:tcW w:w="1979" w:type="dxa"/>
            <w:tcBorders>
              <w:top w:val="nil"/>
              <w:left w:val="nil"/>
              <w:bottom w:val="nil"/>
              <w:right w:val="nil"/>
            </w:tcBorders>
          </w:tcPr>
          <w:p w14:paraId="2718D71E"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.031</w:t>
            </w:r>
          </w:p>
          <w:p w14:paraId="7F01516B"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(.664)</w:t>
            </w:r>
          </w:p>
        </w:tc>
      </w:tr>
      <w:tr w:rsidR="00DE13EE" w:rsidRPr="00DE13EE" w14:paraId="17DB7780" w14:textId="77777777" w:rsidTr="009D0993">
        <w:trPr>
          <w:trHeight w:val="265"/>
          <w:jc w:val="center"/>
        </w:trPr>
        <w:tc>
          <w:tcPr>
            <w:tcW w:w="4406" w:type="dxa"/>
            <w:gridSpan w:val="3"/>
            <w:tcBorders>
              <w:top w:val="nil"/>
              <w:left w:val="nil"/>
              <w:bottom w:val="nil"/>
              <w:right w:val="nil"/>
            </w:tcBorders>
            <w:vAlign w:val="center"/>
          </w:tcPr>
          <w:p w14:paraId="61748358"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Wald Chi-square</w:t>
            </w:r>
          </w:p>
        </w:tc>
        <w:tc>
          <w:tcPr>
            <w:tcW w:w="1562" w:type="dxa"/>
            <w:tcBorders>
              <w:top w:val="nil"/>
              <w:left w:val="nil"/>
              <w:bottom w:val="nil"/>
              <w:right w:val="nil"/>
            </w:tcBorders>
          </w:tcPr>
          <w:p w14:paraId="4DDFA980" w14:textId="77777777" w:rsidR="00FA14FE" w:rsidRPr="00DE13EE" w:rsidRDefault="00FA14FE" w:rsidP="009D0993">
            <w:pPr>
              <w:spacing w:line="276" w:lineRule="auto"/>
              <w:rPr>
                <w:rFonts w:ascii="Times New Roman" w:hAnsi="Times New Roman" w:cs="Times New Roman"/>
                <w:color w:val="000000" w:themeColor="text1"/>
                <w:sz w:val="20"/>
                <w:szCs w:val="20"/>
              </w:rPr>
            </w:pPr>
          </w:p>
        </w:tc>
        <w:tc>
          <w:tcPr>
            <w:tcW w:w="1989" w:type="dxa"/>
            <w:tcBorders>
              <w:top w:val="nil"/>
              <w:left w:val="nil"/>
              <w:bottom w:val="nil"/>
              <w:right w:val="nil"/>
            </w:tcBorders>
          </w:tcPr>
          <w:p w14:paraId="187667DF"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69.63***</w:t>
            </w:r>
          </w:p>
        </w:tc>
        <w:tc>
          <w:tcPr>
            <w:tcW w:w="1472" w:type="dxa"/>
            <w:tcBorders>
              <w:top w:val="nil"/>
              <w:left w:val="nil"/>
              <w:bottom w:val="nil"/>
              <w:right w:val="nil"/>
            </w:tcBorders>
          </w:tcPr>
          <w:p w14:paraId="117B9DB9" w14:textId="77777777" w:rsidR="00FA14FE" w:rsidRPr="00DE13EE" w:rsidRDefault="00FA14FE" w:rsidP="009D0993">
            <w:pPr>
              <w:spacing w:line="276" w:lineRule="auto"/>
              <w:rPr>
                <w:rFonts w:ascii="Times New Roman" w:hAnsi="Times New Roman" w:cs="Times New Roman"/>
                <w:color w:val="000000" w:themeColor="text1"/>
                <w:sz w:val="20"/>
                <w:szCs w:val="20"/>
              </w:rPr>
            </w:pPr>
          </w:p>
        </w:tc>
        <w:tc>
          <w:tcPr>
            <w:tcW w:w="1979" w:type="dxa"/>
            <w:tcBorders>
              <w:top w:val="nil"/>
              <w:left w:val="nil"/>
              <w:bottom w:val="nil"/>
              <w:right w:val="nil"/>
            </w:tcBorders>
          </w:tcPr>
          <w:p w14:paraId="4E5E6F2A"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5537.57***</w:t>
            </w:r>
          </w:p>
        </w:tc>
      </w:tr>
      <w:tr w:rsidR="00DE13EE" w:rsidRPr="00DE13EE" w14:paraId="4A2D1173" w14:textId="77777777" w:rsidTr="009D0993">
        <w:trPr>
          <w:trHeight w:val="287"/>
          <w:jc w:val="center"/>
        </w:trPr>
        <w:tc>
          <w:tcPr>
            <w:tcW w:w="4406" w:type="dxa"/>
            <w:gridSpan w:val="3"/>
            <w:tcBorders>
              <w:top w:val="nil"/>
              <w:left w:val="nil"/>
              <w:bottom w:val="nil"/>
              <w:right w:val="nil"/>
            </w:tcBorders>
            <w:hideMark/>
          </w:tcPr>
          <w:p w14:paraId="598429CA"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F-test</w:t>
            </w:r>
          </w:p>
        </w:tc>
        <w:tc>
          <w:tcPr>
            <w:tcW w:w="1562" w:type="dxa"/>
            <w:tcBorders>
              <w:top w:val="nil"/>
              <w:left w:val="nil"/>
              <w:bottom w:val="nil"/>
              <w:right w:val="nil"/>
            </w:tcBorders>
          </w:tcPr>
          <w:p w14:paraId="3E43FE61"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9.08***</w:t>
            </w:r>
          </w:p>
        </w:tc>
        <w:tc>
          <w:tcPr>
            <w:tcW w:w="1989" w:type="dxa"/>
            <w:tcBorders>
              <w:top w:val="nil"/>
              <w:left w:val="nil"/>
              <w:bottom w:val="nil"/>
              <w:right w:val="nil"/>
            </w:tcBorders>
          </w:tcPr>
          <w:p w14:paraId="51829A77" w14:textId="77777777" w:rsidR="00FA14FE" w:rsidRPr="00DE13EE" w:rsidRDefault="00FA14FE" w:rsidP="009D0993">
            <w:pPr>
              <w:spacing w:line="276" w:lineRule="auto"/>
              <w:rPr>
                <w:rFonts w:ascii="Times New Roman" w:hAnsi="Times New Roman" w:cs="Times New Roman"/>
                <w:color w:val="000000" w:themeColor="text1"/>
                <w:sz w:val="20"/>
                <w:szCs w:val="20"/>
              </w:rPr>
            </w:pPr>
          </w:p>
        </w:tc>
        <w:tc>
          <w:tcPr>
            <w:tcW w:w="1472" w:type="dxa"/>
            <w:tcBorders>
              <w:top w:val="nil"/>
              <w:left w:val="nil"/>
              <w:bottom w:val="nil"/>
              <w:right w:val="nil"/>
            </w:tcBorders>
          </w:tcPr>
          <w:p w14:paraId="1A6CAF29"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234.02***</w:t>
            </w:r>
          </w:p>
        </w:tc>
        <w:tc>
          <w:tcPr>
            <w:tcW w:w="1979" w:type="dxa"/>
            <w:tcBorders>
              <w:top w:val="nil"/>
              <w:left w:val="nil"/>
              <w:bottom w:val="nil"/>
              <w:right w:val="nil"/>
            </w:tcBorders>
          </w:tcPr>
          <w:p w14:paraId="568868E6" w14:textId="77777777" w:rsidR="00FA14FE" w:rsidRPr="00DE13EE" w:rsidRDefault="00FA14FE" w:rsidP="009D0993">
            <w:pPr>
              <w:spacing w:line="276" w:lineRule="auto"/>
              <w:rPr>
                <w:rFonts w:ascii="Times New Roman" w:hAnsi="Times New Roman" w:cs="Times New Roman"/>
                <w:color w:val="000000" w:themeColor="text1"/>
                <w:sz w:val="20"/>
                <w:szCs w:val="20"/>
              </w:rPr>
            </w:pPr>
          </w:p>
        </w:tc>
      </w:tr>
      <w:tr w:rsidR="00DE13EE" w:rsidRPr="00DE13EE" w14:paraId="45BE02BD" w14:textId="77777777" w:rsidTr="009D0993">
        <w:trPr>
          <w:trHeight w:val="265"/>
          <w:jc w:val="center"/>
        </w:trPr>
        <w:tc>
          <w:tcPr>
            <w:tcW w:w="4406" w:type="dxa"/>
            <w:gridSpan w:val="3"/>
            <w:tcBorders>
              <w:top w:val="nil"/>
              <w:left w:val="nil"/>
              <w:bottom w:val="nil"/>
              <w:right w:val="nil"/>
            </w:tcBorders>
            <w:hideMark/>
          </w:tcPr>
          <w:p w14:paraId="3E035712"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Adjusted R- squared (%)</w:t>
            </w:r>
          </w:p>
        </w:tc>
        <w:tc>
          <w:tcPr>
            <w:tcW w:w="1562" w:type="dxa"/>
            <w:tcBorders>
              <w:top w:val="nil"/>
              <w:left w:val="nil"/>
              <w:bottom w:val="nil"/>
              <w:right w:val="nil"/>
            </w:tcBorders>
          </w:tcPr>
          <w:p w14:paraId="213035C4"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9.45</w:t>
            </w:r>
          </w:p>
        </w:tc>
        <w:tc>
          <w:tcPr>
            <w:tcW w:w="1989" w:type="dxa"/>
            <w:tcBorders>
              <w:top w:val="nil"/>
              <w:left w:val="nil"/>
              <w:bottom w:val="nil"/>
              <w:right w:val="nil"/>
            </w:tcBorders>
          </w:tcPr>
          <w:p w14:paraId="518B6D14"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4.43</w:t>
            </w:r>
          </w:p>
        </w:tc>
        <w:tc>
          <w:tcPr>
            <w:tcW w:w="1472" w:type="dxa"/>
            <w:tcBorders>
              <w:top w:val="nil"/>
              <w:left w:val="nil"/>
              <w:bottom w:val="nil"/>
              <w:right w:val="nil"/>
            </w:tcBorders>
          </w:tcPr>
          <w:p w14:paraId="6CE4800A"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4.07</w:t>
            </w:r>
          </w:p>
        </w:tc>
        <w:tc>
          <w:tcPr>
            <w:tcW w:w="1979" w:type="dxa"/>
            <w:tcBorders>
              <w:top w:val="nil"/>
              <w:left w:val="nil"/>
              <w:bottom w:val="nil"/>
              <w:right w:val="nil"/>
            </w:tcBorders>
          </w:tcPr>
          <w:p w14:paraId="1510EF6E"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4.06</w:t>
            </w:r>
          </w:p>
        </w:tc>
      </w:tr>
      <w:tr w:rsidR="00DE13EE" w:rsidRPr="00DE13EE" w14:paraId="4DE225AC" w14:textId="77777777" w:rsidTr="009D0993">
        <w:trPr>
          <w:trHeight w:val="265"/>
          <w:jc w:val="center"/>
        </w:trPr>
        <w:tc>
          <w:tcPr>
            <w:tcW w:w="4406" w:type="dxa"/>
            <w:gridSpan w:val="3"/>
            <w:tcBorders>
              <w:top w:val="nil"/>
              <w:left w:val="nil"/>
              <w:bottom w:val="single" w:sz="4" w:space="0" w:color="auto"/>
              <w:right w:val="nil"/>
            </w:tcBorders>
            <w:hideMark/>
          </w:tcPr>
          <w:p w14:paraId="257BD3D8"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 xml:space="preserve">No. of observations </w:t>
            </w:r>
          </w:p>
        </w:tc>
        <w:tc>
          <w:tcPr>
            <w:tcW w:w="1562" w:type="dxa"/>
            <w:tcBorders>
              <w:top w:val="nil"/>
              <w:left w:val="nil"/>
              <w:bottom w:val="single" w:sz="4" w:space="0" w:color="auto"/>
              <w:right w:val="nil"/>
            </w:tcBorders>
          </w:tcPr>
          <w:p w14:paraId="1A7ACE60"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2346</w:t>
            </w:r>
          </w:p>
        </w:tc>
        <w:tc>
          <w:tcPr>
            <w:tcW w:w="1989" w:type="dxa"/>
            <w:tcBorders>
              <w:top w:val="nil"/>
              <w:left w:val="nil"/>
              <w:bottom w:val="single" w:sz="4" w:space="0" w:color="auto"/>
              <w:right w:val="nil"/>
            </w:tcBorders>
          </w:tcPr>
          <w:p w14:paraId="744C0899"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2346</w:t>
            </w:r>
          </w:p>
        </w:tc>
        <w:tc>
          <w:tcPr>
            <w:tcW w:w="1472" w:type="dxa"/>
            <w:tcBorders>
              <w:top w:val="nil"/>
              <w:left w:val="nil"/>
              <w:bottom w:val="single" w:sz="4" w:space="0" w:color="auto"/>
              <w:right w:val="nil"/>
            </w:tcBorders>
          </w:tcPr>
          <w:p w14:paraId="23F2B99D"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586</w:t>
            </w:r>
          </w:p>
        </w:tc>
        <w:tc>
          <w:tcPr>
            <w:tcW w:w="1979" w:type="dxa"/>
            <w:tcBorders>
              <w:top w:val="nil"/>
              <w:left w:val="nil"/>
              <w:bottom w:val="single" w:sz="4" w:space="0" w:color="auto"/>
              <w:right w:val="nil"/>
            </w:tcBorders>
          </w:tcPr>
          <w:p w14:paraId="31C78265" w14:textId="77777777" w:rsidR="00FA14FE" w:rsidRPr="00DE13EE" w:rsidRDefault="00FA14FE" w:rsidP="009D0993">
            <w:pPr>
              <w:spacing w:line="276" w:lineRule="auto"/>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586</w:t>
            </w:r>
          </w:p>
        </w:tc>
      </w:tr>
      <w:tr w:rsidR="00DE13EE" w:rsidRPr="00DE13EE" w14:paraId="6A48B441" w14:textId="77777777" w:rsidTr="009D0993">
        <w:trPr>
          <w:trHeight w:val="265"/>
          <w:jc w:val="center"/>
        </w:trPr>
        <w:tc>
          <w:tcPr>
            <w:tcW w:w="11408" w:type="dxa"/>
            <w:gridSpan w:val="7"/>
            <w:tcBorders>
              <w:left w:val="nil"/>
              <w:bottom w:val="nil"/>
              <w:right w:val="nil"/>
            </w:tcBorders>
          </w:tcPr>
          <w:p w14:paraId="77CC0E2C" w14:textId="77777777" w:rsidR="00FA14FE" w:rsidRPr="00DE13EE" w:rsidRDefault="00FA14FE" w:rsidP="009D0993">
            <w:pPr>
              <w:jc w:val="both"/>
              <w:rPr>
                <w:rFonts w:ascii="Times New Roman" w:hAnsi="Times New Roman" w:cs="Times New Roman"/>
                <w:color w:val="000000" w:themeColor="text1"/>
                <w:sz w:val="20"/>
                <w:szCs w:val="20"/>
              </w:rPr>
            </w:pPr>
            <w:r w:rsidRPr="00DE13EE">
              <w:rPr>
                <w:rFonts w:ascii="Times New Roman" w:hAnsi="Times New Roman" w:cs="Times New Roman"/>
                <w:b/>
                <w:color w:val="000000" w:themeColor="text1"/>
                <w:sz w:val="20"/>
                <w:szCs w:val="20"/>
              </w:rPr>
              <w:t>Notes</w:t>
            </w:r>
            <w:r w:rsidRPr="00DE13EE">
              <w:rPr>
                <w:rFonts w:ascii="Times New Roman" w:hAnsi="Times New Roman" w:cs="Times New Roman"/>
                <w:color w:val="000000" w:themeColor="text1"/>
                <w:sz w:val="20"/>
                <w:szCs w:val="20"/>
              </w:rPr>
              <w:t xml:space="preserve">: This Table reports the coefficients estimate of models (1) &amp; (2) for two sub-samples: firms audited by one of the Big 4 auditing firms (Big-N) and firms audited by non-big auditor (Non Big-N). Dependent variable is IMadj.TQ+3 – Firm Value measured using an industry median adjusted Tobin’s Q ratio at three months after the date of the annual report. The </w:t>
            </w:r>
            <w:r w:rsidRPr="00DE13EE">
              <w:rPr>
                <w:rFonts w:ascii="Times New Roman" w:hAnsi="Times New Roman" w:cs="Times New Roman"/>
                <w:i/>
                <w:color w:val="000000" w:themeColor="text1"/>
                <w:sz w:val="20"/>
                <w:szCs w:val="20"/>
              </w:rPr>
              <w:t>t</w:t>
            </w:r>
            <w:r w:rsidRPr="00DE13EE">
              <w:rPr>
                <w:rFonts w:ascii="Times New Roman" w:hAnsi="Times New Roman" w:cs="Times New Roman"/>
                <w:color w:val="000000" w:themeColor="text1"/>
                <w:sz w:val="20"/>
                <w:szCs w:val="20"/>
              </w:rPr>
              <w:t xml:space="preserve">-statistics and </w:t>
            </w:r>
            <w:r w:rsidRPr="00DE13EE">
              <w:rPr>
                <w:rFonts w:ascii="Times New Roman" w:hAnsi="Times New Roman" w:cs="Times New Roman"/>
                <w:i/>
                <w:color w:val="000000" w:themeColor="text1"/>
                <w:sz w:val="20"/>
                <w:szCs w:val="20"/>
              </w:rPr>
              <w:t>z</w:t>
            </w:r>
            <w:r w:rsidRPr="00DE13EE">
              <w:rPr>
                <w:rFonts w:ascii="Times New Roman" w:hAnsi="Times New Roman" w:cs="Times New Roman"/>
                <w:color w:val="000000" w:themeColor="text1"/>
                <w:sz w:val="20"/>
                <w:szCs w:val="20"/>
              </w:rPr>
              <w:t>-statistics are presented in parentheses for fixed and random effects estimates, respectively.</w:t>
            </w:r>
          </w:p>
        </w:tc>
      </w:tr>
      <w:tr w:rsidR="00DE13EE" w:rsidRPr="00DE13EE" w14:paraId="3B9641B5" w14:textId="77777777" w:rsidTr="009D0993">
        <w:trPr>
          <w:trHeight w:val="265"/>
          <w:jc w:val="center"/>
        </w:trPr>
        <w:tc>
          <w:tcPr>
            <w:tcW w:w="11408" w:type="dxa"/>
            <w:gridSpan w:val="7"/>
            <w:tcBorders>
              <w:top w:val="nil"/>
              <w:left w:val="nil"/>
              <w:bottom w:val="nil"/>
              <w:right w:val="nil"/>
            </w:tcBorders>
          </w:tcPr>
          <w:p w14:paraId="02380EA3" w14:textId="77777777" w:rsidR="00FA14FE" w:rsidRPr="00DE13EE" w:rsidRDefault="00FA14FE" w:rsidP="009D0993">
            <w:pPr>
              <w:jc w:val="both"/>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Variables’ definitions and measurements are the same as summarized in Appendix (2).</w:t>
            </w:r>
          </w:p>
        </w:tc>
      </w:tr>
      <w:tr w:rsidR="00FA14FE" w:rsidRPr="00DE13EE" w14:paraId="1AA40FC8" w14:textId="77777777" w:rsidTr="009D0993">
        <w:trPr>
          <w:trHeight w:val="265"/>
          <w:jc w:val="center"/>
        </w:trPr>
        <w:tc>
          <w:tcPr>
            <w:tcW w:w="11408" w:type="dxa"/>
            <w:gridSpan w:val="7"/>
            <w:tcBorders>
              <w:top w:val="nil"/>
              <w:left w:val="nil"/>
              <w:bottom w:val="nil"/>
              <w:right w:val="nil"/>
            </w:tcBorders>
          </w:tcPr>
          <w:p w14:paraId="0E6382F8" w14:textId="77777777" w:rsidR="00FA14FE" w:rsidRPr="00DE13EE" w:rsidRDefault="00FA14FE" w:rsidP="009D0993">
            <w:pPr>
              <w:jc w:val="both"/>
              <w:rPr>
                <w:rFonts w:ascii="Times New Roman" w:hAnsi="Times New Roman" w:cs="Times New Roman"/>
                <w:color w:val="000000" w:themeColor="text1"/>
                <w:sz w:val="20"/>
                <w:szCs w:val="20"/>
              </w:rPr>
            </w:pPr>
            <w:r w:rsidRPr="00DE13EE">
              <w:rPr>
                <w:rFonts w:ascii="Times New Roman" w:hAnsi="Times New Roman" w:cs="Times New Roman"/>
                <w:color w:val="000000" w:themeColor="text1"/>
                <w:sz w:val="20"/>
                <w:szCs w:val="20"/>
              </w:rPr>
              <w:t>*, **, and *** indicate significance at 0.1, 0.05 and 0.01, respectively.</w:t>
            </w:r>
          </w:p>
        </w:tc>
      </w:tr>
    </w:tbl>
    <w:p w14:paraId="22FE1B2A" w14:textId="77777777" w:rsidR="00FA14FE" w:rsidRPr="00DE13EE" w:rsidRDefault="00FA14FE" w:rsidP="00FA14FE">
      <w:pPr>
        <w:rPr>
          <w:color w:val="000000" w:themeColor="text1"/>
        </w:rPr>
      </w:pPr>
    </w:p>
    <w:p w14:paraId="0964D3E2" w14:textId="77777777" w:rsidR="00FA14FE" w:rsidRPr="00DE13EE" w:rsidRDefault="00FA14FE" w:rsidP="00FA14FE">
      <w:pPr>
        <w:rPr>
          <w:color w:val="000000" w:themeColor="text1"/>
        </w:rPr>
      </w:pPr>
    </w:p>
    <w:p w14:paraId="7C212C5C" w14:textId="77777777" w:rsidR="00FA14FE" w:rsidRPr="00DE13EE" w:rsidRDefault="00FA14FE" w:rsidP="00FA14FE">
      <w:pPr>
        <w:rPr>
          <w:color w:val="000000" w:themeColor="text1"/>
        </w:rPr>
      </w:pPr>
    </w:p>
    <w:p w14:paraId="1FAFCC85" w14:textId="77777777" w:rsidR="00FA14FE" w:rsidRPr="00DE13EE" w:rsidRDefault="00FA14FE" w:rsidP="00FA14FE">
      <w:pPr>
        <w:rPr>
          <w:color w:val="000000" w:themeColor="text1"/>
        </w:rPr>
      </w:pPr>
    </w:p>
    <w:p w14:paraId="3645D0FA" w14:textId="77777777" w:rsidR="00FA14FE" w:rsidRPr="00DE13EE" w:rsidRDefault="00FA14FE" w:rsidP="00FA14FE">
      <w:pPr>
        <w:rPr>
          <w:color w:val="000000" w:themeColor="text1"/>
        </w:rPr>
      </w:pPr>
    </w:p>
    <w:p w14:paraId="2F6EC550" w14:textId="77777777" w:rsidR="00FA14FE" w:rsidRPr="00DE13EE" w:rsidRDefault="00FA14FE" w:rsidP="00FA14FE">
      <w:pPr>
        <w:rPr>
          <w:color w:val="000000" w:themeColor="text1"/>
        </w:rPr>
      </w:pPr>
    </w:p>
    <w:tbl>
      <w:tblPr>
        <w:tblStyle w:val="TableGrid22"/>
        <w:tblW w:w="10045" w:type="dxa"/>
        <w:jc w:val="center"/>
        <w:tblLook w:val="04A0" w:firstRow="1" w:lastRow="0" w:firstColumn="1" w:lastColumn="0" w:noHBand="0" w:noVBand="1"/>
      </w:tblPr>
      <w:tblGrid>
        <w:gridCol w:w="2351"/>
        <w:gridCol w:w="1464"/>
        <w:gridCol w:w="1345"/>
        <w:gridCol w:w="1372"/>
        <w:gridCol w:w="1742"/>
        <w:gridCol w:w="1771"/>
      </w:tblGrid>
      <w:tr w:rsidR="00DE13EE" w:rsidRPr="00DE13EE" w14:paraId="46584CE4" w14:textId="77777777" w:rsidTr="009D0993">
        <w:trPr>
          <w:trHeight w:val="521"/>
          <w:jc w:val="center"/>
        </w:trPr>
        <w:tc>
          <w:tcPr>
            <w:tcW w:w="10045" w:type="dxa"/>
            <w:gridSpan w:val="6"/>
            <w:tcBorders>
              <w:top w:val="nil"/>
              <w:left w:val="nil"/>
              <w:right w:val="nil"/>
            </w:tcBorders>
          </w:tcPr>
          <w:p w14:paraId="47945445" w14:textId="77777777" w:rsidR="00FA14FE" w:rsidRPr="00DE13EE" w:rsidRDefault="00FA14FE" w:rsidP="009D0993">
            <w:pPr>
              <w:autoSpaceDE w:val="0"/>
              <w:autoSpaceDN w:val="0"/>
              <w:adjustRightInd w:val="0"/>
              <w:rPr>
                <w:b/>
                <w:bCs/>
                <w:color w:val="000000" w:themeColor="text1"/>
                <w:lang w:eastAsia="en-GB"/>
              </w:rPr>
            </w:pPr>
            <w:r w:rsidRPr="00DE13EE">
              <w:rPr>
                <w:b/>
                <w:bCs/>
                <w:color w:val="000000" w:themeColor="text1"/>
                <w:lang w:eastAsia="en-GB"/>
              </w:rPr>
              <w:t>Table (7): Endogeneity tests results</w:t>
            </w:r>
          </w:p>
          <w:p w14:paraId="2071BC7A" w14:textId="77777777" w:rsidR="00FA14FE" w:rsidRPr="00DE13EE" w:rsidRDefault="00FA14FE" w:rsidP="009D0993">
            <w:pPr>
              <w:tabs>
                <w:tab w:val="left" w:pos="1230"/>
              </w:tabs>
              <w:autoSpaceDE w:val="0"/>
              <w:autoSpaceDN w:val="0"/>
              <w:adjustRightInd w:val="0"/>
              <w:rPr>
                <w:color w:val="000000" w:themeColor="text1"/>
                <w:lang w:eastAsia="en-GB"/>
              </w:rPr>
            </w:pPr>
            <w:r w:rsidRPr="00DE13EE">
              <w:rPr>
                <w:color w:val="000000" w:themeColor="text1"/>
                <w:lang w:eastAsia="en-GB"/>
              </w:rPr>
              <w:tab/>
            </w:r>
          </w:p>
        </w:tc>
      </w:tr>
      <w:tr w:rsidR="00DE13EE" w:rsidRPr="00DE13EE" w14:paraId="5F7FF3E9" w14:textId="77777777" w:rsidTr="009D0993">
        <w:trPr>
          <w:trHeight w:val="260"/>
          <w:jc w:val="center"/>
        </w:trPr>
        <w:tc>
          <w:tcPr>
            <w:tcW w:w="2351" w:type="dxa"/>
            <w:vMerge w:val="restart"/>
            <w:tcBorders>
              <w:left w:val="nil"/>
              <w:right w:val="nil"/>
            </w:tcBorders>
          </w:tcPr>
          <w:p w14:paraId="448AA5FD" w14:textId="77777777" w:rsidR="00FA14FE" w:rsidRPr="00DE13EE" w:rsidRDefault="00FA14FE" w:rsidP="009D0993">
            <w:pPr>
              <w:autoSpaceDE w:val="0"/>
              <w:autoSpaceDN w:val="0"/>
              <w:adjustRightInd w:val="0"/>
              <w:jc w:val="both"/>
              <w:rPr>
                <w:color w:val="000000" w:themeColor="text1"/>
                <w:lang w:eastAsia="en-GB"/>
              </w:rPr>
            </w:pPr>
          </w:p>
        </w:tc>
        <w:tc>
          <w:tcPr>
            <w:tcW w:w="1464" w:type="dxa"/>
            <w:vMerge w:val="restart"/>
            <w:tcBorders>
              <w:left w:val="nil"/>
              <w:right w:val="nil"/>
            </w:tcBorders>
            <w:vAlign w:val="center"/>
          </w:tcPr>
          <w:p w14:paraId="160EA89D" w14:textId="77777777" w:rsidR="00FA14FE" w:rsidRPr="00DE13EE" w:rsidRDefault="00FA14FE" w:rsidP="009D0993">
            <w:pPr>
              <w:autoSpaceDE w:val="0"/>
              <w:autoSpaceDN w:val="0"/>
              <w:adjustRightInd w:val="0"/>
              <w:rPr>
                <w:b/>
                <w:color w:val="000000" w:themeColor="text1"/>
                <w:lang w:eastAsia="en-GB"/>
              </w:rPr>
            </w:pPr>
            <w:r w:rsidRPr="00DE13EE">
              <w:rPr>
                <w:b/>
                <w:color w:val="000000" w:themeColor="text1"/>
                <w:lang w:eastAsia="en-GB"/>
              </w:rPr>
              <w:t xml:space="preserve">All sample firms </w:t>
            </w:r>
          </w:p>
        </w:tc>
        <w:tc>
          <w:tcPr>
            <w:tcW w:w="2717" w:type="dxa"/>
            <w:gridSpan w:val="2"/>
            <w:tcBorders>
              <w:left w:val="nil"/>
              <w:right w:val="nil"/>
            </w:tcBorders>
            <w:vAlign w:val="center"/>
          </w:tcPr>
          <w:p w14:paraId="4B67505F" w14:textId="77777777" w:rsidR="00FA14FE" w:rsidRPr="00DE13EE" w:rsidRDefault="00FA14FE" w:rsidP="009D0993">
            <w:pPr>
              <w:autoSpaceDE w:val="0"/>
              <w:autoSpaceDN w:val="0"/>
              <w:adjustRightInd w:val="0"/>
              <w:rPr>
                <w:b/>
                <w:color w:val="000000" w:themeColor="text1"/>
                <w:lang w:eastAsia="en-GB"/>
              </w:rPr>
            </w:pPr>
            <w:r w:rsidRPr="00DE13EE">
              <w:rPr>
                <w:b/>
                <w:color w:val="000000" w:themeColor="text1"/>
                <w:lang w:eastAsia="en-GB"/>
              </w:rPr>
              <w:t>Firm performance</w:t>
            </w:r>
          </w:p>
          <w:p w14:paraId="55833556" w14:textId="77777777" w:rsidR="00FA14FE" w:rsidRPr="00DE13EE" w:rsidRDefault="00FA14FE" w:rsidP="009D0993">
            <w:pPr>
              <w:autoSpaceDE w:val="0"/>
              <w:autoSpaceDN w:val="0"/>
              <w:adjustRightInd w:val="0"/>
              <w:rPr>
                <w:b/>
                <w:color w:val="000000" w:themeColor="text1"/>
                <w:lang w:eastAsia="en-GB"/>
              </w:rPr>
            </w:pPr>
          </w:p>
        </w:tc>
        <w:tc>
          <w:tcPr>
            <w:tcW w:w="3513" w:type="dxa"/>
            <w:gridSpan w:val="2"/>
            <w:tcBorders>
              <w:left w:val="nil"/>
              <w:right w:val="nil"/>
            </w:tcBorders>
            <w:vAlign w:val="center"/>
          </w:tcPr>
          <w:p w14:paraId="25A20281" w14:textId="77777777" w:rsidR="00FA14FE" w:rsidRPr="00DE13EE" w:rsidRDefault="00FA14FE" w:rsidP="009D0993">
            <w:pPr>
              <w:autoSpaceDE w:val="0"/>
              <w:autoSpaceDN w:val="0"/>
              <w:adjustRightInd w:val="0"/>
              <w:rPr>
                <w:b/>
                <w:color w:val="000000" w:themeColor="text1"/>
                <w:lang w:eastAsia="en-GB"/>
              </w:rPr>
            </w:pPr>
            <w:r w:rsidRPr="00DE13EE">
              <w:rPr>
                <w:b/>
                <w:color w:val="000000" w:themeColor="text1"/>
                <w:lang w:eastAsia="en-GB"/>
              </w:rPr>
              <w:t xml:space="preserve">Audit firm size </w:t>
            </w:r>
          </w:p>
          <w:p w14:paraId="5346D5AB" w14:textId="77777777" w:rsidR="00FA14FE" w:rsidRPr="00DE13EE" w:rsidRDefault="00FA14FE" w:rsidP="009D0993">
            <w:pPr>
              <w:autoSpaceDE w:val="0"/>
              <w:autoSpaceDN w:val="0"/>
              <w:adjustRightInd w:val="0"/>
              <w:rPr>
                <w:b/>
                <w:color w:val="000000" w:themeColor="text1"/>
                <w:lang w:eastAsia="en-GB"/>
              </w:rPr>
            </w:pPr>
          </w:p>
        </w:tc>
      </w:tr>
      <w:tr w:rsidR="00DE13EE" w:rsidRPr="00DE13EE" w14:paraId="788FF3CF" w14:textId="77777777" w:rsidTr="009D0993">
        <w:trPr>
          <w:trHeight w:val="811"/>
          <w:jc w:val="center"/>
        </w:trPr>
        <w:tc>
          <w:tcPr>
            <w:tcW w:w="2351" w:type="dxa"/>
            <w:vMerge/>
            <w:tcBorders>
              <w:left w:val="nil"/>
              <w:bottom w:val="single" w:sz="4" w:space="0" w:color="auto"/>
              <w:right w:val="nil"/>
            </w:tcBorders>
            <w:vAlign w:val="center"/>
          </w:tcPr>
          <w:p w14:paraId="4ABD15F9" w14:textId="77777777" w:rsidR="00FA14FE" w:rsidRPr="00DE13EE" w:rsidRDefault="00FA14FE" w:rsidP="009D0993">
            <w:pPr>
              <w:autoSpaceDE w:val="0"/>
              <w:autoSpaceDN w:val="0"/>
              <w:adjustRightInd w:val="0"/>
              <w:rPr>
                <w:b/>
                <w:bCs/>
                <w:color w:val="000000" w:themeColor="text1"/>
                <w:lang w:eastAsia="en-GB"/>
              </w:rPr>
            </w:pPr>
          </w:p>
        </w:tc>
        <w:tc>
          <w:tcPr>
            <w:tcW w:w="1464" w:type="dxa"/>
            <w:vMerge/>
            <w:tcBorders>
              <w:left w:val="nil"/>
              <w:bottom w:val="single" w:sz="4" w:space="0" w:color="auto"/>
              <w:right w:val="nil"/>
            </w:tcBorders>
            <w:vAlign w:val="center"/>
          </w:tcPr>
          <w:p w14:paraId="5300D39D" w14:textId="77777777" w:rsidR="00FA14FE" w:rsidRPr="00DE13EE" w:rsidRDefault="00FA14FE" w:rsidP="009D0993">
            <w:pPr>
              <w:autoSpaceDE w:val="0"/>
              <w:autoSpaceDN w:val="0"/>
              <w:adjustRightInd w:val="0"/>
              <w:rPr>
                <w:b/>
                <w:bCs/>
                <w:color w:val="000000" w:themeColor="text1"/>
                <w:lang w:eastAsia="en-GB"/>
              </w:rPr>
            </w:pPr>
          </w:p>
        </w:tc>
        <w:tc>
          <w:tcPr>
            <w:tcW w:w="1345" w:type="dxa"/>
            <w:tcBorders>
              <w:left w:val="nil"/>
              <w:bottom w:val="single" w:sz="4" w:space="0" w:color="auto"/>
              <w:right w:val="nil"/>
            </w:tcBorders>
            <w:vAlign w:val="center"/>
          </w:tcPr>
          <w:p w14:paraId="61C305ED" w14:textId="77777777" w:rsidR="00FA14FE" w:rsidRPr="00DE13EE" w:rsidRDefault="00FA14FE" w:rsidP="009D0993">
            <w:pPr>
              <w:autoSpaceDE w:val="0"/>
              <w:autoSpaceDN w:val="0"/>
              <w:adjustRightInd w:val="0"/>
              <w:rPr>
                <w:b/>
                <w:bCs/>
                <w:color w:val="000000" w:themeColor="text1"/>
                <w:lang w:eastAsia="en-GB"/>
              </w:rPr>
            </w:pPr>
            <w:r w:rsidRPr="00DE13EE">
              <w:rPr>
                <w:b/>
                <w:bCs/>
                <w:color w:val="000000" w:themeColor="text1"/>
                <w:lang w:eastAsia="en-GB"/>
              </w:rPr>
              <w:t>High-performing</w:t>
            </w:r>
          </w:p>
        </w:tc>
        <w:tc>
          <w:tcPr>
            <w:tcW w:w="1372" w:type="dxa"/>
            <w:tcBorders>
              <w:left w:val="nil"/>
              <w:bottom w:val="single" w:sz="4" w:space="0" w:color="auto"/>
              <w:right w:val="nil"/>
            </w:tcBorders>
            <w:vAlign w:val="center"/>
          </w:tcPr>
          <w:p w14:paraId="11C7316A" w14:textId="77777777" w:rsidR="00FA14FE" w:rsidRPr="00DE13EE" w:rsidRDefault="00FA14FE" w:rsidP="009D0993">
            <w:pPr>
              <w:autoSpaceDE w:val="0"/>
              <w:autoSpaceDN w:val="0"/>
              <w:adjustRightInd w:val="0"/>
              <w:rPr>
                <w:b/>
                <w:bCs/>
                <w:color w:val="000000" w:themeColor="text1"/>
                <w:lang w:eastAsia="en-GB"/>
              </w:rPr>
            </w:pPr>
            <w:r w:rsidRPr="00DE13EE">
              <w:rPr>
                <w:b/>
                <w:bCs/>
                <w:color w:val="000000" w:themeColor="text1"/>
                <w:lang w:eastAsia="en-GB"/>
              </w:rPr>
              <w:t>Low-performing</w:t>
            </w:r>
          </w:p>
        </w:tc>
        <w:tc>
          <w:tcPr>
            <w:tcW w:w="1742" w:type="dxa"/>
            <w:tcBorders>
              <w:left w:val="nil"/>
              <w:bottom w:val="single" w:sz="4" w:space="0" w:color="auto"/>
              <w:right w:val="nil"/>
            </w:tcBorders>
            <w:vAlign w:val="center"/>
          </w:tcPr>
          <w:p w14:paraId="21BF5A98" w14:textId="77777777" w:rsidR="00FA14FE" w:rsidRPr="00DE13EE" w:rsidRDefault="00FA14FE" w:rsidP="009D0993">
            <w:pPr>
              <w:autoSpaceDE w:val="0"/>
              <w:autoSpaceDN w:val="0"/>
              <w:adjustRightInd w:val="0"/>
              <w:rPr>
                <w:b/>
                <w:bCs/>
                <w:color w:val="000000" w:themeColor="text1"/>
                <w:lang w:eastAsia="en-GB"/>
              </w:rPr>
            </w:pPr>
            <w:r w:rsidRPr="00DE13EE">
              <w:rPr>
                <w:b/>
                <w:bCs/>
                <w:color w:val="000000" w:themeColor="text1"/>
                <w:lang w:eastAsia="en-GB"/>
              </w:rPr>
              <w:t xml:space="preserve">Big-N </w:t>
            </w:r>
          </w:p>
          <w:p w14:paraId="45033DB4" w14:textId="77777777" w:rsidR="00FA14FE" w:rsidRPr="00DE13EE" w:rsidRDefault="00FA14FE" w:rsidP="009D0993">
            <w:pPr>
              <w:autoSpaceDE w:val="0"/>
              <w:autoSpaceDN w:val="0"/>
              <w:adjustRightInd w:val="0"/>
              <w:rPr>
                <w:b/>
                <w:bCs/>
                <w:color w:val="000000" w:themeColor="text1"/>
                <w:lang w:eastAsia="en-GB"/>
              </w:rPr>
            </w:pPr>
            <w:r w:rsidRPr="00DE13EE">
              <w:rPr>
                <w:b/>
                <w:bCs/>
                <w:color w:val="000000" w:themeColor="text1"/>
                <w:lang w:eastAsia="en-GB"/>
              </w:rPr>
              <w:t xml:space="preserve">Auditor  </w:t>
            </w:r>
          </w:p>
        </w:tc>
        <w:tc>
          <w:tcPr>
            <w:tcW w:w="1771" w:type="dxa"/>
            <w:tcBorders>
              <w:left w:val="nil"/>
              <w:bottom w:val="single" w:sz="4" w:space="0" w:color="auto"/>
              <w:right w:val="nil"/>
            </w:tcBorders>
            <w:vAlign w:val="center"/>
          </w:tcPr>
          <w:p w14:paraId="2862FCFB" w14:textId="77777777" w:rsidR="00FA14FE" w:rsidRPr="00DE13EE" w:rsidRDefault="00FA14FE" w:rsidP="009D0993">
            <w:pPr>
              <w:autoSpaceDE w:val="0"/>
              <w:autoSpaceDN w:val="0"/>
              <w:adjustRightInd w:val="0"/>
              <w:rPr>
                <w:b/>
                <w:bCs/>
                <w:color w:val="000000" w:themeColor="text1"/>
                <w:lang w:eastAsia="en-GB"/>
              </w:rPr>
            </w:pPr>
            <w:r w:rsidRPr="00DE13EE">
              <w:rPr>
                <w:b/>
                <w:bCs/>
                <w:color w:val="000000" w:themeColor="text1"/>
                <w:lang w:eastAsia="en-GB"/>
              </w:rPr>
              <w:t xml:space="preserve">Non Big-N Auditor  </w:t>
            </w:r>
          </w:p>
        </w:tc>
      </w:tr>
      <w:tr w:rsidR="00DE13EE" w:rsidRPr="00DE13EE" w14:paraId="4B5AB531" w14:textId="77777777" w:rsidTr="009D0993">
        <w:trPr>
          <w:trHeight w:val="536"/>
          <w:jc w:val="center"/>
        </w:trPr>
        <w:tc>
          <w:tcPr>
            <w:tcW w:w="2351" w:type="dxa"/>
            <w:tcBorders>
              <w:left w:val="nil"/>
              <w:bottom w:val="nil"/>
              <w:right w:val="nil"/>
            </w:tcBorders>
            <w:vAlign w:val="center"/>
          </w:tcPr>
          <w:p w14:paraId="4589491B" w14:textId="77777777" w:rsidR="00FA14FE" w:rsidRPr="00DE13EE" w:rsidRDefault="00FA14FE" w:rsidP="009D0993">
            <w:pPr>
              <w:autoSpaceDE w:val="0"/>
              <w:autoSpaceDN w:val="0"/>
              <w:adjustRightInd w:val="0"/>
              <w:spacing w:line="276" w:lineRule="auto"/>
              <w:rPr>
                <w:b/>
                <w:bCs/>
                <w:color w:val="000000" w:themeColor="text1"/>
                <w:lang w:eastAsia="en-GB"/>
              </w:rPr>
            </w:pPr>
            <w:r w:rsidRPr="00DE13EE">
              <w:rPr>
                <w:b/>
                <w:bCs/>
                <w:color w:val="000000" w:themeColor="text1"/>
                <w:lang w:eastAsia="en-GB"/>
              </w:rPr>
              <w:t>Sargan statistic</w:t>
            </w:r>
          </w:p>
        </w:tc>
        <w:tc>
          <w:tcPr>
            <w:tcW w:w="1464" w:type="dxa"/>
            <w:tcBorders>
              <w:left w:val="nil"/>
              <w:bottom w:val="nil"/>
              <w:right w:val="nil"/>
            </w:tcBorders>
            <w:vAlign w:val="center"/>
          </w:tcPr>
          <w:p w14:paraId="3EC662DB" w14:textId="77777777" w:rsidR="00FA14FE" w:rsidRPr="00DE13EE" w:rsidRDefault="00FA14FE" w:rsidP="009D0993">
            <w:pPr>
              <w:autoSpaceDE w:val="0"/>
              <w:autoSpaceDN w:val="0"/>
              <w:adjustRightInd w:val="0"/>
              <w:spacing w:line="276" w:lineRule="auto"/>
              <w:rPr>
                <w:color w:val="000000" w:themeColor="text1"/>
                <w:lang w:eastAsia="en-GB"/>
              </w:rPr>
            </w:pPr>
            <w:r w:rsidRPr="00DE13EE">
              <w:rPr>
                <w:color w:val="000000" w:themeColor="text1"/>
                <w:lang w:eastAsia="en-GB"/>
              </w:rPr>
              <w:t>1.523</w:t>
            </w:r>
          </w:p>
          <w:p w14:paraId="5BCB416D" w14:textId="77777777" w:rsidR="00FA14FE" w:rsidRPr="00DE13EE" w:rsidRDefault="00FA14FE" w:rsidP="009D0993">
            <w:pPr>
              <w:autoSpaceDE w:val="0"/>
              <w:autoSpaceDN w:val="0"/>
              <w:adjustRightInd w:val="0"/>
              <w:spacing w:line="276" w:lineRule="auto"/>
              <w:rPr>
                <w:color w:val="000000" w:themeColor="text1"/>
                <w:lang w:eastAsia="en-GB"/>
              </w:rPr>
            </w:pPr>
            <w:r w:rsidRPr="00DE13EE">
              <w:rPr>
                <w:color w:val="000000" w:themeColor="text1"/>
                <w:lang w:eastAsia="en-GB"/>
              </w:rPr>
              <w:t>(.524)</w:t>
            </w:r>
          </w:p>
        </w:tc>
        <w:tc>
          <w:tcPr>
            <w:tcW w:w="1345" w:type="dxa"/>
            <w:tcBorders>
              <w:left w:val="nil"/>
              <w:bottom w:val="nil"/>
              <w:right w:val="nil"/>
            </w:tcBorders>
            <w:vAlign w:val="center"/>
          </w:tcPr>
          <w:p w14:paraId="1F99D295" w14:textId="77777777" w:rsidR="00FA14FE" w:rsidRPr="00DE13EE" w:rsidRDefault="00FA14FE" w:rsidP="009D0993">
            <w:pPr>
              <w:autoSpaceDE w:val="0"/>
              <w:autoSpaceDN w:val="0"/>
              <w:adjustRightInd w:val="0"/>
              <w:spacing w:line="276" w:lineRule="auto"/>
              <w:rPr>
                <w:color w:val="000000" w:themeColor="text1"/>
                <w:lang w:eastAsia="en-GB"/>
              </w:rPr>
            </w:pPr>
            <w:r w:rsidRPr="00DE13EE">
              <w:rPr>
                <w:color w:val="000000" w:themeColor="text1"/>
                <w:lang w:eastAsia="en-GB"/>
              </w:rPr>
              <w:t>1.906</w:t>
            </w:r>
          </w:p>
          <w:p w14:paraId="6B306BC1" w14:textId="77777777" w:rsidR="00FA14FE" w:rsidRPr="00DE13EE" w:rsidRDefault="00FA14FE" w:rsidP="009D0993">
            <w:pPr>
              <w:autoSpaceDE w:val="0"/>
              <w:autoSpaceDN w:val="0"/>
              <w:adjustRightInd w:val="0"/>
              <w:spacing w:line="276" w:lineRule="auto"/>
              <w:rPr>
                <w:color w:val="000000" w:themeColor="text1"/>
                <w:lang w:eastAsia="en-GB"/>
              </w:rPr>
            </w:pPr>
            <w:r w:rsidRPr="00DE13EE">
              <w:rPr>
                <w:color w:val="000000" w:themeColor="text1"/>
                <w:lang w:eastAsia="en-GB"/>
              </w:rPr>
              <w:t>(0.781)</w:t>
            </w:r>
          </w:p>
        </w:tc>
        <w:tc>
          <w:tcPr>
            <w:tcW w:w="1372" w:type="dxa"/>
            <w:tcBorders>
              <w:left w:val="nil"/>
              <w:bottom w:val="nil"/>
              <w:right w:val="nil"/>
            </w:tcBorders>
            <w:vAlign w:val="center"/>
          </w:tcPr>
          <w:p w14:paraId="3BA2ABD9" w14:textId="77777777" w:rsidR="00FA14FE" w:rsidRPr="00DE13EE" w:rsidRDefault="00FA14FE" w:rsidP="009D0993">
            <w:pPr>
              <w:autoSpaceDE w:val="0"/>
              <w:autoSpaceDN w:val="0"/>
              <w:adjustRightInd w:val="0"/>
              <w:spacing w:line="276" w:lineRule="auto"/>
              <w:rPr>
                <w:color w:val="000000" w:themeColor="text1"/>
                <w:lang w:eastAsia="en-GB"/>
              </w:rPr>
            </w:pPr>
            <w:r w:rsidRPr="00DE13EE">
              <w:rPr>
                <w:color w:val="000000" w:themeColor="text1"/>
                <w:lang w:eastAsia="en-GB"/>
              </w:rPr>
              <w:t>1.884</w:t>
            </w:r>
          </w:p>
          <w:p w14:paraId="6AA76A7D" w14:textId="77777777" w:rsidR="00FA14FE" w:rsidRPr="00DE13EE" w:rsidRDefault="00FA14FE" w:rsidP="009D0993">
            <w:pPr>
              <w:autoSpaceDE w:val="0"/>
              <w:autoSpaceDN w:val="0"/>
              <w:adjustRightInd w:val="0"/>
              <w:spacing w:line="276" w:lineRule="auto"/>
              <w:rPr>
                <w:color w:val="000000" w:themeColor="text1"/>
                <w:lang w:eastAsia="en-GB"/>
              </w:rPr>
            </w:pPr>
            <w:r w:rsidRPr="00DE13EE">
              <w:rPr>
                <w:color w:val="000000" w:themeColor="text1"/>
                <w:lang w:eastAsia="en-GB"/>
              </w:rPr>
              <w:t>(0.142)</w:t>
            </w:r>
          </w:p>
        </w:tc>
        <w:tc>
          <w:tcPr>
            <w:tcW w:w="1742" w:type="dxa"/>
            <w:tcBorders>
              <w:left w:val="nil"/>
              <w:bottom w:val="nil"/>
              <w:right w:val="nil"/>
            </w:tcBorders>
          </w:tcPr>
          <w:p w14:paraId="33AD2244" w14:textId="77777777" w:rsidR="00FA14FE" w:rsidRPr="00DE13EE" w:rsidRDefault="00FA14FE" w:rsidP="009D0993">
            <w:pPr>
              <w:autoSpaceDE w:val="0"/>
              <w:autoSpaceDN w:val="0"/>
              <w:adjustRightInd w:val="0"/>
              <w:spacing w:line="276" w:lineRule="auto"/>
              <w:rPr>
                <w:color w:val="000000" w:themeColor="text1"/>
                <w:lang w:eastAsia="en-GB"/>
              </w:rPr>
            </w:pPr>
            <w:r w:rsidRPr="00DE13EE">
              <w:rPr>
                <w:color w:val="000000" w:themeColor="text1"/>
                <w:lang w:eastAsia="en-GB"/>
              </w:rPr>
              <w:t>2.0966</w:t>
            </w:r>
          </w:p>
          <w:p w14:paraId="140850EA" w14:textId="77777777" w:rsidR="00FA14FE" w:rsidRPr="00DE13EE" w:rsidRDefault="00FA14FE" w:rsidP="009D0993">
            <w:pPr>
              <w:autoSpaceDE w:val="0"/>
              <w:autoSpaceDN w:val="0"/>
              <w:adjustRightInd w:val="0"/>
              <w:spacing w:line="276" w:lineRule="auto"/>
              <w:rPr>
                <w:color w:val="000000" w:themeColor="text1"/>
                <w:lang w:eastAsia="en-GB"/>
              </w:rPr>
            </w:pPr>
            <w:r w:rsidRPr="00DE13EE">
              <w:rPr>
                <w:color w:val="000000" w:themeColor="text1"/>
                <w:lang w:eastAsia="en-GB"/>
              </w:rPr>
              <w:t>(</w:t>
            </w:r>
            <w:r w:rsidRPr="00DE13EE">
              <w:rPr>
                <w:color w:val="000000" w:themeColor="text1"/>
              </w:rPr>
              <w:t>0.8591)</w:t>
            </w:r>
          </w:p>
        </w:tc>
        <w:tc>
          <w:tcPr>
            <w:tcW w:w="1771" w:type="dxa"/>
            <w:tcBorders>
              <w:left w:val="nil"/>
              <w:bottom w:val="nil"/>
              <w:right w:val="nil"/>
            </w:tcBorders>
          </w:tcPr>
          <w:p w14:paraId="1E14DC0E" w14:textId="77777777" w:rsidR="00FA14FE" w:rsidRPr="00DE13EE" w:rsidRDefault="00FA14FE" w:rsidP="009D0993">
            <w:pPr>
              <w:autoSpaceDE w:val="0"/>
              <w:autoSpaceDN w:val="0"/>
              <w:adjustRightInd w:val="0"/>
              <w:spacing w:line="276" w:lineRule="auto"/>
              <w:rPr>
                <w:color w:val="000000" w:themeColor="text1"/>
                <w:lang w:eastAsia="en-GB"/>
              </w:rPr>
            </w:pPr>
            <w:r w:rsidRPr="00DE13EE">
              <w:rPr>
                <w:color w:val="000000" w:themeColor="text1"/>
                <w:lang w:eastAsia="en-GB"/>
              </w:rPr>
              <w:t>1.8276</w:t>
            </w:r>
          </w:p>
          <w:p w14:paraId="214ABDA9" w14:textId="77777777" w:rsidR="00FA14FE" w:rsidRPr="00DE13EE" w:rsidRDefault="00FA14FE" w:rsidP="009D0993">
            <w:pPr>
              <w:autoSpaceDE w:val="0"/>
              <w:autoSpaceDN w:val="0"/>
              <w:adjustRightInd w:val="0"/>
              <w:spacing w:line="276" w:lineRule="auto"/>
              <w:rPr>
                <w:color w:val="000000" w:themeColor="text1"/>
                <w:lang w:eastAsia="en-GB"/>
              </w:rPr>
            </w:pPr>
            <w:r w:rsidRPr="00DE13EE">
              <w:rPr>
                <w:color w:val="000000" w:themeColor="text1"/>
                <w:lang w:eastAsia="en-GB"/>
              </w:rPr>
              <w:t>(0.6288)</w:t>
            </w:r>
          </w:p>
        </w:tc>
      </w:tr>
      <w:tr w:rsidR="00DE13EE" w:rsidRPr="00DE13EE" w14:paraId="1EED92B0" w14:textId="77777777" w:rsidTr="009D0993">
        <w:trPr>
          <w:trHeight w:val="521"/>
          <w:jc w:val="center"/>
        </w:trPr>
        <w:tc>
          <w:tcPr>
            <w:tcW w:w="2351" w:type="dxa"/>
            <w:tcBorders>
              <w:top w:val="nil"/>
              <w:left w:val="nil"/>
              <w:bottom w:val="nil"/>
              <w:right w:val="nil"/>
            </w:tcBorders>
            <w:vAlign w:val="center"/>
          </w:tcPr>
          <w:p w14:paraId="71E5E680" w14:textId="77777777" w:rsidR="00FA14FE" w:rsidRPr="00DE13EE" w:rsidRDefault="00FA14FE" w:rsidP="009D0993">
            <w:pPr>
              <w:autoSpaceDE w:val="0"/>
              <w:autoSpaceDN w:val="0"/>
              <w:adjustRightInd w:val="0"/>
              <w:spacing w:line="276" w:lineRule="auto"/>
              <w:rPr>
                <w:b/>
                <w:bCs/>
                <w:color w:val="000000" w:themeColor="text1"/>
                <w:lang w:eastAsia="en-GB"/>
              </w:rPr>
            </w:pPr>
            <w:r w:rsidRPr="00DE13EE">
              <w:rPr>
                <w:b/>
                <w:bCs/>
                <w:color w:val="000000" w:themeColor="text1"/>
                <w:lang w:eastAsia="en-GB"/>
              </w:rPr>
              <w:t>Basmann statistic</w:t>
            </w:r>
          </w:p>
        </w:tc>
        <w:tc>
          <w:tcPr>
            <w:tcW w:w="1464" w:type="dxa"/>
            <w:tcBorders>
              <w:top w:val="nil"/>
              <w:left w:val="nil"/>
              <w:bottom w:val="nil"/>
              <w:right w:val="nil"/>
            </w:tcBorders>
            <w:vAlign w:val="center"/>
          </w:tcPr>
          <w:p w14:paraId="1BC8A434" w14:textId="77777777" w:rsidR="00FA14FE" w:rsidRPr="00DE13EE" w:rsidRDefault="00FA14FE" w:rsidP="009D0993">
            <w:pPr>
              <w:autoSpaceDE w:val="0"/>
              <w:autoSpaceDN w:val="0"/>
              <w:adjustRightInd w:val="0"/>
              <w:spacing w:line="276" w:lineRule="auto"/>
              <w:rPr>
                <w:color w:val="000000" w:themeColor="text1"/>
                <w:lang w:eastAsia="en-GB"/>
              </w:rPr>
            </w:pPr>
            <w:r w:rsidRPr="00DE13EE">
              <w:rPr>
                <w:color w:val="000000" w:themeColor="text1"/>
                <w:lang w:eastAsia="en-GB"/>
              </w:rPr>
              <w:t>1.253</w:t>
            </w:r>
          </w:p>
          <w:p w14:paraId="7B502159" w14:textId="77777777" w:rsidR="00FA14FE" w:rsidRPr="00DE13EE" w:rsidRDefault="00FA14FE" w:rsidP="009D0993">
            <w:pPr>
              <w:autoSpaceDE w:val="0"/>
              <w:autoSpaceDN w:val="0"/>
              <w:adjustRightInd w:val="0"/>
              <w:spacing w:line="276" w:lineRule="auto"/>
              <w:rPr>
                <w:color w:val="000000" w:themeColor="text1"/>
                <w:lang w:eastAsia="en-GB"/>
              </w:rPr>
            </w:pPr>
            <w:r w:rsidRPr="00DE13EE">
              <w:rPr>
                <w:color w:val="000000" w:themeColor="text1"/>
                <w:lang w:eastAsia="en-GB"/>
              </w:rPr>
              <w:t>(0.540)</w:t>
            </w:r>
          </w:p>
        </w:tc>
        <w:tc>
          <w:tcPr>
            <w:tcW w:w="1345" w:type="dxa"/>
            <w:tcBorders>
              <w:top w:val="nil"/>
              <w:left w:val="nil"/>
              <w:bottom w:val="nil"/>
              <w:right w:val="nil"/>
            </w:tcBorders>
            <w:vAlign w:val="center"/>
          </w:tcPr>
          <w:p w14:paraId="4C1C57F4" w14:textId="77777777" w:rsidR="00FA14FE" w:rsidRPr="00DE13EE" w:rsidRDefault="00FA14FE" w:rsidP="009D0993">
            <w:pPr>
              <w:autoSpaceDE w:val="0"/>
              <w:autoSpaceDN w:val="0"/>
              <w:adjustRightInd w:val="0"/>
              <w:spacing w:line="276" w:lineRule="auto"/>
              <w:rPr>
                <w:color w:val="000000" w:themeColor="text1"/>
                <w:lang w:eastAsia="en-GB"/>
              </w:rPr>
            </w:pPr>
            <w:r w:rsidRPr="00DE13EE">
              <w:rPr>
                <w:color w:val="000000" w:themeColor="text1"/>
                <w:lang w:eastAsia="en-GB"/>
              </w:rPr>
              <w:t>1.679</w:t>
            </w:r>
          </w:p>
          <w:p w14:paraId="766718F5" w14:textId="77777777" w:rsidR="00FA14FE" w:rsidRPr="00DE13EE" w:rsidRDefault="00FA14FE" w:rsidP="009D0993">
            <w:pPr>
              <w:autoSpaceDE w:val="0"/>
              <w:autoSpaceDN w:val="0"/>
              <w:adjustRightInd w:val="0"/>
              <w:spacing w:line="276" w:lineRule="auto"/>
              <w:rPr>
                <w:color w:val="000000" w:themeColor="text1"/>
                <w:lang w:eastAsia="en-GB"/>
              </w:rPr>
            </w:pPr>
            <w:r w:rsidRPr="00DE13EE">
              <w:rPr>
                <w:color w:val="000000" w:themeColor="text1"/>
                <w:lang w:eastAsia="en-GB"/>
              </w:rPr>
              <w:t>(0.787)</w:t>
            </w:r>
          </w:p>
        </w:tc>
        <w:tc>
          <w:tcPr>
            <w:tcW w:w="1372" w:type="dxa"/>
            <w:tcBorders>
              <w:top w:val="nil"/>
              <w:left w:val="nil"/>
              <w:bottom w:val="nil"/>
              <w:right w:val="nil"/>
            </w:tcBorders>
            <w:vAlign w:val="center"/>
          </w:tcPr>
          <w:p w14:paraId="6C356FBA" w14:textId="77777777" w:rsidR="00FA14FE" w:rsidRPr="00DE13EE" w:rsidRDefault="00FA14FE" w:rsidP="009D0993">
            <w:pPr>
              <w:autoSpaceDE w:val="0"/>
              <w:autoSpaceDN w:val="0"/>
              <w:adjustRightInd w:val="0"/>
              <w:spacing w:line="276" w:lineRule="auto"/>
              <w:rPr>
                <w:color w:val="000000" w:themeColor="text1"/>
                <w:lang w:eastAsia="en-GB"/>
              </w:rPr>
            </w:pPr>
            <w:r w:rsidRPr="00DE13EE">
              <w:rPr>
                <w:color w:val="000000" w:themeColor="text1"/>
                <w:lang w:eastAsia="en-GB"/>
              </w:rPr>
              <w:t>1.723</w:t>
            </w:r>
          </w:p>
          <w:p w14:paraId="590C352B" w14:textId="77777777" w:rsidR="00FA14FE" w:rsidRPr="00DE13EE" w:rsidRDefault="00FA14FE" w:rsidP="009D0993">
            <w:pPr>
              <w:autoSpaceDE w:val="0"/>
              <w:autoSpaceDN w:val="0"/>
              <w:adjustRightInd w:val="0"/>
              <w:spacing w:line="276" w:lineRule="auto"/>
              <w:rPr>
                <w:color w:val="000000" w:themeColor="text1"/>
                <w:lang w:eastAsia="en-GB"/>
              </w:rPr>
            </w:pPr>
            <w:r w:rsidRPr="00DE13EE">
              <w:rPr>
                <w:color w:val="000000" w:themeColor="text1"/>
                <w:lang w:eastAsia="en-GB"/>
              </w:rPr>
              <w:t>(0.185)</w:t>
            </w:r>
          </w:p>
        </w:tc>
        <w:tc>
          <w:tcPr>
            <w:tcW w:w="1742" w:type="dxa"/>
            <w:tcBorders>
              <w:top w:val="nil"/>
              <w:left w:val="nil"/>
              <w:bottom w:val="nil"/>
              <w:right w:val="nil"/>
            </w:tcBorders>
          </w:tcPr>
          <w:p w14:paraId="4460A38A" w14:textId="77777777" w:rsidR="00FA14FE" w:rsidRPr="00DE13EE" w:rsidRDefault="00FA14FE" w:rsidP="009D0993">
            <w:pPr>
              <w:autoSpaceDE w:val="0"/>
              <w:autoSpaceDN w:val="0"/>
              <w:adjustRightInd w:val="0"/>
              <w:spacing w:line="276" w:lineRule="auto"/>
              <w:rPr>
                <w:color w:val="000000" w:themeColor="text1"/>
                <w:lang w:eastAsia="en-GB"/>
              </w:rPr>
            </w:pPr>
            <w:r w:rsidRPr="00DE13EE">
              <w:rPr>
                <w:color w:val="000000" w:themeColor="text1"/>
                <w:lang w:eastAsia="en-GB"/>
              </w:rPr>
              <w:t>1.8469</w:t>
            </w:r>
          </w:p>
          <w:p w14:paraId="4A6EB4B5" w14:textId="77777777" w:rsidR="00FA14FE" w:rsidRPr="00DE13EE" w:rsidRDefault="00FA14FE" w:rsidP="009D0993">
            <w:pPr>
              <w:autoSpaceDE w:val="0"/>
              <w:autoSpaceDN w:val="0"/>
              <w:adjustRightInd w:val="0"/>
              <w:spacing w:line="276" w:lineRule="auto"/>
              <w:rPr>
                <w:color w:val="000000" w:themeColor="text1"/>
                <w:lang w:eastAsia="en-GB"/>
              </w:rPr>
            </w:pPr>
            <w:r w:rsidRPr="00DE13EE">
              <w:rPr>
                <w:color w:val="000000" w:themeColor="text1"/>
                <w:lang w:eastAsia="en-GB"/>
              </w:rPr>
              <w:t>(</w:t>
            </w:r>
            <w:r w:rsidRPr="00DE13EE">
              <w:rPr>
                <w:color w:val="000000" w:themeColor="text1"/>
              </w:rPr>
              <w:t>0.8657</w:t>
            </w:r>
          </w:p>
        </w:tc>
        <w:tc>
          <w:tcPr>
            <w:tcW w:w="1771" w:type="dxa"/>
            <w:tcBorders>
              <w:top w:val="nil"/>
              <w:left w:val="nil"/>
              <w:bottom w:val="nil"/>
              <w:right w:val="nil"/>
            </w:tcBorders>
          </w:tcPr>
          <w:p w14:paraId="141759D9" w14:textId="77777777" w:rsidR="00FA14FE" w:rsidRPr="00DE13EE" w:rsidRDefault="00FA14FE" w:rsidP="009D0993">
            <w:pPr>
              <w:autoSpaceDE w:val="0"/>
              <w:autoSpaceDN w:val="0"/>
              <w:adjustRightInd w:val="0"/>
              <w:spacing w:line="276" w:lineRule="auto"/>
              <w:rPr>
                <w:color w:val="000000" w:themeColor="text1"/>
                <w:lang w:eastAsia="en-GB"/>
              </w:rPr>
            </w:pPr>
            <w:r w:rsidRPr="00DE13EE">
              <w:rPr>
                <w:color w:val="000000" w:themeColor="text1"/>
                <w:lang w:eastAsia="en-GB"/>
              </w:rPr>
              <w:t>1.5036</w:t>
            </w:r>
          </w:p>
          <w:p w14:paraId="5EDEA85B" w14:textId="77777777" w:rsidR="00FA14FE" w:rsidRPr="00DE13EE" w:rsidRDefault="00FA14FE" w:rsidP="009D0993">
            <w:pPr>
              <w:autoSpaceDE w:val="0"/>
              <w:autoSpaceDN w:val="0"/>
              <w:adjustRightInd w:val="0"/>
              <w:spacing w:line="276" w:lineRule="auto"/>
              <w:rPr>
                <w:color w:val="000000" w:themeColor="text1"/>
                <w:lang w:eastAsia="en-GB"/>
              </w:rPr>
            </w:pPr>
            <w:r w:rsidRPr="00DE13EE">
              <w:rPr>
                <w:color w:val="000000" w:themeColor="text1"/>
                <w:lang w:eastAsia="en-GB"/>
              </w:rPr>
              <w:t>(0.648)</w:t>
            </w:r>
          </w:p>
        </w:tc>
      </w:tr>
      <w:tr w:rsidR="00DE13EE" w:rsidRPr="00DE13EE" w14:paraId="52385ED2" w14:textId="77777777" w:rsidTr="009D0993">
        <w:trPr>
          <w:trHeight w:val="536"/>
          <w:jc w:val="center"/>
        </w:trPr>
        <w:tc>
          <w:tcPr>
            <w:tcW w:w="2351" w:type="dxa"/>
            <w:tcBorders>
              <w:top w:val="nil"/>
              <w:left w:val="nil"/>
              <w:bottom w:val="nil"/>
              <w:right w:val="nil"/>
            </w:tcBorders>
            <w:vAlign w:val="center"/>
          </w:tcPr>
          <w:p w14:paraId="1B21256F" w14:textId="77777777" w:rsidR="00FA14FE" w:rsidRPr="00DE13EE" w:rsidRDefault="00FA14FE" w:rsidP="009D0993">
            <w:pPr>
              <w:autoSpaceDE w:val="0"/>
              <w:autoSpaceDN w:val="0"/>
              <w:adjustRightInd w:val="0"/>
              <w:spacing w:line="276" w:lineRule="auto"/>
              <w:rPr>
                <w:b/>
                <w:bCs/>
                <w:color w:val="000000" w:themeColor="text1"/>
                <w:lang w:eastAsia="en-GB"/>
              </w:rPr>
            </w:pPr>
            <w:r w:rsidRPr="00DE13EE">
              <w:rPr>
                <w:b/>
                <w:bCs/>
                <w:color w:val="000000" w:themeColor="text1"/>
                <w:lang w:eastAsia="en-GB"/>
              </w:rPr>
              <w:t>Durbin statistic</w:t>
            </w:r>
          </w:p>
        </w:tc>
        <w:tc>
          <w:tcPr>
            <w:tcW w:w="1464" w:type="dxa"/>
            <w:tcBorders>
              <w:top w:val="nil"/>
              <w:left w:val="nil"/>
              <w:bottom w:val="nil"/>
              <w:right w:val="nil"/>
            </w:tcBorders>
            <w:vAlign w:val="center"/>
          </w:tcPr>
          <w:p w14:paraId="61A5CF57" w14:textId="77777777" w:rsidR="00FA14FE" w:rsidRPr="00DE13EE" w:rsidRDefault="00FA14FE" w:rsidP="009D0993">
            <w:pPr>
              <w:autoSpaceDE w:val="0"/>
              <w:autoSpaceDN w:val="0"/>
              <w:adjustRightInd w:val="0"/>
              <w:spacing w:line="276" w:lineRule="auto"/>
              <w:rPr>
                <w:color w:val="000000" w:themeColor="text1"/>
                <w:lang w:eastAsia="en-GB"/>
              </w:rPr>
            </w:pPr>
            <w:r w:rsidRPr="00DE13EE">
              <w:rPr>
                <w:color w:val="000000" w:themeColor="text1"/>
                <w:lang w:eastAsia="en-GB"/>
              </w:rPr>
              <w:t>0.986</w:t>
            </w:r>
          </w:p>
          <w:p w14:paraId="31102967" w14:textId="77777777" w:rsidR="00FA14FE" w:rsidRPr="00DE13EE" w:rsidRDefault="00FA14FE" w:rsidP="009D0993">
            <w:pPr>
              <w:autoSpaceDE w:val="0"/>
              <w:autoSpaceDN w:val="0"/>
              <w:adjustRightInd w:val="0"/>
              <w:spacing w:line="276" w:lineRule="auto"/>
              <w:rPr>
                <w:color w:val="000000" w:themeColor="text1"/>
                <w:lang w:eastAsia="en-GB"/>
              </w:rPr>
            </w:pPr>
            <w:r w:rsidRPr="00DE13EE">
              <w:rPr>
                <w:color w:val="000000" w:themeColor="text1"/>
                <w:lang w:eastAsia="en-GB"/>
              </w:rPr>
              <w:t>(0.501)</w:t>
            </w:r>
          </w:p>
        </w:tc>
        <w:tc>
          <w:tcPr>
            <w:tcW w:w="1345" w:type="dxa"/>
            <w:tcBorders>
              <w:top w:val="nil"/>
              <w:left w:val="nil"/>
              <w:bottom w:val="nil"/>
              <w:right w:val="nil"/>
            </w:tcBorders>
            <w:vAlign w:val="center"/>
          </w:tcPr>
          <w:p w14:paraId="5411245E" w14:textId="77777777" w:rsidR="00FA14FE" w:rsidRPr="00DE13EE" w:rsidRDefault="00FA14FE" w:rsidP="009D0993">
            <w:pPr>
              <w:autoSpaceDE w:val="0"/>
              <w:autoSpaceDN w:val="0"/>
              <w:adjustRightInd w:val="0"/>
              <w:spacing w:line="276" w:lineRule="auto"/>
              <w:rPr>
                <w:color w:val="000000" w:themeColor="text1"/>
                <w:lang w:eastAsia="en-GB"/>
              </w:rPr>
            </w:pPr>
            <w:r w:rsidRPr="00DE13EE">
              <w:rPr>
                <w:color w:val="000000" w:themeColor="text1"/>
                <w:lang w:eastAsia="en-GB"/>
              </w:rPr>
              <w:t>0.675</w:t>
            </w:r>
          </w:p>
          <w:p w14:paraId="30ACFCB8" w14:textId="77777777" w:rsidR="00FA14FE" w:rsidRPr="00DE13EE" w:rsidRDefault="00FA14FE" w:rsidP="009D0993">
            <w:pPr>
              <w:autoSpaceDE w:val="0"/>
              <w:autoSpaceDN w:val="0"/>
              <w:adjustRightInd w:val="0"/>
              <w:spacing w:line="276" w:lineRule="auto"/>
              <w:rPr>
                <w:color w:val="000000" w:themeColor="text1"/>
                <w:lang w:eastAsia="en-GB"/>
              </w:rPr>
            </w:pPr>
            <w:r w:rsidRPr="00DE13EE">
              <w:rPr>
                <w:color w:val="000000" w:themeColor="text1"/>
                <w:lang w:eastAsia="en-GB"/>
              </w:rPr>
              <w:t>(0.745)</w:t>
            </w:r>
          </w:p>
        </w:tc>
        <w:tc>
          <w:tcPr>
            <w:tcW w:w="1372" w:type="dxa"/>
            <w:tcBorders>
              <w:top w:val="nil"/>
              <w:left w:val="nil"/>
              <w:bottom w:val="nil"/>
              <w:right w:val="nil"/>
            </w:tcBorders>
            <w:vAlign w:val="center"/>
          </w:tcPr>
          <w:p w14:paraId="7767FF20" w14:textId="77777777" w:rsidR="00FA14FE" w:rsidRPr="00DE13EE" w:rsidRDefault="00FA14FE" w:rsidP="009D0993">
            <w:pPr>
              <w:autoSpaceDE w:val="0"/>
              <w:autoSpaceDN w:val="0"/>
              <w:adjustRightInd w:val="0"/>
              <w:spacing w:line="276" w:lineRule="auto"/>
              <w:rPr>
                <w:color w:val="000000" w:themeColor="text1"/>
                <w:lang w:eastAsia="en-GB"/>
              </w:rPr>
            </w:pPr>
            <w:r w:rsidRPr="00DE13EE">
              <w:rPr>
                <w:color w:val="000000" w:themeColor="text1"/>
                <w:lang w:eastAsia="en-GB"/>
              </w:rPr>
              <w:t>1.265</w:t>
            </w:r>
          </w:p>
          <w:p w14:paraId="6BB3581F" w14:textId="77777777" w:rsidR="00FA14FE" w:rsidRPr="00DE13EE" w:rsidRDefault="00FA14FE" w:rsidP="009D0993">
            <w:pPr>
              <w:autoSpaceDE w:val="0"/>
              <w:autoSpaceDN w:val="0"/>
              <w:adjustRightInd w:val="0"/>
              <w:spacing w:line="276" w:lineRule="auto"/>
              <w:rPr>
                <w:color w:val="000000" w:themeColor="text1"/>
                <w:lang w:eastAsia="en-GB"/>
              </w:rPr>
            </w:pPr>
            <w:r w:rsidRPr="00DE13EE">
              <w:rPr>
                <w:color w:val="000000" w:themeColor="text1"/>
                <w:lang w:eastAsia="en-GB"/>
              </w:rPr>
              <w:t>(0.239)</w:t>
            </w:r>
          </w:p>
        </w:tc>
        <w:tc>
          <w:tcPr>
            <w:tcW w:w="1742" w:type="dxa"/>
            <w:tcBorders>
              <w:top w:val="nil"/>
              <w:left w:val="nil"/>
              <w:bottom w:val="nil"/>
              <w:right w:val="nil"/>
            </w:tcBorders>
          </w:tcPr>
          <w:p w14:paraId="5A4893DF" w14:textId="77777777" w:rsidR="00FA14FE" w:rsidRPr="00DE13EE" w:rsidRDefault="00FA14FE" w:rsidP="009D0993">
            <w:pPr>
              <w:autoSpaceDE w:val="0"/>
              <w:autoSpaceDN w:val="0"/>
              <w:adjustRightInd w:val="0"/>
              <w:spacing w:line="276" w:lineRule="auto"/>
              <w:rPr>
                <w:color w:val="000000" w:themeColor="text1"/>
                <w:lang w:eastAsia="en-GB"/>
              </w:rPr>
            </w:pPr>
            <w:r w:rsidRPr="00DE13EE">
              <w:rPr>
                <w:color w:val="000000" w:themeColor="text1"/>
                <w:lang w:eastAsia="en-GB"/>
              </w:rPr>
              <w:t>0.7425</w:t>
            </w:r>
          </w:p>
          <w:p w14:paraId="2D5DC088" w14:textId="77777777" w:rsidR="00FA14FE" w:rsidRPr="00DE13EE" w:rsidRDefault="00FA14FE" w:rsidP="009D0993">
            <w:pPr>
              <w:autoSpaceDE w:val="0"/>
              <w:autoSpaceDN w:val="0"/>
              <w:adjustRightInd w:val="0"/>
              <w:spacing w:line="276" w:lineRule="auto"/>
              <w:rPr>
                <w:color w:val="000000" w:themeColor="text1"/>
                <w:lang w:eastAsia="en-GB"/>
              </w:rPr>
            </w:pPr>
            <w:r w:rsidRPr="00DE13EE">
              <w:rPr>
                <w:color w:val="000000" w:themeColor="text1"/>
                <w:lang w:eastAsia="en-GB"/>
              </w:rPr>
              <w:t>(</w:t>
            </w:r>
            <w:r w:rsidRPr="00DE13EE">
              <w:rPr>
                <w:color w:val="000000" w:themeColor="text1"/>
              </w:rPr>
              <w:t>0.8195)</w:t>
            </w:r>
          </w:p>
        </w:tc>
        <w:tc>
          <w:tcPr>
            <w:tcW w:w="1771" w:type="dxa"/>
            <w:tcBorders>
              <w:top w:val="nil"/>
              <w:left w:val="nil"/>
              <w:bottom w:val="nil"/>
              <w:right w:val="nil"/>
            </w:tcBorders>
          </w:tcPr>
          <w:p w14:paraId="00AFF82D" w14:textId="77777777" w:rsidR="00FA14FE" w:rsidRPr="00DE13EE" w:rsidRDefault="00FA14FE" w:rsidP="009D0993">
            <w:pPr>
              <w:autoSpaceDE w:val="0"/>
              <w:autoSpaceDN w:val="0"/>
              <w:adjustRightInd w:val="0"/>
              <w:spacing w:line="276" w:lineRule="auto"/>
              <w:rPr>
                <w:color w:val="000000" w:themeColor="text1"/>
                <w:lang w:eastAsia="en-GB"/>
              </w:rPr>
            </w:pPr>
            <w:r w:rsidRPr="00DE13EE">
              <w:rPr>
                <w:color w:val="000000" w:themeColor="text1"/>
                <w:lang w:eastAsia="en-GB"/>
              </w:rPr>
              <w:t>1.1832</w:t>
            </w:r>
          </w:p>
          <w:p w14:paraId="79D096DC" w14:textId="77777777" w:rsidR="00FA14FE" w:rsidRPr="00DE13EE" w:rsidRDefault="00FA14FE" w:rsidP="009D0993">
            <w:pPr>
              <w:autoSpaceDE w:val="0"/>
              <w:autoSpaceDN w:val="0"/>
              <w:adjustRightInd w:val="0"/>
              <w:spacing w:line="276" w:lineRule="auto"/>
              <w:rPr>
                <w:color w:val="000000" w:themeColor="text1"/>
                <w:lang w:eastAsia="en-GB"/>
              </w:rPr>
            </w:pPr>
            <w:r w:rsidRPr="00DE13EE">
              <w:rPr>
                <w:color w:val="000000" w:themeColor="text1"/>
                <w:lang w:eastAsia="en-GB"/>
              </w:rPr>
              <w:t>(0.6012)</w:t>
            </w:r>
          </w:p>
        </w:tc>
      </w:tr>
      <w:tr w:rsidR="00DE13EE" w:rsidRPr="00DE13EE" w14:paraId="2CA11D93" w14:textId="77777777" w:rsidTr="009D0993">
        <w:trPr>
          <w:trHeight w:val="521"/>
          <w:jc w:val="center"/>
        </w:trPr>
        <w:tc>
          <w:tcPr>
            <w:tcW w:w="2351" w:type="dxa"/>
            <w:tcBorders>
              <w:top w:val="nil"/>
              <w:left w:val="nil"/>
              <w:bottom w:val="single" w:sz="4" w:space="0" w:color="auto"/>
              <w:right w:val="nil"/>
            </w:tcBorders>
            <w:vAlign w:val="center"/>
          </w:tcPr>
          <w:p w14:paraId="579A8F0E" w14:textId="77777777" w:rsidR="00FA14FE" w:rsidRPr="00DE13EE" w:rsidRDefault="00FA14FE" w:rsidP="009D0993">
            <w:pPr>
              <w:autoSpaceDE w:val="0"/>
              <w:autoSpaceDN w:val="0"/>
              <w:adjustRightInd w:val="0"/>
              <w:spacing w:line="276" w:lineRule="auto"/>
              <w:rPr>
                <w:b/>
                <w:bCs/>
                <w:color w:val="000000" w:themeColor="text1"/>
                <w:lang w:eastAsia="en-GB"/>
              </w:rPr>
            </w:pPr>
            <w:r w:rsidRPr="00DE13EE">
              <w:rPr>
                <w:b/>
                <w:bCs/>
                <w:color w:val="000000" w:themeColor="text1"/>
                <w:lang w:eastAsia="en-GB"/>
              </w:rPr>
              <w:t>Wu–Haumsan statistic</w:t>
            </w:r>
          </w:p>
        </w:tc>
        <w:tc>
          <w:tcPr>
            <w:tcW w:w="1464" w:type="dxa"/>
            <w:tcBorders>
              <w:top w:val="nil"/>
              <w:left w:val="nil"/>
              <w:bottom w:val="single" w:sz="4" w:space="0" w:color="auto"/>
              <w:right w:val="nil"/>
            </w:tcBorders>
            <w:vAlign w:val="center"/>
          </w:tcPr>
          <w:p w14:paraId="5F6EF416" w14:textId="77777777" w:rsidR="00FA14FE" w:rsidRPr="00DE13EE" w:rsidRDefault="00FA14FE" w:rsidP="009D0993">
            <w:pPr>
              <w:autoSpaceDE w:val="0"/>
              <w:autoSpaceDN w:val="0"/>
              <w:adjustRightInd w:val="0"/>
              <w:spacing w:line="276" w:lineRule="auto"/>
              <w:rPr>
                <w:color w:val="000000" w:themeColor="text1"/>
                <w:lang w:eastAsia="en-GB"/>
              </w:rPr>
            </w:pPr>
            <w:r w:rsidRPr="00DE13EE">
              <w:rPr>
                <w:color w:val="000000" w:themeColor="text1"/>
                <w:lang w:eastAsia="en-GB"/>
              </w:rPr>
              <w:t>0.892</w:t>
            </w:r>
          </w:p>
          <w:p w14:paraId="3E96CE54" w14:textId="77777777" w:rsidR="00FA14FE" w:rsidRPr="00DE13EE" w:rsidRDefault="00FA14FE" w:rsidP="009D0993">
            <w:pPr>
              <w:autoSpaceDE w:val="0"/>
              <w:autoSpaceDN w:val="0"/>
              <w:adjustRightInd w:val="0"/>
              <w:spacing w:line="276" w:lineRule="auto"/>
              <w:rPr>
                <w:color w:val="000000" w:themeColor="text1"/>
                <w:lang w:eastAsia="en-GB"/>
              </w:rPr>
            </w:pPr>
            <w:r w:rsidRPr="00DE13EE">
              <w:rPr>
                <w:color w:val="000000" w:themeColor="text1"/>
                <w:lang w:eastAsia="en-GB"/>
              </w:rPr>
              <w:t>(0.572)</w:t>
            </w:r>
          </w:p>
        </w:tc>
        <w:tc>
          <w:tcPr>
            <w:tcW w:w="1345" w:type="dxa"/>
            <w:tcBorders>
              <w:top w:val="nil"/>
              <w:left w:val="nil"/>
              <w:bottom w:val="single" w:sz="4" w:space="0" w:color="auto"/>
              <w:right w:val="nil"/>
            </w:tcBorders>
            <w:vAlign w:val="center"/>
          </w:tcPr>
          <w:p w14:paraId="3A763A4B" w14:textId="77777777" w:rsidR="00FA14FE" w:rsidRPr="00DE13EE" w:rsidRDefault="00FA14FE" w:rsidP="009D0993">
            <w:pPr>
              <w:autoSpaceDE w:val="0"/>
              <w:autoSpaceDN w:val="0"/>
              <w:adjustRightInd w:val="0"/>
              <w:spacing w:line="276" w:lineRule="auto"/>
              <w:rPr>
                <w:color w:val="000000" w:themeColor="text1"/>
                <w:lang w:eastAsia="en-GB"/>
              </w:rPr>
            </w:pPr>
            <w:r w:rsidRPr="00DE13EE">
              <w:rPr>
                <w:color w:val="000000" w:themeColor="text1"/>
                <w:lang w:eastAsia="en-GB"/>
              </w:rPr>
              <w:t>0.530</w:t>
            </w:r>
          </w:p>
          <w:p w14:paraId="64A7178D" w14:textId="77777777" w:rsidR="00FA14FE" w:rsidRPr="00DE13EE" w:rsidRDefault="00FA14FE" w:rsidP="009D0993">
            <w:pPr>
              <w:autoSpaceDE w:val="0"/>
              <w:autoSpaceDN w:val="0"/>
              <w:adjustRightInd w:val="0"/>
              <w:spacing w:line="276" w:lineRule="auto"/>
              <w:rPr>
                <w:color w:val="000000" w:themeColor="text1"/>
                <w:lang w:eastAsia="en-GB"/>
              </w:rPr>
            </w:pPr>
            <w:r w:rsidRPr="00DE13EE">
              <w:rPr>
                <w:color w:val="000000" w:themeColor="text1"/>
                <w:lang w:eastAsia="en-GB"/>
              </w:rPr>
              <w:t>(0.751)</w:t>
            </w:r>
          </w:p>
        </w:tc>
        <w:tc>
          <w:tcPr>
            <w:tcW w:w="1372" w:type="dxa"/>
            <w:tcBorders>
              <w:top w:val="nil"/>
              <w:left w:val="nil"/>
              <w:bottom w:val="single" w:sz="4" w:space="0" w:color="auto"/>
              <w:right w:val="nil"/>
            </w:tcBorders>
            <w:vAlign w:val="center"/>
          </w:tcPr>
          <w:p w14:paraId="793F60EC" w14:textId="77777777" w:rsidR="00FA14FE" w:rsidRPr="00DE13EE" w:rsidRDefault="00FA14FE" w:rsidP="009D0993">
            <w:pPr>
              <w:autoSpaceDE w:val="0"/>
              <w:autoSpaceDN w:val="0"/>
              <w:adjustRightInd w:val="0"/>
              <w:spacing w:line="276" w:lineRule="auto"/>
              <w:rPr>
                <w:color w:val="000000" w:themeColor="text1"/>
                <w:lang w:eastAsia="en-GB"/>
              </w:rPr>
            </w:pPr>
            <w:r w:rsidRPr="00DE13EE">
              <w:rPr>
                <w:color w:val="000000" w:themeColor="text1"/>
                <w:lang w:eastAsia="en-GB"/>
              </w:rPr>
              <w:t>1.349</w:t>
            </w:r>
          </w:p>
          <w:p w14:paraId="0F7642BC" w14:textId="77777777" w:rsidR="00FA14FE" w:rsidRPr="00DE13EE" w:rsidRDefault="00FA14FE" w:rsidP="009D0993">
            <w:pPr>
              <w:autoSpaceDE w:val="0"/>
              <w:autoSpaceDN w:val="0"/>
              <w:adjustRightInd w:val="0"/>
              <w:spacing w:line="276" w:lineRule="auto"/>
              <w:rPr>
                <w:color w:val="000000" w:themeColor="text1"/>
                <w:lang w:eastAsia="en-GB"/>
              </w:rPr>
            </w:pPr>
            <w:r w:rsidRPr="00DE13EE">
              <w:rPr>
                <w:color w:val="000000" w:themeColor="text1"/>
                <w:lang w:eastAsia="en-GB"/>
              </w:rPr>
              <w:t>(0.269)</w:t>
            </w:r>
          </w:p>
        </w:tc>
        <w:tc>
          <w:tcPr>
            <w:tcW w:w="1742" w:type="dxa"/>
            <w:tcBorders>
              <w:top w:val="nil"/>
              <w:left w:val="nil"/>
              <w:bottom w:val="single" w:sz="4" w:space="0" w:color="auto"/>
              <w:right w:val="nil"/>
            </w:tcBorders>
          </w:tcPr>
          <w:p w14:paraId="46EAE9A8" w14:textId="77777777" w:rsidR="00FA14FE" w:rsidRPr="00DE13EE" w:rsidRDefault="00FA14FE" w:rsidP="009D0993">
            <w:pPr>
              <w:autoSpaceDE w:val="0"/>
              <w:autoSpaceDN w:val="0"/>
              <w:adjustRightInd w:val="0"/>
              <w:spacing w:line="276" w:lineRule="auto"/>
              <w:rPr>
                <w:color w:val="000000" w:themeColor="text1"/>
                <w:lang w:eastAsia="en-GB"/>
              </w:rPr>
            </w:pPr>
            <w:r w:rsidRPr="00DE13EE">
              <w:rPr>
                <w:color w:val="000000" w:themeColor="text1"/>
                <w:lang w:eastAsia="en-GB"/>
              </w:rPr>
              <w:t>0.583</w:t>
            </w:r>
          </w:p>
          <w:p w14:paraId="3D12B72F" w14:textId="77777777" w:rsidR="00FA14FE" w:rsidRPr="00DE13EE" w:rsidRDefault="00FA14FE" w:rsidP="009D0993">
            <w:pPr>
              <w:autoSpaceDE w:val="0"/>
              <w:autoSpaceDN w:val="0"/>
              <w:adjustRightInd w:val="0"/>
              <w:spacing w:line="276" w:lineRule="auto"/>
              <w:rPr>
                <w:color w:val="000000" w:themeColor="text1"/>
                <w:lang w:eastAsia="en-GB"/>
              </w:rPr>
            </w:pPr>
            <w:r w:rsidRPr="00DE13EE">
              <w:rPr>
                <w:color w:val="000000" w:themeColor="text1"/>
                <w:lang w:eastAsia="en-GB"/>
              </w:rPr>
              <w:t>(</w:t>
            </w:r>
            <w:r w:rsidRPr="00DE13EE">
              <w:rPr>
                <w:color w:val="000000" w:themeColor="text1"/>
              </w:rPr>
              <w:t>0.8261)</w:t>
            </w:r>
          </w:p>
        </w:tc>
        <w:tc>
          <w:tcPr>
            <w:tcW w:w="1771" w:type="dxa"/>
            <w:tcBorders>
              <w:top w:val="nil"/>
              <w:left w:val="nil"/>
              <w:bottom w:val="single" w:sz="4" w:space="0" w:color="auto"/>
              <w:right w:val="nil"/>
            </w:tcBorders>
          </w:tcPr>
          <w:p w14:paraId="120A6829" w14:textId="77777777" w:rsidR="00FA14FE" w:rsidRPr="00DE13EE" w:rsidRDefault="00FA14FE" w:rsidP="009D0993">
            <w:pPr>
              <w:autoSpaceDE w:val="0"/>
              <w:autoSpaceDN w:val="0"/>
              <w:adjustRightInd w:val="0"/>
              <w:spacing w:line="276" w:lineRule="auto"/>
              <w:rPr>
                <w:color w:val="000000" w:themeColor="text1"/>
                <w:lang w:eastAsia="en-GB"/>
              </w:rPr>
            </w:pPr>
            <w:r w:rsidRPr="00DE13EE">
              <w:rPr>
                <w:color w:val="000000" w:themeColor="text1"/>
                <w:lang w:eastAsia="en-GB"/>
              </w:rPr>
              <w:t>1.0704</w:t>
            </w:r>
          </w:p>
          <w:p w14:paraId="344A9774" w14:textId="77777777" w:rsidR="00FA14FE" w:rsidRPr="00DE13EE" w:rsidRDefault="00FA14FE" w:rsidP="009D0993">
            <w:pPr>
              <w:autoSpaceDE w:val="0"/>
              <w:autoSpaceDN w:val="0"/>
              <w:adjustRightInd w:val="0"/>
              <w:spacing w:line="276" w:lineRule="auto"/>
              <w:rPr>
                <w:color w:val="000000" w:themeColor="text1"/>
                <w:lang w:eastAsia="en-GB"/>
              </w:rPr>
            </w:pPr>
            <w:r w:rsidRPr="00DE13EE">
              <w:rPr>
                <w:color w:val="000000" w:themeColor="text1"/>
                <w:lang w:eastAsia="en-GB"/>
              </w:rPr>
              <w:t>(0.6864)</w:t>
            </w:r>
          </w:p>
        </w:tc>
      </w:tr>
      <w:tr w:rsidR="00DE13EE" w:rsidRPr="00DE13EE" w14:paraId="42C04D54" w14:textId="77777777" w:rsidTr="009D0993">
        <w:trPr>
          <w:trHeight w:val="216"/>
          <w:jc w:val="center"/>
        </w:trPr>
        <w:tc>
          <w:tcPr>
            <w:tcW w:w="10045" w:type="dxa"/>
            <w:gridSpan w:val="6"/>
            <w:tcBorders>
              <w:left w:val="nil"/>
              <w:bottom w:val="nil"/>
              <w:right w:val="nil"/>
            </w:tcBorders>
          </w:tcPr>
          <w:p w14:paraId="3BF8617A" w14:textId="77777777" w:rsidR="00FA14FE" w:rsidRPr="00DE13EE" w:rsidRDefault="00FA14FE" w:rsidP="009D0993">
            <w:pPr>
              <w:autoSpaceDE w:val="0"/>
              <w:autoSpaceDN w:val="0"/>
              <w:adjustRightInd w:val="0"/>
              <w:jc w:val="both"/>
              <w:rPr>
                <w:color w:val="000000" w:themeColor="text1"/>
                <w:lang w:eastAsia="en-GB"/>
              </w:rPr>
            </w:pPr>
            <w:r w:rsidRPr="00DE13EE">
              <w:rPr>
                <w:b/>
                <w:color w:val="000000" w:themeColor="text1"/>
                <w:lang w:eastAsia="en-GB"/>
              </w:rPr>
              <w:t>Notes</w:t>
            </w:r>
            <w:r w:rsidRPr="00DE13EE">
              <w:rPr>
                <w:color w:val="000000" w:themeColor="text1"/>
                <w:lang w:eastAsia="en-GB"/>
              </w:rPr>
              <w:t>: This Table reports the endogeneity tests’ results for all sample firms, Big-N and Non Big-N auditors firms, and for high and low-performing firms, separately.</w:t>
            </w:r>
          </w:p>
        </w:tc>
      </w:tr>
      <w:tr w:rsidR="00FA14FE" w:rsidRPr="00DE13EE" w14:paraId="0C411717" w14:textId="77777777" w:rsidTr="009D0993">
        <w:trPr>
          <w:trHeight w:val="231"/>
          <w:jc w:val="center"/>
        </w:trPr>
        <w:tc>
          <w:tcPr>
            <w:tcW w:w="10045" w:type="dxa"/>
            <w:gridSpan w:val="6"/>
            <w:tcBorders>
              <w:top w:val="nil"/>
              <w:left w:val="nil"/>
              <w:bottom w:val="nil"/>
              <w:right w:val="nil"/>
            </w:tcBorders>
          </w:tcPr>
          <w:p w14:paraId="66635858" w14:textId="77777777" w:rsidR="00FA14FE" w:rsidRPr="00DE13EE" w:rsidRDefault="00FA14FE" w:rsidP="009D0993">
            <w:pPr>
              <w:autoSpaceDE w:val="0"/>
              <w:autoSpaceDN w:val="0"/>
              <w:adjustRightInd w:val="0"/>
              <w:jc w:val="both"/>
              <w:rPr>
                <w:color w:val="000000" w:themeColor="text1"/>
                <w:lang w:eastAsia="en-GB"/>
              </w:rPr>
            </w:pPr>
            <w:r w:rsidRPr="00DE13EE">
              <w:rPr>
                <w:color w:val="000000" w:themeColor="text1"/>
                <w:lang w:eastAsia="en-GB"/>
              </w:rPr>
              <w:t>The Chi-square and the F values are given in parentheses.</w:t>
            </w:r>
          </w:p>
        </w:tc>
      </w:tr>
    </w:tbl>
    <w:p w14:paraId="381F8F25" w14:textId="77777777" w:rsidR="00FA14FE" w:rsidRPr="00DE13EE" w:rsidRDefault="00FA14FE" w:rsidP="00FA14FE">
      <w:pPr>
        <w:rPr>
          <w:color w:val="000000" w:themeColor="text1"/>
        </w:rPr>
      </w:pPr>
    </w:p>
    <w:p w14:paraId="2DC3445A" w14:textId="77777777" w:rsidR="00FA14FE" w:rsidRPr="00DE13EE" w:rsidRDefault="00FA14FE" w:rsidP="00FA14FE">
      <w:pPr>
        <w:rPr>
          <w:color w:val="000000" w:themeColor="text1"/>
        </w:rPr>
      </w:pPr>
    </w:p>
    <w:p w14:paraId="3721F63B" w14:textId="77777777" w:rsidR="00FA14FE" w:rsidRPr="00DE13EE" w:rsidRDefault="00FA14FE" w:rsidP="00FA14FE">
      <w:pPr>
        <w:rPr>
          <w:color w:val="000000" w:themeColor="text1"/>
        </w:rPr>
      </w:pPr>
    </w:p>
    <w:p w14:paraId="01CBD86F" w14:textId="77777777" w:rsidR="00FA14FE" w:rsidRPr="00DE13EE" w:rsidRDefault="00FA14FE" w:rsidP="004A3441">
      <w:pPr>
        <w:spacing w:before="120" w:after="400"/>
        <w:rPr>
          <w:rFonts w:ascii="Times New Roman" w:eastAsia="SimHei" w:hAnsi="Times New Roman" w:cs="Times New Roman"/>
          <w:color w:val="000000" w:themeColor="text1"/>
          <w:sz w:val="24"/>
          <w:szCs w:val="24"/>
          <w:lang w:val="en-US"/>
        </w:rPr>
      </w:pPr>
    </w:p>
    <w:sectPr w:rsidR="00FA14FE" w:rsidRPr="00DE13EE" w:rsidSect="00575D44">
      <w:footerReference w:type="default" r:id="rId14"/>
      <w:endnotePr>
        <w:numFmt w:val="decimal"/>
      </w:endnotePr>
      <w:pgSz w:w="11906" w:h="16838" w:code="9"/>
      <w:pgMar w:top="1440" w:right="1440" w:bottom="1440" w:left="1440" w:header="709" w:footer="709"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A190C9" w14:textId="77777777" w:rsidR="00D960A1" w:rsidRDefault="00D960A1" w:rsidP="00236B06">
      <w:pPr>
        <w:spacing w:after="0" w:line="240" w:lineRule="auto"/>
      </w:pPr>
      <w:r>
        <w:separator/>
      </w:r>
    </w:p>
  </w:endnote>
  <w:endnote w:type="continuationSeparator" w:id="0">
    <w:p w14:paraId="2EB30964" w14:textId="77777777" w:rsidR="00D960A1" w:rsidRDefault="00D960A1" w:rsidP="00236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273591777"/>
      <w:docPartObj>
        <w:docPartGallery w:val="Page Numbers (Bottom of Page)"/>
        <w:docPartUnique/>
      </w:docPartObj>
    </w:sdtPr>
    <w:sdtEndPr>
      <w:rPr>
        <w:noProof/>
      </w:rPr>
    </w:sdtEndPr>
    <w:sdtContent>
      <w:p w14:paraId="2443ECED" w14:textId="77777777" w:rsidR="00FA14FE" w:rsidRPr="00ED1BFB" w:rsidRDefault="00FA14FE">
        <w:pPr>
          <w:pStyle w:val="Footer"/>
          <w:jc w:val="center"/>
          <w:rPr>
            <w:sz w:val="20"/>
            <w:szCs w:val="20"/>
          </w:rPr>
        </w:pPr>
        <w:r w:rsidRPr="00ED1BFB">
          <w:rPr>
            <w:rFonts w:ascii="Times New Roman" w:hAnsi="Times New Roman" w:cs="Times New Roman"/>
            <w:sz w:val="20"/>
            <w:szCs w:val="20"/>
          </w:rPr>
          <w:fldChar w:fldCharType="begin"/>
        </w:r>
        <w:r w:rsidRPr="00ED1BFB">
          <w:rPr>
            <w:rFonts w:ascii="Times New Roman" w:hAnsi="Times New Roman" w:cs="Times New Roman"/>
            <w:sz w:val="20"/>
            <w:szCs w:val="20"/>
          </w:rPr>
          <w:instrText xml:space="preserve"> PAGE   \* MERGEFORMAT </w:instrText>
        </w:r>
        <w:r w:rsidRPr="00ED1BFB">
          <w:rPr>
            <w:rFonts w:ascii="Times New Roman" w:hAnsi="Times New Roman" w:cs="Times New Roman"/>
            <w:sz w:val="20"/>
            <w:szCs w:val="20"/>
          </w:rPr>
          <w:fldChar w:fldCharType="separate"/>
        </w:r>
        <w:r w:rsidR="00DE13EE">
          <w:rPr>
            <w:rFonts w:ascii="Times New Roman" w:hAnsi="Times New Roman" w:cs="Times New Roman"/>
            <w:noProof/>
            <w:sz w:val="20"/>
            <w:szCs w:val="20"/>
          </w:rPr>
          <w:t>22</w:t>
        </w:r>
        <w:r w:rsidRPr="00ED1BFB">
          <w:rPr>
            <w:rFonts w:ascii="Times New Roman" w:hAnsi="Times New Roman" w:cs="Times New Roman"/>
            <w:noProof/>
            <w:sz w:val="20"/>
            <w:szCs w:val="20"/>
          </w:rPr>
          <w:fldChar w:fldCharType="end"/>
        </w:r>
      </w:p>
    </w:sdtContent>
  </w:sdt>
  <w:p w14:paraId="5CE4FDD6" w14:textId="77777777" w:rsidR="00FA14FE" w:rsidRDefault="00FA14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627372"/>
      <w:docPartObj>
        <w:docPartGallery w:val="Page Numbers (Bottom of Page)"/>
        <w:docPartUnique/>
      </w:docPartObj>
    </w:sdtPr>
    <w:sdtEndPr>
      <w:rPr>
        <w:noProof/>
      </w:rPr>
    </w:sdtEndPr>
    <w:sdtContent>
      <w:p w14:paraId="43EB4029" w14:textId="6F28CA3C" w:rsidR="00B134A5" w:rsidRDefault="00B134A5">
        <w:pPr>
          <w:pStyle w:val="Footer"/>
          <w:jc w:val="center"/>
        </w:pPr>
        <w:r w:rsidRPr="00183B9D">
          <w:rPr>
            <w:rFonts w:ascii="Times New Roman" w:hAnsi="Times New Roman" w:cs="Times New Roman"/>
            <w:sz w:val="20"/>
            <w:szCs w:val="20"/>
          </w:rPr>
          <w:fldChar w:fldCharType="begin"/>
        </w:r>
        <w:r w:rsidRPr="00183B9D">
          <w:rPr>
            <w:rFonts w:ascii="Times New Roman" w:hAnsi="Times New Roman" w:cs="Times New Roman"/>
            <w:sz w:val="20"/>
            <w:szCs w:val="20"/>
          </w:rPr>
          <w:instrText xml:space="preserve"> PAGE   \* MERGEFORMAT </w:instrText>
        </w:r>
        <w:r w:rsidRPr="00183B9D">
          <w:rPr>
            <w:rFonts w:ascii="Times New Roman" w:hAnsi="Times New Roman" w:cs="Times New Roman"/>
            <w:sz w:val="20"/>
            <w:szCs w:val="20"/>
          </w:rPr>
          <w:fldChar w:fldCharType="separate"/>
        </w:r>
        <w:r w:rsidR="00DE13EE">
          <w:rPr>
            <w:rFonts w:ascii="Times New Roman" w:hAnsi="Times New Roman" w:cs="Times New Roman"/>
            <w:noProof/>
            <w:sz w:val="20"/>
            <w:szCs w:val="20"/>
          </w:rPr>
          <w:t>36</w:t>
        </w:r>
        <w:r w:rsidRPr="00183B9D">
          <w:rPr>
            <w:rFonts w:ascii="Times New Roman" w:hAnsi="Times New Roman" w:cs="Times New Roman"/>
            <w:noProof/>
            <w:sz w:val="20"/>
            <w:szCs w:val="20"/>
          </w:rPr>
          <w:fldChar w:fldCharType="end"/>
        </w:r>
      </w:p>
    </w:sdtContent>
  </w:sdt>
  <w:p w14:paraId="33093CA3" w14:textId="77777777" w:rsidR="00B134A5" w:rsidRDefault="00B134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751DDE" w14:textId="77777777" w:rsidR="00D960A1" w:rsidRDefault="00D960A1" w:rsidP="00236B06">
      <w:pPr>
        <w:spacing w:after="0" w:line="240" w:lineRule="auto"/>
      </w:pPr>
      <w:r>
        <w:separator/>
      </w:r>
    </w:p>
  </w:footnote>
  <w:footnote w:type="continuationSeparator" w:id="0">
    <w:p w14:paraId="1BE49EBD" w14:textId="77777777" w:rsidR="00D960A1" w:rsidRDefault="00D960A1" w:rsidP="00236B06">
      <w:pPr>
        <w:spacing w:after="0" w:line="240" w:lineRule="auto"/>
      </w:pPr>
      <w:r>
        <w:continuationSeparator/>
      </w:r>
    </w:p>
  </w:footnote>
  <w:footnote w:id="1">
    <w:p w14:paraId="7EEE2861" w14:textId="3352041F" w:rsidR="00B134A5" w:rsidRPr="00F961FA" w:rsidRDefault="00B134A5" w:rsidP="00F961FA">
      <w:pPr>
        <w:pStyle w:val="FootnoteText"/>
        <w:jc w:val="both"/>
        <w:rPr>
          <w:rFonts w:ascii="Times New Roman" w:hAnsi="Times New Roman" w:cs="Times New Roman"/>
        </w:rPr>
      </w:pPr>
      <w:r w:rsidRPr="00F961FA">
        <w:rPr>
          <w:rStyle w:val="FootnoteReference"/>
          <w:rFonts w:ascii="Times New Roman" w:hAnsi="Times New Roman" w:cs="Times New Roman"/>
        </w:rPr>
        <w:footnoteRef/>
      </w:r>
      <w:r w:rsidRPr="00F961FA">
        <w:rPr>
          <w:rFonts w:ascii="Times New Roman" w:hAnsi="Times New Roman" w:cs="Times New Roman"/>
        </w:rPr>
        <w:t xml:space="preserve"> Throughout the current study, the terms narrative reporting, narrative disclosure, narrative statements, and narratives are used interchangeably.</w:t>
      </w:r>
    </w:p>
  </w:footnote>
  <w:footnote w:id="2">
    <w:p w14:paraId="463A4AE8" w14:textId="5FE839D5" w:rsidR="00B134A5" w:rsidRPr="00DD161D" w:rsidRDefault="00B134A5" w:rsidP="00FD65EE">
      <w:pPr>
        <w:pStyle w:val="EndnoteText"/>
        <w:jc w:val="both"/>
        <w:rPr>
          <w:rFonts w:ascii="Times New Roman" w:hAnsi="Times New Roman" w:cs="Times New Roman"/>
          <w:color w:val="000000" w:themeColor="text1"/>
        </w:rPr>
      </w:pPr>
      <w:r w:rsidRPr="00DD161D">
        <w:rPr>
          <w:rStyle w:val="FootnoteReference"/>
          <w:rFonts w:ascii="Times New Roman" w:hAnsi="Times New Roman" w:cs="Times New Roman"/>
          <w:color w:val="000000" w:themeColor="text1"/>
        </w:rPr>
        <w:footnoteRef/>
      </w:r>
      <w:r w:rsidRPr="00DD161D">
        <w:rPr>
          <w:rFonts w:ascii="Times New Roman" w:hAnsi="Times New Roman" w:cs="Times New Roman"/>
          <w:color w:val="000000" w:themeColor="text1"/>
        </w:rPr>
        <w:t xml:space="preserve"> We use annual reports annual reports since external investors still perceive them to be an influential and credible source of information (e.g., Beatt</w:t>
      </w:r>
      <w:r>
        <w:rPr>
          <w:rFonts w:ascii="Times New Roman" w:hAnsi="Times New Roman" w:cs="Times New Roman"/>
          <w:color w:val="000000" w:themeColor="text1"/>
        </w:rPr>
        <w:t>ie et al. 2004)</w:t>
      </w:r>
      <w:r w:rsidRPr="00DD161D">
        <w:rPr>
          <w:rFonts w:ascii="Times New Roman" w:hAnsi="Times New Roman" w:cs="Times New Roman"/>
          <w:color w:val="000000" w:themeColor="text1"/>
        </w:rPr>
        <w:t>. In addition, we utilize annual reports rather than interim reports to avoid seasonality and updates of originally reported interim data.</w:t>
      </w:r>
    </w:p>
    <w:p w14:paraId="3EC168C9" w14:textId="0150D434" w:rsidR="00B134A5" w:rsidRDefault="00B134A5">
      <w:pPr>
        <w:pStyle w:val="FootnoteText"/>
      </w:pPr>
    </w:p>
  </w:footnote>
  <w:footnote w:id="3">
    <w:p w14:paraId="05996B2A" w14:textId="095203A4" w:rsidR="00B134A5" w:rsidRPr="00A0518A" w:rsidRDefault="00B134A5" w:rsidP="00095FE1">
      <w:pPr>
        <w:pStyle w:val="FootnoteText"/>
        <w:jc w:val="both"/>
        <w:rPr>
          <w:rFonts w:ascii="Times New Roman" w:hAnsi="Times New Roman" w:cs="Times New Roman"/>
          <w:color w:val="000000" w:themeColor="text1"/>
          <w:lang w:val="en-US"/>
        </w:rPr>
      </w:pPr>
      <w:r w:rsidRPr="00A0518A">
        <w:rPr>
          <w:rStyle w:val="FootnoteReference"/>
          <w:rFonts w:ascii="Times New Roman" w:hAnsi="Times New Roman" w:cs="Times New Roman"/>
          <w:color w:val="000000" w:themeColor="text1"/>
        </w:rPr>
        <w:footnoteRef/>
      </w:r>
      <w:r w:rsidRPr="00A0518A">
        <w:rPr>
          <w:rFonts w:ascii="Times New Roman" w:hAnsi="Times New Roman" w:cs="Times New Roman"/>
          <w:color w:val="000000" w:themeColor="text1"/>
        </w:rPr>
        <w:t xml:space="preserve"> The values of Tobin’s Q are widely varying across different industries due to differences in the operating nature of industries across the sample firms (Bebchuk et al. 2009). The industry median adjusted Tobin’s Q controls for variations among different industries which reduces potential bias resulting from differences in industries. Besides, this industry median Tobin’s Q reduces the variation between firms within the same industry which controls for unobserved firm-specific heterogeneity issues and cancels any firm fixed effects. This provides a consistent estimate of the residual in the endogenous variable (e.g., firm value). Consequently, the associations hold thereafter cannot be attributable to any endogeneity issues.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70C40"/>
    <w:multiLevelType w:val="hybridMultilevel"/>
    <w:tmpl w:val="66FEA6B4"/>
    <w:lvl w:ilvl="0" w:tplc="05169E68">
      <w:start w:val="1"/>
      <w:numFmt w:val="decimal"/>
      <w:lvlText w:val="%1.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1CC0B77"/>
    <w:multiLevelType w:val="multilevel"/>
    <w:tmpl w:val="4550685A"/>
    <w:lvl w:ilvl="0">
      <w:start w:val="1"/>
      <w:numFmt w:val="decimal"/>
      <w:pStyle w:val="Heading1"/>
      <w:lvlText w:val="%1"/>
      <w:lvlJc w:val="left"/>
      <w:pPr>
        <w:ind w:left="360" w:hanging="360"/>
      </w:pPr>
      <w:rPr>
        <w:rFonts w:hint="default"/>
      </w:rPr>
    </w:lvl>
    <w:lvl w:ilvl="1">
      <w:start w:val="1"/>
      <w:numFmt w:val="decimal"/>
      <w:isLgl/>
      <w:lvlText w:val="%1.%2"/>
      <w:lvlJc w:val="left"/>
      <w:pPr>
        <w:ind w:left="360" w:hanging="360"/>
      </w:pPr>
      <w:rPr>
        <w:rFonts w:cstheme="majorBidi" w:hint="default"/>
      </w:rPr>
    </w:lvl>
    <w:lvl w:ilvl="2">
      <w:start w:val="1"/>
      <w:numFmt w:val="decimal"/>
      <w:isLgl/>
      <w:lvlText w:val="%1.%2.%3"/>
      <w:lvlJc w:val="left"/>
      <w:pPr>
        <w:ind w:left="720" w:hanging="720"/>
      </w:pPr>
      <w:rPr>
        <w:rFonts w:cstheme="majorBidi" w:hint="default"/>
      </w:rPr>
    </w:lvl>
    <w:lvl w:ilvl="3">
      <w:start w:val="1"/>
      <w:numFmt w:val="decimal"/>
      <w:isLgl/>
      <w:lvlText w:val="%1.%2.%3.%4"/>
      <w:lvlJc w:val="left"/>
      <w:pPr>
        <w:ind w:left="720" w:hanging="720"/>
      </w:pPr>
      <w:rPr>
        <w:rFonts w:cstheme="majorBidi" w:hint="default"/>
      </w:rPr>
    </w:lvl>
    <w:lvl w:ilvl="4">
      <w:start w:val="1"/>
      <w:numFmt w:val="decimal"/>
      <w:isLgl/>
      <w:lvlText w:val="%1.%2.%3.%4.%5"/>
      <w:lvlJc w:val="left"/>
      <w:pPr>
        <w:ind w:left="1080" w:hanging="1080"/>
      </w:pPr>
      <w:rPr>
        <w:rFonts w:cstheme="majorBidi" w:hint="default"/>
      </w:rPr>
    </w:lvl>
    <w:lvl w:ilvl="5">
      <w:start w:val="1"/>
      <w:numFmt w:val="decimal"/>
      <w:isLgl/>
      <w:lvlText w:val="%1.%2.%3.%4.%5.%6"/>
      <w:lvlJc w:val="left"/>
      <w:pPr>
        <w:ind w:left="1080" w:hanging="1080"/>
      </w:pPr>
      <w:rPr>
        <w:rFonts w:cstheme="majorBidi" w:hint="default"/>
      </w:rPr>
    </w:lvl>
    <w:lvl w:ilvl="6">
      <w:start w:val="1"/>
      <w:numFmt w:val="decimal"/>
      <w:isLgl/>
      <w:lvlText w:val="%1.%2.%3.%4.%5.%6.%7"/>
      <w:lvlJc w:val="left"/>
      <w:pPr>
        <w:ind w:left="1440" w:hanging="1440"/>
      </w:pPr>
      <w:rPr>
        <w:rFonts w:cstheme="majorBidi" w:hint="default"/>
      </w:rPr>
    </w:lvl>
    <w:lvl w:ilvl="7">
      <w:start w:val="1"/>
      <w:numFmt w:val="decimal"/>
      <w:isLgl/>
      <w:lvlText w:val="%1.%2.%3.%4.%5.%6.%7.%8"/>
      <w:lvlJc w:val="left"/>
      <w:pPr>
        <w:ind w:left="1440" w:hanging="1440"/>
      </w:pPr>
      <w:rPr>
        <w:rFonts w:cstheme="majorBidi" w:hint="default"/>
      </w:rPr>
    </w:lvl>
    <w:lvl w:ilvl="8">
      <w:start w:val="1"/>
      <w:numFmt w:val="decimal"/>
      <w:isLgl/>
      <w:lvlText w:val="%1.%2.%3.%4.%5.%6.%7.%8.%9"/>
      <w:lvlJc w:val="left"/>
      <w:pPr>
        <w:ind w:left="1800" w:hanging="1800"/>
      </w:pPr>
      <w:rPr>
        <w:rFonts w:cstheme="majorBidi" w:hint="default"/>
      </w:rPr>
    </w:lvl>
  </w:abstractNum>
  <w:abstractNum w:abstractNumId="2" w15:restartNumberingAfterBreak="0">
    <w:nsid w:val="28F50C15"/>
    <w:multiLevelType w:val="hybridMultilevel"/>
    <w:tmpl w:val="EE0C0A02"/>
    <w:lvl w:ilvl="0" w:tplc="90A8EDF2">
      <w:start w:val="20"/>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F64620"/>
    <w:multiLevelType w:val="hybridMultilevel"/>
    <w:tmpl w:val="72FC9DA6"/>
    <w:lvl w:ilvl="0" w:tplc="A51EE2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
    <w:lvlOverride w:ilvl="0">
      <w:startOverride w:val="3"/>
    </w:lvlOverride>
    <w:lvlOverride w:ilvl="1">
      <w:startOverride w:val="3"/>
    </w:lvlOverride>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pos w:val="sectEnd"/>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AEE"/>
    <w:rsid w:val="00001054"/>
    <w:rsid w:val="0000480F"/>
    <w:rsid w:val="00004D3B"/>
    <w:rsid w:val="000061A7"/>
    <w:rsid w:val="00006DBD"/>
    <w:rsid w:val="00007019"/>
    <w:rsid w:val="0000763E"/>
    <w:rsid w:val="0000770B"/>
    <w:rsid w:val="000100FA"/>
    <w:rsid w:val="00011CAF"/>
    <w:rsid w:val="0001377A"/>
    <w:rsid w:val="00013A47"/>
    <w:rsid w:val="00014C1D"/>
    <w:rsid w:val="0001512F"/>
    <w:rsid w:val="00015AF0"/>
    <w:rsid w:val="000163E2"/>
    <w:rsid w:val="000170B4"/>
    <w:rsid w:val="000229B5"/>
    <w:rsid w:val="0002472A"/>
    <w:rsid w:val="00025CB2"/>
    <w:rsid w:val="000264AE"/>
    <w:rsid w:val="00026550"/>
    <w:rsid w:val="0002717A"/>
    <w:rsid w:val="000278F1"/>
    <w:rsid w:val="000305DB"/>
    <w:rsid w:val="00030684"/>
    <w:rsid w:val="000312F8"/>
    <w:rsid w:val="00033BD0"/>
    <w:rsid w:val="000341E4"/>
    <w:rsid w:val="000344A9"/>
    <w:rsid w:val="00035C5A"/>
    <w:rsid w:val="000367C2"/>
    <w:rsid w:val="000373AF"/>
    <w:rsid w:val="00041C58"/>
    <w:rsid w:val="00043CAF"/>
    <w:rsid w:val="000445A6"/>
    <w:rsid w:val="00044D09"/>
    <w:rsid w:val="000468E0"/>
    <w:rsid w:val="000507B2"/>
    <w:rsid w:val="0005095A"/>
    <w:rsid w:val="0005104E"/>
    <w:rsid w:val="00051514"/>
    <w:rsid w:val="00056626"/>
    <w:rsid w:val="00056DDA"/>
    <w:rsid w:val="000575E3"/>
    <w:rsid w:val="0006039A"/>
    <w:rsid w:val="0006148E"/>
    <w:rsid w:val="000619C9"/>
    <w:rsid w:val="00062DB4"/>
    <w:rsid w:val="000630A8"/>
    <w:rsid w:val="00064D64"/>
    <w:rsid w:val="00064FCF"/>
    <w:rsid w:val="00066DCA"/>
    <w:rsid w:val="00067ACE"/>
    <w:rsid w:val="00070AE7"/>
    <w:rsid w:val="00070FEF"/>
    <w:rsid w:val="0007141F"/>
    <w:rsid w:val="0007166A"/>
    <w:rsid w:val="00072AF5"/>
    <w:rsid w:val="00073484"/>
    <w:rsid w:val="000749F9"/>
    <w:rsid w:val="000755D6"/>
    <w:rsid w:val="000778D0"/>
    <w:rsid w:val="00081366"/>
    <w:rsid w:val="0008263F"/>
    <w:rsid w:val="00083050"/>
    <w:rsid w:val="000836E7"/>
    <w:rsid w:val="00087B62"/>
    <w:rsid w:val="00087FEA"/>
    <w:rsid w:val="000922ED"/>
    <w:rsid w:val="00094081"/>
    <w:rsid w:val="00094407"/>
    <w:rsid w:val="00095871"/>
    <w:rsid w:val="00095CE4"/>
    <w:rsid w:val="00095FE1"/>
    <w:rsid w:val="000979A6"/>
    <w:rsid w:val="000A0B2F"/>
    <w:rsid w:val="000A0BE6"/>
    <w:rsid w:val="000A10B3"/>
    <w:rsid w:val="000A32F6"/>
    <w:rsid w:val="000A3D14"/>
    <w:rsid w:val="000A594B"/>
    <w:rsid w:val="000A67BE"/>
    <w:rsid w:val="000A6C1F"/>
    <w:rsid w:val="000A6D66"/>
    <w:rsid w:val="000A6DC4"/>
    <w:rsid w:val="000B0522"/>
    <w:rsid w:val="000B0BAB"/>
    <w:rsid w:val="000B1326"/>
    <w:rsid w:val="000B14B1"/>
    <w:rsid w:val="000B14B8"/>
    <w:rsid w:val="000B23C3"/>
    <w:rsid w:val="000B307D"/>
    <w:rsid w:val="000B33A7"/>
    <w:rsid w:val="000B37A1"/>
    <w:rsid w:val="000B477D"/>
    <w:rsid w:val="000C0D82"/>
    <w:rsid w:val="000C1C5A"/>
    <w:rsid w:val="000C32CA"/>
    <w:rsid w:val="000C344B"/>
    <w:rsid w:val="000C4017"/>
    <w:rsid w:val="000C5338"/>
    <w:rsid w:val="000C7EEB"/>
    <w:rsid w:val="000D080A"/>
    <w:rsid w:val="000D0DAC"/>
    <w:rsid w:val="000D166F"/>
    <w:rsid w:val="000D1B79"/>
    <w:rsid w:val="000D51CE"/>
    <w:rsid w:val="000D5248"/>
    <w:rsid w:val="000E11C1"/>
    <w:rsid w:val="000E208F"/>
    <w:rsid w:val="000E3A6D"/>
    <w:rsid w:val="000F1E7F"/>
    <w:rsid w:val="000F3984"/>
    <w:rsid w:val="000F3C6F"/>
    <w:rsid w:val="000F3DF4"/>
    <w:rsid w:val="000F4C42"/>
    <w:rsid w:val="000F5A6F"/>
    <w:rsid w:val="001027C8"/>
    <w:rsid w:val="0010329F"/>
    <w:rsid w:val="001034BC"/>
    <w:rsid w:val="001038A0"/>
    <w:rsid w:val="001104CE"/>
    <w:rsid w:val="00110BCC"/>
    <w:rsid w:val="001135E6"/>
    <w:rsid w:val="001140B5"/>
    <w:rsid w:val="001140DB"/>
    <w:rsid w:val="001158E4"/>
    <w:rsid w:val="00117122"/>
    <w:rsid w:val="00120412"/>
    <w:rsid w:val="001234D2"/>
    <w:rsid w:val="0012428F"/>
    <w:rsid w:val="00124A34"/>
    <w:rsid w:val="00125161"/>
    <w:rsid w:val="001275AD"/>
    <w:rsid w:val="001317AA"/>
    <w:rsid w:val="00136C8F"/>
    <w:rsid w:val="00140C6F"/>
    <w:rsid w:val="001460E0"/>
    <w:rsid w:val="001462B0"/>
    <w:rsid w:val="00146DC7"/>
    <w:rsid w:val="00147BDE"/>
    <w:rsid w:val="001527BB"/>
    <w:rsid w:val="001544B8"/>
    <w:rsid w:val="0015658A"/>
    <w:rsid w:val="00157FED"/>
    <w:rsid w:val="0016019C"/>
    <w:rsid w:val="00160722"/>
    <w:rsid w:val="00160E96"/>
    <w:rsid w:val="001618BD"/>
    <w:rsid w:val="0016300F"/>
    <w:rsid w:val="001649B0"/>
    <w:rsid w:val="001674D2"/>
    <w:rsid w:val="00176FB2"/>
    <w:rsid w:val="00181172"/>
    <w:rsid w:val="00182BC2"/>
    <w:rsid w:val="00183B9D"/>
    <w:rsid w:val="00183FCC"/>
    <w:rsid w:val="00185261"/>
    <w:rsid w:val="001873F1"/>
    <w:rsid w:val="00191336"/>
    <w:rsid w:val="00191A77"/>
    <w:rsid w:val="00192BA4"/>
    <w:rsid w:val="00192F5E"/>
    <w:rsid w:val="00196B75"/>
    <w:rsid w:val="001972A6"/>
    <w:rsid w:val="001A0C78"/>
    <w:rsid w:val="001A29B7"/>
    <w:rsid w:val="001A61BD"/>
    <w:rsid w:val="001A6716"/>
    <w:rsid w:val="001A7B78"/>
    <w:rsid w:val="001B1249"/>
    <w:rsid w:val="001B1425"/>
    <w:rsid w:val="001B19D6"/>
    <w:rsid w:val="001B3CA0"/>
    <w:rsid w:val="001C6026"/>
    <w:rsid w:val="001C6363"/>
    <w:rsid w:val="001C67CD"/>
    <w:rsid w:val="001C7965"/>
    <w:rsid w:val="001C7D94"/>
    <w:rsid w:val="001D016B"/>
    <w:rsid w:val="001D0D30"/>
    <w:rsid w:val="001D0E36"/>
    <w:rsid w:val="001D1EC5"/>
    <w:rsid w:val="001D23F9"/>
    <w:rsid w:val="001D2477"/>
    <w:rsid w:val="001D4A04"/>
    <w:rsid w:val="001D5344"/>
    <w:rsid w:val="001E0633"/>
    <w:rsid w:val="001E416C"/>
    <w:rsid w:val="001E4233"/>
    <w:rsid w:val="001E4788"/>
    <w:rsid w:val="001F2C44"/>
    <w:rsid w:val="001F44EC"/>
    <w:rsid w:val="00200B01"/>
    <w:rsid w:val="0020132C"/>
    <w:rsid w:val="002043F0"/>
    <w:rsid w:val="0020510D"/>
    <w:rsid w:val="00206341"/>
    <w:rsid w:val="00213642"/>
    <w:rsid w:val="00214988"/>
    <w:rsid w:val="00214C1D"/>
    <w:rsid w:val="00215993"/>
    <w:rsid w:val="0021683D"/>
    <w:rsid w:val="00217460"/>
    <w:rsid w:val="00222929"/>
    <w:rsid w:val="00223734"/>
    <w:rsid w:val="00223FC3"/>
    <w:rsid w:val="00225A79"/>
    <w:rsid w:val="00230DF0"/>
    <w:rsid w:val="0023126A"/>
    <w:rsid w:val="00234157"/>
    <w:rsid w:val="002342D5"/>
    <w:rsid w:val="0023598B"/>
    <w:rsid w:val="00236B06"/>
    <w:rsid w:val="00236DBE"/>
    <w:rsid w:val="00237897"/>
    <w:rsid w:val="002400FB"/>
    <w:rsid w:val="0024014C"/>
    <w:rsid w:val="00241CD0"/>
    <w:rsid w:val="0024367F"/>
    <w:rsid w:val="00246BF7"/>
    <w:rsid w:val="00250152"/>
    <w:rsid w:val="00251383"/>
    <w:rsid w:val="00251453"/>
    <w:rsid w:val="0025187C"/>
    <w:rsid w:val="0025209D"/>
    <w:rsid w:val="0025571A"/>
    <w:rsid w:val="00260AAF"/>
    <w:rsid w:val="00263FDF"/>
    <w:rsid w:val="002646EA"/>
    <w:rsid w:val="00266C62"/>
    <w:rsid w:val="00266FDD"/>
    <w:rsid w:val="00267560"/>
    <w:rsid w:val="00267B8C"/>
    <w:rsid w:val="0027395D"/>
    <w:rsid w:val="0027546B"/>
    <w:rsid w:val="002764B6"/>
    <w:rsid w:val="00276665"/>
    <w:rsid w:val="0028412E"/>
    <w:rsid w:val="00286E7C"/>
    <w:rsid w:val="00291EAA"/>
    <w:rsid w:val="002926C6"/>
    <w:rsid w:val="00292CCA"/>
    <w:rsid w:val="00296837"/>
    <w:rsid w:val="002A0419"/>
    <w:rsid w:val="002A187C"/>
    <w:rsid w:val="002A2323"/>
    <w:rsid w:val="002A263A"/>
    <w:rsid w:val="002A3950"/>
    <w:rsid w:val="002A3A94"/>
    <w:rsid w:val="002A5588"/>
    <w:rsid w:val="002A6F30"/>
    <w:rsid w:val="002B317A"/>
    <w:rsid w:val="002B32CE"/>
    <w:rsid w:val="002B4810"/>
    <w:rsid w:val="002B5A85"/>
    <w:rsid w:val="002B6BE3"/>
    <w:rsid w:val="002B6FD2"/>
    <w:rsid w:val="002C2EA4"/>
    <w:rsid w:val="002C32A4"/>
    <w:rsid w:val="002C3C70"/>
    <w:rsid w:val="002C6C13"/>
    <w:rsid w:val="002C7442"/>
    <w:rsid w:val="002C772E"/>
    <w:rsid w:val="002D0A80"/>
    <w:rsid w:val="002D14CA"/>
    <w:rsid w:val="002D27ED"/>
    <w:rsid w:val="002D28AE"/>
    <w:rsid w:val="002D381E"/>
    <w:rsid w:val="002D5614"/>
    <w:rsid w:val="002D7591"/>
    <w:rsid w:val="002D7E7B"/>
    <w:rsid w:val="002E0346"/>
    <w:rsid w:val="002E25E7"/>
    <w:rsid w:val="002E2F05"/>
    <w:rsid w:val="002E4055"/>
    <w:rsid w:val="002E40D4"/>
    <w:rsid w:val="002E43B1"/>
    <w:rsid w:val="002E45CE"/>
    <w:rsid w:val="002E4B6D"/>
    <w:rsid w:val="002E4F90"/>
    <w:rsid w:val="002E57BA"/>
    <w:rsid w:val="002E6136"/>
    <w:rsid w:val="002E72A3"/>
    <w:rsid w:val="002E7521"/>
    <w:rsid w:val="002F1641"/>
    <w:rsid w:val="002F2EF5"/>
    <w:rsid w:val="002F5774"/>
    <w:rsid w:val="002F5EC1"/>
    <w:rsid w:val="002F6B74"/>
    <w:rsid w:val="002F7B6D"/>
    <w:rsid w:val="00300100"/>
    <w:rsid w:val="00302D60"/>
    <w:rsid w:val="0030382F"/>
    <w:rsid w:val="00304A8D"/>
    <w:rsid w:val="003063DF"/>
    <w:rsid w:val="003071B3"/>
    <w:rsid w:val="00310D44"/>
    <w:rsid w:val="003126B5"/>
    <w:rsid w:val="0031372B"/>
    <w:rsid w:val="00314C6C"/>
    <w:rsid w:val="003150A8"/>
    <w:rsid w:val="003157E4"/>
    <w:rsid w:val="00316762"/>
    <w:rsid w:val="003170F9"/>
    <w:rsid w:val="0031751E"/>
    <w:rsid w:val="00317E71"/>
    <w:rsid w:val="0032159F"/>
    <w:rsid w:val="00321E9B"/>
    <w:rsid w:val="003235D6"/>
    <w:rsid w:val="00323D58"/>
    <w:rsid w:val="00327471"/>
    <w:rsid w:val="00330648"/>
    <w:rsid w:val="00331EC8"/>
    <w:rsid w:val="00334026"/>
    <w:rsid w:val="0033478E"/>
    <w:rsid w:val="0033573E"/>
    <w:rsid w:val="00336A28"/>
    <w:rsid w:val="003411D8"/>
    <w:rsid w:val="00344BFB"/>
    <w:rsid w:val="00345E15"/>
    <w:rsid w:val="00346922"/>
    <w:rsid w:val="00346E00"/>
    <w:rsid w:val="00355D6F"/>
    <w:rsid w:val="0035657E"/>
    <w:rsid w:val="00360032"/>
    <w:rsid w:val="0036040C"/>
    <w:rsid w:val="0036228F"/>
    <w:rsid w:val="00365E40"/>
    <w:rsid w:val="00366103"/>
    <w:rsid w:val="003706CB"/>
    <w:rsid w:val="0037109E"/>
    <w:rsid w:val="00372303"/>
    <w:rsid w:val="00372566"/>
    <w:rsid w:val="00373519"/>
    <w:rsid w:val="00374A68"/>
    <w:rsid w:val="003751D4"/>
    <w:rsid w:val="00376108"/>
    <w:rsid w:val="003775B9"/>
    <w:rsid w:val="00380031"/>
    <w:rsid w:val="003817CB"/>
    <w:rsid w:val="003829E7"/>
    <w:rsid w:val="00382D78"/>
    <w:rsid w:val="00386F12"/>
    <w:rsid w:val="00392E06"/>
    <w:rsid w:val="00392FEB"/>
    <w:rsid w:val="0039325B"/>
    <w:rsid w:val="003934DA"/>
    <w:rsid w:val="003948A8"/>
    <w:rsid w:val="00394D14"/>
    <w:rsid w:val="00396294"/>
    <w:rsid w:val="003A08BA"/>
    <w:rsid w:val="003A5D7A"/>
    <w:rsid w:val="003A6646"/>
    <w:rsid w:val="003A6C59"/>
    <w:rsid w:val="003A7143"/>
    <w:rsid w:val="003A7C0A"/>
    <w:rsid w:val="003B0201"/>
    <w:rsid w:val="003B0328"/>
    <w:rsid w:val="003B037A"/>
    <w:rsid w:val="003B18E1"/>
    <w:rsid w:val="003B2CB3"/>
    <w:rsid w:val="003B2F2F"/>
    <w:rsid w:val="003B3DA8"/>
    <w:rsid w:val="003B4DB2"/>
    <w:rsid w:val="003B5B82"/>
    <w:rsid w:val="003B7D6C"/>
    <w:rsid w:val="003C16D1"/>
    <w:rsid w:val="003C266E"/>
    <w:rsid w:val="003C295A"/>
    <w:rsid w:val="003C4190"/>
    <w:rsid w:val="003C420D"/>
    <w:rsid w:val="003C428F"/>
    <w:rsid w:val="003C7979"/>
    <w:rsid w:val="003D12DC"/>
    <w:rsid w:val="003D36D2"/>
    <w:rsid w:val="003D4D47"/>
    <w:rsid w:val="003D72AC"/>
    <w:rsid w:val="003E2C0D"/>
    <w:rsid w:val="003E5095"/>
    <w:rsid w:val="003E5474"/>
    <w:rsid w:val="003F251B"/>
    <w:rsid w:val="003F3EF0"/>
    <w:rsid w:val="003F5165"/>
    <w:rsid w:val="003F5BE1"/>
    <w:rsid w:val="003F7571"/>
    <w:rsid w:val="003F77C7"/>
    <w:rsid w:val="00400433"/>
    <w:rsid w:val="00400E58"/>
    <w:rsid w:val="00403639"/>
    <w:rsid w:val="00404CE8"/>
    <w:rsid w:val="00404D74"/>
    <w:rsid w:val="00405942"/>
    <w:rsid w:val="00405FA1"/>
    <w:rsid w:val="004066FF"/>
    <w:rsid w:val="0040672B"/>
    <w:rsid w:val="004078D5"/>
    <w:rsid w:val="00411FBA"/>
    <w:rsid w:val="00416B28"/>
    <w:rsid w:val="00417166"/>
    <w:rsid w:val="004179E3"/>
    <w:rsid w:val="00422BC5"/>
    <w:rsid w:val="004232E4"/>
    <w:rsid w:val="004232EF"/>
    <w:rsid w:val="00423E41"/>
    <w:rsid w:val="00424F8E"/>
    <w:rsid w:val="0042521D"/>
    <w:rsid w:val="00425291"/>
    <w:rsid w:val="004300E3"/>
    <w:rsid w:val="00430B95"/>
    <w:rsid w:val="00430BCE"/>
    <w:rsid w:val="00432CFA"/>
    <w:rsid w:val="00432F0F"/>
    <w:rsid w:val="00433B6A"/>
    <w:rsid w:val="00434C10"/>
    <w:rsid w:val="004367C3"/>
    <w:rsid w:val="00437445"/>
    <w:rsid w:val="00440468"/>
    <w:rsid w:val="00444561"/>
    <w:rsid w:val="00444E53"/>
    <w:rsid w:val="004452B6"/>
    <w:rsid w:val="004453F0"/>
    <w:rsid w:val="00445C64"/>
    <w:rsid w:val="004502DD"/>
    <w:rsid w:val="00450CC9"/>
    <w:rsid w:val="00452FF5"/>
    <w:rsid w:val="004547B7"/>
    <w:rsid w:val="00454C1E"/>
    <w:rsid w:val="00455555"/>
    <w:rsid w:val="00462CE0"/>
    <w:rsid w:val="0046557B"/>
    <w:rsid w:val="004664BB"/>
    <w:rsid w:val="00470976"/>
    <w:rsid w:val="00470CB0"/>
    <w:rsid w:val="0047242A"/>
    <w:rsid w:val="00473E3A"/>
    <w:rsid w:val="00475F3F"/>
    <w:rsid w:val="00476914"/>
    <w:rsid w:val="004802ED"/>
    <w:rsid w:val="00483A3F"/>
    <w:rsid w:val="004843BB"/>
    <w:rsid w:val="004861AC"/>
    <w:rsid w:val="00487AC1"/>
    <w:rsid w:val="00492211"/>
    <w:rsid w:val="00493B58"/>
    <w:rsid w:val="0049568C"/>
    <w:rsid w:val="00495C0A"/>
    <w:rsid w:val="00496C21"/>
    <w:rsid w:val="00497489"/>
    <w:rsid w:val="00497D9D"/>
    <w:rsid w:val="004A20E0"/>
    <w:rsid w:val="004A2923"/>
    <w:rsid w:val="004A3441"/>
    <w:rsid w:val="004A4B37"/>
    <w:rsid w:val="004A4E74"/>
    <w:rsid w:val="004A79E4"/>
    <w:rsid w:val="004B0A9B"/>
    <w:rsid w:val="004B12FB"/>
    <w:rsid w:val="004B154A"/>
    <w:rsid w:val="004B2E5D"/>
    <w:rsid w:val="004B2FBD"/>
    <w:rsid w:val="004B3486"/>
    <w:rsid w:val="004B34B5"/>
    <w:rsid w:val="004B44A6"/>
    <w:rsid w:val="004B4E7D"/>
    <w:rsid w:val="004B6195"/>
    <w:rsid w:val="004B6E3D"/>
    <w:rsid w:val="004B7947"/>
    <w:rsid w:val="004C18BE"/>
    <w:rsid w:val="004C31D1"/>
    <w:rsid w:val="004C3BA5"/>
    <w:rsid w:val="004C418A"/>
    <w:rsid w:val="004C6740"/>
    <w:rsid w:val="004C7E5B"/>
    <w:rsid w:val="004D1AA6"/>
    <w:rsid w:val="004D262D"/>
    <w:rsid w:val="004D276B"/>
    <w:rsid w:val="004D4923"/>
    <w:rsid w:val="004D5115"/>
    <w:rsid w:val="004D678D"/>
    <w:rsid w:val="004E1958"/>
    <w:rsid w:val="004E3D78"/>
    <w:rsid w:val="004E481A"/>
    <w:rsid w:val="004E4A72"/>
    <w:rsid w:val="004E55E0"/>
    <w:rsid w:val="004E597F"/>
    <w:rsid w:val="004E6698"/>
    <w:rsid w:val="004E68FE"/>
    <w:rsid w:val="004E7157"/>
    <w:rsid w:val="004F0BC1"/>
    <w:rsid w:val="004F0EB0"/>
    <w:rsid w:val="004F0FD3"/>
    <w:rsid w:val="004F235D"/>
    <w:rsid w:val="004F3FF5"/>
    <w:rsid w:val="004F4B16"/>
    <w:rsid w:val="004F5CBA"/>
    <w:rsid w:val="004F5DAD"/>
    <w:rsid w:val="004F78B0"/>
    <w:rsid w:val="004F7DD5"/>
    <w:rsid w:val="0050053C"/>
    <w:rsid w:val="005009F6"/>
    <w:rsid w:val="00501785"/>
    <w:rsid w:val="0050332F"/>
    <w:rsid w:val="005037BF"/>
    <w:rsid w:val="00503B14"/>
    <w:rsid w:val="00510D56"/>
    <w:rsid w:val="00514769"/>
    <w:rsid w:val="0051479B"/>
    <w:rsid w:val="00516C7F"/>
    <w:rsid w:val="005203FB"/>
    <w:rsid w:val="00523162"/>
    <w:rsid w:val="00527263"/>
    <w:rsid w:val="00527E43"/>
    <w:rsid w:val="005300EE"/>
    <w:rsid w:val="0053087B"/>
    <w:rsid w:val="005317EB"/>
    <w:rsid w:val="00533E71"/>
    <w:rsid w:val="00534E88"/>
    <w:rsid w:val="005353AD"/>
    <w:rsid w:val="00535444"/>
    <w:rsid w:val="00536F03"/>
    <w:rsid w:val="005409B3"/>
    <w:rsid w:val="00540F56"/>
    <w:rsid w:val="00541982"/>
    <w:rsid w:val="00541D28"/>
    <w:rsid w:val="00543EC1"/>
    <w:rsid w:val="005476C2"/>
    <w:rsid w:val="00550D53"/>
    <w:rsid w:val="00551191"/>
    <w:rsid w:val="0055699F"/>
    <w:rsid w:val="005571D0"/>
    <w:rsid w:val="00557A67"/>
    <w:rsid w:val="00560F5E"/>
    <w:rsid w:val="005654A8"/>
    <w:rsid w:val="005671C5"/>
    <w:rsid w:val="00572B4E"/>
    <w:rsid w:val="00573E32"/>
    <w:rsid w:val="00574893"/>
    <w:rsid w:val="00575D44"/>
    <w:rsid w:val="0058016B"/>
    <w:rsid w:val="0058103E"/>
    <w:rsid w:val="005818E6"/>
    <w:rsid w:val="005818E9"/>
    <w:rsid w:val="00583ACB"/>
    <w:rsid w:val="00585691"/>
    <w:rsid w:val="0058653C"/>
    <w:rsid w:val="00587465"/>
    <w:rsid w:val="00591037"/>
    <w:rsid w:val="00592850"/>
    <w:rsid w:val="00594E47"/>
    <w:rsid w:val="005950CA"/>
    <w:rsid w:val="00595DB9"/>
    <w:rsid w:val="005A04CA"/>
    <w:rsid w:val="005A0E86"/>
    <w:rsid w:val="005A272C"/>
    <w:rsid w:val="005A4E02"/>
    <w:rsid w:val="005A6F0E"/>
    <w:rsid w:val="005A7400"/>
    <w:rsid w:val="005A7A04"/>
    <w:rsid w:val="005A7E89"/>
    <w:rsid w:val="005B214F"/>
    <w:rsid w:val="005B4144"/>
    <w:rsid w:val="005B793E"/>
    <w:rsid w:val="005C06FF"/>
    <w:rsid w:val="005C0D59"/>
    <w:rsid w:val="005C1F59"/>
    <w:rsid w:val="005C399A"/>
    <w:rsid w:val="005C7758"/>
    <w:rsid w:val="005D3AF6"/>
    <w:rsid w:val="005D7752"/>
    <w:rsid w:val="005E0815"/>
    <w:rsid w:val="005E0FE0"/>
    <w:rsid w:val="005E272B"/>
    <w:rsid w:val="005E2FB3"/>
    <w:rsid w:val="005E3948"/>
    <w:rsid w:val="005E6B71"/>
    <w:rsid w:val="005E7C15"/>
    <w:rsid w:val="005F135A"/>
    <w:rsid w:val="005F15FB"/>
    <w:rsid w:val="005F3EAB"/>
    <w:rsid w:val="005F40D2"/>
    <w:rsid w:val="005F5DD2"/>
    <w:rsid w:val="00600369"/>
    <w:rsid w:val="00601D30"/>
    <w:rsid w:val="00605393"/>
    <w:rsid w:val="0060665C"/>
    <w:rsid w:val="00607581"/>
    <w:rsid w:val="0061158B"/>
    <w:rsid w:val="00612877"/>
    <w:rsid w:val="00615165"/>
    <w:rsid w:val="0061593A"/>
    <w:rsid w:val="00615B42"/>
    <w:rsid w:val="006210C8"/>
    <w:rsid w:val="00621D0F"/>
    <w:rsid w:val="0062211A"/>
    <w:rsid w:val="00622DD0"/>
    <w:rsid w:val="00625F40"/>
    <w:rsid w:val="00626722"/>
    <w:rsid w:val="00627ED1"/>
    <w:rsid w:val="00631ECC"/>
    <w:rsid w:val="00632422"/>
    <w:rsid w:val="006345FC"/>
    <w:rsid w:val="00634B23"/>
    <w:rsid w:val="00636174"/>
    <w:rsid w:val="00640678"/>
    <w:rsid w:val="00641223"/>
    <w:rsid w:val="006415FA"/>
    <w:rsid w:val="00643E5E"/>
    <w:rsid w:val="00643FD4"/>
    <w:rsid w:val="00650785"/>
    <w:rsid w:val="006509D9"/>
    <w:rsid w:val="00650E2E"/>
    <w:rsid w:val="006517C6"/>
    <w:rsid w:val="00651D4D"/>
    <w:rsid w:val="0065221A"/>
    <w:rsid w:val="00652849"/>
    <w:rsid w:val="00653289"/>
    <w:rsid w:val="00653C68"/>
    <w:rsid w:val="0065506E"/>
    <w:rsid w:val="006555EC"/>
    <w:rsid w:val="006557B0"/>
    <w:rsid w:val="0065634B"/>
    <w:rsid w:val="006570C7"/>
    <w:rsid w:val="00660470"/>
    <w:rsid w:val="00662324"/>
    <w:rsid w:val="006645E0"/>
    <w:rsid w:val="00664EAB"/>
    <w:rsid w:val="00666AB6"/>
    <w:rsid w:val="00666EC5"/>
    <w:rsid w:val="00667093"/>
    <w:rsid w:val="00667F6C"/>
    <w:rsid w:val="00673689"/>
    <w:rsid w:val="00675900"/>
    <w:rsid w:val="006800E4"/>
    <w:rsid w:val="00680300"/>
    <w:rsid w:val="00680956"/>
    <w:rsid w:val="00680D89"/>
    <w:rsid w:val="00680E84"/>
    <w:rsid w:val="00681B50"/>
    <w:rsid w:val="00683CE1"/>
    <w:rsid w:val="00685792"/>
    <w:rsid w:val="0068676B"/>
    <w:rsid w:val="006868B2"/>
    <w:rsid w:val="00687CF1"/>
    <w:rsid w:val="006908B4"/>
    <w:rsid w:val="00690F5C"/>
    <w:rsid w:val="00691218"/>
    <w:rsid w:val="00692F3D"/>
    <w:rsid w:val="00693D79"/>
    <w:rsid w:val="00696240"/>
    <w:rsid w:val="006A09FF"/>
    <w:rsid w:val="006A103A"/>
    <w:rsid w:val="006A342D"/>
    <w:rsid w:val="006A3A96"/>
    <w:rsid w:val="006A40FC"/>
    <w:rsid w:val="006A446E"/>
    <w:rsid w:val="006A4C72"/>
    <w:rsid w:val="006B0499"/>
    <w:rsid w:val="006B2ABC"/>
    <w:rsid w:val="006B79BA"/>
    <w:rsid w:val="006B7B8C"/>
    <w:rsid w:val="006C1547"/>
    <w:rsid w:val="006C3905"/>
    <w:rsid w:val="006C580B"/>
    <w:rsid w:val="006C65ED"/>
    <w:rsid w:val="006C7FAF"/>
    <w:rsid w:val="006D0CF9"/>
    <w:rsid w:val="006D0E5F"/>
    <w:rsid w:val="006D1691"/>
    <w:rsid w:val="006D240E"/>
    <w:rsid w:val="006D2BCE"/>
    <w:rsid w:val="006D3586"/>
    <w:rsid w:val="006D499F"/>
    <w:rsid w:val="006D5500"/>
    <w:rsid w:val="006D5D59"/>
    <w:rsid w:val="006D60DB"/>
    <w:rsid w:val="006E0424"/>
    <w:rsid w:val="006E0C55"/>
    <w:rsid w:val="006E2FDC"/>
    <w:rsid w:val="006E365A"/>
    <w:rsid w:val="006E424A"/>
    <w:rsid w:val="006E4451"/>
    <w:rsid w:val="006F0070"/>
    <w:rsid w:val="006F51CD"/>
    <w:rsid w:val="006F58D1"/>
    <w:rsid w:val="00701862"/>
    <w:rsid w:val="00701C65"/>
    <w:rsid w:val="00702A98"/>
    <w:rsid w:val="00702F42"/>
    <w:rsid w:val="007034AE"/>
    <w:rsid w:val="00705721"/>
    <w:rsid w:val="0070651E"/>
    <w:rsid w:val="00706D5B"/>
    <w:rsid w:val="00707048"/>
    <w:rsid w:val="00710FEA"/>
    <w:rsid w:val="00711445"/>
    <w:rsid w:val="00711B6F"/>
    <w:rsid w:val="00711D0C"/>
    <w:rsid w:val="00716BBB"/>
    <w:rsid w:val="00716D7F"/>
    <w:rsid w:val="0072047E"/>
    <w:rsid w:val="00720965"/>
    <w:rsid w:val="0072186F"/>
    <w:rsid w:val="00721B40"/>
    <w:rsid w:val="00722701"/>
    <w:rsid w:val="00725A81"/>
    <w:rsid w:val="00726268"/>
    <w:rsid w:val="007308D9"/>
    <w:rsid w:val="007334B9"/>
    <w:rsid w:val="00733DD8"/>
    <w:rsid w:val="00734686"/>
    <w:rsid w:val="007350F7"/>
    <w:rsid w:val="00737572"/>
    <w:rsid w:val="00737FA7"/>
    <w:rsid w:val="0074099E"/>
    <w:rsid w:val="00741362"/>
    <w:rsid w:val="007441F0"/>
    <w:rsid w:val="007458EC"/>
    <w:rsid w:val="00747FDB"/>
    <w:rsid w:val="0075048C"/>
    <w:rsid w:val="00750F3B"/>
    <w:rsid w:val="0075143B"/>
    <w:rsid w:val="00751BE4"/>
    <w:rsid w:val="00752675"/>
    <w:rsid w:val="00752F0E"/>
    <w:rsid w:val="00753FF9"/>
    <w:rsid w:val="0075701F"/>
    <w:rsid w:val="00757313"/>
    <w:rsid w:val="007617EC"/>
    <w:rsid w:val="0076255A"/>
    <w:rsid w:val="00770CF6"/>
    <w:rsid w:val="00771169"/>
    <w:rsid w:val="00772608"/>
    <w:rsid w:val="0077263D"/>
    <w:rsid w:val="00772CF9"/>
    <w:rsid w:val="00775B57"/>
    <w:rsid w:val="007760BC"/>
    <w:rsid w:val="007765D1"/>
    <w:rsid w:val="00777AEE"/>
    <w:rsid w:val="00780E97"/>
    <w:rsid w:val="007820C6"/>
    <w:rsid w:val="007847E8"/>
    <w:rsid w:val="0078763A"/>
    <w:rsid w:val="0078785B"/>
    <w:rsid w:val="00787934"/>
    <w:rsid w:val="007905F2"/>
    <w:rsid w:val="0079071A"/>
    <w:rsid w:val="00791931"/>
    <w:rsid w:val="0079326A"/>
    <w:rsid w:val="0079339D"/>
    <w:rsid w:val="00795992"/>
    <w:rsid w:val="00795E60"/>
    <w:rsid w:val="0079663A"/>
    <w:rsid w:val="0079737F"/>
    <w:rsid w:val="007978A7"/>
    <w:rsid w:val="007A0AB9"/>
    <w:rsid w:val="007A21C8"/>
    <w:rsid w:val="007A7249"/>
    <w:rsid w:val="007A724F"/>
    <w:rsid w:val="007A767B"/>
    <w:rsid w:val="007B077C"/>
    <w:rsid w:val="007B11B3"/>
    <w:rsid w:val="007B1A96"/>
    <w:rsid w:val="007B2245"/>
    <w:rsid w:val="007B2922"/>
    <w:rsid w:val="007B2C8D"/>
    <w:rsid w:val="007B3256"/>
    <w:rsid w:val="007B4B01"/>
    <w:rsid w:val="007B7264"/>
    <w:rsid w:val="007B7C04"/>
    <w:rsid w:val="007C1564"/>
    <w:rsid w:val="007C2152"/>
    <w:rsid w:val="007C55A0"/>
    <w:rsid w:val="007C5888"/>
    <w:rsid w:val="007C5DEC"/>
    <w:rsid w:val="007D0B19"/>
    <w:rsid w:val="007D0E9D"/>
    <w:rsid w:val="007D2E29"/>
    <w:rsid w:val="007D5889"/>
    <w:rsid w:val="007D6938"/>
    <w:rsid w:val="007E0036"/>
    <w:rsid w:val="007E0A8B"/>
    <w:rsid w:val="007E111C"/>
    <w:rsid w:val="007E18B5"/>
    <w:rsid w:val="007E24CF"/>
    <w:rsid w:val="007E4456"/>
    <w:rsid w:val="007E4F59"/>
    <w:rsid w:val="007E5162"/>
    <w:rsid w:val="007E602A"/>
    <w:rsid w:val="007F07CE"/>
    <w:rsid w:val="007F383C"/>
    <w:rsid w:val="007F57F0"/>
    <w:rsid w:val="007F70B6"/>
    <w:rsid w:val="007F7659"/>
    <w:rsid w:val="008018FF"/>
    <w:rsid w:val="0080199E"/>
    <w:rsid w:val="008036D0"/>
    <w:rsid w:val="008057F0"/>
    <w:rsid w:val="008066AC"/>
    <w:rsid w:val="00811F56"/>
    <w:rsid w:val="00811FF7"/>
    <w:rsid w:val="00812C9C"/>
    <w:rsid w:val="00815950"/>
    <w:rsid w:val="008167D9"/>
    <w:rsid w:val="00816B8A"/>
    <w:rsid w:val="008172F4"/>
    <w:rsid w:val="0081747C"/>
    <w:rsid w:val="008206FB"/>
    <w:rsid w:val="00820F36"/>
    <w:rsid w:val="008217A1"/>
    <w:rsid w:val="0082186A"/>
    <w:rsid w:val="00824CF0"/>
    <w:rsid w:val="00825080"/>
    <w:rsid w:val="00825725"/>
    <w:rsid w:val="008261E8"/>
    <w:rsid w:val="00826AD3"/>
    <w:rsid w:val="0082711B"/>
    <w:rsid w:val="0083564B"/>
    <w:rsid w:val="0083668A"/>
    <w:rsid w:val="00836A08"/>
    <w:rsid w:val="00836CCA"/>
    <w:rsid w:val="00836F06"/>
    <w:rsid w:val="00837F68"/>
    <w:rsid w:val="00837FB7"/>
    <w:rsid w:val="00844F00"/>
    <w:rsid w:val="00844F58"/>
    <w:rsid w:val="0084650E"/>
    <w:rsid w:val="00847761"/>
    <w:rsid w:val="00851187"/>
    <w:rsid w:val="008539F7"/>
    <w:rsid w:val="00855CF2"/>
    <w:rsid w:val="0085696A"/>
    <w:rsid w:val="00860B0A"/>
    <w:rsid w:val="00860BE3"/>
    <w:rsid w:val="008613BD"/>
    <w:rsid w:val="00861668"/>
    <w:rsid w:val="00862FFD"/>
    <w:rsid w:val="00863294"/>
    <w:rsid w:val="0086471E"/>
    <w:rsid w:val="00865FB4"/>
    <w:rsid w:val="00866841"/>
    <w:rsid w:val="0086750A"/>
    <w:rsid w:val="00871628"/>
    <w:rsid w:val="00873FD9"/>
    <w:rsid w:val="00874D6A"/>
    <w:rsid w:val="0087651B"/>
    <w:rsid w:val="00881791"/>
    <w:rsid w:val="0088240B"/>
    <w:rsid w:val="00882839"/>
    <w:rsid w:val="00884DED"/>
    <w:rsid w:val="008874D5"/>
    <w:rsid w:val="00890E62"/>
    <w:rsid w:val="008950B7"/>
    <w:rsid w:val="00895F5C"/>
    <w:rsid w:val="00896F81"/>
    <w:rsid w:val="00897A64"/>
    <w:rsid w:val="00897ADF"/>
    <w:rsid w:val="00897DCD"/>
    <w:rsid w:val="008A013B"/>
    <w:rsid w:val="008A1CAE"/>
    <w:rsid w:val="008A2789"/>
    <w:rsid w:val="008A4F31"/>
    <w:rsid w:val="008B09A5"/>
    <w:rsid w:val="008B158C"/>
    <w:rsid w:val="008B28D5"/>
    <w:rsid w:val="008B6C37"/>
    <w:rsid w:val="008B6E7E"/>
    <w:rsid w:val="008C4E00"/>
    <w:rsid w:val="008C5421"/>
    <w:rsid w:val="008C73CF"/>
    <w:rsid w:val="008D1D04"/>
    <w:rsid w:val="008D3646"/>
    <w:rsid w:val="008D59C6"/>
    <w:rsid w:val="008D68A5"/>
    <w:rsid w:val="008D7B54"/>
    <w:rsid w:val="008E10A1"/>
    <w:rsid w:val="008E3D9E"/>
    <w:rsid w:val="008E5DBC"/>
    <w:rsid w:val="008E6388"/>
    <w:rsid w:val="008E7B51"/>
    <w:rsid w:val="008F14F0"/>
    <w:rsid w:val="008F1543"/>
    <w:rsid w:val="008F209E"/>
    <w:rsid w:val="008F3A10"/>
    <w:rsid w:val="008F4526"/>
    <w:rsid w:val="008F6F8A"/>
    <w:rsid w:val="008F7639"/>
    <w:rsid w:val="00903294"/>
    <w:rsid w:val="00903453"/>
    <w:rsid w:val="00903891"/>
    <w:rsid w:val="00903909"/>
    <w:rsid w:val="00904C5E"/>
    <w:rsid w:val="0090608A"/>
    <w:rsid w:val="00910D8A"/>
    <w:rsid w:val="00912103"/>
    <w:rsid w:val="00913E50"/>
    <w:rsid w:val="00914C12"/>
    <w:rsid w:val="0091737B"/>
    <w:rsid w:val="0091783F"/>
    <w:rsid w:val="00917D27"/>
    <w:rsid w:val="009202D9"/>
    <w:rsid w:val="00920C48"/>
    <w:rsid w:val="00923A8D"/>
    <w:rsid w:val="00925409"/>
    <w:rsid w:val="00930389"/>
    <w:rsid w:val="00931E54"/>
    <w:rsid w:val="00932ACB"/>
    <w:rsid w:val="00932E6A"/>
    <w:rsid w:val="00933AAF"/>
    <w:rsid w:val="00936533"/>
    <w:rsid w:val="00936DE9"/>
    <w:rsid w:val="00940898"/>
    <w:rsid w:val="00941A0A"/>
    <w:rsid w:val="00942FB6"/>
    <w:rsid w:val="00944957"/>
    <w:rsid w:val="00944EA0"/>
    <w:rsid w:val="009466E6"/>
    <w:rsid w:val="009466F0"/>
    <w:rsid w:val="009510BA"/>
    <w:rsid w:val="0095140D"/>
    <w:rsid w:val="00952126"/>
    <w:rsid w:val="00952C7A"/>
    <w:rsid w:val="009532C0"/>
    <w:rsid w:val="0095532C"/>
    <w:rsid w:val="009559BB"/>
    <w:rsid w:val="00955B6F"/>
    <w:rsid w:val="00956A0B"/>
    <w:rsid w:val="00957DE7"/>
    <w:rsid w:val="00960EE9"/>
    <w:rsid w:val="00962021"/>
    <w:rsid w:val="00963871"/>
    <w:rsid w:val="009639BF"/>
    <w:rsid w:val="00965868"/>
    <w:rsid w:val="00970C1E"/>
    <w:rsid w:val="00972DC2"/>
    <w:rsid w:val="00976345"/>
    <w:rsid w:val="009776A3"/>
    <w:rsid w:val="009776F2"/>
    <w:rsid w:val="00977899"/>
    <w:rsid w:val="00982B4E"/>
    <w:rsid w:val="0098513D"/>
    <w:rsid w:val="00985E79"/>
    <w:rsid w:val="00990C7C"/>
    <w:rsid w:val="009910C6"/>
    <w:rsid w:val="00992B2F"/>
    <w:rsid w:val="00994021"/>
    <w:rsid w:val="009940A6"/>
    <w:rsid w:val="00995DBE"/>
    <w:rsid w:val="009976FC"/>
    <w:rsid w:val="009A024F"/>
    <w:rsid w:val="009A4B9E"/>
    <w:rsid w:val="009A51E7"/>
    <w:rsid w:val="009A6CA1"/>
    <w:rsid w:val="009A6CB4"/>
    <w:rsid w:val="009B1BC4"/>
    <w:rsid w:val="009B33B2"/>
    <w:rsid w:val="009B3794"/>
    <w:rsid w:val="009B3A7D"/>
    <w:rsid w:val="009B3FE2"/>
    <w:rsid w:val="009B4CFC"/>
    <w:rsid w:val="009B7FA5"/>
    <w:rsid w:val="009C098A"/>
    <w:rsid w:val="009C2288"/>
    <w:rsid w:val="009C3BE5"/>
    <w:rsid w:val="009C58B5"/>
    <w:rsid w:val="009C7834"/>
    <w:rsid w:val="009D0B85"/>
    <w:rsid w:val="009D0F62"/>
    <w:rsid w:val="009D2659"/>
    <w:rsid w:val="009D273B"/>
    <w:rsid w:val="009D3813"/>
    <w:rsid w:val="009D50DC"/>
    <w:rsid w:val="009D56F6"/>
    <w:rsid w:val="009D7833"/>
    <w:rsid w:val="009D7AD3"/>
    <w:rsid w:val="009E3AE9"/>
    <w:rsid w:val="009E54B4"/>
    <w:rsid w:val="009E617E"/>
    <w:rsid w:val="009E6DA2"/>
    <w:rsid w:val="009E7C2E"/>
    <w:rsid w:val="009E7CDE"/>
    <w:rsid w:val="009E7D46"/>
    <w:rsid w:val="009F311D"/>
    <w:rsid w:val="009F31AB"/>
    <w:rsid w:val="009F5372"/>
    <w:rsid w:val="009F5AA6"/>
    <w:rsid w:val="009F6654"/>
    <w:rsid w:val="00A0002F"/>
    <w:rsid w:val="00A01E0B"/>
    <w:rsid w:val="00A0444A"/>
    <w:rsid w:val="00A04714"/>
    <w:rsid w:val="00A0518A"/>
    <w:rsid w:val="00A05EC7"/>
    <w:rsid w:val="00A075F2"/>
    <w:rsid w:val="00A137CB"/>
    <w:rsid w:val="00A139A7"/>
    <w:rsid w:val="00A1561F"/>
    <w:rsid w:val="00A15E54"/>
    <w:rsid w:val="00A17C17"/>
    <w:rsid w:val="00A20EBC"/>
    <w:rsid w:val="00A21503"/>
    <w:rsid w:val="00A230E5"/>
    <w:rsid w:val="00A2347D"/>
    <w:rsid w:val="00A23CA3"/>
    <w:rsid w:val="00A25559"/>
    <w:rsid w:val="00A26321"/>
    <w:rsid w:val="00A27276"/>
    <w:rsid w:val="00A30E0E"/>
    <w:rsid w:val="00A3125A"/>
    <w:rsid w:val="00A325D9"/>
    <w:rsid w:val="00A33046"/>
    <w:rsid w:val="00A34D8B"/>
    <w:rsid w:val="00A35D0C"/>
    <w:rsid w:val="00A36547"/>
    <w:rsid w:val="00A40F1E"/>
    <w:rsid w:val="00A445AC"/>
    <w:rsid w:val="00A454D4"/>
    <w:rsid w:val="00A45FF4"/>
    <w:rsid w:val="00A46C94"/>
    <w:rsid w:val="00A50DD3"/>
    <w:rsid w:val="00A50FCC"/>
    <w:rsid w:val="00A51CAA"/>
    <w:rsid w:val="00A51F4A"/>
    <w:rsid w:val="00A52C3D"/>
    <w:rsid w:val="00A543DF"/>
    <w:rsid w:val="00A54B8D"/>
    <w:rsid w:val="00A578AF"/>
    <w:rsid w:val="00A621ED"/>
    <w:rsid w:val="00A63284"/>
    <w:rsid w:val="00A63439"/>
    <w:rsid w:val="00A6391E"/>
    <w:rsid w:val="00A64298"/>
    <w:rsid w:val="00A66EF0"/>
    <w:rsid w:val="00A67538"/>
    <w:rsid w:val="00A702CC"/>
    <w:rsid w:val="00A71B68"/>
    <w:rsid w:val="00A7264E"/>
    <w:rsid w:val="00A72BC2"/>
    <w:rsid w:val="00A732B5"/>
    <w:rsid w:val="00A73BF2"/>
    <w:rsid w:val="00A7529B"/>
    <w:rsid w:val="00A76B20"/>
    <w:rsid w:val="00A7753A"/>
    <w:rsid w:val="00A80247"/>
    <w:rsid w:val="00A813FD"/>
    <w:rsid w:val="00A81469"/>
    <w:rsid w:val="00A81B59"/>
    <w:rsid w:val="00A82E30"/>
    <w:rsid w:val="00A83F04"/>
    <w:rsid w:val="00A842B3"/>
    <w:rsid w:val="00A90C95"/>
    <w:rsid w:val="00A9221A"/>
    <w:rsid w:val="00A925C2"/>
    <w:rsid w:val="00A93BB9"/>
    <w:rsid w:val="00A94713"/>
    <w:rsid w:val="00A947E3"/>
    <w:rsid w:val="00A959E4"/>
    <w:rsid w:val="00A97A9B"/>
    <w:rsid w:val="00A97BC4"/>
    <w:rsid w:val="00AA0844"/>
    <w:rsid w:val="00AA0B15"/>
    <w:rsid w:val="00AA1B71"/>
    <w:rsid w:val="00AA278B"/>
    <w:rsid w:val="00AA2B24"/>
    <w:rsid w:val="00AA3893"/>
    <w:rsid w:val="00AA4BCD"/>
    <w:rsid w:val="00AB1621"/>
    <w:rsid w:val="00AB1843"/>
    <w:rsid w:val="00AB1CE5"/>
    <w:rsid w:val="00AB21C2"/>
    <w:rsid w:val="00AB24EF"/>
    <w:rsid w:val="00AB57CD"/>
    <w:rsid w:val="00AB6C97"/>
    <w:rsid w:val="00AB708F"/>
    <w:rsid w:val="00AC05C2"/>
    <w:rsid w:val="00AC1B6C"/>
    <w:rsid w:val="00AC3C07"/>
    <w:rsid w:val="00AC47F8"/>
    <w:rsid w:val="00AD3093"/>
    <w:rsid w:val="00AD3268"/>
    <w:rsid w:val="00AD3DDA"/>
    <w:rsid w:val="00AD4274"/>
    <w:rsid w:val="00AD7391"/>
    <w:rsid w:val="00AE0311"/>
    <w:rsid w:val="00AE0380"/>
    <w:rsid w:val="00AE0494"/>
    <w:rsid w:val="00AE28EB"/>
    <w:rsid w:val="00AE4D29"/>
    <w:rsid w:val="00AF0A6A"/>
    <w:rsid w:val="00AF3D21"/>
    <w:rsid w:val="00AF42BF"/>
    <w:rsid w:val="00AF731A"/>
    <w:rsid w:val="00AF783A"/>
    <w:rsid w:val="00B0295E"/>
    <w:rsid w:val="00B0296D"/>
    <w:rsid w:val="00B03DB5"/>
    <w:rsid w:val="00B04E3E"/>
    <w:rsid w:val="00B05482"/>
    <w:rsid w:val="00B05CD9"/>
    <w:rsid w:val="00B07AD5"/>
    <w:rsid w:val="00B07EE1"/>
    <w:rsid w:val="00B134A5"/>
    <w:rsid w:val="00B139BA"/>
    <w:rsid w:val="00B148E9"/>
    <w:rsid w:val="00B1651E"/>
    <w:rsid w:val="00B21F1D"/>
    <w:rsid w:val="00B232D6"/>
    <w:rsid w:val="00B23822"/>
    <w:rsid w:val="00B24418"/>
    <w:rsid w:val="00B2543F"/>
    <w:rsid w:val="00B26FE9"/>
    <w:rsid w:val="00B3093B"/>
    <w:rsid w:val="00B30F49"/>
    <w:rsid w:val="00B3155D"/>
    <w:rsid w:val="00B32D17"/>
    <w:rsid w:val="00B33E64"/>
    <w:rsid w:val="00B3409C"/>
    <w:rsid w:val="00B34F69"/>
    <w:rsid w:val="00B364BC"/>
    <w:rsid w:val="00B368DC"/>
    <w:rsid w:val="00B36FA3"/>
    <w:rsid w:val="00B37EC6"/>
    <w:rsid w:val="00B37FB6"/>
    <w:rsid w:val="00B46B31"/>
    <w:rsid w:val="00B50C96"/>
    <w:rsid w:val="00B5259F"/>
    <w:rsid w:val="00B53E62"/>
    <w:rsid w:val="00B551C2"/>
    <w:rsid w:val="00B55AB1"/>
    <w:rsid w:val="00B562F8"/>
    <w:rsid w:val="00B571AF"/>
    <w:rsid w:val="00B61F5C"/>
    <w:rsid w:val="00B62A8C"/>
    <w:rsid w:val="00B62B2D"/>
    <w:rsid w:val="00B63F40"/>
    <w:rsid w:val="00B6533C"/>
    <w:rsid w:val="00B67540"/>
    <w:rsid w:val="00B67C02"/>
    <w:rsid w:val="00B67D43"/>
    <w:rsid w:val="00B75CA4"/>
    <w:rsid w:val="00B75FD9"/>
    <w:rsid w:val="00B830A0"/>
    <w:rsid w:val="00B83BFA"/>
    <w:rsid w:val="00B844E6"/>
    <w:rsid w:val="00B8481E"/>
    <w:rsid w:val="00B86349"/>
    <w:rsid w:val="00B874FD"/>
    <w:rsid w:val="00B87FBF"/>
    <w:rsid w:val="00B91128"/>
    <w:rsid w:val="00B91F64"/>
    <w:rsid w:val="00B93D4F"/>
    <w:rsid w:val="00B94F68"/>
    <w:rsid w:val="00B96157"/>
    <w:rsid w:val="00BA00C6"/>
    <w:rsid w:val="00BA11F4"/>
    <w:rsid w:val="00BA428E"/>
    <w:rsid w:val="00BA6EAD"/>
    <w:rsid w:val="00BA7AC5"/>
    <w:rsid w:val="00BB0BCA"/>
    <w:rsid w:val="00BB3FA5"/>
    <w:rsid w:val="00BB4ECF"/>
    <w:rsid w:val="00BB610F"/>
    <w:rsid w:val="00BB77BF"/>
    <w:rsid w:val="00BC063B"/>
    <w:rsid w:val="00BC0E92"/>
    <w:rsid w:val="00BC16DE"/>
    <w:rsid w:val="00BC170F"/>
    <w:rsid w:val="00BC2933"/>
    <w:rsid w:val="00BC764A"/>
    <w:rsid w:val="00BD1610"/>
    <w:rsid w:val="00BD1F3A"/>
    <w:rsid w:val="00BD56E6"/>
    <w:rsid w:val="00BD70CE"/>
    <w:rsid w:val="00BE30B8"/>
    <w:rsid w:val="00BE3BFE"/>
    <w:rsid w:val="00BE3D6C"/>
    <w:rsid w:val="00BE5FB5"/>
    <w:rsid w:val="00BE63FB"/>
    <w:rsid w:val="00BE71A5"/>
    <w:rsid w:val="00BF2549"/>
    <w:rsid w:val="00BF2FC7"/>
    <w:rsid w:val="00BF5144"/>
    <w:rsid w:val="00BF58F0"/>
    <w:rsid w:val="00BF5DE7"/>
    <w:rsid w:val="00BF7B42"/>
    <w:rsid w:val="00C00F11"/>
    <w:rsid w:val="00C04182"/>
    <w:rsid w:val="00C0653A"/>
    <w:rsid w:val="00C07BCB"/>
    <w:rsid w:val="00C12ACF"/>
    <w:rsid w:val="00C133DA"/>
    <w:rsid w:val="00C1343D"/>
    <w:rsid w:val="00C1397D"/>
    <w:rsid w:val="00C15455"/>
    <w:rsid w:val="00C211EB"/>
    <w:rsid w:val="00C22562"/>
    <w:rsid w:val="00C22D08"/>
    <w:rsid w:val="00C24AD4"/>
    <w:rsid w:val="00C256FE"/>
    <w:rsid w:val="00C259D9"/>
    <w:rsid w:val="00C27E8A"/>
    <w:rsid w:val="00C30F88"/>
    <w:rsid w:val="00C325E0"/>
    <w:rsid w:val="00C33DDC"/>
    <w:rsid w:val="00C341F1"/>
    <w:rsid w:val="00C349F3"/>
    <w:rsid w:val="00C361F6"/>
    <w:rsid w:val="00C37009"/>
    <w:rsid w:val="00C37E29"/>
    <w:rsid w:val="00C40109"/>
    <w:rsid w:val="00C41506"/>
    <w:rsid w:val="00C437A2"/>
    <w:rsid w:val="00C43D2B"/>
    <w:rsid w:val="00C4539D"/>
    <w:rsid w:val="00C46838"/>
    <w:rsid w:val="00C47B80"/>
    <w:rsid w:val="00C5005C"/>
    <w:rsid w:val="00C51E61"/>
    <w:rsid w:val="00C5287F"/>
    <w:rsid w:val="00C52C4B"/>
    <w:rsid w:val="00C56732"/>
    <w:rsid w:val="00C600FA"/>
    <w:rsid w:val="00C60402"/>
    <w:rsid w:val="00C60474"/>
    <w:rsid w:val="00C60696"/>
    <w:rsid w:val="00C61B5D"/>
    <w:rsid w:val="00C623C1"/>
    <w:rsid w:val="00C62590"/>
    <w:rsid w:val="00C63A09"/>
    <w:rsid w:val="00C6717B"/>
    <w:rsid w:val="00C6766E"/>
    <w:rsid w:val="00C6779B"/>
    <w:rsid w:val="00C67C58"/>
    <w:rsid w:val="00C70D88"/>
    <w:rsid w:val="00C71D34"/>
    <w:rsid w:val="00C73318"/>
    <w:rsid w:val="00C734B7"/>
    <w:rsid w:val="00C73DBA"/>
    <w:rsid w:val="00C74685"/>
    <w:rsid w:val="00C7514B"/>
    <w:rsid w:val="00C81406"/>
    <w:rsid w:val="00C819C2"/>
    <w:rsid w:val="00C82658"/>
    <w:rsid w:val="00C84C6D"/>
    <w:rsid w:val="00C84EF5"/>
    <w:rsid w:val="00C87572"/>
    <w:rsid w:val="00C8768E"/>
    <w:rsid w:val="00C920CB"/>
    <w:rsid w:val="00C941A4"/>
    <w:rsid w:val="00C94223"/>
    <w:rsid w:val="00C95467"/>
    <w:rsid w:val="00C9565C"/>
    <w:rsid w:val="00C95A23"/>
    <w:rsid w:val="00CA0935"/>
    <w:rsid w:val="00CA0DF7"/>
    <w:rsid w:val="00CA22F3"/>
    <w:rsid w:val="00CA3BC9"/>
    <w:rsid w:val="00CA3EE7"/>
    <w:rsid w:val="00CA58BC"/>
    <w:rsid w:val="00CA6292"/>
    <w:rsid w:val="00CA698A"/>
    <w:rsid w:val="00CA74CF"/>
    <w:rsid w:val="00CB20AF"/>
    <w:rsid w:val="00CB2C69"/>
    <w:rsid w:val="00CB3C09"/>
    <w:rsid w:val="00CB43D2"/>
    <w:rsid w:val="00CB5AF5"/>
    <w:rsid w:val="00CB632B"/>
    <w:rsid w:val="00CB7150"/>
    <w:rsid w:val="00CC007F"/>
    <w:rsid w:val="00CC1D86"/>
    <w:rsid w:val="00CC2C62"/>
    <w:rsid w:val="00CC5673"/>
    <w:rsid w:val="00CC6A0D"/>
    <w:rsid w:val="00CD1D9B"/>
    <w:rsid w:val="00CD396D"/>
    <w:rsid w:val="00CD40A4"/>
    <w:rsid w:val="00CD4228"/>
    <w:rsid w:val="00CD65F7"/>
    <w:rsid w:val="00CD6C50"/>
    <w:rsid w:val="00CD713B"/>
    <w:rsid w:val="00CD7497"/>
    <w:rsid w:val="00CE10F0"/>
    <w:rsid w:val="00CE242F"/>
    <w:rsid w:val="00CE4574"/>
    <w:rsid w:val="00CE5E31"/>
    <w:rsid w:val="00CE6D01"/>
    <w:rsid w:val="00CE755C"/>
    <w:rsid w:val="00CF35BF"/>
    <w:rsid w:val="00CF74F2"/>
    <w:rsid w:val="00D0044A"/>
    <w:rsid w:val="00D0125B"/>
    <w:rsid w:val="00D0156C"/>
    <w:rsid w:val="00D0300C"/>
    <w:rsid w:val="00D1028B"/>
    <w:rsid w:val="00D1191A"/>
    <w:rsid w:val="00D11F38"/>
    <w:rsid w:val="00D13256"/>
    <w:rsid w:val="00D14868"/>
    <w:rsid w:val="00D15293"/>
    <w:rsid w:val="00D20E22"/>
    <w:rsid w:val="00D24264"/>
    <w:rsid w:val="00D24722"/>
    <w:rsid w:val="00D247C8"/>
    <w:rsid w:val="00D24C00"/>
    <w:rsid w:val="00D26BD7"/>
    <w:rsid w:val="00D30E14"/>
    <w:rsid w:val="00D32501"/>
    <w:rsid w:val="00D34C36"/>
    <w:rsid w:val="00D365E3"/>
    <w:rsid w:val="00D370D8"/>
    <w:rsid w:val="00D372B5"/>
    <w:rsid w:val="00D37E5C"/>
    <w:rsid w:val="00D43407"/>
    <w:rsid w:val="00D43F38"/>
    <w:rsid w:val="00D47458"/>
    <w:rsid w:val="00D511AA"/>
    <w:rsid w:val="00D51918"/>
    <w:rsid w:val="00D540EA"/>
    <w:rsid w:val="00D5788E"/>
    <w:rsid w:val="00D60C57"/>
    <w:rsid w:val="00D6118B"/>
    <w:rsid w:val="00D612BA"/>
    <w:rsid w:val="00D61DE2"/>
    <w:rsid w:val="00D627DA"/>
    <w:rsid w:val="00D62E4E"/>
    <w:rsid w:val="00D63713"/>
    <w:rsid w:val="00D64F02"/>
    <w:rsid w:val="00D66BF5"/>
    <w:rsid w:val="00D70B90"/>
    <w:rsid w:val="00D72557"/>
    <w:rsid w:val="00D734D4"/>
    <w:rsid w:val="00D74BCD"/>
    <w:rsid w:val="00D74FD0"/>
    <w:rsid w:val="00D76551"/>
    <w:rsid w:val="00D81606"/>
    <w:rsid w:val="00D81B9E"/>
    <w:rsid w:val="00D8347E"/>
    <w:rsid w:val="00D8379D"/>
    <w:rsid w:val="00D865BF"/>
    <w:rsid w:val="00D87A20"/>
    <w:rsid w:val="00D87B0A"/>
    <w:rsid w:val="00D90549"/>
    <w:rsid w:val="00D90F60"/>
    <w:rsid w:val="00D9118D"/>
    <w:rsid w:val="00D918DA"/>
    <w:rsid w:val="00D921D5"/>
    <w:rsid w:val="00D956DE"/>
    <w:rsid w:val="00D960A1"/>
    <w:rsid w:val="00DA1DD6"/>
    <w:rsid w:val="00DA3899"/>
    <w:rsid w:val="00DA49D1"/>
    <w:rsid w:val="00DA4E7F"/>
    <w:rsid w:val="00DA544B"/>
    <w:rsid w:val="00DA5C07"/>
    <w:rsid w:val="00DB2519"/>
    <w:rsid w:val="00DB3B02"/>
    <w:rsid w:val="00DB6A9E"/>
    <w:rsid w:val="00DB750B"/>
    <w:rsid w:val="00DB7F35"/>
    <w:rsid w:val="00DC14F3"/>
    <w:rsid w:val="00DC174C"/>
    <w:rsid w:val="00DC2838"/>
    <w:rsid w:val="00DC2E5F"/>
    <w:rsid w:val="00DC3163"/>
    <w:rsid w:val="00DC6061"/>
    <w:rsid w:val="00DC6348"/>
    <w:rsid w:val="00DC7B9B"/>
    <w:rsid w:val="00DD0104"/>
    <w:rsid w:val="00DD0382"/>
    <w:rsid w:val="00DD1287"/>
    <w:rsid w:val="00DD161D"/>
    <w:rsid w:val="00DD172E"/>
    <w:rsid w:val="00DD2931"/>
    <w:rsid w:val="00DD2A6B"/>
    <w:rsid w:val="00DE0732"/>
    <w:rsid w:val="00DE13EE"/>
    <w:rsid w:val="00DE3FEB"/>
    <w:rsid w:val="00DE5946"/>
    <w:rsid w:val="00DE679A"/>
    <w:rsid w:val="00DE7460"/>
    <w:rsid w:val="00DF1A7F"/>
    <w:rsid w:val="00DF2246"/>
    <w:rsid w:val="00DF270E"/>
    <w:rsid w:val="00DF3503"/>
    <w:rsid w:val="00DF5084"/>
    <w:rsid w:val="00DF5AC9"/>
    <w:rsid w:val="00DF5F0D"/>
    <w:rsid w:val="00DF626F"/>
    <w:rsid w:val="00DF7EDF"/>
    <w:rsid w:val="00E00675"/>
    <w:rsid w:val="00E00D4D"/>
    <w:rsid w:val="00E016EC"/>
    <w:rsid w:val="00E01D92"/>
    <w:rsid w:val="00E01D9B"/>
    <w:rsid w:val="00E01DAE"/>
    <w:rsid w:val="00E01E19"/>
    <w:rsid w:val="00E02914"/>
    <w:rsid w:val="00E0393A"/>
    <w:rsid w:val="00E046C4"/>
    <w:rsid w:val="00E061F9"/>
    <w:rsid w:val="00E077E6"/>
    <w:rsid w:val="00E12CF3"/>
    <w:rsid w:val="00E14D65"/>
    <w:rsid w:val="00E15741"/>
    <w:rsid w:val="00E158E9"/>
    <w:rsid w:val="00E15E65"/>
    <w:rsid w:val="00E17648"/>
    <w:rsid w:val="00E20171"/>
    <w:rsid w:val="00E20942"/>
    <w:rsid w:val="00E20E56"/>
    <w:rsid w:val="00E23565"/>
    <w:rsid w:val="00E235F4"/>
    <w:rsid w:val="00E256DE"/>
    <w:rsid w:val="00E26165"/>
    <w:rsid w:val="00E26A51"/>
    <w:rsid w:val="00E26EB5"/>
    <w:rsid w:val="00E27606"/>
    <w:rsid w:val="00E3039C"/>
    <w:rsid w:val="00E31234"/>
    <w:rsid w:val="00E32377"/>
    <w:rsid w:val="00E325DB"/>
    <w:rsid w:val="00E33DBE"/>
    <w:rsid w:val="00E40210"/>
    <w:rsid w:val="00E40937"/>
    <w:rsid w:val="00E40FE0"/>
    <w:rsid w:val="00E41889"/>
    <w:rsid w:val="00E46130"/>
    <w:rsid w:val="00E475F3"/>
    <w:rsid w:val="00E47F9D"/>
    <w:rsid w:val="00E51EB1"/>
    <w:rsid w:val="00E53459"/>
    <w:rsid w:val="00E547F0"/>
    <w:rsid w:val="00E55EEB"/>
    <w:rsid w:val="00E5641D"/>
    <w:rsid w:val="00E602B6"/>
    <w:rsid w:val="00E607D9"/>
    <w:rsid w:val="00E613CA"/>
    <w:rsid w:val="00E61656"/>
    <w:rsid w:val="00E62044"/>
    <w:rsid w:val="00E625C7"/>
    <w:rsid w:val="00E62F1C"/>
    <w:rsid w:val="00E66158"/>
    <w:rsid w:val="00E66F83"/>
    <w:rsid w:val="00E721A0"/>
    <w:rsid w:val="00E72413"/>
    <w:rsid w:val="00E743CA"/>
    <w:rsid w:val="00E76AAF"/>
    <w:rsid w:val="00E76F6C"/>
    <w:rsid w:val="00E77BEE"/>
    <w:rsid w:val="00E77DF8"/>
    <w:rsid w:val="00E815D3"/>
    <w:rsid w:val="00E819B0"/>
    <w:rsid w:val="00E856DC"/>
    <w:rsid w:val="00E874C0"/>
    <w:rsid w:val="00E9027D"/>
    <w:rsid w:val="00E92081"/>
    <w:rsid w:val="00E933B7"/>
    <w:rsid w:val="00E93A92"/>
    <w:rsid w:val="00E94129"/>
    <w:rsid w:val="00E9697F"/>
    <w:rsid w:val="00E96FA1"/>
    <w:rsid w:val="00E9732A"/>
    <w:rsid w:val="00EA0259"/>
    <w:rsid w:val="00EA08B1"/>
    <w:rsid w:val="00EA0E1C"/>
    <w:rsid w:val="00EA2147"/>
    <w:rsid w:val="00EA38C3"/>
    <w:rsid w:val="00EA3E6E"/>
    <w:rsid w:val="00EA4999"/>
    <w:rsid w:val="00EA63B9"/>
    <w:rsid w:val="00EB1198"/>
    <w:rsid w:val="00EB13B2"/>
    <w:rsid w:val="00EB2CF0"/>
    <w:rsid w:val="00EB5C54"/>
    <w:rsid w:val="00EB67E6"/>
    <w:rsid w:val="00EB7795"/>
    <w:rsid w:val="00EC1E7B"/>
    <w:rsid w:val="00EC4B18"/>
    <w:rsid w:val="00EC4F8A"/>
    <w:rsid w:val="00EC5867"/>
    <w:rsid w:val="00EC6D1C"/>
    <w:rsid w:val="00EC760B"/>
    <w:rsid w:val="00EC7E04"/>
    <w:rsid w:val="00ED173D"/>
    <w:rsid w:val="00ED231D"/>
    <w:rsid w:val="00ED283B"/>
    <w:rsid w:val="00ED2FAD"/>
    <w:rsid w:val="00ED54AC"/>
    <w:rsid w:val="00ED5562"/>
    <w:rsid w:val="00ED5AFE"/>
    <w:rsid w:val="00EE09CE"/>
    <w:rsid w:val="00EE4DF4"/>
    <w:rsid w:val="00EE509F"/>
    <w:rsid w:val="00EE7A3E"/>
    <w:rsid w:val="00EF116A"/>
    <w:rsid w:val="00EF1DEF"/>
    <w:rsid w:val="00EF6773"/>
    <w:rsid w:val="00EF78D4"/>
    <w:rsid w:val="00F00906"/>
    <w:rsid w:val="00F00E3A"/>
    <w:rsid w:val="00F01020"/>
    <w:rsid w:val="00F01CC9"/>
    <w:rsid w:val="00F02EBA"/>
    <w:rsid w:val="00F04259"/>
    <w:rsid w:val="00F0702C"/>
    <w:rsid w:val="00F0787B"/>
    <w:rsid w:val="00F07BE6"/>
    <w:rsid w:val="00F12F7D"/>
    <w:rsid w:val="00F13F10"/>
    <w:rsid w:val="00F15661"/>
    <w:rsid w:val="00F1573A"/>
    <w:rsid w:val="00F1762F"/>
    <w:rsid w:val="00F17F57"/>
    <w:rsid w:val="00F21039"/>
    <w:rsid w:val="00F21552"/>
    <w:rsid w:val="00F217A3"/>
    <w:rsid w:val="00F22148"/>
    <w:rsid w:val="00F225C9"/>
    <w:rsid w:val="00F22D1B"/>
    <w:rsid w:val="00F2517B"/>
    <w:rsid w:val="00F263E0"/>
    <w:rsid w:val="00F2700F"/>
    <w:rsid w:val="00F27BBE"/>
    <w:rsid w:val="00F304F3"/>
    <w:rsid w:val="00F31D1C"/>
    <w:rsid w:val="00F35A86"/>
    <w:rsid w:val="00F36DFE"/>
    <w:rsid w:val="00F4025D"/>
    <w:rsid w:val="00F41161"/>
    <w:rsid w:val="00F41D1E"/>
    <w:rsid w:val="00F42461"/>
    <w:rsid w:val="00F4312F"/>
    <w:rsid w:val="00F43B22"/>
    <w:rsid w:val="00F43D7D"/>
    <w:rsid w:val="00F44A70"/>
    <w:rsid w:val="00F44F37"/>
    <w:rsid w:val="00F452B9"/>
    <w:rsid w:val="00F457DE"/>
    <w:rsid w:val="00F458AE"/>
    <w:rsid w:val="00F468C5"/>
    <w:rsid w:val="00F500E6"/>
    <w:rsid w:val="00F51361"/>
    <w:rsid w:val="00F519EC"/>
    <w:rsid w:val="00F53083"/>
    <w:rsid w:val="00F5313D"/>
    <w:rsid w:val="00F53B3F"/>
    <w:rsid w:val="00F54140"/>
    <w:rsid w:val="00F5443F"/>
    <w:rsid w:val="00F5531C"/>
    <w:rsid w:val="00F56298"/>
    <w:rsid w:val="00F61FA1"/>
    <w:rsid w:val="00F625F6"/>
    <w:rsid w:val="00F65672"/>
    <w:rsid w:val="00F710B1"/>
    <w:rsid w:val="00F72BF1"/>
    <w:rsid w:val="00F7415D"/>
    <w:rsid w:val="00F75022"/>
    <w:rsid w:val="00F750A4"/>
    <w:rsid w:val="00F76612"/>
    <w:rsid w:val="00F76895"/>
    <w:rsid w:val="00F771AB"/>
    <w:rsid w:val="00F77C2B"/>
    <w:rsid w:val="00F809B5"/>
    <w:rsid w:val="00F81C19"/>
    <w:rsid w:val="00F860E0"/>
    <w:rsid w:val="00F86F72"/>
    <w:rsid w:val="00F87F82"/>
    <w:rsid w:val="00F87F89"/>
    <w:rsid w:val="00F910BC"/>
    <w:rsid w:val="00F92DF7"/>
    <w:rsid w:val="00F940F3"/>
    <w:rsid w:val="00F961FA"/>
    <w:rsid w:val="00F962E1"/>
    <w:rsid w:val="00F97420"/>
    <w:rsid w:val="00F97EBC"/>
    <w:rsid w:val="00FA0B78"/>
    <w:rsid w:val="00FA14FE"/>
    <w:rsid w:val="00FA1CB6"/>
    <w:rsid w:val="00FA1D82"/>
    <w:rsid w:val="00FA2AF9"/>
    <w:rsid w:val="00FA2D0C"/>
    <w:rsid w:val="00FA3182"/>
    <w:rsid w:val="00FA5283"/>
    <w:rsid w:val="00FA78B2"/>
    <w:rsid w:val="00FB022F"/>
    <w:rsid w:val="00FB04E7"/>
    <w:rsid w:val="00FB0836"/>
    <w:rsid w:val="00FB42AD"/>
    <w:rsid w:val="00FB7BAC"/>
    <w:rsid w:val="00FC08A3"/>
    <w:rsid w:val="00FC10D8"/>
    <w:rsid w:val="00FC147F"/>
    <w:rsid w:val="00FC3405"/>
    <w:rsid w:val="00FC36AB"/>
    <w:rsid w:val="00FC49CD"/>
    <w:rsid w:val="00FC6E87"/>
    <w:rsid w:val="00FC7AF6"/>
    <w:rsid w:val="00FD05EC"/>
    <w:rsid w:val="00FD0881"/>
    <w:rsid w:val="00FD0E83"/>
    <w:rsid w:val="00FD105B"/>
    <w:rsid w:val="00FD1E09"/>
    <w:rsid w:val="00FD26ED"/>
    <w:rsid w:val="00FD2B67"/>
    <w:rsid w:val="00FD30FA"/>
    <w:rsid w:val="00FD3642"/>
    <w:rsid w:val="00FD3648"/>
    <w:rsid w:val="00FD4A89"/>
    <w:rsid w:val="00FD6566"/>
    <w:rsid w:val="00FD65EE"/>
    <w:rsid w:val="00FE2A64"/>
    <w:rsid w:val="00FE542F"/>
    <w:rsid w:val="00FE576D"/>
    <w:rsid w:val="00FE5EAC"/>
    <w:rsid w:val="00FF1865"/>
    <w:rsid w:val="00FF4B7D"/>
    <w:rsid w:val="00FF62E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shapelayout>
  </w:shapeDefaults>
  <w:decimalSymbol w:val="."/>
  <w:listSeparator w:val=","/>
  <w14:docId w14:val="69E38215"/>
  <w15:docId w15:val="{7383C534-BA66-4D21-B022-12B71AA77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28AE"/>
  </w:style>
  <w:style w:type="paragraph" w:styleId="Heading1">
    <w:name w:val="heading 1"/>
    <w:basedOn w:val="Normal"/>
    <w:next w:val="Normal"/>
    <w:link w:val="Heading1Char"/>
    <w:uiPriority w:val="9"/>
    <w:qFormat/>
    <w:rsid w:val="00251453"/>
    <w:pPr>
      <w:keepNext/>
      <w:numPr>
        <w:numId w:val="1"/>
      </w:numPr>
      <w:spacing w:before="240" w:after="240" w:line="360" w:lineRule="auto"/>
      <w:outlineLvl w:val="0"/>
    </w:pPr>
    <w:rPr>
      <w:rFonts w:ascii="Times New Roman" w:eastAsiaTheme="minorHAnsi" w:hAnsi="Times New Roman" w:cs="Times New Roman"/>
      <w:b/>
      <w:bCs/>
      <w:caps/>
      <w:sz w:val="24"/>
      <w:szCs w:val="24"/>
      <w:lang w:eastAsia="en-US"/>
    </w:rPr>
  </w:style>
  <w:style w:type="paragraph" w:styleId="Heading2">
    <w:name w:val="heading 2"/>
    <w:basedOn w:val="Normal"/>
    <w:next w:val="Normal"/>
    <w:link w:val="Heading2Char"/>
    <w:uiPriority w:val="9"/>
    <w:unhideWhenUsed/>
    <w:qFormat/>
    <w:rsid w:val="00C60402"/>
    <w:pPr>
      <w:keepNext/>
      <w:keepLines/>
      <w:spacing w:before="240" w:after="240" w:line="360" w:lineRule="auto"/>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unhideWhenUsed/>
    <w:qFormat/>
    <w:rsid w:val="00B93D4F"/>
    <w:pPr>
      <w:keepNext/>
      <w:keepLines/>
      <w:spacing w:before="240" w:after="240" w:line="360" w:lineRule="auto"/>
      <w:outlineLvl w:val="2"/>
    </w:pPr>
    <w:rPr>
      <w:rFonts w:ascii="Times New Roman" w:eastAsiaTheme="majorEastAsia" w:hAnsi="Times New Roman" w:cstheme="majorBidi"/>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6B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6B06"/>
  </w:style>
  <w:style w:type="paragraph" w:styleId="Footer">
    <w:name w:val="footer"/>
    <w:basedOn w:val="Normal"/>
    <w:link w:val="FooterChar"/>
    <w:uiPriority w:val="99"/>
    <w:unhideWhenUsed/>
    <w:rsid w:val="00236B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6B06"/>
  </w:style>
  <w:style w:type="paragraph" w:styleId="FootnoteText">
    <w:name w:val="footnote text"/>
    <w:basedOn w:val="Normal"/>
    <w:link w:val="FootnoteTextChar"/>
    <w:uiPriority w:val="99"/>
    <w:unhideWhenUsed/>
    <w:rsid w:val="00236B06"/>
    <w:pPr>
      <w:spacing w:after="0" w:line="240" w:lineRule="auto"/>
    </w:pPr>
    <w:rPr>
      <w:sz w:val="20"/>
      <w:szCs w:val="20"/>
    </w:rPr>
  </w:style>
  <w:style w:type="character" w:customStyle="1" w:styleId="FootnoteTextChar">
    <w:name w:val="Footnote Text Char"/>
    <w:basedOn w:val="DefaultParagraphFont"/>
    <w:link w:val="FootnoteText"/>
    <w:uiPriority w:val="99"/>
    <w:rsid w:val="00236B06"/>
    <w:rPr>
      <w:sz w:val="20"/>
      <w:szCs w:val="20"/>
    </w:rPr>
  </w:style>
  <w:style w:type="character" w:styleId="FootnoteReference">
    <w:name w:val="footnote reference"/>
    <w:basedOn w:val="DefaultParagraphFont"/>
    <w:uiPriority w:val="99"/>
    <w:semiHidden/>
    <w:unhideWhenUsed/>
    <w:rsid w:val="00236B06"/>
    <w:rPr>
      <w:vertAlign w:val="superscript"/>
    </w:rPr>
  </w:style>
  <w:style w:type="table" w:customStyle="1" w:styleId="TableGrid6">
    <w:name w:val="Table Grid6"/>
    <w:basedOn w:val="TableNormal"/>
    <w:next w:val="TableGrid"/>
    <w:uiPriority w:val="39"/>
    <w:rsid w:val="00FC6E87"/>
    <w:pPr>
      <w:spacing w:after="0" w:line="240" w:lineRule="auto"/>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FC6E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C6E87"/>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FC6E87"/>
    <w:rPr>
      <w:rFonts w:ascii="Tahoma" w:hAnsi="Tahoma" w:cs="Tahoma"/>
      <w:sz w:val="16"/>
      <w:szCs w:val="16"/>
      <w:lang w:val="en-US"/>
    </w:rPr>
  </w:style>
  <w:style w:type="character" w:styleId="Hyperlink">
    <w:name w:val="Hyperlink"/>
    <w:basedOn w:val="DefaultParagraphFont"/>
    <w:uiPriority w:val="99"/>
    <w:unhideWhenUsed/>
    <w:rsid w:val="00825725"/>
    <w:rPr>
      <w:color w:val="0000FF" w:themeColor="hyperlink"/>
      <w:u w:val="single"/>
    </w:rPr>
  </w:style>
  <w:style w:type="table" w:customStyle="1" w:styleId="TableGrid4">
    <w:name w:val="Table Grid4"/>
    <w:basedOn w:val="TableNormal"/>
    <w:next w:val="TableGrid"/>
    <w:uiPriority w:val="59"/>
    <w:rsid w:val="00825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2A6F30"/>
    <w:pPr>
      <w:spacing w:after="0" w:line="240" w:lineRule="auto"/>
    </w:pPr>
    <w:rPr>
      <w:rFonts w:ascii="Arial" w:eastAsia="SimHe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278F1"/>
    <w:pPr>
      <w:widowControl w:val="0"/>
      <w:spacing w:after="0" w:line="240" w:lineRule="auto"/>
    </w:pPr>
    <w:rPr>
      <w:rFonts w:ascii="Times New Roman" w:eastAsia="MS Mincho"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A0844"/>
    <w:pPr>
      <w:spacing w:after="0" w:line="240" w:lineRule="auto"/>
    </w:pPr>
  </w:style>
  <w:style w:type="table" w:customStyle="1" w:styleId="TableGrid2">
    <w:name w:val="Table Grid2"/>
    <w:basedOn w:val="TableNormal"/>
    <w:next w:val="TableGrid"/>
    <w:uiPriority w:val="59"/>
    <w:rsid w:val="008E6388"/>
    <w:pPr>
      <w:widowControl w:val="0"/>
      <w:spacing w:after="0" w:line="240" w:lineRule="auto"/>
    </w:pPr>
    <w:rPr>
      <w:rFonts w:ascii="Times New Roman" w:eastAsia="MS Mincho"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25559"/>
    <w:rPr>
      <w:color w:val="808080"/>
    </w:rPr>
  </w:style>
  <w:style w:type="paragraph" w:styleId="NormalWeb">
    <w:name w:val="Normal (Web)"/>
    <w:basedOn w:val="Normal"/>
    <w:uiPriority w:val="99"/>
    <w:semiHidden/>
    <w:unhideWhenUsed/>
    <w:rsid w:val="003F77C7"/>
    <w:pPr>
      <w:spacing w:before="100" w:beforeAutospacing="1" w:after="100" w:afterAutospacing="1" w:line="240" w:lineRule="auto"/>
    </w:pPr>
    <w:rPr>
      <w:rFonts w:ascii="Times New Roman" w:hAnsi="Times New Roman" w:cs="Times New Roman"/>
      <w:sz w:val="24"/>
      <w:szCs w:val="24"/>
      <w:lang w:eastAsia="en-GB"/>
    </w:rPr>
  </w:style>
  <w:style w:type="table" w:customStyle="1" w:styleId="TableGrid21">
    <w:name w:val="Table Grid21"/>
    <w:basedOn w:val="TableNormal"/>
    <w:next w:val="TableGrid"/>
    <w:uiPriority w:val="59"/>
    <w:rsid w:val="00A0444A"/>
    <w:pPr>
      <w:spacing w:after="0" w:line="240" w:lineRule="auto"/>
    </w:pPr>
    <w:rPr>
      <w:rFonts w:eastAsia="SimHe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5788E"/>
    <w:rPr>
      <w:rFonts w:ascii="Times New Roman" w:eastAsiaTheme="minorHAnsi" w:hAnsi="Times New Roman" w:cs="Times New Roman"/>
      <w:b/>
      <w:bCs/>
      <w:caps/>
      <w:sz w:val="24"/>
      <w:szCs w:val="24"/>
      <w:lang w:eastAsia="en-US"/>
    </w:rPr>
  </w:style>
  <w:style w:type="character" w:customStyle="1" w:styleId="Heading2Char">
    <w:name w:val="Heading 2 Char"/>
    <w:basedOn w:val="DefaultParagraphFont"/>
    <w:link w:val="Heading2"/>
    <w:uiPriority w:val="9"/>
    <w:rsid w:val="00C60402"/>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B93D4F"/>
    <w:rPr>
      <w:rFonts w:ascii="Times New Roman" w:eastAsiaTheme="majorEastAsia" w:hAnsi="Times New Roman" w:cstheme="majorBidi"/>
      <w:i/>
      <w:sz w:val="24"/>
      <w:szCs w:val="24"/>
    </w:rPr>
  </w:style>
  <w:style w:type="paragraph" w:styleId="ListParagraph">
    <w:name w:val="List Paragraph"/>
    <w:basedOn w:val="Normal"/>
    <w:uiPriority w:val="34"/>
    <w:qFormat/>
    <w:rsid w:val="00A04714"/>
    <w:pPr>
      <w:ind w:left="720"/>
      <w:contextualSpacing/>
    </w:pPr>
  </w:style>
  <w:style w:type="character" w:styleId="CommentReference">
    <w:name w:val="annotation reference"/>
    <w:basedOn w:val="DefaultParagraphFont"/>
    <w:uiPriority w:val="99"/>
    <w:semiHidden/>
    <w:unhideWhenUsed/>
    <w:rsid w:val="00D24C00"/>
    <w:rPr>
      <w:sz w:val="16"/>
      <w:szCs w:val="16"/>
    </w:rPr>
  </w:style>
  <w:style w:type="paragraph" w:styleId="CommentText">
    <w:name w:val="annotation text"/>
    <w:basedOn w:val="Normal"/>
    <w:link w:val="CommentTextChar"/>
    <w:uiPriority w:val="99"/>
    <w:semiHidden/>
    <w:unhideWhenUsed/>
    <w:rsid w:val="00D24C00"/>
    <w:pPr>
      <w:spacing w:line="240" w:lineRule="auto"/>
    </w:pPr>
    <w:rPr>
      <w:sz w:val="20"/>
      <w:szCs w:val="20"/>
    </w:rPr>
  </w:style>
  <w:style w:type="character" w:customStyle="1" w:styleId="CommentTextChar">
    <w:name w:val="Comment Text Char"/>
    <w:basedOn w:val="DefaultParagraphFont"/>
    <w:link w:val="CommentText"/>
    <w:uiPriority w:val="99"/>
    <w:semiHidden/>
    <w:rsid w:val="00D24C00"/>
    <w:rPr>
      <w:sz w:val="20"/>
      <w:szCs w:val="20"/>
    </w:rPr>
  </w:style>
  <w:style w:type="paragraph" w:styleId="CommentSubject">
    <w:name w:val="annotation subject"/>
    <w:basedOn w:val="CommentText"/>
    <w:next w:val="CommentText"/>
    <w:link w:val="CommentSubjectChar"/>
    <w:uiPriority w:val="99"/>
    <w:semiHidden/>
    <w:unhideWhenUsed/>
    <w:rsid w:val="00D24C00"/>
    <w:rPr>
      <w:b/>
      <w:bCs/>
    </w:rPr>
  </w:style>
  <w:style w:type="character" w:customStyle="1" w:styleId="CommentSubjectChar">
    <w:name w:val="Comment Subject Char"/>
    <w:basedOn w:val="CommentTextChar"/>
    <w:link w:val="CommentSubject"/>
    <w:uiPriority w:val="99"/>
    <w:semiHidden/>
    <w:rsid w:val="00D24C00"/>
    <w:rPr>
      <w:b/>
      <w:bCs/>
      <w:sz w:val="20"/>
      <w:szCs w:val="20"/>
    </w:rPr>
  </w:style>
  <w:style w:type="paragraph" w:styleId="EndnoteText">
    <w:name w:val="endnote text"/>
    <w:basedOn w:val="Normal"/>
    <w:link w:val="EndnoteTextChar"/>
    <w:uiPriority w:val="99"/>
    <w:semiHidden/>
    <w:unhideWhenUsed/>
    <w:rsid w:val="00812C9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12C9C"/>
    <w:rPr>
      <w:sz w:val="20"/>
      <w:szCs w:val="20"/>
    </w:rPr>
  </w:style>
  <w:style w:type="character" w:styleId="EndnoteReference">
    <w:name w:val="endnote reference"/>
    <w:basedOn w:val="DefaultParagraphFont"/>
    <w:uiPriority w:val="99"/>
    <w:semiHidden/>
    <w:unhideWhenUsed/>
    <w:rsid w:val="00812C9C"/>
    <w:rPr>
      <w:vertAlign w:val="superscript"/>
    </w:rPr>
  </w:style>
  <w:style w:type="paragraph" w:customStyle="1" w:styleId="Heading11">
    <w:name w:val="Heading 11"/>
    <w:basedOn w:val="Normal"/>
    <w:next w:val="Normal"/>
    <w:uiPriority w:val="9"/>
    <w:qFormat/>
    <w:rsid w:val="0037109E"/>
    <w:pPr>
      <w:keepNext/>
      <w:spacing w:before="240" w:after="240" w:line="360" w:lineRule="auto"/>
      <w:ind w:left="360" w:hanging="360"/>
      <w:outlineLvl w:val="0"/>
    </w:pPr>
    <w:rPr>
      <w:rFonts w:ascii="Times New Roman" w:eastAsiaTheme="minorHAnsi" w:hAnsi="Times New Roman" w:cs="Times New Roman"/>
      <w:b/>
      <w:bCs/>
      <w:caps/>
      <w:sz w:val="24"/>
      <w:szCs w:val="24"/>
      <w:lang w:eastAsia="en-US"/>
    </w:rPr>
  </w:style>
  <w:style w:type="paragraph" w:customStyle="1" w:styleId="Heading21">
    <w:name w:val="Heading 21"/>
    <w:basedOn w:val="Normal"/>
    <w:next w:val="Normal"/>
    <w:uiPriority w:val="9"/>
    <w:unhideWhenUsed/>
    <w:qFormat/>
    <w:rsid w:val="0037109E"/>
    <w:pPr>
      <w:keepNext/>
      <w:keepLines/>
      <w:spacing w:before="240" w:after="240" w:line="360" w:lineRule="auto"/>
      <w:outlineLvl w:val="1"/>
    </w:pPr>
    <w:rPr>
      <w:rFonts w:ascii="Times New Roman" w:eastAsia="SimHei" w:hAnsi="Times New Roman" w:cs="Arial"/>
      <w:b/>
      <w:bCs/>
      <w:sz w:val="24"/>
      <w:szCs w:val="26"/>
    </w:rPr>
  </w:style>
  <w:style w:type="paragraph" w:customStyle="1" w:styleId="Heading31">
    <w:name w:val="Heading 31"/>
    <w:basedOn w:val="Normal"/>
    <w:next w:val="Normal"/>
    <w:uiPriority w:val="9"/>
    <w:unhideWhenUsed/>
    <w:qFormat/>
    <w:rsid w:val="0037109E"/>
    <w:pPr>
      <w:keepNext/>
      <w:keepLines/>
      <w:spacing w:before="40" w:after="0"/>
      <w:outlineLvl w:val="2"/>
    </w:pPr>
    <w:rPr>
      <w:rFonts w:ascii="Times New Roman" w:eastAsia="SimHei" w:hAnsi="Times New Roman" w:cs="Arial"/>
      <w:i/>
      <w:sz w:val="24"/>
      <w:szCs w:val="24"/>
    </w:rPr>
  </w:style>
  <w:style w:type="numbering" w:customStyle="1" w:styleId="NoList1">
    <w:name w:val="No List1"/>
    <w:next w:val="NoList"/>
    <w:uiPriority w:val="99"/>
    <w:semiHidden/>
    <w:unhideWhenUsed/>
    <w:rsid w:val="0037109E"/>
  </w:style>
  <w:style w:type="character" w:customStyle="1" w:styleId="Hyperlink1">
    <w:name w:val="Hyperlink1"/>
    <w:basedOn w:val="DefaultParagraphFont"/>
    <w:uiPriority w:val="99"/>
    <w:unhideWhenUsed/>
    <w:rsid w:val="0037109E"/>
    <w:rPr>
      <w:color w:val="0000FF"/>
      <w:u w:val="single"/>
    </w:rPr>
  </w:style>
  <w:style w:type="character" w:customStyle="1" w:styleId="Heading1Char1">
    <w:name w:val="Heading 1 Char1"/>
    <w:basedOn w:val="DefaultParagraphFont"/>
    <w:uiPriority w:val="9"/>
    <w:rsid w:val="0037109E"/>
    <w:rPr>
      <w:rFonts w:asciiTheme="majorHAnsi" w:eastAsiaTheme="majorEastAsia" w:hAnsiTheme="majorHAnsi" w:cstheme="majorBidi"/>
      <w:color w:val="365F91" w:themeColor="accent1" w:themeShade="BF"/>
      <w:sz w:val="32"/>
      <w:szCs w:val="32"/>
    </w:rPr>
  </w:style>
  <w:style w:type="character" w:customStyle="1" w:styleId="Heading2Char1">
    <w:name w:val="Heading 2 Char1"/>
    <w:basedOn w:val="DefaultParagraphFont"/>
    <w:uiPriority w:val="9"/>
    <w:semiHidden/>
    <w:rsid w:val="0037109E"/>
    <w:rPr>
      <w:rFonts w:asciiTheme="majorHAnsi" w:eastAsiaTheme="majorEastAsia" w:hAnsiTheme="majorHAnsi" w:cstheme="majorBidi"/>
      <w:color w:val="365F91" w:themeColor="accent1" w:themeShade="BF"/>
      <w:sz w:val="26"/>
      <w:szCs w:val="26"/>
    </w:rPr>
  </w:style>
  <w:style w:type="character" w:customStyle="1" w:styleId="Heading3Char1">
    <w:name w:val="Heading 3 Char1"/>
    <w:basedOn w:val="DefaultParagraphFont"/>
    <w:uiPriority w:val="9"/>
    <w:semiHidden/>
    <w:rsid w:val="0037109E"/>
    <w:rPr>
      <w:rFonts w:asciiTheme="majorHAnsi" w:eastAsiaTheme="majorEastAsia" w:hAnsiTheme="majorHAnsi" w:cstheme="majorBidi"/>
      <w:color w:val="243F60" w:themeColor="accent1" w:themeShade="7F"/>
      <w:sz w:val="24"/>
      <w:szCs w:val="24"/>
    </w:rPr>
  </w:style>
  <w:style w:type="table" w:customStyle="1" w:styleId="TableGrid7">
    <w:name w:val="Table Grid7"/>
    <w:basedOn w:val="TableNormal"/>
    <w:next w:val="TableGrid"/>
    <w:uiPriority w:val="59"/>
    <w:rsid w:val="00FA14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A14FE"/>
    <w:pPr>
      <w:spacing w:after="0" w:line="240" w:lineRule="auto"/>
    </w:pPr>
    <w:rPr>
      <w:rFonts w:eastAsia="SimHe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FA14FE"/>
    <w:pPr>
      <w:spacing w:after="0" w:line="240" w:lineRule="auto"/>
    </w:pPr>
    <w:rPr>
      <w:rFonts w:eastAsia="SimHe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59"/>
    <w:rsid w:val="00FA14FE"/>
    <w:pPr>
      <w:spacing w:after="0" w:line="240" w:lineRule="auto"/>
    </w:pPr>
    <w:rPr>
      <w:rFonts w:eastAsia="SimHe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FA14FE"/>
    <w:pPr>
      <w:widowControl w:val="0"/>
      <w:spacing w:after="0" w:line="240" w:lineRule="auto"/>
    </w:pPr>
    <w:rPr>
      <w:rFonts w:ascii="Times New Roman" w:eastAsia="MS Mincho"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16019">
      <w:bodyDiv w:val="1"/>
      <w:marLeft w:val="0"/>
      <w:marRight w:val="0"/>
      <w:marTop w:val="0"/>
      <w:marBottom w:val="0"/>
      <w:divBdr>
        <w:top w:val="none" w:sz="0" w:space="0" w:color="auto"/>
        <w:left w:val="none" w:sz="0" w:space="0" w:color="auto"/>
        <w:bottom w:val="none" w:sz="0" w:space="0" w:color="auto"/>
        <w:right w:val="none" w:sz="0" w:space="0" w:color="auto"/>
      </w:divBdr>
    </w:div>
    <w:div w:id="126552542">
      <w:bodyDiv w:val="1"/>
      <w:marLeft w:val="0"/>
      <w:marRight w:val="0"/>
      <w:marTop w:val="0"/>
      <w:marBottom w:val="0"/>
      <w:divBdr>
        <w:top w:val="none" w:sz="0" w:space="0" w:color="auto"/>
        <w:left w:val="none" w:sz="0" w:space="0" w:color="auto"/>
        <w:bottom w:val="none" w:sz="0" w:space="0" w:color="auto"/>
        <w:right w:val="none" w:sz="0" w:space="0" w:color="auto"/>
      </w:divBdr>
    </w:div>
    <w:div w:id="212888607">
      <w:bodyDiv w:val="1"/>
      <w:marLeft w:val="0"/>
      <w:marRight w:val="0"/>
      <w:marTop w:val="0"/>
      <w:marBottom w:val="0"/>
      <w:divBdr>
        <w:top w:val="none" w:sz="0" w:space="0" w:color="auto"/>
        <w:left w:val="none" w:sz="0" w:space="0" w:color="auto"/>
        <w:bottom w:val="none" w:sz="0" w:space="0" w:color="auto"/>
        <w:right w:val="none" w:sz="0" w:space="0" w:color="auto"/>
      </w:divBdr>
    </w:div>
    <w:div w:id="247496662">
      <w:bodyDiv w:val="1"/>
      <w:marLeft w:val="0"/>
      <w:marRight w:val="0"/>
      <w:marTop w:val="0"/>
      <w:marBottom w:val="0"/>
      <w:divBdr>
        <w:top w:val="none" w:sz="0" w:space="0" w:color="auto"/>
        <w:left w:val="none" w:sz="0" w:space="0" w:color="auto"/>
        <w:bottom w:val="none" w:sz="0" w:space="0" w:color="auto"/>
        <w:right w:val="none" w:sz="0" w:space="0" w:color="auto"/>
      </w:divBdr>
    </w:div>
    <w:div w:id="716927651">
      <w:bodyDiv w:val="1"/>
      <w:marLeft w:val="0"/>
      <w:marRight w:val="0"/>
      <w:marTop w:val="0"/>
      <w:marBottom w:val="0"/>
      <w:divBdr>
        <w:top w:val="none" w:sz="0" w:space="0" w:color="auto"/>
        <w:left w:val="none" w:sz="0" w:space="0" w:color="auto"/>
        <w:bottom w:val="none" w:sz="0" w:space="0" w:color="auto"/>
        <w:right w:val="none" w:sz="0" w:space="0" w:color="auto"/>
      </w:divBdr>
      <w:divsChild>
        <w:div w:id="1017123325">
          <w:marLeft w:val="0"/>
          <w:marRight w:val="0"/>
          <w:marTop w:val="0"/>
          <w:marBottom w:val="0"/>
          <w:divBdr>
            <w:top w:val="none" w:sz="0" w:space="0" w:color="auto"/>
            <w:left w:val="none" w:sz="0" w:space="0" w:color="auto"/>
            <w:bottom w:val="none" w:sz="0" w:space="0" w:color="auto"/>
            <w:right w:val="none" w:sz="0" w:space="0" w:color="auto"/>
          </w:divBdr>
        </w:div>
        <w:div w:id="867715055">
          <w:marLeft w:val="0"/>
          <w:marRight w:val="0"/>
          <w:marTop w:val="0"/>
          <w:marBottom w:val="0"/>
          <w:divBdr>
            <w:top w:val="none" w:sz="0" w:space="0" w:color="auto"/>
            <w:left w:val="none" w:sz="0" w:space="0" w:color="auto"/>
            <w:bottom w:val="none" w:sz="0" w:space="0" w:color="auto"/>
            <w:right w:val="none" w:sz="0" w:space="0" w:color="auto"/>
          </w:divBdr>
        </w:div>
      </w:divsChild>
    </w:div>
    <w:div w:id="792483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rthcote.co.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A830AD-4AF1-4A25-ACA1-5B9193CCB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36</Pages>
  <Words>11528</Words>
  <Characters>65711</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
    </vt:vector>
  </TitlesOfParts>
  <Company>University of Plymouth</Company>
  <LinksUpToDate>false</LinksUpToDate>
  <CharactersWithSpaces>77085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Ahmed Hassanein</dc:creator>
  <cp:lastModifiedBy>Zalata A.</cp:lastModifiedBy>
  <cp:revision>4</cp:revision>
  <cp:lastPrinted>2018-02-08T05:26:00Z</cp:lastPrinted>
  <dcterms:created xsi:type="dcterms:W3CDTF">2018-02-27T09:59:00Z</dcterms:created>
  <dcterms:modified xsi:type="dcterms:W3CDTF">2018-02-27T10:04:00Z</dcterms:modified>
</cp:coreProperties>
</file>