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CE2672" w14:textId="02C94E39" w:rsidR="00FB38E8" w:rsidRPr="00590A21" w:rsidRDefault="00FB38E8" w:rsidP="00FB38E8">
      <w:pPr>
        <w:pStyle w:val="Text"/>
        <w:tabs>
          <w:tab w:val="left" w:pos="4410"/>
        </w:tabs>
        <w:spacing w:before="360" w:line="520" w:lineRule="exact"/>
        <w:ind w:firstLine="0"/>
        <w:jc w:val="center"/>
        <w:rPr>
          <w:b/>
          <w:spacing w:val="-4"/>
          <w:w w:val="85"/>
          <w:sz w:val="48"/>
          <w:szCs w:val="48"/>
          <w:lang w:val="en-GB"/>
        </w:rPr>
      </w:pPr>
      <w:bookmarkStart w:id="0" w:name="OLE_LINK12"/>
      <w:bookmarkStart w:id="1" w:name="OLE_LINK23"/>
      <w:bookmarkStart w:id="2" w:name="OLE_LINK26"/>
      <w:bookmarkStart w:id="3" w:name="OLE_LINK44"/>
      <w:bookmarkStart w:id="4" w:name="_GoBack"/>
      <w:bookmarkEnd w:id="4"/>
      <w:r w:rsidRPr="00590A21">
        <w:rPr>
          <w:b/>
          <w:spacing w:val="-4"/>
          <w:w w:val="85"/>
          <w:sz w:val="48"/>
          <w:szCs w:val="48"/>
          <w:lang w:val="en-GB"/>
        </w:rPr>
        <w:t>Multilayer</w:t>
      </w:r>
      <w:r w:rsidR="002876AE">
        <w:rPr>
          <w:b/>
          <w:spacing w:val="-4"/>
          <w:w w:val="85"/>
          <w:sz w:val="48"/>
          <w:szCs w:val="48"/>
          <w:lang w:val="en-GB"/>
        </w:rPr>
        <w:t>s</w:t>
      </w:r>
      <w:r w:rsidRPr="00590A21">
        <w:rPr>
          <w:b/>
          <w:spacing w:val="-4"/>
          <w:w w:val="85"/>
          <w:sz w:val="48"/>
          <w:szCs w:val="48"/>
          <w:lang w:val="en-GB"/>
        </w:rPr>
        <w:t xml:space="preserve"> </w:t>
      </w:r>
      <w:r w:rsidR="000961F1">
        <w:rPr>
          <w:b/>
          <w:spacing w:val="-4"/>
          <w:w w:val="85"/>
          <w:sz w:val="48"/>
          <w:szCs w:val="48"/>
          <w:lang w:val="en-GB"/>
        </w:rPr>
        <w:t>O</w:t>
      </w:r>
      <w:r w:rsidRPr="00590A21">
        <w:rPr>
          <w:b/>
          <w:spacing w:val="-4"/>
          <w:w w:val="85"/>
          <w:sz w:val="48"/>
          <w:szCs w:val="48"/>
          <w:lang w:val="en-GB"/>
        </w:rPr>
        <w:t xml:space="preserve">il and </w:t>
      </w:r>
      <w:r w:rsidR="000961F1">
        <w:rPr>
          <w:b/>
          <w:spacing w:val="-4"/>
          <w:w w:val="85"/>
          <w:sz w:val="48"/>
          <w:szCs w:val="48"/>
          <w:lang w:val="en-GB"/>
        </w:rPr>
        <w:t>O</w:t>
      </w:r>
      <w:r w:rsidRPr="00590A21">
        <w:rPr>
          <w:b/>
          <w:spacing w:val="-4"/>
          <w:w w:val="85"/>
          <w:sz w:val="48"/>
          <w:szCs w:val="48"/>
          <w:lang w:val="en-GB"/>
        </w:rPr>
        <w:t xml:space="preserve">il-impregnated </w:t>
      </w:r>
      <w:r w:rsidR="000961F1">
        <w:rPr>
          <w:b/>
          <w:spacing w:val="-4"/>
          <w:w w:val="85"/>
          <w:sz w:val="48"/>
          <w:szCs w:val="48"/>
          <w:lang w:val="en-GB"/>
        </w:rPr>
        <w:t>P</w:t>
      </w:r>
      <w:r w:rsidRPr="00590A21">
        <w:rPr>
          <w:b/>
          <w:spacing w:val="-4"/>
          <w:w w:val="85"/>
          <w:sz w:val="48"/>
          <w:szCs w:val="48"/>
          <w:lang w:val="en-GB"/>
        </w:rPr>
        <w:t xml:space="preserve">ressboard </w:t>
      </w:r>
      <w:r w:rsidR="000961F1">
        <w:rPr>
          <w:b/>
          <w:spacing w:val="-4"/>
          <w:w w:val="85"/>
          <w:sz w:val="48"/>
          <w:szCs w:val="48"/>
          <w:lang w:val="en-GB"/>
        </w:rPr>
        <w:t>E</w:t>
      </w:r>
      <w:r w:rsidRPr="00590A21">
        <w:rPr>
          <w:b/>
          <w:spacing w:val="-4"/>
          <w:w w:val="85"/>
          <w:sz w:val="48"/>
          <w:szCs w:val="48"/>
          <w:lang w:val="en-GB"/>
        </w:rPr>
        <w:t xml:space="preserve">lectric </w:t>
      </w:r>
      <w:r w:rsidR="000961F1">
        <w:rPr>
          <w:b/>
          <w:spacing w:val="-4"/>
          <w:w w:val="85"/>
          <w:sz w:val="48"/>
          <w:szCs w:val="48"/>
          <w:lang w:val="en-GB"/>
        </w:rPr>
        <w:t>F</w:t>
      </w:r>
      <w:r w:rsidRPr="00590A21">
        <w:rPr>
          <w:b/>
          <w:spacing w:val="-4"/>
          <w:w w:val="85"/>
          <w:sz w:val="48"/>
          <w:szCs w:val="48"/>
          <w:lang w:val="en-GB"/>
        </w:rPr>
        <w:t xml:space="preserve">ield </w:t>
      </w:r>
      <w:r w:rsidR="000961F1">
        <w:rPr>
          <w:b/>
          <w:spacing w:val="-4"/>
          <w:w w:val="85"/>
          <w:sz w:val="48"/>
          <w:szCs w:val="48"/>
          <w:lang w:val="en-GB"/>
        </w:rPr>
        <w:t>S</w:t>
      </w:r>
      <w:r w:rsidRPr="00590A21">
        <w:rPr>
          <w:b/>
          <w:spacing w:val="-4"/>
          <w:w w:val="85"/>
          <w:sz w:val="48"/>
          <w:szCs w:val="48"/>
          <w:lang w:val="en-GB"/>
        </w:rPr>
        <w:t xml:space="preserve">imulation based on </w:t>
      </w:r>
      <w:r w:rsidR="000961F1">
        <w:rPr>
          <w:b/>
          <w:spacing w:val="-4"/>
          <w:w w:val="85"/>
          <w:sz w:val="48"/>
          <w:szCs w:val="48"/>
          <w:lang w:val="en-GB"/>
        </w:rPr>
        <w:t>S</w:t>
      </w:r>
      <w:r w:rsidRPr="00590A21">
        <w:rPr>
          <w:b/>
          <w:spacing w:val="-4"/>
          <w:w w:val="85"/>
          <w:sz w:val="48"/>
          <w:szCs w:val="48"/>
          <w:lang w:val="en-GB"/>
        </w:rPr>
        <w:t xml:space="preserve">pace </w:t>
      </w:r>
      <w:r w:rsidR="000961F1">
        <w:rPr>
          <w:b/>
          <w:spacing w:val="-4"/>
          <w:w w:val="85"/>
          <w:sz w:val="48"/>
          <w:szCs w:val="48"/>
          <w:lang w:val="en-GB"/>
        </w:rPr>
        <w:t>C</w:t>
      </w:r>
      <w:r w:rsidRPr="00590A21">
        <w:rPr>
          <w:b/>
          <w:spacing w:val="-4"/>
          <w:w w:val="85"/>
          <w:sz w:val="48"/>
          <w:szCs w:val="48"/>
          <w:lang w:val="en-GB"/>
        </w:rPr>
        <w:t xml:space="preserve">harge </w:t>
      </w:r>
    </w:p>
    <w:bookmarkEnd w:id="0"/>
    <w:bookmarkEnd w:id="1"/>
    <w:bookmarkEnd w:id="2"/>
    <w:bookmarkEnd w:id="3"/>
    <w:p w14:paraId="395FEB29" w14:textId="7421221C" w:rsidR="00520BA7" w:rsidRPr="00590A21" w:rsidRDefault="00520BA7" w:rsidP="00C862F1">
      <w:pPr>
        <w:pStyle w:val="Text"/>
        <w:spacing w:line="240" w:lineRule="auto"/>
        <w:ind w:firstLine="0"/>
        <w:jc w:val="center"/>
        <w:rPr>
          <w:rFonts w:ascii="Arial" w:hAnsi="Arial" w:cs="Arial"/>
          <w:b/>
          <w:sz w:val="24"/>
          <w:lang w:val="en-GB"/>
        </w:rPr>
      </w:pPr>
      <w:r w:rsidRPr="00590A21">
        <w:rPr>
          <w:rFonts w:ascii="Arial" w:hAnsi="Arial" w:cs="Arial"/>
          <w:b/>
          <w:sz w:val="24"/>
          <w:lang w:val="en-GB"/>
        </w:rPr>
        <w:t xml:space="preserve">Bo Huang, </w:t>
      </w:r>
      <w:proofErr w:type="spellStart"/>
      <w:r w:rsidRPr="00590A21">
        <w:rPr>
          <w:rFonts w:ascii="Arial" w:hAnsi="Arial" w:cs="Arial"/>
          <w:b/>
          <w:sz w:val="24"/>
          <w:lang w:val="en-GB"/>
        </w:rPr>
        <w:t>Zhiqiang</w:t>
      </w:r>
      <w:proofErr w:type="spellEnd"/>
      <w:r w:rsidRPr="00590A21">
        <w:rPr>
          <w:rFonts w:ascii="Arial" w:hAnsi="Arial" w:cs="Arial"/>
          <w:b/>
          <w:sz w:val="24"/>
          <w:lang w:val="en-GB"/>
        </w:rPr>
        <w:t xml:space="preserve"> Xu, Miao Hao </w:t>
      </w:r>
      <w:r w:rsidRPr="00590A21">
        <w:rPr>
          <w:rFonts w:ascii="Arial" w:hAnsi="Arial" w:cs="Arial"/>
          <w:sz w:val="22"/>
          <w:szCs w:val="22"/>
          <w:lang w:val="en-GB"/>
        </w:rPr>
        <w:t xml:space="preserve">and </w:t>
      </w:r>
      <w:r w:rsidRPr="00590A21">
        <w:rPr>
          <w:rFonts w:ascii="Arial" w:hAnsi="Arial" w:cs="Arial"/>
          <w:b/>
          <w:sz w:val="24"/>
          <w:lang w:val="en-GB"/>
        </w:rPr>
        <w:t>George Chen</w:t>
      </w:r>
    </w:p>
    <w:p w14:paraId="6D2A08B9" w14:textId="77777777" w:rsidR="00520BA7" w:rsidRPr="00590A21" w:rsidRDefault="00520BA7" w:rsidP="00520BA7">
      <w:pPr>
        <w:pStyle w:val="Text"/>
        <w:spacing w:line="240" w:lineRule="auto"/>
        <w:ind w:firstLine="0"/>
        <w:jc w:val="center"/>
        <w:rPr>
          <w:lang w:val="en-GB"/>
        </w:rPr>
      </w:pPr>
      <w:r w:rsidRPr="00590A21">
        <w:rPr>
          <w:lang w:val="en-GB"/>
        </w:rPr>
        <w:t xml:space="preserve">The Tony Davies High Voltage Laboratory, </w:t>
      </w:r>
    </w:p>
    <w:p w14:paraId="009D9C3E" w14:textId="77777777" w:rsidR="00520BA7" w:rsidRPr="00590A21" w:rsidRDefault="00520BA7" w:rsidP="00520BA7">
      <w:pPr>
        <w:pStyle w:val="Text"/>
        <w:spacing w:line="240" w:lineRule="auto"/>
        <w:ind w:firstLine="0"/>
        <w:jc w:val="center"/>
        <w:rPr>
          <w:lang w:val="en-GB"/>
        </w:rPr>
      </w:pPr>
      <w:r w:rsidRPr="00590A21">
        <w:rPr>
          <w:lang w:val="en-GB"/>
        </w:rPr>
        <w:t>University of Southampton,</w:t>
      </w:r>
    </w:p>
    <w:p w14:paraId="397FB3E4" w14:textId="77777777" w:rsidR="00520BA7" w:rsidRPr="00590A21" w:rsidRDefault="00520BA7" w:rsidP="00520BA7">
      <w:pPr>
        <w:pStyle w:val="Text"/>
        <w:spacing w:line="240" w:lineRule="auto"/>
        <w:ind w:firstLine="0"/>
        <w:jc w:val="center"/>
        <w:rPr>
          <w:lang w:val="en-GB"/>
        </w:rPr>
      </w:pPr>
      <w:r w:rsidRPr="00590A21">
        <w:rPr>
          <w:lang w:val="en-GB"/>
        </w:rPr>
        <w:t>Southampton, UK</w:t>
      </w:r>
    </w:p>
    <w:p w14:paraId="5A943D5F" w14:textId="77777777" w:rsidR="00C862F1" w:rsidRPr="00590A21" w:rsidRDefault="00C862F1" w:rsidP="00C862F1">
      <w:pPr>
        <w:pStyle w:val="Text"/>
        <w:spacing w:line="240" w:lineRule="auto"/>
        <w:ind w:firstLine="0"/>
        <w:jc w:val="center"/>
        <w:rPr>
          <w:lang w:val="en-GB"/>
        </w:rPr>
      </w:pPr>
    </w:p>
    <w:p w14:paraId="04035CE0" w14:textId="77777777" w:rsidR="00C862F1" w:rsidRPr="00590A21" w:rsidRDefault="00C862F1" w:rsidP="00C862F1">
      <w:pPr>
        <w:pStyle w:val="Text"/>
        <w:spacing w:line="240" w:lineRule="auto"/>
        <w:ind w:firstLine="0"/>
        <w:jc w:val="center"/>
        <w:rPr>
          <w:rFonts w:ascii="Arial" w:hAnsi="Arial" w:cs="Arial"/>
          <w:b/>
          <w:sz w:val="32"/>
          <w:lang w:val="en-GB"/>
        </w:rPr>
      </w:pPr>
      <w:r w:rsidRPr="00590A21">
        <w:rPr>
          <w:rFonts w:ascii="Arial" w:hAnsi="Arial" w:cs="Arial"/>
          <w:b/>
          <w:sz w:val="32"/>
          <w:lang w:val="en-GB"/>
        </w:rPr>
        <w:t>ABSTRACT</w:t>
      </w:r>
    </w:p>
    <w:p w14:paraId="371D7864" w14:textId="25AFD476" w:rsidR="00520BA7" w:rsidRPr="00590A21" w:rsidRDefault="00520BA7" w:rsidP="00520BA7">
      <w:pPr>
        <w:pStyle w:val="Text"/>
        <w:spacing w:line="240" w:lineRule="auto"/>
        <w:ind w:left="1440" w:right="1440" w:firstLine="0"/>
        <w:rPr>
          <w:b/>
          <w:bCs/>
          <w:lang w:val="en-GB"/>
        </w:rPr>
      </w:pPr>
      <w:bookmarkStart w:id="5" w:name="OLE_LINK6"/>
      <w:r w:rsidRPr="00590A21">
        <w:rPr>
          <w:b/>
          <w:bCs/>
          <w:lang w:val="en-GB"/>
        </w:rPr>
        <w:t xml:space="preserve">Space charge build-up has been considered as the major issue </w:t>
      </w:r>
      <w:r w:rsidR="0034773B">
        <w:rPr>
          <w:b/>
          <w:bCs/>
          <w:lang w:val="en-GB"/>
        </w:rPr>
        <w:t xml:space="preserve">in </w:t>
      </w:r>
      <w:r w:rsidRPr="00590A21">
        <w:rPr>
          <w:b/>
          <w:bCs/>
          <w:lang w:val="en-GB"/>
        </w:rPr>
        <w:t xml:space="preserve">the development of HVDC apparatus such as the converter transformer. </w:t>
      </w:r>
      <w:r w:rsidR="009D7687" w:rsidRPr="00590A21">
        <w:rPr>
          <w:b/>
          <w:bCs/>
          <w:lang w:val="en-GB"/>
        </w:rPr>
        <w:t>T</w:t>
      </w:r>
      <w:r w:rsidRPr="00590A21">
        <w:rPr>
          <w:b/>
          <w:bCs/>
          <w:lang w:val="en-GB"/>
        </w:rPr>
        <w:t xml:space="preserve">he existence of space charge can distort the local electric field, which could lead to the degradation and even breakdown of insulation materials. Therefore, it is vital to investigate factors that can affect space charge formation and dissipation characteristics such as the temperature, moisture, ageing, thickness, multi-layered structure and electric fields. This paper mainly focuses on the effect of multilayers and thickness on space charge behaviour of oil and pressboard insulation system. Space charge was measured using the pulsed electroacoustic technique (PEA) method. The space charge results are quantitatively analysed to establish the relationship between interfacial charge density and different pressboard and oil thickness ratios. A new space charge interpolation methodology is utilized to input space charge into the multilayers oil and pressboard model using COMSOL software. The local electric field of multilayers oil-impregnated pressboard and oil could be simulated, with the emphasis on the electric field after the polarity reversal operation. From space charge results, they indicate that the increased thickness of pressboard could prohibit the interfacial charge increase while the increased oil thickness could facilitate interfacial charge increase. Moreover, from the electric field simulation results, they indicate that there is the electric field gradient caused by the space charge for multilayers oil and oil-impregnated pressboard structure. After the polarity reversal, the maximum electric field of the oil caused by the space charge is higher than electric field calculated based on the Maxwell-Wagner theory. </w:t>
      </w:r>
    </w:p>
    <w:bookmarkEnd w:id="5"/>
    <w:p w14:paraId="0DBE4F96" w14:textId="559DAEB9" w:rsidR="00520BA7" w:rsidRPr="00590A21" w:rsidRDefault="00C862F1" w:rsidP="00520BA7">
      <w:pPr>
        <w:pStyle w:val="Text"/>
        <w:spacing w:before="120" w:line="240" w:lineRule="auto"/>
        <w:ind w:left="1440" w:right="1440" w:firstLine="0"/>
        <w:rPr>
          <w:b/>
          <w:bCs/>
          <w:iCs/>
          <w:lang w:val="en-GB"/>
        </w:rPr>
      </w:pPr>
      <w:r w:rsidRPr="00590A21">
        <w:rPr>
          <w:rFonts w:ascii="Arial" w:hAnsi="Arial" w:cs="Arial"/>
          <w:lang w:val="en-GB"/>
        </w:rPr>
        <w:t xml:space="preserve">   Index Terms </w:t>
      </w:r>
      <w:r w:rsidRPr="00590A21">
        <w:rPr>
          <w:iCs/>
          <w:lang w:val="en-GB"/>
        </w:rPr>
        <w:t xml:space="preserve">— </w:t>
      </w:r>
      <w:r w:rsidR="0034773B">
        <w:rPr>
          <w:b/>
          <w:bCs/>
          <w:iCs/>
          <w:lang w:val="en-GB"/>
        </w:rPr>
        <w:t>s</w:t>
      </w:r>
      <w:r w:rsidR="00520BA7" w:rsidRPr="00590A21">
        <w:rPr>
          <w:b/>
          <w:bCs/>
          <w:iCs/>
          <w:lang w:val="en-GB"/>
        </w:rPr>
        <w:t>pace charge, HVDC, oil and paper, multilayers, thickness, electric stress</w:t>
      </w:r>
      <w:r w:rsidR="0034773B">
        <w:rPr>
          <w:b/>
          <w:bCs/>
          <w:iCs/>
          <w:lang w:val="en-GB"/>
        </w:rPr>
        <w:t>, polarity reversal time, COMSOL</w:t>
      </w:r>
    </w:p>
    <w:p w14:paraId="5CAB2098" w14:textId="77777777" w:rsidR="00F3359B" w:rsidRPr="00590A21" w:rsidRDefault="00F3359B" w:rsidP="00F3359B">
      <w:pPr>
        <w:pStyle w:val="Text"/>
        <w:spacing w:line="240" w:lineRule="auto"/>
        <w:ind w:firstLine="0"/>
        <w:jc w:val="center"/>
        <w:rPr>
          <w:rFonts w:ascii="Arial" w:hAnsi="Arial" w:cs="Arial"/>
          <w:sz w:val="24"/>
          <w:lang w:val="en-GB"/>
        </w:rPr>
      </w:pPr>
    </w:p>
    <w:p w14:paraId="2C0E60E7" w14:textId="77777777" w:rsidR="00F3359B" w:rsidRPr="00590A21" w:rsidRDefault="00F3359B" w:rsidP="00F3359B">
      <w:pPr>
        <w:pStyle w:val="Text"/>
        <w:spacing w:line="240" w:lineRule="auto"/>
        <w:ind w:firstLine="0"/>
        <w:jc w:val="center"/>
        <w:rPr>
          <w:rFonts w:ascii="Arial" w:hAnsi="Arial" w:cs="Arial"/>
          <w:sz w:val="24"/>
          <w:lang w:val="en-GB"/>
        </w:rPr>
        <w:sectPr w:rsidR="00F3359B" w:rsidRPr="00590A21">
          <w:headerReference w:type="default" r:id="rId9"/>
          <w:type w:val="continuous"/>
          <w:pgSz w:w="12240" w:h="15840" w:code="1"/>
          <w:pgMar w:top="1080" w:right="936" w:bottom="1008" w:left="936" w:header="720" w:footer="720" w:gutter="0"/>
          <w:cols w:space="288"/>
        </w:sectPr>
      </w:pPr>
    </w:p>
    <w:p w14:paraId="14338D19" w14:textId="77777777" w:rsidR="00C862F1" w:rsidRPr="00590A21" w:rsidRDefault="00C862F1" w:rsidP="00F3359B">
      <w:pPr>
        <w:pStyle w:val="Text"/>
        <w:spacing w:line="240" w:lineRule="auto"/>
        <w:ind w:firstLine="0"/>
        <w:jc w:val="center"/>
        <w:rPr>
          <w:lang w:val="en-GB"/>
        </w:rPr>
      </w:pPr>
    </w:p>
    <w:p w14:paraId="6B0F0638" w14:textId="77777777" w:rsidR="0046648D" w:rsidRPr="00590A21" w:rsidRDefault="0046648D" w:rsidP="004A2DDE">
      <w:pPr>
        <w:pStyle w:val="Heading1"/>
        <w:numPr>
          <w:ilvl w:val="0"/>
          <w:numId w:val="3"/>
        </w:numPr>
        <w:rPr>
          <w:rFonts w:ascii="Arial" w:hAnsi="Arial" w:cs="Arial"/>
          <w:b/>
          <w:caps/>
          <w:sz w:val="24"/>
          <w:lang w:val="en-GB"/>
        </w:rPr>
      </w:pPr>
      <w:r w:rsidRPr="00590A21">
        <w:rPr>
          <w:rFonts w:ascii="Arial" w:hAnsi="Arial" w:cs="Arial"/>
          <w:b/>
          <w:caps/>
          <w:sz w:val="24"/>
          <w:lang w:val="en-GB"/>
        </w:rPr>
        <w:t>INTRODUCTION</w:t>
      </w:r>
    </w:p>
    <w:p w14:paraId="5B843686" w14:textId="7A92F2D4" w:rsidR="00094DB5" w:rsidRPr="00590A21" w:rsidRDefault="0034773B" w:rsidP="00570851">
      <w:pPr>
        <w:ind w:firstLine="142"/>
        <w:jc w:val="both"/>
        <w:rPr>
          <w:lang w:val="en-GB"/>
        </w:rPr>
      </w:pPr>
      <w:r w:rsidRPr="0034773B">
        <w:rPr>
          <w:b/>
          <w:sz w:val="22"/>
          <w:szCs w:val="22"/>
          <w:lang w:val="en-GB"/>
        </w:rPr>
        <w:t>SPACE</w:t>
      </w:r>
      <w:r w:rsidR="00094DB5" w:rsidRPr="00590A21">
        <w:rPr>
          <w:lang w:val="en-GB"/>
        </w:rPr>
        <w:t xml:space="preserve"> charge build-up </w:t>
      </w:r>
      <w:r>
        <w:rPr>
          <w:lang w:val="en-GB"/>
        </w:rPr>
        <w:t>is</w:t>
      </w:r>
      <w:r w:rsidR="00094DB5" w:rsidRPr="00590A21">
        <w:rPr>
          <w:lang w:val="en-GB"/>
        </w:rPr>
        <w:t xml:space="preserve"> one of the significant issues that need to be addressed</w:t>
      </w:r>
      <w:r>
        <w:rPr>
          <w:lang w:val="en-GB"/>
        </w:rPr>
        <w:t xml:space="preserve"> in HVDC systems</w:t>
      </w:r>
      <w:r w:rsidR="00094DB5" w:rsidRPr="00590A21">
        <w:rPr>
          <w:lang w:val="en-GB"/>
        </w:rPr>
        <w:t xml:space="preserve">. The presence of space charge can enhance the local electric field, which leads to part of the insulation materials being overstressed. In the worst situation, it may result in material degradation and possibly permanent breakdown </w:t>
      </w:r>
      <w:r w:rsidR="00094DB5" w:rsidRPr="00590A21">
        <w:rPr>
          <w:lang w:val="en-GB"/>
        </w:rPr>
        <w:fldChar w:fldCharType="begin" w:fldLock="1"/>
      </w:r>
      <w:r w:rsidR="000F792E">
        <w:rPr>
          <w:lang w:val="en-GB"/>
        </w:rPr>
        <w:instrText>ADDIN CSL_CITATION {"citationItems":[{"id":"ITEM-1","itemData":{"DOI":"10.1063/1.3273491","ISSN":"00218979","abstract":"Space charge formation in polymeric materials can cause some serious concern for design engineers as the electric field may severely be distorted, leading to part of the material being overstressed. At the worst, this may result in material degradation and possibly premature failure. It is therefore important to understand charge generation, trapping, and detrapping processes in the material. In the present paper, the characteristics of charge trapping and detrapping in low density polyethylene under dc electric field have been investigated using the pulsed electroacoustic technique. It has been found that the charge decay shows very different characteristics for the sample with different periods of electric field application. To explain the results a simple trapping and detrapping model based on two trapping levels has been proposed. Qualitative analysis revealed the similar features to those observed experimentally.","author":[{"dropping-particle":"","family":"Chen","given":"George","non-dropping-particle":"","parse-names":false,"suffix":""},{"dropping-particle":"","family":"Xu","given":"Zhiqiang","non-dropping-particle":"","parse-names":false,"suffix":""}],"container-title":"Journal of Applied Physics","id":"ITEM-1","issue":"12","issued":{"date-parts":[["2009"]]},"page":"1-5","title":"Charge Trapping and Detrapping in Polymeric Materials","type":"article-journal","volume":"106"},"uris":["http://www.mendeley.com/documents/?uuid=c4160a71-1962-4639-b9dc-b63d21dc3981"]}],"mendeley":{"formattedCitation":"[1]","plainTextFormattedCitation":"[1]","previouslyFormattedCitation":"[1]"},"properties":{"noteIndex":0},"schema":"https://github.com/citation-style-language/schema/raw/master/csl-citation.json"}</w:instrText>
      </w:r>
      <w:r w:rsidR="00094DB5" w:rsidRPr="00590A21">
        <w:rPr>
          <w:lang w:val="en-GB"/>
        </w:rPr>
        <w:fldChar w:fldCharType="separate"/>
      </w:r>
      <w:r w:rsidR="00152D0F" w:rsidRPr="00152D0F">
        <w:rPr>
          <w:noProof/>
          <w:lang w:val="en-GB"/>
        </w:rPr>
        <w:t>[1]</w:t>
      </w:r>
      <w:r w:rsidR="00094DB5" w:rsidRPr="00590A21">
        <w:rPr>
          <w:lang w:val="en-GB"/>
        </w:rPr>
        <w:fldChar w:fldCharType="end"/>
      </w:r>
      <w:r w:rsidR="00094DB5" w:rsidRPr="00590A21">
        <w:rPr>
          <w:lang w:val="en-GB"/>
        </w:rPr>
        <w:t xml:space="preserve">. Therefore, the influential factors on space charge formation and dissipation need to be carefully investigated such as temperature, moisture, ageing, electric field and multilayers </w:t>
      </w:r>
      <w:r w:rsidR="00094DB5" w:rsidRPr="00590A21">
        <w:rPr>
          <w:lang w:val="en-GB"/>
        </w:rPr>
        <w:fldChar w:fldCharType="begin" w:fldLock="1"/>
      </w:r>
      <w:r w:rsidR="001812E8">
        <w:rPr>
          <w:lang w:val="en-GB"/>
        </w:rPr>
        <w:instrText>ADDIN CSL_CITATION {"citationItems":[{"id":"ITEM-1","itemData":{"DOI":"10.3390/en9010053","ISSN":"1996-1073","author":[{"dropping-particle":"","family":"Tang","given":"Chao","non-dropping-particle":"","parse-names":false,"suffix":""},{"dropping-particle":"","family":"Huang","given":"Bo","non-dropping-particle":"","parse-names":false,"suffix":""},{"dropping-particle":"","family":"Hao","given":"Miao","non-dropping-particle":"","parse-names":false,"suffix":""},{"dropping-particle":"","family":"Xu","given":"Zhiqiang","non-dropping-particle":"","parse-names":false,"suffix":""},{"dropping-particle":"","family":"Hao","given":"Jian","non-dropping-particle":"","parse-names":false,"suffix":""},{"dropping-particle":"","family":"Chen","given":"George","non-dropping-particle":"","parse-names":false,"suffix":""}],"container-title":"Energies","id":"ITEM-1","issue":"1","issued":{"date-parts":[["2016"]]},"page":"53","title":"Progress of Space Charge Research on Oil-Paper Insulation Using Pulsed Electroacoustic Techniques","type":"article-journal","volume":"9"},"uris":["http://www.mendeley.com/documents/?uuid=46cf2ab9-620c-4563-932e-0d601c1ec5e6"]}],"mendeley":{"formattedCitation":"[2]","manualFormatting":"[2-","plainTextFormattedCitation":"[2]","previouslyFormattedCitation":"[2]"},"properties":{"noteIndex":0},"schema":"https://github.com/citation-style-language/schema/raw/master/csl-citation.json"}</w:instrText>
      </w:r>
      <w:r w:rsidR="00094DB5" w:rsidRPr="00590A21">
        <w:rPr>
          <w:lang w:val="en-GB"/>
        </w:rPr>
        <w:fldChar w:fldCharType="separate"/>
      </w:r>
      <w:r w:rsidR="00152D0F" w:rsidRPr="00152D0F">
        <w:rPr>
          <w:noProof/>
          <w:lang w:val="en-GB"/>
        </w:rPr>
        <w:t>[2</w:t>
      </w:r>
      <w:r w:rsidR="001812E8">
        <w:rPr>
          <w:noProof/>
          <w:lang w:val="en-GB"/>
        </w:rPr>
        <w:t>-</w:t>
      </w:r>
      <w:r w:rsidR="00094DB5" w:rsidRPr="00590A21">
        <w:rPr>
          <w:lang w:val="en-GB"/>
        </w:rPr>
        <w:fldChar w:fldCharType="end"/>
      </w:r>
      <w:r w:rsidR="00094DB5" w:rsidRPr="00590A21">
        <w:rPr>
          <w:lang w:val="en-GB"/>
        </w:rPr>
        <w:fldChar w:fldCharType="begin" w:fldLock="1"/>
      </w:r>
      <w:r w:rsidR="000F792E">
        <w:rPr>
          <w:lang w:val="en-GB"/>
        </w:rPr>
        <w:instrText>ADDIN CSL_CITATION {"citationItems":[{"id":"ITEM-1","itemData":{"DOI":"10.1109/TDEI.2010.5492250","ISBN":"9781424443680","ISSN":"10709878","abstract":"Oil-paper as a reliable insulation system is widely used in power transformers and cables. The dielectric properties of oil-paper insulation play an important role in the reliable operation of power equipment. However, the formation and dynamics of space charge can affect the performance of insulation material. In this paper, space charge in oil-paper insulation system has been investigated using the pulsed electroacoustic (PEA) technique. A series of measurements were carried out when the insulation system was subjected to different applied voltages at different temperatures. Charge behavior in the insulation system has been analyzed and the influence of temperature on charge dynamics was discussed. The test results show that homocharge injection takes place under all the test conditions, the applied dc voltage mainly effect the amount of space charge, while the temperature has greater influence on the distribution and mobility of space charge inside oil-paper samples.","author":[{"dropping-particle":"","family":"Tang","given":"Chao","non-dropping-particle":"","parse-names":false,"suffix":""},{"dropping-particle":"","family":"Chen","given":"George","non-dropping-particle":"","parse-names":false,"suffix":""},{"dropping-particle":"","family":"Fu","given":"Mingli","non-dropping-particle":"","parse-names":false,"suffix":""},{"dropping-particle":"","family":"Liao","given":"Rui Jin","non-dropping-particle":"","parse-names":false,"suffix":""}],"container-title":"IEEE Transactions on Dielectrics and Electrical Insulation","id":"ITEM-1","issue":"3","issued":{"date-parts":[["2010"]]},"page":"775-784","title":"Space Charge Behavior in Multi-layer Oil-paper Insulation under Different DC Voltages and Temperatures","type":"article-journal","volume":"17"},"uris":["http://www.mendeley.com/documents/?uuid=5c60e711-da74-4693-b5f5-8b53e89f8276"]}],"mendeley":{"formattedCitation":"[6]","plainTextFormattedCitation":"[6]","previouslyFormattedCitation":"[6]"},"properties":{"noteIndex":0},"schema":"https://github.com/citation-style-language/schema/raw/master/csl-citation.json"}</w:instrText>
      </w:r>
      <w:r w:rsidR="00094DB5" w:rsidRPr="00590A21">
        <w:rPr>
          <w:lang w:val="en-GB"/>
        </w:rPr>
        <w:fldChar w:fldCharType="separate"/>
      </w:r>
      <w:r w:rsidR="00152D0F" w:rsidRPr="00152D0F">
        <w:rPr>
          <w:noProof/>
          <w:lang w:val="en-GB"/>
        </w:rPr>
        <w:t>6]</w:t>
      </w:r>
      <w:r w:rsidR="00094DB5" w:rsidRPr="00590A21">
        <w:rPr>
          <w:lang w:val="en-GB"/>
        </w:rPr>
        <w:fldChar w:fldCharType="end"/>
      </w:r>
      <w:r w:rsidR="00094DB5" w:rsidRPr="00590A21">
        <w:rPr>
          <w:lang w:val="en-GB"/>
        </w:rPr>
        <w:t xml:space="preserve">. In this paper, the effects of the multilayers and thickness on space charge behaviour have been investigated. Subsequently, the electric field distribution in multilayers oil and pressboard </w:t>
      </w:r>
      <w:r w:rsidR="00524181">
        <w:rPr>
          <w:lang w:val="en-GB"/>
        </w:rPr>
        <w:t xml:space="preserve">(PB) </w:t>
      </w:r>
      <w:r w:rsidR="00094DB5" w:rsidRPr="00590A21">
        <w:rPr>
          <w:lang w:val="en-GB"/>
        </w:rPr>
        <w:t xml:space="preserve">is simulated. </w:t>
      </w:r>
    </w:p>
    <w:p w14:paraId="3E3AF6B4" w14:textId="719D4149" w:rsidR="008764C2" w:rsidRPr="00590A21" w:rsidRDefault="009D7687" w:rsidP="009D7687">
      <w:pPr>
        <w:ind w:firstLineChars="100" w:firstLine="200"/>
        <w:jc w:val="both"/>
        <w:rPr>
          <w:lang w:val="en-GB"/>
        </w:rPr>
      </w:pPr>
      <w:r w:rsidRPr="00590A21">
        <w:rPr>
          <w:lang w:val="en-GB"/>
        </w:rPr>
        <w:t xml:space="preserve">Multi-layered dielectric materials contain the interfaces, which are the weak points of the </w:t>
      </w:r>
      <w:r w:rsidR="001F7F19" w:rsidRPr="001F7F19">
        <w:rPr>
          <w:highlight w:val="yellow"/>
          <w:lang w:val="en-GB"/>
        </w:rPr>
        <w:t>h</w:t>
      </w:r>
      <w:r w:rsidR="004B0BCF" w:rsidRPr="001F7F19">
        <w:rPr>
          <w:highlight w:val="yellow"/>
          <w:lang w:val="en-GB"/>
        </w:rPr>
        <w:t>igh voltage (</w:t>
      </w:r>
      <w:r w:rsidRPr="001F7F19">
        <w:rPr>
          <w:highlight w:val="yellow"/>
          <w:lang w:val="en-GB"/>
        </w:rPr>
        <w:t>HV</w:t>
      </w:r>
      <w:r w:rsidR="004B0BCF" w:rsidRPr="001F7F19">
        <w:rPr>
          <w:highlight w:val="yellow"/>
          <w:lang w:val="en-GB"/>
        </w:rPr>
        <w:t>)</w:t>
      </w:r>
      <w:r w:rsidRPr="00590A21">
        <w:rPr>
          <w:lang w:val="en-GB"/>
        </w:rPr>
        <w:t xml:space="preserve"> equipment </w:t>
      </w:r>
      <w:r w:rsidR="008764C2" w:rsidRPr="00590A21">
        <w:rPr>
          <w:noProof/>
          <w:spacing w:val="-4"/>
          <w:lang w:val="en-GB" w:eastAsia="zh-CN"/>
        </w:rPr>
        <mc:AlternateContent>
          <mc:Choice Requires="wpg">
            <w:drawing>
              <wp:anchor distT="0" distB="0" distL="114300" distR="114300" simplePos="0" relativeHeight="251661312" behindDoc="0" locked="1" layoutInCell="1" allowOverlap="1" wp14:anchorId="6878269E" wp14:editId="1FE2C293">
                <wp:simplePos x="0" y="0"/>
                <wp:positionH relativeFrom="column">
                  <wp:posOffset>-83185</wp:posOffset>
                </wp:positionH>
                <wp:positionV relativeFrom="paragraph">
                  <wp:posOffset>399415</wp:posOffset>
                </wp:positionV>
                <wp:extent cx="3276600" cy="414020"/>
                <wp:effectExtent l="0" t="0" r="0" b="0"/>
                <wp:wrapSquare wrapText="bothSides"/>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0" cy="414020"/>
                          <a:chOff x="686" y="14614"/>
                          <a:chExt cx="5300" cy="373"/>
                        </a:xfrm>
                      </wpg:grpSpPr>
                      <wps:wsp>
                        <wps:cNvPr id="21" name="Text Box 3"/>
                        <wps:cNvSpPr txBox="1">
                          <a:spLocks noChangeArrowheads="1"/>
                        </wps:cNvSpPr>
                        <wps:spPr bwMode="auto">
                          <a:xfrm>
                            <a:off x="686" y="14614"/>
                            <a:ext cx="5300"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72457" w14:textId="21E084AD" w:rsidR="00EA619F" w:rsidRDefault="00EA619F" w:rsidP="008764C2">
                              <w:pPr>
                                <w:spacing w:before="120"/>
                                <w:rPr>
                                  <w:i/>
                                  <w:iCs/>
                                  <w:sz w:val="16"/>
                                </w:rPr>
                              </w:pPr>
                              <w:r>
                                <w:rPr>
                                  <w:i/>
                                  <w:iCs/>
                                  <w:sz w:val="16"/>
                                </w:rPr>
                                <w:t xml:space="preserve">Manuscript received on 26 October 2018, in final form xx Month 20yy, accepted xx Month 20yy.  Corresponding author: B. Huang. </w:t>
                              </w:r>
                            </w:p>
                            <w:p w14:paraId="4DDA0C59" w14:textId="77777777" w:rsidR="00EA619F" w:rsidRDefault="00EA619F" w:rsidP="008764C2"/>
                          </w:txbxContent>
                        </wps:txbx>
                        <wps:bodyPr rot="0" vert="horz" wrap="square" lIns="91440" tIns="45720" rIns="91440" bIns="45720" anchor="t" anchorCtr="0" upright="1">
                          <a:noAutofit/>
                        </wps:bodyPr>
                      </wps:wsp>
                      <wps:wsp>
                        <wps:cNvPr id="22" name="Line 4"/>
                        <wps:cNvCnPr>
                          <a:cxnSpLocks noChangeShapeType="1"/>
                        </wps:cNvCnPr>
                        <wps:spPr bwMode="auto">
                          <a:xfrm>
                            <a:off x="870" y="14670"/>
                            <a:ext cx="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78269E" id="Group 18" o:spid="_x0000_s1026" style="position:absolute;left:0;text-align:left;margin-left:-6.55pt;margin-top:31.45pt;width:258pt;height:32.6pt;z-index:251661312" coordorigin="686,14614" coordsize="5300,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">
                <v:shapetype id="_x0000_t202" coordsize="21600,21600" o:spt="202" path="m,l,21600r21600,l21600,xe">
                  <v:stroke joinstyle="miter"/>
                  <v:path gradientshapeok="t" o:connecttype="rect"/>
                </v:shapetype>
                <v:shape id="Text Box 3" o:spid="_x0000_s1027" type="#_x0000_t202" style="position:absolute;left:686;top:14614;width:5300;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" filled="f" stroked="f">
                  <v:textbox>
                    <w:txbxContent>
                      <w:p w14:paraId="77172457" w14:textId="21E084AD" w:rsidR="00EA619F" w:rsidRDefault="00EA619F" w:rsidP="008764C2">
                        <w:pPr>
                          <w:spacing w:before="120"/>
                          <w:rPr>
                            <w:i/>
                            <w:iCs/>
                            <w:sz w:val="16"/>
                          </w:rPr>
                        </w:pPr>
                        <w:r>
                          <w:rPr>
                            <w:i/>
                            <w:iCs/>
                            <w:sz w:val="16"/>
                          </w:rPr>
                          <w:t xml:space="preserve">Manuscript received on 26 October 2018, in final form xx Month 20yy, accepted xx Month 20yy.  Corresponding author: B. Huang. </w:t>
                        </w:r>
                      </w:p>
                      <w:p w14:paraId="4DDA0C59" w14:textId="77777777" w:rsidR="00EA619F" w:rsidRDefault="00EA619F" w:rsidP="008764C2"/>
                    </w:txbxContent>
                  </v:textbox>
                </v:shape>
                <v:line id="Line 4" o:spid="_x0000_s1028" style="position:absolute;visibility:visible;mso-wrap-style:square" from="870,14670" to="2820,14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"/>
                <w10:wrap type="square"/>
                <w10:anchorlock/>
              </v:group>
            </w:pict>
          </mc:Fallback>
        </mc:AlternateContent>
      </w:r>
    </w:p>
    <w:p w14:paraId="24DB9FB8" w14:textId="77777777" w:rsidR="009D7687" w:rsidRPr="00590A21" w:rsidRDefault="009D7687" w:rsidP="009D7687">
      <w:pPr>
        <w:jc w:val="both"/>
        <w:rPr>
          <w:lang w:val="en-GB"/>
        </w:rPr>
      </w:pPr>
    </w:p>
    <w:p w14:paraId="2AB78C07" w14:textId="77777777" w:rsidR="009D7687" w:rsidRPr="00590A21" w:rsidRDefault="009D7687" w:rsidP="009D7687">
      <w:pPr>
        <w:jc w:val="both"/>
        <w:rPr>
          <w:lang w:val="en-GB"/>
        </w:rPr>
      </w:pPr>
    </w:p>
    <w:p w14:paraId="4BCF8B1C" w14:textId="733010CD" w:rsidR="008764C2" w:rsidRPr="00590A21" w:rsidRDefault="004B0BCF" w:rsidP="009D7687">
      <w:pPr>
        <w:jc w:val="both"/>
        <w:rPr>
          <w:lang w:val="en-GB"/>
        </w:rPr>
      </w:pPr>
      <w:r w:rsidRPr="00590A21">
        <w:rPr>
          <w:lang w:val="en-GB"/>
        </w:rPr>
        <w:fldChar w:fldCharType="begin" w:fldLock="1"/>
      </w:r>
      <w:r w:rsidR="001812E8">
        <w:rPr>
          <w:lang w:val="en-GB"/>
        </w:rPr>
        <w:instrText>ADDIN CSL_CITATION {"citationItems":[{"id":"ITEM-1","itemData":{"author":[{"dropping-particle":"","family":"Chen","given":"G","non-dropping-particle":"","parse-names":false,"suffix":""},{"dropping-particle":"","family":"Tanaka","given":"Y","non-dropping-particle":"","parse-names":false,"suffix":""},{"dropping-particle":"","family":"Takada","given":"T","non-dropping-particle":"","parse-names":false,"suffix":""},{"dropping-particle":"","family":"Zhong","given":"L","non-dropping-particle":"","parse-names":false,"suffix":""}],"container-title":"IEEE Transactions on Dielectrics and Electrical Insulation","id":"ITEM-1","issue":"1","issued":{"date-parts":[["2004"]]},"page":"113-121","title":"Effect of Polyethylene Interface on Space Charge Formation","type":"article-journal","volume":"11"},"uris":["http://www.mendeley.com/documents/?uuid=6dbfeb74-37a6-4e3b-a637-3ab6cb1dfc25"]}],"mendeley":{"formattedCitation":"[7]","manualFormatting":"[7,","plainTextFormattedCitation":"[7]","previouslyFormattedCitation":"[7]"},"properties":{"noteIndex":0},"schema":"https://github.com/citation-style-language/schema/raw/master/csl-citation.json"}</w:instrText>
      </w:r>
      <w:r w:rsidRPr="00590A21">
        <w:rPr>
          <w:lang w:val="en-GB"/>
        </w:rPr>
        <w:fldChar w:fldCharType="separate"/>
      </w:r>
      <w:r w:rsidR="00152D0F" w:rsidRPr="00152D0F">
        <w:rPr>
          <w:noProof/>
          <w:lang w:val="en-GB"/>
        </w:rPr>
        <w:t>[7</w:t>
      </w:r>
      <w:r w:rsidR="001812E8">
        <w:rPr>
          <w:noProof/>
          <w:lang w:val="en-GB"/>
        </w:rPr>
        <w:t xml:space="preserve">, </w:t>
      </w:r>
      <w:r w:rsidRPr="00590A21">
        <w:rPr>
          <w:lang w:val="en-GB"/>
        </w:rPr>
        <w:fldChar w:fldCharType="end"/>
      </w:r>
      <w:r w:rsidRPr="00590A21">
        <w:rPr>
          <w:lang w:val="en-GB"/>
        </w:rPr>
        <w:fldChar w:fldCharType="begin" w:fldLock="1"/>
      </w:r>
      <w:r w:rsidR="001812E8">
        <w:rPr>
          <w:lang w:val="en-GB"/>
        </w:rPr>
        <w:instrText>ADDIN CSL_CITATION {"citationItems":[{"id":"ITEM-1","itemData":{"DOI":"10.1109/ICSD.2013.6619657","ISBN":"9781479908073","ISSN":"15535282","author":[{"dropping-particle":"","family":"Lan","given":"Li","non-dropping-particle":"","parse-names":false,"suffix":""},{"dropping-particle":"","family":"Zhong","given":"Qiongxia","non-dropping-particle":"","parse-names":false,"suffix":""},{"dropping-particle":"","family":"Yin","given":"Yi","non-dropping-particle":"","parse-names":false,"suffix":""},{"dropping-particle":"","family":"Li","given":"Xuguang","non-dropping-particle":"","parse-names":false,"suffix":""}],"container-title":"IEEE International Conference on Solid Dielectrics (ICSD)","id":"ITEM-1","issued":{"date-parts":[["2013"]]},"page":"444–447","title":"Effect of Surface Fluorination on Space Charge Behavior at LDPE/EPDM Interface","type":"paper-conference"},"uris":["http://www.mendeley.com/documents/?uuid=72926aff-285d-476d-ac0c-59b36471fcec"]}],"mendeley":{"formattedCitation":"[8]","manualFormatting":"8]","plainTextFormattedCitation":"[8]","previouslyFormattedCitation":"[8]"},"properties":{"noteIndex":0},"schema":"https://github.com/citation-style-language/schema/raw/master/csl-citation.json"}</w:instrText>
      </w:r>
      <w:r w:rsidRPr="00590A21">
        <w:rPr>
          <w:lang w:val="en-GB"/>
        </w:rPr>
        <w:fldChar w:fldCharType="separate"/>
      </w:r>
      <w:r w:rsidR="00152D0F" w:rsidRPr="00152D0F">
        <w:rPr>
          <w:noProof/>
          <w:lang w:val="en-GB"/>
        </w:rPr>
        <w:t>8]</w:t>
      </w:r>
      <w:r w:rsidRPr="00590A21">
        <w:rPr>
          <w:lang w:val="en-GB"/>
        </w:rPr>
        <w:fldChar w:fldCharType="end"/>
      </w:r>
      <w:r w:rsidRPr="00590A21">
        <w:rPr>
          <w:lang w:val="en-GB"/>
        </w:rPr>
        <w:t xml:space="preserve">. The </w:t>
      </w:r>
      <w:r w:rsidR="008764C2" w:rsidRPr="00590A21">
        <w:rPr>
          <w:lang w:val="en-GB"/>
        </w:rPr>
        <w:t xml:space="preserve">interfaces are common </w:t>
      </w:r>
      <w:r w:rsidR="00960EB0" w:rsidRPr="00590A21">
        <w:rPr>
          <w:lang w:val="en-GB"/>
        </w:rPr>
        <w:t>because</w:t>
      </w:r>
      <w:r w:rsidR="008764C2" w:rsidRPr="00590A21">
        <w:rPr>
          <w:lang w:val="en-GB"/>
        </w:rPr>
        <w:t xml:space="preserve"> different </w:t>
      </w:r>
      <w:r w:rsidR="00590A21" w:rsidRPr="00590A21">
        <w:rPr>
          <w:lang w:val="en-GB" w:eastAsia="zh-CN"/>
        </w:rPr>
        <w:t xml:space="preserve">insulation </w:t>
      </w:r>
      <w:r w:rsidR="008764C2" w:rsidRPr="00590A21">
        <w:rPr>
          <w:lang w:val="en-GB"/>
        </w:rPr>
        <w:t xml:space="preserve">materials are used </w:t>
      </w:r>
      <w:r w:rsidR="00590A21" w:rsidRPr="00590A21">
        <w:rPr>
          <w:lang w:val="en-GB"/>
        </w:rPr>
        <w:t xml:space="preserve">for the HV equipment </w:t>
      </w:r>
      <w:r w:rsidR="00590A21" w:rsidRPr="00590A21">
        <w:rPr>
          <w:lang w:val="en-GB"/>
        </w:rPr>
        <w:fldChar w:fldCharType="begin" w:fldLock="1"/>
      </w:r>
      <w:r w:rsidR="000F792E">
        <w:rPr>
          <w:lang w:val="en-GB"/>
        </w:rPr>
        <w:instrText>ADDIN CSL_CITATION {"citationItems":[{"id":"ITEM-1","itemData":{"ISBN":"1424407508","author":[{"dropping-particle":"","family":"Morshuis","given":"Peter H.F.","non-dropping-particle":"","parse-names":false,"suffix":""},{"dropping-particle":"","family":"Bodega","given":"Riccardo","non-dropping-particle":"","parse-names":false,"suffix":""},{"dropping-particle":"","family":"Fabiani","given":"Davide","non-dropping-particle":"","parse-names":false,"suffix":""},{"dropping-particle":"","family":"Montanari","given":"Gian Carlo","non-dropping-particle":"","parse-names":false,"suffix":""},{"dropping-particle":"","family":"Dissado","given":"Len A","non-dropping-particle":"","parse-names":false,"suffix":""},{"dropping-particle":"","family":"Smit","given":"Johan J","non-dropping-particle":"","parse-names":false,"suffix":""}],"container-title":"International Conference on Solid Dielectrics","id":"ITEM-1","issued":{"date-parts":[["2007"]]},"page":"450-453","publisher-place":"Winchester","title":"Dielectric Interfaces in DC Constructions: Space Charge and Polarization Phenomena","type":"paper-conference"},"uris":["http://www.mendeley.com/documents/?uuid=cbf49500-69ed-442e-9489-82b1bd0eebe2"]}],"mendeley":{"formattedCitation":"[9]","plainTextFormattedCitation":"[9]","previouslyFormattedCitation":"[9]"},"properties":{"noteIndex":0},"schema":"https://github.com/citation-style-language/schema/raw/master/csl-citation.json"}</w:instrText>
      </w:r>
      <w:r w:rsidR="00590A21" w:rsidRPr="00590A21">
        <w:rPr>
          <w:lang w:val="en-GB"/>
        </w:rPr>
        <w:fldChar w:fldCharType="separate"/>
      </w:r>
      <w:r w:rsidR="00152D0F" w:rsidRPr="00152D0F">
        <w:rPr>
          <w:noProof/>
          <w:lang w:val="en-GB"/>
        </w:rPr>
        <w:t>[9]</w:t>
      </w:r>
      <w:r w:rsidR="00590A21" w:rsidRPr="00590A21">
        <w:rPr>
          <w:lang w:val="en-GB"/>
        </w:rPr>
        <w:fldChar w:fldCharType="end"/>
      </w:r>
      <w:r w:rsidR="00590A21" w:rsidRPr="00590A21">
        <w:rPr>
          <w:lang w:val="en-GB"/>
        </w:rPr>
        <w:t xml:space="preserve">. </w:t>
      </w:r>
      <w:r w:rsidR="008764C2" w:rsidRPr="00590A21">
        <w:rPr>
          <w:lang w:val="en-GB"/>
        </w:rPr>
        <w:t>There are two types of interfaces</w:t>
      </w:r>
      <w:r w:rsidR="0034773B">
        <w:rPr>
          <w:lang w:val="en-GB"/>
        </w:rPr>
        <w:t>;</w:t>
      </w:r>
      <w:r w:rsidR="008764C2" w:rsidRPr="00590A21">
        <w:rPr>
          <w:lang w:val="en-GB"/>
        </w:rPr>
        <w:t xml:space="preserve"> the chemical interface (crossed-linked interface) and the physical interface (EPR and XLPE attach</w:t>
      </w:r>
      <w:r w:rsidR="0034773B">
        <w:rPr>
          <w:lang w:val="en-GB"/>
        </w:rPr>
        <w:t>ed</w:t>
      </w:r>
      <w:r w:rsidR="008764C2" w:rsidRPr="00590A21">
        <w:rPr>
          <w:lang w:val="en-GB"/>
        </w:rPr>
        <w:t xml:space="preserve"> using external mechanical </w:t>
      </w:r>
      <w:r w:rsidR="0034773B">
        <w:rPr>
          <w:lang w:val="en-GB"/>
        </w:rPr>
        <w:t>force</w:t>
      </w:r>
      <w:r w:rsidR="008764C2" w:rsidRPr="00590A21">
        <w:rPr>
          <w:lang w:val="en-GB"/>
        </w:rPr>
        <w:t xml:space="preserve">). The physical interface could be regarded as the potential barrier preventing charge movement and leading to charge accumulation. Two reasons could account for this phenomenon. According to the Maxwell-Wagner theory </w:t>
      </w:r>
      <w:r w:rsidR="008764C2" w:rsidRPr="00590A21">
        <w:rPr>
          <w:lang w:val="en-GB"/>
        </w:rPr>
        <w:fldChar w:fldCharType="begin" w:fldLock="1"/>
      </w:r>
      <w:r w:rsidR="000F792E">
        <w:rPr>
          <w:lang w:val="en-GB"/>
        </w:rPr>
        <w:instrText>ADDIN CSL_CITATION {"citationItems":[{"id":"ITEM-1","itemData":{"DOI":"10.1109/ISEIM.2005.193340","ISBN":"4-88686-063-X","author":[{"dropping-particle":"","family":"Bodega","given":"R.","non-dropping-particle":"","parse-names":false,"suffix":""},{"dropping-particle":"","family":"Morshuis","given":"P.H.F.","non-dropping-particle":"","parse-names":false,"suffix":""},{"dropping-particle":"","family":"Nilsson","given":"U.H.","non-dropping-particle":"","parse-names":false,"suffix":""},{"dropping-particle":"","family":"Perego","given":"G.","non-dropping-particle":"","parse-names":false,"suffix":""},{"dropping-particle":"","family":"Smit","given":"J.J.","non-dropping-particle":"","parse-names":false,"suffix":""}],"container-title":"International Symposium on Electrical Insulating Materials, (ISEIM)","id":"ITEM-1","issued":{"date-parts":[["2005"]]},"page":"107-110","title":"Charging and Polarization Phenomena in XLPE-EPR Coaxial Interfaces","type":"paper-conference"},"uris":["http://www.mendeley.com/documents/?uuid=76a01b13-d2fd-4985-90e8-046611bdc08d"]}],"mendeley":{"formattedCitation":"[10]","plainTextFormattedCitation":"[10]","previouslyFormattedCitation":"[10]"},"properties":{"noteIndex":0},"schema":"https://github.com/citation-style-language/schema/raw/master/csl-citation.json"}</w:instrText>
      </w:r>
      <w:r w:rsidR="008764C2" w:rsidRPr="00590A21">
        <w:rPr>
          <w:lang w:val="en-GB"/>
        </w:rPr>
        <w:fldChar w:fldCharType="separate"/>
      </w:r>
      <w:r w:rsidR="00152D0F" w:rsidRPr="00152D0F">
        <w:rPr>
          <w:noProof/>
          <w:lang w:val="en-GB"/>
        </w:rPr>
        <w:t>[10]</w:t>
      </w:r>
      <w:r w:rsidR="008764C2" w:rsidRPr="00590A21">
        <w:rPr>
          <w:lang w:val="en-GB"/>
        </w:rPr>
        <w:fldChar w:fldCharType="end"/>
      </w:r>
      <w:r w:rsidR="008764C2" w:rsidRPr="00590A21">
        <w:rPr>
          <w:lang w:val="en-GB"/>
        </w:rPr>
        <w:t xml:space="preserve">, the interfacial charge forms where a discontinuity of the ratio between conductivity and permittivity occurs. Moreover, the charge accumulation at the interface is influenced by the specific characteristics of the interface itself. e.g. considering the presence of broken bonds and fold chains at the interface, the traps originated from surface states can lead to the formation of space charge at the interface </w:t>
      </w:r>
      <w:r w:rsidR="008764C2" w:rsidRPr="00590A21">
        <w:rPr>
          <w:lang w:val="en-GB"/>
        </w:rPr>
        <w:fldChar w:fldCharType="begin" w:fldLock="1"/>
      </w:r>
      <w:r w:rsidR="000F792E">
        <w:rPr>
          <w:lang w:val="en-GB"/>
        </w:rPr>
        <w:instrText>ADDIN CSL_CITATION {"citationItems":[{"id":"ITEM-1","itemData":{"author":[{"dropping-particle":"","family":"Chen","given":"G","non-dropping-particle":"","parse-names":false,"suffix":""},{"dropping-particle":"","family":"Tanaka","given":"Y","non-dropping-particle":"","parse-names":false,"suffix":""},{"dropping-particle":"","family":"Takada","given":"T","non-dropping-particle":"","parse-names":false,"suffix":""},{"dropping-particle":"","family":"Zhong","given":"L","non-dropping-particle":"","parse-names":false,"suffix":""}],"container-title":"IEEE Transactions on Dielectrics and Electrical Insulation","id":"ITEM-1","issue":"1","issued":{"date-parts":[["2004"]]},"page":"113-121","title":"Effect of Polyethylene Interface on Space Charge Formation","type":"article-journal","volume":"11"},"uris":["http://www.mendeley.com/documents/?uuid=6dbfeb74-37a6-4e3b-a637-3ab6cb1dfc25"]}],"mendeley":{"formattedCitation":"[7]","plainTextFormattedCitation":"[7]","previouslyFormattedCitation":"[7]"},"properties":{"noteIndex":0},"schema":"https://github.com/citation-style-language/schema/raw/master/csl-citation.json"}</w:instrText>
      </w:r>
      <w:r w:rsidR="008764C2" w:rsidRPr="00590A21">
        <w:rPr>
          <w:lang w:val="en-GB"/>
        </w:rPr>
        <w:fldChar w:fldCharType="separate"/>
      </w:r>
      <w:r w:rsidR="00152D0F" w:rsidRPr="00152D0F">
        <w:rPr>
          <w:noProof/>
          <w:lang w:val="en-GB"/>
        </w:rPr>
        <w:t>[7]</w:t>
      </w:r>
      <w:r w:rsidR="008764C2" w:rsidRPr="00590A21">
        <w:rPr>
          <w:lang w:val="en-GB"/>
        </w:rPr>
        <w:fldChar w:fldCharType="end"/>
      </w:r>
      <w:r w:rsidR="008764C2" w:rsidRPr="00590A21">
        <w:rPr>
          <w:lang w:val="en-GB"/>
        </w:rPr>
        <w:t xml:space="preserve">. </w:t>
      </w:r>
    </w:p>
    <w:p w14:paraId="7624E4DE" w14:textId="585BDDBA" w:rsidR="00590A21" w:rsidRDefault="008764C2" w:rsidP="00590A21">
      <w:pPr>
        <w:ind w:firstLine="142"/>
        <w:jc w:val="both"/>
        <w:rPr>
          <w:lang w:val="en-GB"/>
        </w:rPr>
      </w:pPr>
      <w:r w:rsidRPr="00590A21">
        <w:rPr>
          <w:lang w:val="en-GB"/>
        </w:rPr>
        <w:t xml:space="preserve">Traditionally, the electric field in multilayers samples is calculated based on the Maxwell-Wagner theory. Maxwell-Wagner only works for the linear materials, which means the conductivity of insulation materials is proportional to external electric field. In reality, the insulation materials are non-linear, </w:t>
      </w:r>
      <w:r w:rsidRPr="00590A21">
        <w:rPr>
          <w:lang w:val="en-GB"/>
        </w:rPr>
        <w:lastRenderedPageBreak/>
        <w:t xml:space="preserve">especially subject to high electric fields. Therefore, the space charge measurement results defy part of the Maxwell-Wagner theory </w:t>
      </w:r>
      <w:r w:rsidRPr="00590A21">
        <w:rPr>
          <w:lang w:val="en-GB"/>
        </w:rPr>
        <w:fldChar w:fldCharType="begin" w:fldLock="1"/>
      </w:r>
      <w:r w:rsidR="001812E8">
        <w:rPr>
          <w:lang w:val="en-GB"/>
        </w:rPr>
        <w:instrText>ADDIN CSL_CITATION {"citationItems":[{"id":"ITEM-1","itemData":{"author":[{"dropping-particle":"","family":"Chen","given":"G","non-dropping-particle":"","parse-names":false,"suffix":""},{"dropping-particle":"","family":"Tanaka","given":"Y","non-dropping-particle":"","parse-names":false,"suffix":""},{"dropping-particle":"","family":"Takada","given":"T","non-dropping-particle":"","parse-names":false,"suffix":""},{"dropping-particle":"","family":"Zhong","given":"L","non-dropping-particle":"","parse-names":false,"suffix":""}],"container-title":"IEEE Transactions on Dielectrics and Electrical Insulation","id":"ITEM-1","issue":"1","issued":{"date-parts":[["2004"]]},"page":"113-121","title":"Effect of Polyethylene Interface on Space Charge Formation","type":"article-journal","volume":"11"},"uris":["http://www.mendeley.com/documents/?uuid=6dbfeb74-37a6-4e3b-a637-3ab6cb1dfc25"]}],"mendeley":{"formattedCitation":"[7]","manualFormatting":"[7","plainTextFormattedCitation":"[7]","previouslyFormattedCitation":"[7]"},"properties":{"noteIndex":0},"schema":"https://github.com/citation-style-language/schema/raw/master/csl-citation.json"}</w:instrText>
      </w:r>
      <w:r w:rsidRPr="00590A21">
        <w:rPr>
          <w:lang w:val="en-GB"/>
        </w:rPr>
        <w:fldChar w:fldCharType="separate"/>
      </w:r>
      <w:r w:rsidR="00152D0F" w:rsidRPr="00152D0F">
        <w:rPr>
          <w:noProof/>
          <w:lang w:val="en-GB"/>
        </w:rPr>
        <w:t>[7</w:t>
      </w:r>
      <w:r w:rsidRPr="00590A21">
        <w:rPr>
          <w:lang w:val="en-GB"/>
        </w:rPr>
        <w:fldChar w:fldCharType="end"/>
      </w:r>
      <w:r w:rsidR="001812E8">
        <w:rPr>
          <w:lang w:val="en-GB" w:eastAsia="zh-CN"/>
        </w:rPr>
        <w:t xml:space="preserve">, </w:t>
      </w:r>
      <w:r w:rsidRPr="00590A21">
        <w:rPr>
          <w:lang w:val="en-GB"/>
        </w:rPr>
        <w:fldChar w:fldCharType="begin" w:fldLock="1"/>
      </w:r>
      <w:r w:rsidR="001812E8">
        <w:rPr>
          <w:lang w:val="en-GB"/>
        </w:rPr>
        <w:instrText>ADDIN CSL_CITATION {"citationItems":[{"id":"ITEM-1","itemData":{"DOI":"10.1109/TDEI.2014.004507","ISSN":"10709878","author":[{"dropping-particle":"","family":"Vu","given":"T. T.N.","non-dropping-particle":"","parse-names":false,"suffix":""},{"dropping-particle":"","family":"Teyssedre","given":"G.","non-dropping-particle":"","parse-names":false,"suffix":""},{"dropping-particle":"","family":"Vissouvanadin","given":"B.","non-dropping-particle":"","parse-names":false,"suffix":""},{"dropping-particle":"","family":"Roy","given":"S.Le.","non-dropping-particle":"","parse-names":false,"suffix":""},{"dropping-particle":"","family":"Laurent","given":"C.","non-dropping-particle":"","parse-names":false,"suffix":""}],"container-title":"IEEE Transactions on Dielectrics and Electrical Insulation","id":"ITEM-1","issue":"1","issued":{"date-parts":[["2015"]]},"page":"117-127","title":"Correlating Conductivity and Space Charge Measurements in Multi-dielectrics under Various Electrical and Thermal Stresses","type":"article-journal","volume":"22"},"uris":["http://www.mendeley.com/documents/?uuid=e1202fe6-020b-4953-a341-98e4fb760444"]}],"mendeley":{"formattedCitation":"[11]","manualFormatting":"11]","plainTextFormattedCitation":"[11]","previouslyFormattedCitation":"[11]"},"properties":{"noteIndex":0},"schema":"https://github.com/citation-style-language/schema/raw/master/csl-citation.json"}</w:instrText>
      </w:r>
      <w:r w:rsidRPr="00590A21">
        <w:rPr>
          <w:lang w:val="en-GB"/>
        </w:rPr>
        <w:fldChar w:fldCharType="separate"/>
      </w:r>
      <w:r w:rsidR="00152D0F" w:rsidRPr="00152D0F">
        <w:rPr>
          <w:noProof/>
          <w:lang w:val="en-GB"/>
        </w:rPr>
        <w:t>11</w:t>
      </w:r>
      <w:r w:rsidRPr="00590A21">
        <w:rPr>
          <w:lang w:val="en-GB"/>
        </w:rPr>
        <w:fldChar w:fldCharType="end"/>
      </w:r>
      <w:r w:rsidR="001812E8">
        <w:rPr>
          <w:lang w:val="en-GB"/>
        </w:rPr>
        <w:t>,</w:t>
      </w:r>
      <w:r w:rsidRPr="00590A21">
        <w:rPr>
          <w:lang w:val="en-GB"/>
        </w:rPr>
        <w:t xml:space="preserve"> </w:t>
      </w:r>
      <w:r w:rsidRPr="00590A21">
        <w:rPr>
          <w:lang w:val="en-GB"/>
        </w:rPr>
        <w:fldChar w:fldCharType="begin" w:fldLock="1"/>
      </w:r>
      <w:r w:rsidR="001812E8">
        <w:rPr>
          <w:lang w:val="en-GB"/>
        </w:rPr>
        <w:instrText>ADDIN CSL_CITATION {"citationItems":[{"id":"ITEM-1","itemData":{"DOI":"10.1109/TDEI.2017.006378","ISSN":"1070-9878","author":[{"dropping-particle":"","family":"Bodega","given":"R","non-dropping-particle":"","parse-names":false,"suffix":""},{"dropping-particle":"","family":"Morshuis","given":"P. H. F","non-dropping-particle":"","parse-names":false,"suffix":""},{"dropping-particle":"","family":"Nilsson","given":"U. H","non-dropping-particle":"","parse-names":false,"suffix":""},{"dropping-particle":"","family":"Perego","given":"G","non-dropping-particle":"","parse-names":false,"suffix":""},{"dropping-particle":"","family":"Smit","given":"J. J","non-dropping-particle":"","parse-names":false,"suffix":""}],"container-title":"Proceedings of Nordic Insulation Symposium","id":"ITEM-1","issued":{"date-parts":[["2005"]]},"page":"224-227","title":"Polarization Mechanisms of Flat XLPE-EPR Interfaces","type":"paper-conference"},"uris":["http://www.mendeley.com/documents/?uuid=93b179e6-7031-487b-95e9-f19076e8fa3e"]}],"mendeley":{"formattedCitation":"[12]","manualFormatting":"12]","plainTextFormattedCitation":"[12]","previouslyFormattedCitation":"[12]"},"properties":{"noteIndex":0},"schema":"https://github.com/citation-style-language/schema/raw/master/csl-citation.json"}</w:instrText>
      </w:r>
      <w:r w:rsidRPr="00590A21">
        <w:rPr>
          <w:lang w:val="en-GB"/>
        </w:rPr>
        <w:fldChar w:fldCharType="separate"/>
      </w:r>
      <w:r w:rsidR="00152D0F" w:rsidRPr="00152D0F">
        <w:rPr>
          <w:noProof/>
          <w:lang w:val="en-GB"/>
        </w:rPr>
        <w:t>12]</w:t>
      </w:r>
      <w:r w:rsidRPr="00590A21">
        <w:rPr>
          <w:lang w:val="en-GB"/>
        </w:rPr>
        <w:fldChar w:fldCharType="end"/>
      </w:r>
      <w:r w:rsidRPr="00590A21">
        <w:rPr>
          <w:lang w:val="en-GB"/>
        </w:rPr>
        <w:t xml:space="preserve">. The main difference between the electric field caused by space charge density and the Maxwell-Wagner theory can be attributed to the surface states. The effect of surface states on the interface charge formation is clearly demonstrated in </w:t>
      </w:r>
      <w:r w:rsidRPr="00590A21">
        <w:rPr>
          <w:lang w:val="en-GB"/>
        </w:rPr>
        <w:fldChar w:fldCharType="begin" w:fldLock="1"/>
      </w:r>
      <w:r w:rsidR="000F792E">
        <w:rPr>
          <w:lang w:val="en-GB"/>
        </w:rPr>
        <w:instrText>ADDIN CSL_CITATION {"citationItems":[{"id":"ITEM-1","itemData":{"author":[{"dropping-particle":"","family":"Chen","given":"G","non-dropping-particle":"","parse-names":false,"suffix":""},{"dropping-particle":"","family":"Tanaka","given":"Y","non-dropping-particle":"","parse-names":false,"suffix":""},{"dropping-particle":"","family":"Takada","given":"T","non-dropping-particle":"","parse-names":false,"suffix":""},{"dropping-particle":"","family":"Zhong","given":"L","non-dropping-particle":"","parse-names":false,"suffix":""}],"container-title":"IEEE Transactions on Dielectrics and Electrical Insulation","id":"ITEM-1","issue":"1","issued":{"date-parts":[["2004"]]},"page":"113-121","title":"Effect of Polyethylene Interface on Space Charge Formation","type":"article-journal","volume":"11"},"uris":["http://www.mendeley.com/documents/?uuid=6dbfeb74-37a6-4e3b-a637-3ab6cb1dfc25"]}],"mendeley":{"formattedCitation":"[7]","plainTextFormattedCitation":"[7]","previouslyFormattedCitation":"[7]"},"properties":{"noteIndex":0},"schema":"https://github.com/citation-style-language/schema/raw/master/csl-citation.json"}</w:instrText>
      </w:r>
      <w:r w:rsidRPr="00590A21">
        <w:rPr>
          <w:lang w:val="en-GB"/>
        </w:rPr>
        <w:fldChar w:fldCharType="separate"/>
      </w:r>
      <w:r w:rsidR="00152D0F" w:rsidRPr="00152D0F">
        <w:rPr>
          <w:noProof/>
          <w:lang w:val="en-GB"/>
        </w:rPr>
        <w:t>[7]</w:t>
      </w:r>
      <w:r w:rsidRPr="00590A21">
        <w:rPr>
          <w:lang w:val="en-GB"/>
        </w:rPr>
        <w:fldChar w:fldCharType="end"/>
      </w:r>
      <w:r w:rsidRPr="00590A21">
        <w:rPr>
          <w:lang w:val="en-GB"/>
        </w:rPr>
        <w:t xml:space="preserve"> where space charge was observed in two layers of LDPE films. Considering imperfectly bonded different dielectric materials caused by either finite surface roughness or insufficient interfacial pressure </w:t>
      </w:r>
      <w:r w:rsidRPr="00590A21">
        <w:rPr>
          <w:lang w:val="en-GB"/>
        </w:rPr>
        <w:fldChar w:fldCharType="begin" w:fldLock="1"/>
      </w:r>
      <w:r w:rsidR="000F792E">
        <w:rPr>
          <w:lang w:val="en-GB"/>
        </w:rPr>
        <w:instrText>ADDIN CSL_CITATION {"citationItems":[{"id":"ITEM-1","itemData":{"ISBN":"0780392574","author":[{"dropping-particle":"","family":"Bodega","given":"R","non-dropping-particle":"","parse-names":false,"suffix":""},{"dropping-particle":"","family":"Perego","given":"G","non-dropping-particle":"","parse-names":false,"suffix":""},{"dropping-particle":"","family":"Morshuis","given":"P H F","non-dropping-particle":"","parse-names":false,"suffix":""},{"dropping-particle":"","family":"Nilsson","given":"U H","non-dropping-particle":"","parse-names":false,"suffix":""},{"dropping-particle":"","family":"Smit","given":"J J","non-dropping-particle":"","parse-names":false,"suffix":""}],"container-title":"Annual Report Conference on Electrical Insulation and Dielectric Phenomena","id":"ITEM-1","issued":{"date-parts":[["2005"]]},"page":"507-510","title":"Space Charge and Electric Field Characteristics of Polymeric-type MV-size DC Cable Joint Models","type":"paper-conference"},"uris":["http://www.mendeley.com/documents/?uuid=a29c4421-978e-47dd-ae23-35ae3a542f35"]}],"mendeley":{"formattedCitation":"[13]","plainTextFormattedCitation":"[13]","previouslyFormattedCitation":"[13]"},"properties":{"noteIndex":0},"schema":"https://github.com/citation-style-language/schema/raw/master/csl-citation.json"}</w:instrText>
      </w:r>
      <w:r w:rsidRPr="00590A21">
        <w:rPr>
          <w:lang w:val="en-GB"/>
        </w:rPr>
        <w:fldChar w:fldCharType="separate"/>
      </w:r>
      <w:r w:rsidR="00152D0F" w:rsidRPr="00152D0F">
        <w:rPr>
          <w:noProof/>
          <w:lang w:val="en-GB"/>
        </w:rPr>
        <w:t>[13]</w:t>
      </w:r>
      <w:r w:rsidRPr="00590A21">
        <w:rPr>
          <w:lang w:val="en-GB"/>
        </w:rPr>
        <w:fldChar w:fldCharType="end"/>
      </w:r>
      <w:r w:rsidRPr="00590A21">
        <w:rPr>
          <w:lang w:val="en-GB"/>
        </w:rPr>
        <w:t xml:space="preserve">, </w:t>
      </w:r>
      <w:r w:rsidR="00590A21">
        <w:rPr>
          <w:lang w:val="en-GB"/>
        </w:rPr>
        <w:t xml:space="preserve">the space charge results should be added to evaluate the electric field calculation of the multilayer dielectric materials. </w:t>
      </w:r>
      <w:r w:rsidR="00590A21" w:rsidRPr="00590A21">
        <w:rPr>
          <w:lang w:val="en-GB"/>
        </w:rPr>
        <w:t xml:space="preserve">The multi-layered structure in this paper is based on the model proposed by the CIGRE working group A2/D1.41 </w:t>
      </w:r>
      <w:r w:rsidR="00590A21" w:rsidRPr="00590A21">
        <w:rPr>
          <w:lang w:val="en-GB"/>
        </w:rPr>
        <w:fldChar w:fldCharType="begin" w:fldLock="1"/>
      </w:r>
      <w:r w:rsidR="000F792E">
        <w:rPr>
          <w:lang w:val="en-GB"/>
        </w:rPr>
        <w:instrText>ADDIN CSL_CITATION {"citationItems":[{"id":"ITEM-1","itemData":{"ISBN":"9782858733491","author":[{"dropping-particle":"","family":"Küchler","given":"A.","non-dropping-particle":"","parse-names":false,"suffix":""},{"dropping-particle":"","family":"Piovan","given":"U","non-dropping-particle":"","parse-names":false,"suffix":""},{"dropping-particle":"","family":"Berglund","given":"M","non-dropping-particle":"","parse-names":false,"suffix":""},{"dropping-particle":"","family":"Chen","given":"G","non-dropping-particle":"","parse-names":false,"suffix":""},{"dropping-particle":"","family":"Denat","given":"A","non-dropping-particle":"","parse-names":false,"suffix":""},{"dropping-particle":"","family":"Fabian","given":"J","non-dropping-particle":"","parse-names":false,"suffix":""},{"dropping-particle":"","family":"Fritsche","given":"R","non-dropping-particle":"","parse-names":false,"suffix":""},{"dropping-particle":"","family":"Grav","given":"T","non-dropping-particle":"","parse-names":false,"suffix":""}],"id":"ITEM-1","issued":{"date-parts":[["2016"]]},"title":"CIGRE Technical Brochure No. 646: HVDC Transformer Insulation: Oil Conductivity","type":"report"},"uris":["http://www.mendeley.com/documents/?uuid=3ac4174a-e8a9-43aa-b580-ae7df78b4898"]}],"mendeley":{"formattedCitation":"[14]","plainTextFormattedCitation":"[14]","previouslyFormattedCitation":"[14]"},"properties":{"noteIndex":0},"schema":"https://github.com/citation-style-language/schema/raw/master/csl-citation.json"}</w:instrText>
      </w:r>
      <w:r w:rsidR="00590A21" w:rsidRPr="00590A21">
        <w:rPr>
          <w:lang w:val="en-GB"/>
        </w:rPr>
        <w:fldChar w:fldCharType="separate"/>
      </w:r>
      <w:r w:rsidR="00152D0F" w:rsidRPr="00152D0F">
        <w:rPr>
          <w:noProof/>
          <w:lang w:val="en-GB"/>
        </w:rPr>
        <w:t>[14]</w:t>
      </w:r>
      <w:r w:rsidR="00590A21" w:rsidRPr="00590A21">
        <w:rPr>
          <w:lang w:val="en-GB"/>
        </w:rPr>
        <w:fldChar w:fldCharType="end"/>
      </w:r>
      <w:r w:rsidR="00590A21" w:rsidRPr="00590A21">
        <w:rPr>
          <w:lang w:val="en-GB"/>
        </w:rPr>
        <w:t>. The working group simulated the electric field based on the Maxwell-Wagner theory</w:t>
      </w:r>
      <w:r w:rsidR="00590A21">
        <w:rPr>
          <w:lang w:val="en-GB"/>
        </w:rPr>
        <w:t xml:space="preserve"> previously and this paper </w:t>
      </w:r>
      <w:r w:rsidR="00936086">
        <w:rPr>
          <w:lang w:val="en-GB"/>
        </w:rPr>
        <w:t xml:space="preserve">considers the electric field calculation based on the space charge results. </w:t>
      </w:r>
    </w:p>
    <w:p w14:paraId="7AD9AAED" w14:textId="275F0B7F" w:rsidR="008764C2" w:rsidRPr="00590A21" w:rsidRDefault="008764C2" w:rsidP="00207C46">
      <w:pPr>
        <w:ind w:firstLine="142"/>
        <w:jc w:val="both"/>
        <w:rPr>
          <w:lang w:val="en-GB"/>
        </w:rPr>
      </w:pPr>
      <w:r w:rsidRPr="00590A21">
        <w:rPr>
          <w:lang w:val="en-GB"/>
        </w:rPr>
        <w:t xml:space="preserve">In this paper, the multilayers and thickness of oil and </w:t>
      </w:r>
      <w:r w:rsidR="00941433">
        <w:rPr>
          <w:highlight w:val="yellow"/>
          <w:lang w:val="en-GB"/>
        </w:rPr>
        <w:t>PB</w:t>
      </w:r>
      <w:r w:rsidR="00524181">
        <w:rPr>
          <w:lang w:val="en-GB"/>
        </w:rPr>
        <w:t xml:space="preserve"> </w:t>
      </w:r>
      <w:r w:rsidRPr="00590A21">
        <w:rPr>
          <w:lang w:val="en-GB"/>
        </w:rPr>
        <w:t>effect on the space charge dynamics will be presented. A methodology that allows one to extend the space charge from thinner samples to thicker samples is proposed. With the further interpolation of the estimated space charge results in COMSOL software, the multilayer</w:t>
      </w:r>
      <w:r w:rsidR="00936086">
        <w:rPr>
          <w:lang w:val="en-GB"/>
        </w:rPr>
        <w:t xml:space="preserve"> materials</w:t>
      </w:r>
      <w:r w:rsidRPr="00590A21">
        <w:rPr>
          <w:lang w:val="en-GB"/>
        </w:rPr>
        <w:t xml:space="preserve"> electric field </w:t>
      </w:r>
      <w:r w:rsidR="00936086">
        <w:rPr>
          <w:lang w:val="en-GB"/>
        </w:rPr>
        <w:t xml:space="preserve">simulation </w:t>
      </w:r>
      <w:r w:rsidRPr="00590A21">
        <w:rPr>
          <w:lang w:val="en-GB"/>
        </w:rPr>
        <w:t xml:space="preserve">based on space charge </w:t>
      </w:r>
      <w:r w:rsidR="00936086">
        <w:rPr>
          <w:lang w:val="en-GB"/>
        </w:rPr>
        <w:t xml:space="preserve">result </w:t>
      </w:r>
      <w:r w:rsidRPr="00590A21">
        <w:rPr>
          <w:lang w:val="en-GB"/>
        </w:rPr>
        <w:t xml:space="preserve">is compared to the Maxwell-Wagner theory, with the emphasis on the electric field after the PR operation. </w:t>
      </w:r>
    </w:p>
    <w:p w14:paraId="0C5BB029" w14:textId="77777777" w:rsidR="008764C2" w:rsidRPr="00590A21" w:rsidRDefault="008764C2" w:rsidP="004A2DDE">
      <w:pPr>
        <w:pStyle w:val="Heading1"/>
        <w:numPr>
          <w:ilvl w:val="0"/>
          <w:numId w:val="3"/>
        </w:numPr>
        <w:ind w:left="357" w:hanging="357"/>
        <w:rPr>
          <w:rFonts w:ascii="Arial" w:hAnsi="Arial" w:cs="Arial"/>
          <w:b/>
          <w:caps/>
          <w:sz w:val="24"/>
          <w:lang w:val="en-GB"/>
        </w:rPr>
      </w:pPr>
      <w:r w:rsidRPr="00590A21">
        <w:rPr>
          <w:rFonts w:ascii="Arial" w:hAnsi="Arial" w:cs="Arial"/>
          <w:b/>
          <w:caps/>
          <w:sz w:val="24"/>
          <w:lang w:val="en-GB"/>
        </w:rPr>
        <w:t>Experiment Details</w:t>
      </w:r>
    </w:p>
    <w:p w14:paraId="3481D94E" w14:textId="77777777" w:rsidR="008764C2" w:rsidRPr="00590A21" w:rsidRDefault="008764C2" w:rsidP="007F03C5">
      <w:pPr>
        <w:pStyle w:val="Heading2"/>
        <w:tabs>
          <w:tab w:val="num" w:pos="360"/>
        </w:tabs>
        <w:ind w:left="360" w:hanging="360"/>
        <w:jc w:val="center"/>
        <w:rPr>
          <w:rFonts w:ascii="Arial" w:hAnsi="Arial" w:cs="Arial"/>
          <w:b/>
          <w:i w:val="0"/>
          <w:iCs/>
          <w:caps/>
          <w:lang w:val="en-GB"/>
        </w:rPr>
      </w:pPr>
      <w:r w:rsidRPr="00590A21">
        <w:rPr>
          <w:rFonts w:ascii="Arial" w:hAnsi="Arial" w:cs="Arial"/>
          <w:b/>
          <w:i w:val="0"/>
          <w:iCs/>
          <w:caps/>
          <w:lang w:val="en-GB"/>
        </w:rPr>
        <w:t>2.1 Sample Preparation</w:t>
      </w:r>
    </w:p>
    <w:p w14:paraId="747A58F4" w14:textId="30583F37" w:rsidR="008764C2" w:rsidRDefault="008764C2" w:rsidP="002B5E90">
      <w:pPr>
        <w:jc w:val="both"/>
        <w:rPr>
          <w:lang w:val="en-GB"/>
        </w:rPr>
      </w:pPr>
      <w:bookmarkStart w:id="6" w:name="OLE_LINK20"/>
      <w:r w:rsidRPr="00590A21">
        <w:rPr>
          <w:lang w:val="en-GB"/>
        </w:rPr>
        <w:t xml:space="preserve">To analyse the thickness and multilayers effect on the space charge behaviour of oil and oil-impregnated PB, the fresh oil and oil-impregnated PB was prepared. The </w:t>
      </w:r>
      <w:r w:rsidR="00941433" w:rsidRPr="00941433">
        <w:rPr>
          <w:highlight w:val="yellow"/>
          <w:lang w:val="en-GB"/>
        </w:rPr>
        <w:t>PB</w:t>
      </w:r>
      <w:r w:rsidRPr="00590A21">
        <w:rPr>
          <w:lang w:val="en-GB"/>
        </w:rPr>
        <w:t xml:space="preserve"> was provided by the Taizhou Weidman High Voltage Insulation Co. Ltd, and the oil was fresh mineral oil (ZXI-S3), provided by the Shell Company. The PB and the ZX-I S3 mineral oil are widely used in high voltage converter transformers.</w:t>
      </w:r>
      <w:r w:rsidR="00182ADB">
        <w:rPr>
          <w:lang w:val="en-GB"/>
        </w:rPr>
        <w:t xml:space="preserve"> </w:t>
      </w:r>
      <w:r w:rsidR="00A43103">
        <w:rPr>
          <w:lang w:val="en-GB"/>
        </w:rPr>
        <w:t xml:space="preserve">The </w:t>
      </w:r>
      <w:r w:rsidR="00182ADB" w:rsidRPr="002B5E90">
        <w:rPr>
          <w:highlight w:val="yellow"/>
          <w:lang w:val="en-GB"/>
        </w:rPr>
        <w:t>detailed</w:t>
      </w:r>
      <w:r w:rsidR="00182ADB">
        <w:rPr>
          <w:lang w:val="en-GB"/>
        </w:rPr>
        <w:t xml:space="preserve"> </w:t>
      </w:r>
      <w:r w:rsidR="00A43103">
        <w:rPr>
          <w:lang w:val="en-GB"/>
        </w:rPr>
        <w:t xml:space="preserve">sample preparation procedures </w:t>
      </w:r>
      <w:r w:rsidR="00CD3EA5">
        <w:rPr>
          <w:lang w:val="en-GB"/>
        </w:rPr>
        <w:t xml:space="preserve">can be found in </w:t>
      </w:r>
      <w:r w:rsidR="00CD3EA5" w:rsidRPr="002B5E90">
        <w:rPr>
          <w:lang w:val="en-GB"/>
        </w:rPr>
        <w:t xml:space="preserve">[15] </w:t>
      </w:r>
      <w:r w:rsidR="00CD3EA5" w:rsidRPr="002B5E90">
        <w:rPr>
          <w:highlight w:val="yellow"/>
          <w:lang w:val="en-GB"/>
        </w:rPr>
        <w:t>and it is briefly summarised here:</w:t>
      </w:r>
      <w:r w:rsidR="003B1280" w:rsidRPr="002B5E90">
        <w:rPr>
          <w:highlight w:val="yellow"/>
          <w:lang w:val="en-GB"/>
        </w:rPr>
        <w:t xml:space="preserve"> </w:t>
      </w:r>
      <w:r w:rsidR="002B5E90" w:rsidRPr="002B5E90">
        <w:rPr>
          <w:highlight w:val="yellow"/>
          <w:lang w:val="en-GB"/>
        </w:rPr>
        <w:t xml:space="preserve">The PB was in a fan-assisted oven at 105 °C for three days </w:t>
      </w:r>
      <w:r w:rsidR="00DD056E">
        <w:rPr>
          <w:highlight w:val="yellow"/>
          <w:lang w:val="en-GB"/>
        </w:rPr>
        <w:t>to ensure</w:t>
      </w:r>
      <w:r w:rsidR="002B5E90" w:rsidRPr="002B5E90">
        <w:rPr>
          <w:highlight w:val="yellow"/>
          <w:lang w:val="en-GB"/>
        </w:rPr>
        <w:t xml:space="preserve"> the moisture content </w:t>
      </w:r>
      <w:r w:rsidR="00DD056E">
        <w:rPr>
          <w:highlight w:val="yellow"/>
          <w:lang w:val="en-GB"/>
        </w:rPr>
        <w:t>below</w:t>
      </w:r>
      <w:r w:rsidR="002B5E90" w:rsidRPr="002B5E90">
        <w:rPr>
          <w:highlight w:val="yellow"/>
          <w:lang w:val="en-GB"/>
        </w:rPr>
        <w:t xml:space="preserve"> 0.5%. Mineral oil is degassed at 105</w:t>
      </w:r>
      <w:r w:rsidR="00CB4C07">
        <w:rPr>
          <w:highlight w:val="yellow"/>
          <w:lang w:val="en-GB"/>
        </w:rPr>
        <w:t xml:space="preserve"> </w:t>
      </w:r>
      <w:r w:rsidR="002B5E90" w:rsidRPr="002B5E90">
        <w:rPr>
          <w:highlight w:val="yellow"/>
          <w:lang w:val="en-GB"/>
        </w:rPr>
        <w:t xml:space="preserve">°C for three hours with the water content less than 10 ppm. After that, the dried pressboard was impregnated </w:t>
      </w:r>
      <w:r w:rsidR="00DD056E">
        <w:rPr>
          <w:highlight w:val="yellow"/>
          <w:lang w:val="en-GB"/>
        </w:rPr>
        <w:t>with</w:t>
      </w:r>
      <w:r w:rsidR="002B5E90" w:rsidRPr="002B5E90">
        <w:rPr>
          <w:highlight w:val="yellow"/>
          <w:lang w:val="en-GB"/>
        </w:rPr>
        <w:t xml:space="preserve"> the degassed oil under 200 mbar/60 ℃ for three days to achieve fully impregnation. The unused samples were sealed in a desiccator under the vacuum condition to prevent the moisture absorption from the environment. </w:t>
      </w:r>
      <w:r w:rsidR="00CD3EA5" w:rsidRPr="002B5E90">
        <w:rPr>
          <w:highlight w:val="yellow"/>
          <w:lang w:val="en-GB"/>
        </w:rPr>
        <w:t>T</w:t>
      </w:r>
      <w:r w:rsidR="00A43103" w:rsidRPr="002B5E90">
        <w:rPr>
          <w:highlight w:val="yellow"/>
          <w:lang w:val="en-GB"/>
        </w:rPr>
        <w:t xml:space="preserve">he dielectric properties of the samples are shown in </w:t>
      </w:r>
      <w:r w:rsidR="00F30C14" w:rsidRPr="002B5E90">
        <w:rPr>
          <w:highlight w:val="yellow"/>
          <w:lang w:val="en-GB"/>
        </w:rPr>
        <w:t>T</w:t>
      </w:r>
      <w:r w:rsidR="00A43103" w:rsidRPr="002B5E90">
        <w:rPr>
          <w:highlight w:val="yellow"/>
          <w:lang w:val="en-GB"/>
        </w:rPr>
        <w:t>able 1.</w:t>
      </w:r>
      <w:r w:rsidR="00A43103">
        <w:rPr>
          <w:lang w:val="en-GB"/>
        </w:rPr>
        <w:t xml:space="preserve"> </w:t>
      </w:r>
    </w:p>
    <w:p w14:paraId="1F59B167" w14:textId="0A6FE458" w:rsidR="007959D0" w:rsidRDefault="007959D0" w:rsidP="002B5E90">
      <w:pPr>
        <w:jc w:val="both"/>
      </w:pPr>
    </w:p>
    <w:p w14:paraId="376AC3A3" w14:textId="77777777" w:rsidR="008C1626" w:rsidRPr="00590A21" w:rsidRDefault="008C1626" w:rsidP="008C1626">
      <w:pPr>
        <w:ind w:firstLineChars="100" w:firstLine="161"/>
        <w:jc w:val="center"/>
        <w:rPr>
          <w:lang w:val="en-GB"/>
        </w:rPr>
      </w:pPr>
      <w:r w:rsidRPr="00590A21">
        <w:rPr>
          <w:rFonts w:ascii="Arial" w:hAnsi="Arial" w:cs="Arial"/>
          <w:b/>
          <w:sz w:val="16"/>
          <w:szCs w:val="16"/>
          <w:lang w:val="en-GB"/>
        </w:rPr>
        <w:t>Table 1.</w:t>
      </w:r>
      <w:r>
        <w:rPr>
          <w:rFonts w:ascii="Arial" w:hAnsi="Arial" w:cs="Arial"/>
          <w:b/>
          <w:sz w:val="16"/>
          <w:szCs w:val="16"/>
          <w:lang w:val="en-GB"/>
        </w:rPr>
        <w:t xml:space="preserve"> </w:t>
      </w:r>
      <w:r>
        <w:rPr>
          <w:sz w:val="16"/>
          <w:szCs w:val="16"/>
          <w:lang w:val="en-GB"/>
        </w:rPr>
        <w:t>P</w:t>
      </w:r>
      <w:r w:rsidRPr="00590A21">
        <w:rPr>
          <w:sz w:val="16"/>
          <w:szCs w:val="16"/>
          <w:lang w:val="en-GB"/>
        </w:rPr>
        <w:t xml:space="preserve">roperties of the four dielectric materials </w:t>
      </w:r>
      <w:r w:rsidRPr="00590A21">
        <w:rPr>
          <w:sz w:val="16"/>
          <w:szCs w:val="16"/>
          <w:lang w:val="en-GB"/>
        </w:rPr>
        <w:fldChar w:fldCharType="begin" w:fldLock="1"/>
      </w:r>
      <w:r>
        <w:rPr>
          <w:sz w:val="16"/>
          <w:szCs w:val="16"/>
          <w:lang w:val="en-GB"/>
        </w:rPr>
        <w:instrText>ADDIN CSL_CITATION {"citationItems":[{"id":"ITEM-1","itemData":{"ISBN":"9781479920631","author":[{"dropping-particle":"","family":"Hao","given":"Miao","non-dropping-particle":"","parse-names":false,"suffix":""},{"dropping-particle":"","family":"Zhou","given":"Yuan","non-dropping-particle":"","parse-names":false,"suffix":""},{"dropping-particle":"","family":"Chen","given":"George","non-dropping-particle":"","parse-names":false,"suffix":""},{"dropping-particle":"","family":"Wilson","given":"Gordon","non-dropping-particle":"","parse-names":false,"suffix":""},{"dropping-particle":"","family":"Jarman","given":"Paul","non-dropping-particle":"","parse-names":false,"suffix":""}],"container-title":"IEEE International Conference on Liquid Dielectrics","id":"ITEM-1","issued":{"date-parts":[["2014"]]},"page":"1-4","title":"Space Charge Behaviour in Oil and Impregnated Pressboard Combined Insulation System","type":"paper-conference"},"uris":["http://www.mendeley.com/documents/?uuid=72051d29-71fc-4e89-b4ac-761134c2a406"]}],"mendeley":{"formattedCitation":"[16]","plainTextFormattedCitation":"[16]","previouslyFormattedCitation":"[16]"},"properties":{"noteIndex":0},"schema":"https://github.com/citation-style-language/schema/raw/master/csl-citation.json"}</w:instrText>
      </w:r>
      <w:r w:rsidRPr="00590A21">
        <w:rPr>
          <w:sz w:val="16"/>
          <w:szCs w:val="16"/>
          <w:lang w:val="en-GB"/>
        </w:rPr>
        <w:fldChar w:fldCharType="separate"/>
      </w:r>
      <w:r w:rsidRPr="000F792E">
        <w:rPr>
          <w:noProof/>
          <w:sz w:val="16"/>
          <w:szCs w:val="16"/>
          <w:lang w:val="en-GB"/>
        </w:rPr>
        <w:t>[16]</w:t>
      </w:r>
      <w:r w:rsidRPr="00590A21">
        <w:rPr>
          <w:sz w:val="16"/>
          <w:szCs w:val="16"/>
          <w:lang w:val="en-GB"/>
        </w:rPr>
        <w:fldChar w:fldCharType="end"/>
      </w:r>
      <w:r w:rsidRPr="00590A21">
        <w:rPr>
          <w:sz w:val="16"/>
          <w:szCs w:val="16"/>
          <w:lang w:val="en-GB"/>
        </w:rPr>
        <w:t>.</w:t>
      </w:r>
    </w:p>
    <w:tbl>
      <w:tblPr>
        <w:tblW w:w="4722" w:type="dxa"/>
        <w:jc w:val="center"/>
        <w:tblLook w:val="04A0" w:firstRow="1" w:lastRow="0" w:firstColumn="1" w:lastColumn="0" w:noHBand="0" w:noVBand="1"/>
      </w:tblPr>
      <w:tblGrid>
        <w:gridCol w:w="1030"/>
        <w:gridCol w:w="865"/>
        <w:gridCol w:w="981"/>
        <w:gridCol w:w="1052"/>
        <w:gridCol w:w="794"/>
      </w:tblGrid>
      <w:tr w:rsidR="008C1626" w:rsidRPr="00590A21" w14:paraId="170D6FCF" w14:textId="77777777" w:rsidTr="00372F17">
        <w:trPr>
          <w:trHeight w:val="234"/>
          <w:jc w:val="center"/>
        </w:trPr>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15E01AFC" w14:textId="77777777" w:rsidR="008C1626" w:rsidRPr="00590A21" w:rsidRDefault="008C1626" w:rsidP="00372F17">
            <w:pPr>
              <w:jc w:val="center"/>
              <w:rPr>
                <w:sz w:val="16"/>
                <w:szCs w:val="16"/>
                <w:lang w:val="en-GB"/>
              </w:rPr>
            </w:pPr>
            <w:r w:rsidRPr="00590A21">
              <w:rPr>
                <w:rFonts w:hAnsi="SimSun"/>
                <w:sz w:val="16"/>
                <w:szCs w:val="16"/>
                <w:lang w:val="en-GB"/>
              </w:rPr>
              <w:t>Sample</w:t>
            </w:r>
          </w:p>
        </w:tc>
        <w:tc>
          <w:tcPr>
            <w:tcW w:w="0" w:type="auto"/>
            <w:tcBorders>
              <w:top w:val="single" w:sz="12" w:space="0" w:color="auto"/>
              <w:left w:val="nil"/>
              <w:bottom w:val="single" w:sz="4" w:space="0" w:color="auto"/>
              <w:right w:val="single" w:sz="4" w:space="0" w:color="auto"/>
            </w:tcBorders>
            <w:shd w:val="clear" w:color="auto" w:fill="auto"/>
            <w:vAlign w:val="center"/>
            <w:hideMark/>
          </w:tcPr>
          <w:p w14:paraId="5177F60F" w14:textId="77777777" w:rsidR="008C1626" w:rsidRPr="00590A21" w:rsidRDefault="008C1626" w:rsidP="00372F17">
            <w:pPr>
              <w:jc w:val="center"/>
              <w:rPr>
                <w:sz w:val="16"/>
                <w:szCs w:val="16"/>
                <w:lang w:val="en-GB"/>
              </w:rPr>
            </w:pPr>
            <w:r w:rsidRPr="00590A21">
              <w:rPr>
                <w:sz w:val="16"/>
                <w:szCs w:val="16"/>
                <w:lang w:val="en-GB"/>
              </w:rPr>
              <w:t>Thickness</w:t>
            </w:r>
          </w:p>
        </w:tc>
        <w:tc>
          <w:tcPr>
            <w:tcW w:w="0" w:type="auto"/>
            <w:tcBorders>
              <w:top w:val="single" w:sz="12" w:space="0" w:color="auto"/>
              <w:left w:val="nil"/>
              <w:bottom w:val="single" w:sz="4" w:space="0" w:color="auto"/>
              <w:right w:val="nil"/>
            </w:tcBorders>
            <w:shd w:val="clear" w:color="auto" w:fill="auto"/>
            <w:vAlign w:val="center"/>
            <w:hideMark/>
          </w:tcPr>
          <w:p w14:paraId="0227865A" w14:textId="77777777" w:rsidR="008C1626" w:rsidRPr="00590A21" w:rsidRDefault="008C1626" w:rsidP="00372F17">
            <w:pPr>
              <w:jc w:val="center"/>
              <w:rPr>
                <w:sz w:val="16"/>
                <w:szCs w:val="16"/>
                <w:lang w:val="en-GB"/>
              </w:rPr>
            </w:pPr>
            <w:r w:rsidRPr="00590A21">
              <w:rPr>
                <w:sz w:val="16"/>
                <w:szCs w:val="16"/>
                <w:lang w:val="en-GB"/>
              </w:rPr>
              <w:t>Permittivity</w:t>
            </w:r>
          </w:p>
        </w:tc>
        <w:tc>
          <w:tcPr>
            <w:tcW w:w="1052" w:type="dxa"/>
            <w:tcBorders>
              <w:top w:val="single" w:sz="12" w:space="0" w:color="auto"/>
              <w:left w:val="single" w:sz="4" w:space="0" w:color="auto"/>
              <w:bottom w:val="single" w:sz="4" w:space="0" w:color="auto"/>
              <w:right w:val="nil"/>
            </w:tcBorders>
            <w:shd w:val="clear" w:color="auto" w:fill="auto"/>
            <w:noWrap/>
            <w:vAlign w:val="center"/>
            <w:hideMark/>
          </w:tcPr>
          <w:p w14:paraId="4159E98F" w14:textId="77777777" w:rsidR="008C1626" w:rsidRPr="00590A21" w:rsidRDefault="008C1626" w:rsidP="00372F17">
            <w:pPr>
              <w:jc w:val="center"/>
              <w:rPr>
                <w:sz w:val="16"/>
                <w:szCs w:val="16"/>
                <w:lang w:val="en-GB"/>
              </w:rPr>
            </w:pPr>
            <w:r w:rsidRPr="001F7F19">
              <w:rPr>
                <w:sz w:val="16"/>
                <w:szCs w:val="16"/>
                <w:highlight w:val="yellow"/>
                <w:lang w:val="en-GB"/>
              </w:rPr>
              <w:t>Resistivity</w:t>
            </w:r>
          </w:p>
        </w:tc>
        <w:tc>
          <w:tcPr>
            <w:tcW w:w="794" w:type="dxa"/>
            <w:tcBorders>
              <w:top w:val="single" w:sz="12" w:space="0" w:color="auto"/>
              <w:left w:val="single" w:sz="4" w:space="0" w:color="auto"/>
              <w:bottom w:val="single" w:sz="4" w:space="0" w:color="auto"/>
              <w:right w:val="nil"/>
            </w:tcBorders>
          </w:tcPr>
          <w:p w14:paraId="3161FC01" w14:textId="77777777" w:rsidR="008C1626" w:rsidRPr="00590A21" w:rsidRDefault="008C1626" w:rsidP="00372F17">
            <w:pPr>
              <w:jc w:val="center"/>
              <w:rPr>
                <w:sz w:val="16"/>
                <w:szCs w:val="16"/>
                <w:lang w:val="en-GB"/>
              </w:rPr>
            </w:pPr>
            <w:r w:rsidRPr="00590A21">
              <w:rPr>
                <w:sz w:val="16"/>
                <w:szCs w:val="16"/>
                <w:lang w:val="en-GB"/>
              </w:rPr>
              <w:t>Moisture</w:t>
            </w:r>
          </w:p>
        </w:tc>
      </w:tr>
      <w:tr w:rsidR="008C1626" w:rsidRPr="00590A21" w14:paraId="03F9DEEF" w14:textId="77777777" w:rsidTr="00372F17">
        <w:trPr>
          <w:trHeight w:val="234"/>
          <w:jc w:val="center"/>
        </w:trPr>
        <w:tc>
          <w:tcPr>
            <w:tcW w:w="0" w:type="auto"/>
            <w:tcBorders>
              <w:top w:val="nil"/>
              <w:left w:val="nil"/>
              <w:bottom w:val="nil"/>
              <w:right w:val="single" w:sz="4" w:space="0" w:color="auto"/>
            </w:tcBorders>
            <w:shd w:val="clear" w:color="auto" w:fill="auto"/>
            <w:noWrap/>
            <w:vAlign w:val="center"/>
            <w:hideMark/>
          </w:tcPr>
          <w:p w14:paraId="79870993" w14:textId="77777777" w:rsidR="008C1626" w:rsidRPr="00590A21" w:rsidRDefault="008C1626" w:rsidP="00372F17">
            <w:pPr>
              <w:jc w:val="center"/>
              <w:rPr>
                <w:sz w:val="16"/>
                <w:szCs w:val="16"/>
                <w:lang w:val="en-GB"/>
              </w:rPr>
            </w:pPr>
            <w:r w:rsidRPr="00590A21">
              <w:rPr>
                <w:sz w:val="16"/>
                <w:szCs w:val="16"/>
                <w:lang w:val="en-GB"/>
              </w:rPr>
              <w:t>Fresh oil-PB</w:t>
            </w:r>
          </w:p>
        </w:tc>
        <w:tc>
          <w:tcPr>
            <w:tcW w:w="0" w:type="auto"/>
            <w:tcBorders>
              <w:top w:val="nil"/>
              <w:left w:val="nil"/>
              <w:bottom w:val="nil"/>
              <w:right w:val="single" w:sz="4" w:space="0" w:color="auto"/>
            </w:tcBorders>
            <w:shd w:val="clear" w:color="auto" w:fill="auto"/>
            <w:hideMark/>
          </w:tcPr>
          <w:p w14:paraId="4C874124" w14:textId="77777777" w:rsidR="008C1626" w:rsidRPr="00590A21" w:rsidRDefault="008C1626" w:rsidP="00372F17">
            <w:pPr>
              <w:jc w:val="center"/>
              <w:rPr>
                <w:sz w:val="16"/>
                <w:szCs w:val="16"/>
                <w:lang w:val="en-GB"/>
              </w:rPr>
            </w:pPr>
            <w:r w:rsidRPr="00590A21">
              <w:rPr>
                <w:sz w:val="16"/>
                <w:szCs w:val="16"/>
                <w:lang w:val="en-GB"/>
              </w:rPr>
              <w:t>0.5 mm</w:t>
            </w:r>
          </w:p>
        </w:tc>
        <w:tc>
          <w:tcPr>
            <w:tcW w:w="0" w:type="auto"/>
            <w:tcBorders>
              <w:top w:val="nil"/>
              <w:left w:val="nil"/>
              <w:bottom w:val="nil"/>
              <w:right w:val="single" w:sz="4" w:space="0" w:color="auto"/>
            </w:tcBorders>
            <w:shd w:val="clear" w:color="auto" w:fill="auto"/>
            <w:hideMark/>
          </w:tcPr>
          <w:p w14:paraId="7BDADBEA" w14:textId="77777777" w:rsidR="008C1626" w:rsidRPr="00590A21" w:rsidRDefault="008C1626" w:rsidP="00372F17">
            <w:pPr>
              <w:jc w:val="center"/>
              <w:rPr>
                <w:sz w:val="16"/>
                <w:szCs w:val="16"/>
                <w:lang w:val="en-GB"/>
              </w:rPr>
            </w:pPr>
            <w:r w:rsidRPr="00590A21">
              <w:rPr>
                <w:sz w:val="16"/>
                <w:szCs w:val="16"/>
                <w:lang w:val="en-GB"/>
              </w:rPr>
              <w:t>3.2</w:t>
            </w:r>
          </w:p>
        </w:tc>
        <w:tc>
          <w:tcPr>
            <w:tcW w:w="1052" w:type="dxa"/>
            <w:tcBorders>
              <w:top w:val="nil"/>
              <w:left w:val="nil"/>
              <w:bottom w:val="nil"/>
              <w:right w:val="single" w:sz="4" w:space="0" w:color="auto"/>
            </w:tcBorders>
            <w:shd w:val="clear" w:color="auto" w:fill="auto"/>
            <w:noWrap/>
            <w:vAlign w:val="center"/>
            <w:hideMark/>
          </w:tcPr>
          <w:p w14:paraId="1633980C" w14:textId="77777777" w:rsidR="008C1626" w:rsidRPr="00590A21" w:rsidRDefault="008C1626" w:rsidP="00372F17">
            <w:pPr>
              <w:jc w:val="center"/>
              <w:rPr>
                <w:sz w:val="16"/>
                <w:szCs w:val="16"/>
                <w:lang w:val="en-GB"/>
              </w:rPr>
            </w:pPr>
            <w:r w:rsidRPr="00590A21">
              <w:rPr>
                <w:sz w:val="16"/>
                <w:szCs w:val="16"/>
                <w:lang w:val="en-GB"/>
              </w:rPr>
              <w:t xml:space="preserve">1000 </w:t>
            </w:r>
            <w:proofErr w:type="spellStart"/>
            <w:r w:rsidRPr="00590A21">
              <w:rPr>
                <w:sz w:val="16"/>
                <w:szCs w:val="16"/>
                <w:lang w:val="en-GB"/>
              </w:rPr>
              <w:t>TΩm</w:t>
            </w:r>
            <w:proofErr w:type="spellEnd"/>
          </w:p>
        </w:tc>
        <w:tc>
          <w:tcPr>
            <w:tcW w:w="794" w:type="dxa"/>
            <w:tcBorders>
              <w:top w:val="nil"/>
              <w:left w:val="single" w:sz="4" w:space="0" w:color="auto"/>
              <w:bottom w:val="nil"/>
            </w:tcBorders>
          </w:tcPr>
          <w:p w14:paraId="545CB789" w14:textId="77777777" w:rsidR="008C1626" w:rsidRPr="00590A21" w:rsidRDefault="008C1626" w:rsidP="00372F17">
            <w:pPr>
              <w:jc w:val="center"/>
              <w:rPr>
                <w:sz w:val="16"/>
                <w:szCs w:val="16"/>
                <w:lang w:val="en-GB"/>
              </w:rPr>
            </w:pPr>
            <w:r w:rsidRPr="00A874E3">
              <w:rPr>
                <w:sz w:val="16"/>
                <w:szCs w:val="16"/>
                <w:highlight w:val="yellow"/>
                <w:lang w:val="en-GB"/>
              </w:rPr>
              <w:t>&lt;0.5%</w:t>
            </w:r>
          </w:p>
        </w:tc>
      </w:tr>
      <w:tr w:rsidR="008C1626" w:rsidRPr="00590A21" w14:paraId="554E0228" w14:textId="77777777" w:rsidTr="00372F17">
        <w:trPr>
          <w:trHeight w:val="234"/>
          <w:jc w:val="center"/>
        </w:trPr>
        <w:tc>
          <w:tcPr>
            <w:tcW w:w="0" w:type="auto"/>
            <w:tcBorders>
              <w:top w:val="nil"/>
              <w:left w:val="nil"/>
              <w:bottom w:val="single" w:sz="12" w:space="0" w:color="auto"/>
              <w:right w:val="single" w:sz="4" w:space="0" w:color="auto"/>
            </w:tcBorders>
            <w:shd w:val="clear" w:color="auto" w:fill="auto"/>
            <w:noWrap/>
            <w:vAlign w:val="center"/>
          </w:tcPr>
          <w:p w14:paraId="23EA3A56" w14:textId="77777777" w:rsidR="008C1626" w:rsidRPr="00590A21" w:rsidRDefault="008C1626" w:rsidP="00372F17">
            <w:pPr>
              <w:jc w:val="center"/>
              <w:rPr>
                <w:sz w:val="16"/>
                <w:szCs w:val="16"/>
                <w:lang w:val="en-GB"/>
              </w:rPr>
            </w:pPr>
            <w:r w:rsidRPr="00590A21">
              <w:rPr>
                <w:sz w:val="16"/>
                <w:szCs w:val="16"/>
                <w:lang w:val="en-GB"/>
              </w:rPr>
              <w:t>Fresh oil</w:t>
            </w:r>
          </w:p>
        </w:tc>
        <w:tc>
          <w:tcPr>
            <w:tcW w:w="0" w:type="auto"/>
            <w:tcBorders>
              <w:top w:val="nil"/>
              <w:left w:val="nil"/>
              <w:bottom w:val="single" w:sz="12" w:space="0" w:color="auto"/>
              <w:right w:val="single" w:sz="4" w:space="0" w:color="auto"/>
            </w:tcBorders>
            <w:shd w:val="clear" w:color="auto" w:fill="auto"/>
            <w:noWrap/>
            <w:vAlign w:val="center"/>
          </w:tcPr>
          <w:p w14:paraId="6BCCC1F7" w14:textId="77777777" w:rsidR="008C1626" w:rsidRPr="00590A21" w:rsidRDefault="008C1626" w:rsidP="00372F17">
            <w:pPr>
              <w:jc w:val="center"/>
              <w:rPr>
                <w:sz w:val="16"/>
                <w:szCs w:val="16"/>
                <w:lang w:val="en-GB"/>
              </w:rPr>
            </w:pPr>
            <w:r w:rsidRPr="00590A21">
              <w:rPr>
                <w:sz w:val="16"/>
                <w:szCs w:val="16"/>
                <w:lang w:val="en-GB"/>
              </w:rPr>
              <w:t>0.5 mm</w:t>
            </w:r>
          </w:p>
        </w:tc>
        <w:tc>
          <w:tcPr>
            <w:tcW w:w="0" w:type="auto"/>
            <w:tcBorders>
              <w:top w:val="nil"/>
              <w:left w:val="nil"/>
              <w:bottom w:val="single" w:sz="12" w:space="0" w:color="auto"/>
              <w:right w:val="nil"/>
            </w:tcBorders>
            <w:shd w:val="clear" w:color="auto" w:fill="auto"/>
            <w:noWrap/>
            <w:vAlign w:val="center"/>
          </w:tcPr>
          <w:p w14:paraId="293A20EF" w14:textId="77777777" w:rsidR="008C1626" w:rsidRPr="00590A21" w:rsidRDefault="008C1626" w:rsidP="00372F17">
            <w:pPr>
              <w:jc w:val="center"/>
              <w:rPr>
                <w:sz w:val="16"/>
                <w:szCs w:val="16"/>
                <w:lang w:val="en-GB"/>
              </w:rPr>
            </w:pPr>
            <w:r w:rsidRPr="00590A21">
              <w:rPr>
                <w:sz w:val="16"/>
                <w:szCs w:val="16"/>
                <w:lang w:val="en-GB"/>
              </w:rPr>
              <w:t>2.2</w:t>
            </w:r>
          </w:p>
        </w:tc>
        <w:tc>
          <w:tcPr>
            <w:tcW w:w="1052" w:type="dxa"/>
            <w:tcBorders>
              <w:top w:val="nil"/>
              <w:left w:val="single" w:sz="4" w:space="0" w:color="auto"/>
              <w:bottom w:val="single" w:sz="12" w:space="0" w:color="auto"/>
              <w:right w:val="nil"/>
            </w:tcBorders>
            <w:shd w:val="clear" w:color="auto" w:fill="auto"/>
            <w:noWrap/>
            <w:vAlign w:val="center"/>
          </w:tcPr>
          <w:p w14:paraId="360E4292" w14:textId="77777777" w:rsidR="008C1626" w:rsidRPr="00590A21" w:rsidRDefault="008C1626" w:rsidP="00372F17">
            <w:pPr>
              <w:jc w:val="center"/>
              <w:rPr>
                <w:sz w:val="16"/>
                <w:szCs w:val="16"/>
                <w:lang w:val="en-GB"/>
              </w:rPr>
            </w:pPr>
            <w:r w:rsidRPr="00590A21">
              <w:rPr>
                <w:sz w:val="16"/>
                <w:szCs w:val="16"/>
                <w:lang w:val="en-GB"/>
              </w:rPr>
              <w:t xml:space="preserve">100 </w:t>
            </w:r>
            <w:proofErr w:type="spellStart"/>
            <w:r w:rsidRPr="00590A21">
              <w:rPr>
                <w:sz w:val="16"/>
                <w:szCs w:val="16"/>
                <w:lang w:val="en-GB"/>
              </w:rPr>
              <w:t>TΩm</w:t>
            </w:r>
            <w:proofErr w:type="spellEnd"/>
          </w:p>
        </w:tc>
        <w:tc>
          <w:tcPr>
            <w:tcW w:w="794" w:type="dxa"/>
            <w:tcBorders>
              <w:top w:val="nil"/>
              <w:left w:val="single" w:sz="4" w:space="0" w:color="auto"/>
              <w:bottom w:val="single" w:sz="12" w:space="0" w:color="auto"/>
              <w:right w:val="nil"/>
            </w:tcBorders>
          </w:tcPr>
          <w:p w14:paraId="5C1CBB65" w14:textId="77777777" w:rsidR="008C1626" w:rsidRPr="00590A21" w:rsidRDefault="008C1626" w:rsidP="00372F17">
            <w:pPr>
              <w:jc w:val="center"/>
              <w:rPr>
                <w:sz w:val="16"/>
                <w:szCs w:val="16"/>
                <w:lang w:val="en-GB"/>
              </w:rPr>
            </w:pPr>
            <w:r w:rsidRPr="00590A21">
              <w:rPr>
                <w:sz w:val="16"/>
                <w:szCs w:val="16"/>
                <w:lang w:val="en-GB"/>
              </w:rPr>
              <w:t>10 ppm</w:t>
            </w:r>
          </w:p>
        </w:tc>
      </w:tr>
    </w:tbl>
    <w:p w14:paraId="0197C53C" w14:textId="36764A4A" w:rsidR="008C1626" w:rsidRDefault="008C1626" w:rsidP="002B5E90">
      <w:pPr>
        <w:jc w:val="both"/>
      </w:pPr>
    </w:p>
    <w:bookmarkEnd w:id="6"/>
    <w:p w14:paraId="703564E8" w14:textId="6652E21B" w:rsidR="008764C2" w:rsidRPr="00590A21" w:rsidRDefault="008764C2" w:rsidP="007F03C5">
      <w:pPr>
        <w:pStyle w:val="Heading2"/>
        <w:tabs>
          <w:tab w:val="num" w:pos="360"/>
        </w:tabs>
        <w:ind w:left="360" w:hanging="360"/>
        <w:jc w:val="center"/>
        <w:rPr>
          <w:rFonts w:ascii="Arial" w:hAnsi="Arial" w:cs="Arial"/>
          <w:b/>
          <w:i w:val="0"/>
          <w:iCs/>
          <w:caps/>
          <w:lang w:val="en-GB"/>
        </w:rPr>
      </w:pPr>
      <w:r w:rsidRPr="00590A21">
        <w:rPr>
          <w:rFonts w:ascii="Arial" w:hAnsi="Arial" w:cs="Arial"/>
          <w:b/>
          <w:i w:val="0"/>
          <w:iCs/>
          <w:caps/>
          <w:lang w:val="en-GB"/>
        </w:rPr>
        <w:t>2.2 space charge measurement</w:t>
      </w:r>
    </w:p>
    <w:p w14:paraId="3616D0E5" w14:textId="08D1F4D8" w:rsidR="003E40B6" w:rsidRPr="00590A21" w:rsidRDefault="008764C2" w:rsidP="005F3383">
      <w:pPr>
        <w:ind w:firstLine="142"/>
        <w:jc w:val="both"/>
        <w:rPr>
          <w:lang w:val="en-GB"/>
        </w:rPr>
      </w:pPr>
      <w:bookmarkStart w:id="7" w:name="OLE_LINK30"/>
      <w:bookmarkStart w:id="8" w:name="OLE_LINK156"/>
      <w:bookmarkStart w:id="9" w:name="OLE_LINK157"/>
      <w:r w:rsidRPr="00590A21">
        <w:rPr>
          <w:lang w:val="en-GB"/>
        </w:rPr>
        <w:t>The space charge is measured using the modified pulse electro-acoustic (PEA) system</w:t>
      </w:r>
      <w:r w:rsidR="005F3383">
        <w:rPr>
          <w:lang w:val="en-GB"/>
        </w:rPr>
        <w:t xml:space="preserve">. </w:t>
      </w:r>
      <w:r w:rsidR="005F3383" w:rsidRPr="005F3383">
        <w:rPr>
          <w:highlight w:val="yellow"/>
          <w:lang w:val="en-GB"/>
        </w:rPr>
        <w:t xml:space="preserve">The spatial resolution of oil and PB are around 31 </w:t>
      </w:r>
      <w:r w:rsidR="005F3383" w:rsidRPr="005F3383">
        <w:rPr>
          <w:highlight w:val="yellow"/>
          <w:lang w:val="en-GB"/>
        </w:rPr>
        <w:sym w:font="Symbol" w:char="F06D"/>
      </w:r>
      <w:r w:rsidR="005F3383" w:rsidRPr="005F3383">
        <w:rPr>
          <w:highlight w:val="yellow"/>
          <w:lang w:val="en-GB"/>
        </w:rPr>
        <w:t>m and 4</w:t>
      </w:r>
      <w:r w:rsidR="00AF4788">
        <w:rPr>
          <w:highlight w:val="yellow"/>
          <w:lang w:val="en-GB"/>
        </w:rPr>
        <w:t>4</w:t>
      </w:r>
      <w:r w:rsidR="005F3383" w:rsidRPr="005F3383">
        <w:rPr>
          <w:highlight w:val="yellow"/>
          <w:lang w:val="en-GB"/>
        </w:rPr>
        <w:t xml:space="preserve"> </w:t>
      </w:r>
      <w:r w:rsidR="005F3383" w:rsidRPr="005F3383">
        <w:rPr>
          <w:highlight w:val="yellow"/>
          <w:lang w:val="en-GB"/>
        </w:rPr>
        <w:sym w:font="Symbol" w:char="F06D"/>
      </w:r>
      <w:r w:rsidR="005F3383" w:rsidRPr="005F3383">
        <w:rPr>
          <w:highlight w:val="yellow"/>
          <w:lang w:val="en-GB"/>
        </w:rPr>
        <w:t>m, respectively.</w:t>
      </w:r>
      <w:bookmarkStart w:id="10" w:name="OLE_LINK177"/>
      <w:bookmarkStart w:id="11" w:name="OLE_LINK49"/>
      <w:r w:rsidR="005F3383" w:rsidRPr="005F3383">
        <w:rPr>
          <w:highlight w:val="yellow"/>
          <w:lang w:val="en-GB"/>
        </w:rPr>
        <w:t xml:space="preserve"> </w:t>
      </w:r>
      <w:r w:rsidR="003E40B6" w:rsidRPr="00590A21">
        <w:rPr>
          <w:lang w:val="en-GB"/>
        </w:rPr>
        <w:t xml:space="preserve">To investigate the thickness effect on the space charge behaviour, the different </w:t>
      </w:r>
      <w:r w:rsidR="003E40B6" w:rsidRPr="00590A21">
        <w:rPr>
          <w:lang w:val="en-GB"/>
        </w:rPr>
        <w:t xml:space="preserve">combination thickness of oil and PB space charge was measured using the PEA system and the thickness details are shown in Table 2. </w:t>
      </w:r>
    </w:p>
    <w:p w14:paraId="2458ADC5" w14:textId="77777777" w:rsidR="003E40B6" w:rsidRPr="00590A21" w:rsidRDefault="003E40B6" w:rsidP="003E40B6">
      <w:pPr>
        <w:ind w:firstLineChars="100" w:firstLine="200"/>
        <w:rPr>
          <w:lang w:val="en-GB"/>
        </w:rPr>
      </w:pPr>
    </w:p>
    <w:bookmarkEnd w:id="10"/>
    <w:p w14:paraId="790F2A77" w14:textId="4C21B4C0" w:rsidR="003E40B6" w:rsidRPr="00590A21" w:rsidRDefault="003E40B6" w:rsidP="003E40B6">
      <w:pPr>
        <w:ind w:firstLineChars="100" w:firstLine="161"/>
        <w:jc w:val="center"/>
        <w:rPr>
          <w:sz w:val="16"/>
          <w:szCs w:val="16"/>
          <w:lang w:val="en-GB"/>
        </w:rPr>
      </w:pPr>
      <w:r w:rsidRPr="00590A21">
        <w:rPr>
          <w:rFonts w:ascii="Arial" w:hAnsi="Arial" w:cs="Arial"/>
          <w:b/>
          <w:sz w:val="16"/>
          <w:szCs w:val="16"/>
          <w:lang w:val="en-GB"/>
        </w:rPr>
        <w:t xml:space="preserve">Table 2. </w:t>
      </w:r>
      <w:r w:rsidR="0034773B">
        <w:rPr>
          <w:sz w:val="16"/>
          <w:szCs w:val="16"/>
          <w:lang w:val="en-GB"/>
        </w:rPr>
        <w:t xml:space="preserve">Thicknesses </w:t>
      </w:r>
      <w:r w:rsidRPr="00590A21">
        <w:rPr>
          <w:sz w:val="16"/>
          <w:szCs w:val="16"/>
          <w:lang w:val="en-GB"/>
        </w:rPr>
        <w:t>of oil and pressboard</w:t>
      </w:r>
      <w:bookmarkEnd w:id="11"/>
      <w:r w:rsidRPr="00590A21">
        <w:rPr>
          <w:sz w:val="16"/>
          <w:szCs w:val="16"/>
          <w:lang w:val="en-GB"/>
        </w:rPr>
        <w:t>.</w:t>
      </w:r>
    </w:p>
    <w:tbl>
      <w:tblPr>
        <w:tblW w:w="4974" w:type="dxa"/>
        <w:jc w:val="center"/>
        <w:tblLook w:val="04A0" w:firstRow="1" w:lastRow="0" w:firstColumn="1" w:lastColumn="0" w:noHBand="0" w:noVBand="1"/>
      </w:tblPr>
      <w:tblGrid>
        <w:gridCol w:w="940"/>
        <w:gridCol w:w="1617"/>
        <w:gridCol w:w="2417"/>
      </w:tblGrid>
      <w:tr w:rsidR="003E40B6" w:rsidRPr="00590A21" w14:paraId="4596B8F9" w14:textId="77777777" w:rsidTr="00524181">
        <w:trPr>
          <w:trHeight w:val="188"/>
          <w:jc w:val="center"/>
        </w:trPr>
        <w:tc>
          <w:tcPr>
            <w:tcW w:w="0" w:type="auto"/>
            <w:tcBorders>
              <w:top w:val="single" w:sz="12" w:space="0" w:color="auto"/>
              <w:left w:val="nil"/>
              <w:bottom w:val="single" w:sz="4" w:space="0" w:color="auto"/>
              <w:right w:val="single" w:sz="4" w:space="0" w:color="auto"/>
            </w:tcBorders>
            <w:shd w:val="clear" w:color="auto" w:fill="auto"/>
            <w:noWrap/>
            <w:hideMark/>
          </w:tcPr>
          <w:p w14:paraId="55DD1782" w14:textId="77777777" w:rsidR="003E40B6" w:rsidRPr="00590A21" w:rsidRDefault="003E40B6" w:rsidP="00524181">
            <w:pPr>
              <w:rPr>
                <w:sz w:val="16"/>
                <w:szCs w:val="16"/>
                <w:lang w:val="en-GB"/>
              </w:rPr>
            </w:pPr>
            <w:r w:rsidRPr="00590A21">
              <w:rPr>
                <w:sz w:val="16"/>
                <w:szCs w:val="16"/>
                <w:lang w:val="en-GB"/>
              </w:rPr>
              <w:t>Number</w:t>
            </w:r>
          </w:p>
        </w:tc>
        <w:tc>
          <w:tcPr>
            <w:tcW w:w="0" w:type="auto"/>
            <w:tcBorders>
              <w:top w:val="single" w:sz="12" w:space="0" w:color="auto"/>
              <w:left w:val="nil"/>
              <w:bottom w:val="single" w:sz="4" w:space="0" w:color="auto"/>
              <w:right w:val="single" w:sz="4" w:space="0" w:color="auto"/>
            </w:tcBorders>
            <w:shd w:val="clear" w:color="auto" w:fill="auto"/>
            <w:hideMark/>
          </w:tcPr>
          <w:p w14:paraId="1DDBAEDF" w14:textId="27FB0F8D" w:rsidR="003E40B6" w:rsidRPr="00590A21" w:rsidRDefault="003E40B6" w:rsidP="00524181">
            <w:pPr>
              <w:rPr>
                <w:sz w:val="16"/>
                <w:szCs w:val="16"/>
                <w:lang w:val="en-GB"/>
              </w:rPr>
            </w:pPr>
            <w:r w:rsidRPr="00590A21">
              <w:rPr>
                <w:sz w:val="16"/>
                <w:szCs w:val="16"/>
                <w:lang w:val="en-GB"/>
              </w:rPr>
              <w:t xml:space="preserve">Thickness of </w:t>
            </w:r>
            <w:r w:rsidR="00B055E6" w:rsidRPr="00B055E6">
              <w:rPr>
                <w:sz w:val="16"/>
                <w:szCs w:val="16"/>
                <w:highlight w:val="yellow"/>
                <w:lang w:val="en-GB"/>
              </w:rPr>
              <w:t>PB</w:t>
            </w:r>
            <w:r w:rsidRPr="00590A21">
              <w:rPr>
                <w:sz w:val="16"/>
                <w:szCs w:val="16"/>
                <w:lang w:val="en-GB"/>
              </w:rPr>
              <w:t xml:space="preserve"> </w:t>
            </w:r>
          </w:p>
        </w:tc>
        <w:tc>
          <w:tcPr>
            <w:tcW w:w="0" w:type="auto"/>
            <w:tcBorders>
              <w:top w:val="single" w:sz="12" w:space="0" w:color="auto"/>
              <w:left w:val="nil"/>
              <w:bottom w:val="single" w:sz="4" w:space="0" w:color="auto"/>
              <w:right w:val="nil"/>
            </w:tcBorders>
            <w:shd w:val="clear" w:color="auto" w:fill="auto"/>
            <w:hideMark/>
          </w:tcPr>
          <w:p w14:paraId="0FD04FEC" w14:textId="77777777" w:rsidR="003E40B6" w:rsidRPr="00590A21" w:rsidRDefault="003E40B6" w:rsidP="00524181">
            <w:pPr>
              <w:rPr>
                <w:sz w:val="16"/>
                <w:szCs w:val="16"/>
                <w:lang w:val="en-GB"/>
              </w:rPr>
            </w:pPr>
            <w:r w:rsidRPr="00590A21">
              <w:rPr>
                <w:sz w:val="16"/>
                <w:szCs w:val="16"/>
                <w:lang w:val="en-GB"/>
              </w:rPr>
              <w:t xml:space="preserve">Thickness of Oil </w:t>
            </w:r>
          </w:p>
        </w:tc>
      </w:tr>
      <w:tr w:rsidR="003E40B6" w:rsidRPr="00590A21" w14:paraId="68DE076F" w14:textId="77777777" w:rsidTr="00524181">
        <w:trPr>
          <w:trHeight w:val="188"/>
          <w:jc w:val="center"/>
        </w:trPr>
        <w:tc>
          <w:tcPr>
            <w:tcW w:w="0" w:type="auto"/>
            <w:tcBorders>
              <w:top w:val="nil"/>
              <w:left w:val="nil"/>
              <w:bottom w:val="nil"/>
              <w:right w:val="single" w:sz="4" w:space="0" w:color="auto"/>
            </w:tcBorders>
            <w:shd w:val="clear" w:color="auto" w:fill="auto"/>
            <w:noWrap/>
          </w:tcPr>
          <w:p w14:paraId="4242F0B0" w14:textId="77777777" w:rsidR="003E40B6" w:rsidRPr="00590A21" w:rsidRDefault="003E40B6" w:rsidP="00524181">
            <w:pPr>
              <w:rPr>
                <w:sz w:val="16"/>
                <w:szCs w:val="16"/>
                <w:lang w:val="en-GB"/>
              </w:rPr>
            </w:pPr>
            <w:r w:rsidRPr="00590A21">
              <w:rPr>
                <w:sz w:val="16"/>
                <w:szCs w:val="16"/>
                <w:lang w:val="en-GB"/>
              </w:rPr>
              <w:t>1</w:t>
            </w:r>
          </w:p>
        </w:tc>
        <w:tc>
          <w:tcPr>
            <w:tcW w:w="0" w:type="auto"/>
            <w:tcBorders>
              <w:top w:val="nil"/>
              <w:left w:val="nil"/>
              <w:bottom w:val="nil"/>
              <w:right w:val="single" w:sz="4" w:space="0" w:color="auto"/>
            </w:tcBorders>
            <w:shd w:val="clear" w:color="auto" w:fill="auto"/>
            <w:noWrap/>
          </w:tcPr>
          <w:p w14:paraId="1D186DAD" w14:textId="77777777" w:rsidR="003E40B6" w:rsidRPr="00590A21" w:rsidRDefault="003E40B6" w:rsidP="00524181">
            <w:pPr>
              <w:rPr>
                <w:sz w:val="16"/>
                <w:szCs w:val="16"/>
                <w:lang w:val="en-GB"/>
              </w:rPr>
            </w:pPr>
            <w:r w:rsidRPr="00590A21">
              <w:rPr>
                <w:sz w:val="16"/>
                <w:szCs w:val="16"/>
                <w:lang w:val="en-GB"/>
              </w:rPr>
              <w:t xml:space="preserve">0.5 mm </w:t>
            </w:r>
          </w:p>
        </w:tc>
        <w:tc>
          <w:tcPr>
            <w:tcW w:w="0" w:type="auto"/>
            <w:tcBorders>
              <w:top w:val="nil"/>
              <w:left w:val="nil"/>
              <w:bottom w:val="nil"/>
              <w:right w:val="nil"/>
            </w:tcBorders>
            <w:shd w:val="clear" w:color="auto" w:fill="auto"/>
            <w:noWrap/>
          </w:tcPr>
          <w:p w14:paraId="4D34423D" w14:textId="77777777" w:rsidR="003E40B6" w:rsidRPr="00590A21" w:rsidRDefault="003E40B6" w:rsidP="00524181">
            <w:pPr>
              <w:rPr>
                <w:sz w:val="16"/>
                <w:szCs w:val="16"/>
                <w:lang w:val="en-GB"/>
              </w:rPr>
            </w:pPr>
            <w:r w:rsidRPr="00590A21">
              <w:rPr>
                <w:sz w:val="16"/>
                <w:szCs w:val="16"/>
                <w:lang w:val="en-GB"/>
              </w:rPr>
              <w:t xml:space="preserve">0.25, 0.3, 0.4, 0.5, 0.6 mm </w:t>
            </w:r>
          </w:p>
        </w:tc>
      </w:tr>
      <w:tr w:rsidR="003E40B6" w:rsidRPr="00590A21" w14:paraId="61C114B6" w14:textId="77777777" w:rsidTr="00524181">
        <w:trPr>
          <w:trHeight w:val="188"/>
          <w:jc w:val="center"/>
        </w:trPr>
        <w:tc>
          <w:tcPr>
            <w:tcW w:w="0" w:type="auto"/>
            <w:tcBorders>
              <w:top w:val="nil"/>
              <w:left w:val="nil"/>
              <w:bottom w:val="single" w:sz="12" w:space="0" w:color="auto"/>
              <w:right w:val="single" w:sz="4" w:space="0" w:color="auto"/>
            </w:tcBorders>
            <w:shd w:val="clear" w:color="auto" w:fill="auto"/>
            <w:noWrap/>
          </w:tcPr>
          <w:p w14:paraId="28D00F08" w14:textId="77777777" w:rsidR="003E40B6" w:rsidRPr="00590A21" w:rsidRDefault="003E40B6" w:rsidP="00524181">
            <w:pPr>
              <w:rPr>
                <w:sz w:val="16"/>
                <w:szCs w:val="16"/>
                <w:lang w:val="en-GB"/>
              </w:rPr>
            </w:pPr>
            <w:r w:rsidRPr="00590A21">
              <w:rPr>
                <w:sz w:val="16"/>
                <w:szCs w:val="16"/>
                <w:lang w:val="en-GB"/>
              </w:rPr>
              <w:t>2</w:t>
            </w:r>
          </w:p>
        </w:tc>
        <w:tc>
          <w:tcPr>
            <w:tcW w:w="0" w:type="auto"/>
            <w:tcBorders>
              <w:top w:val="nil"/>
              <w:left w:val="nil"/>
              <w:bottom w:val="single" w:sz="12" w:space="0" w:color="auto"/>
              <w:right w:val="single" w:sz="4" w:space="0" w:color="auto"/>
            </w:tcBorders>
            <w:shd w:val="clear" w:color="auto" w:fill="auto"/>
            <w:noWrap/>
          </w:tcPr>
          <w:p w14:paraId="50DD7A5A" w14:textId="77777777" w:rsidR="003E40B6" w:rsidRPr="00590A21" w:rsidRDefault="003E40B6" w:rsidP="00524181">
            <w:pPr>
              <w:rPr>
                <w:sz w:val="16"/>
                <w:szCs w:val="16"/>
                <w:lang w:val="en-GB"/>
              </w:rPr>
            </w:pPr>
            <w:r w:rsidRPr="00590A21">
              <w:rPr>
                <w:sz w:val="16"/>
                <w:szCs w:val="16"/>
                <w:lang w:val="en-GB"/>
              </w:rPr>
              <w:t xml:space="preserve">0.3 mm </w:t>
            </w:r>
          </w:p>
        </w:tc>
        <w:tc>
          <w:tcPr>
            <w:tcW w:w="0" w:type="auto"/>
            <w:tcBorders>
              <w:top w:val="nil"/>
              <w:left w:val="nil"/>
              <w:bottom w:val="single" w:sz="12" w:space="0" w:color="auto"/>
              <w:right w:val="nil"/>
            </w:tcBorders>
            <w:shd w:val="clear" w:color="auto" w:fill="auto"/>
            <w:noWrap/>
          </w:tcPr>
          <w:p w14:paraId="5BAB9D5E" w14:textId="77777777" w:rsidR="003E40B6" w:rsidRPr="00590A21" w:rsidRDefault="003E40B6" w:rsidP="00524181">
            <w:pPr>
              <w:rPr>
                <w:sz w:val="16"/>
                <w:szCs w:val="16"/>
                <w:lang w:val="en-GB"/>
              </w:rPr>
            </w:pPr>
            <w:r w:rsidRPr="00590A21">
              <w:rPr>
                <w:sz w:val="16"/>
                <w:szCs w:val="16"/>
                <w:lang w:val="en-GB"/>
              </w:rPr>
              <w:t xml:space="preserve">0.3, 0.4, 0.5, 0.6, 0.7 mm </w:t>
            </w:r>
          </w:p>
        </w:tc>
      </w:tr>
    </w:tbl>
    <w:p w14:paraId="4FE46625" w14:textId="50FA86EB" w:rsidR="00916657" w:rsidRDefault="00916657" w:rsidP="00207C46">
      <w:pPr>
        <w:ind w:firstLine="142"/>
        <w:jc w:val="both"/>
        <w:rPr>
          <w:lang w:val="en-GB"/>
        </w:rPr>
      </w:pPr>
    </w:p>
    <w:p w14:paraId="5927AF1C" w14:textId="45D3B27E" w:rsidR="003E40B6" w:rsidRPr="00590A21" w:rsidRDefault="003E40B6" w:rsidP="003E40B6">
      <w:pPr>
        <w:ind w:firstLine="142"/>
        <w:jc w:val="both"/>
        <w:rPr>
          <w:lang w:val="en-GB"/>
        </w:rPr>
      </w:pPr>
      <w:r w:rsidRPr="00590A21">
        <w:rPr>
          <w:lang w:val="en-GB"/>
        </w:rPr>
        <w:t xml:space="preserve">The external electric field 10 kV/mm was applied. The pulse generator provided the pulse with the waveform of 800 V, 1 kHz and </w:t>
      </w:r>
      <w:r w:rsidR="008C1626">
        <w:rPr>
          <w:lang w:val="en-GB"/>
        </w:rPr>
        <w:t>10</w:t>
      </w:r>
      <w:r w:rsidRPr="00590A21">
        <w:rPr>
          <w:lang w:val="en-GB"/>
        </w:rPr>
        <w:t xml:space="preserve"> ns width </w:t>
      </w:r>
      <w:r w:rsidRPr="00590A21">
        <w:rPr>
          <w:lang w:val="en-GB"/>
        </w:rPr>
        <w:fldChar w:fldCharType="begin" w:fldLock="1"/>
      </w:r>
      <w:r w:rsidR="00533BF7">
        <w:rPr>
          <w:lang w:val="en-GB"/>
        </w:rPr>
        <w:instrText>ADDIN CSL_CITATION {"citationItems":[{"id":"ITEM-1","itemData":{"DOI":"10.1109/TDEI.2015.005413","ISSN":"10709878","author":[{"dropping-particle":"","family":"Huang","given":"Bo","non-dropping-particle":"","parse-names":false,"suffix":""},{"dropping-particle":"","family":"Hao","given":"Miao","non-dropping-particle":"","parse-names":false,"suffix":""},{"dropping-particle":"","family":"Hao","given":"Jian","non-dropping-particle":"","parse-names":false,"suffix":""},{"dropping-particle":"","family":"Fu","given":"Jin","non-dropping-particle":"","parse-names":false,"suffix":""},{"dropping-particle":"","family":"Wang","given":"Qian","non-dropping-particle":"","parse-names":false,"suffix":""},{"dropping-particle":"","family":"Chen","given":"George","non-dropping-particle":"","parse-names":false,"suffix":""}],"container-title":"IEEE Transaction on Dielectrics and Electrical Insulation","id":"ITEM-1","issue":"2","issued":{"date-parts":[["2016"]]},"page":"881-891","title":"Space Charge Characteristics in Oil and Oil-Impregnated Pressboard Insulation and Electric Field Distortion after Polarity Reversal Operation","type":"article-journal","volume":"23"},"uris":["http://www.mendeley.com/documents/?uuid=bed1cf84-be5a-4518-863e-bd57dedd3d81"]}],"mendeley":{"formattedCitation":"[17]","plainTextFormattedCitation":"[17]","previouslyFormattedCitation":"[17]"},"properties":{"noteIndex":0},"schema":"https://github.com/citation-style-language/schema/raw/master/csl-citation.json"}</w:instrText>
      </w:r>
      <w:r w:rsidRPr="00590A21">
        <w:rPr>
          <w:lang w:val="en-GB"/>
        </w:rPr>
        <w:fldChar w:fldCharType="separate"/>
      </w:r>
      <w:r w:rsidR="000F792E" w:rsidRPr="000F792E">
        <w:rPr>
          <w:noProof/>
          <w:lang w:val="en-GB"/>
        </w:rPr>
        <w:t>[17]</w:t>
      </w:r>
      <w:r w:rsidRPr="00590A21">
        <w:rPr>
          <w:lang w:val="en-GB"/>
        </w:rPr>
        <w:fldChar w:fldCharType="end"/>
      </w:r>
      <w:r w:rsidRPr="00590A21">
        <w:rPr>
          <w:lang w:val="en-GB"/>
        </w:rPr>
        <w:t xml:space="preserve">. The voltage application time is two hours. After turning off the external DC voltage supply, the decay process starts and lasts for around one hour. The experiment was conducted at the ambient room temperature. </w:t>
      </w:r>
    </w:p>
    <w:bookmarkEnd w:id="7"/>
    <w:bookmarkEnd w:id="8"/>
    <w:bookmarkEnd w:id="9"/>
    <w:p w14:paraId="4E3FF8CB" w14:textId="77777777" w:rsidR="008764C2" w:rsidRPr="00590A21" w:rsidRDefault="008764C2" w:rsidP="004A2DDE">
      <w:pPr>
        <w:pStyle w:val="Heading1"/>
        <w:numPr>
          <w:ilvl w:val="0"/>
          <w:numId w:val="3"/>
        </w:numPr>
        <w:ind w:left="357" w:hanging="357"/>
        <w:rPr>
          <w:rFonts w:ascii="Arial" w:hAnsi="Arial" w:cs="Arial"/>
          <w:b/>
          <w:caps/>
          <w:sz w:val="24"/>
          <w:lang w:val="en-GB"/>
        </w:rPr>
      </w:pPr>
      <w:r w:rsidRPr="00590A21">
        <w:rPr>
          <w:rFonts w:ascii="Arial" w:hAnsi="Arial" w:cs="Arial"/>
          <w:b/>
          <w:caps/>
          <w:sz w:val="24"/>
          <w:lang w:val="en-GB"/>
        </w:rPr>
        <w:t>Space charge results</w:t>
      </w:r>
    </w:p>
    <w:p w14:paraId="0B2AD81E" w14:textId="01A3EE0A" w:rsidR="008764C2" w:rsidRPr="00590A21" w:rsidRDefault="008764C2" w:rsidP="00207C46">
      <w:pPr>
        <w:ind w:firstLine="142"/>
        <w:jc w:val="both"/>
        <w:rPr>
          <w:lang w:val="en-GB"/>
        </w:rPr>
      </w:pPr>
      <w:bookmarkStart w:id="12" w:name="_Hlk519408376"/>
      <w:bookmarkStart w:id="13" w:name="OLE_LINK178"/>
      <w:bookmarkStart w:id="14" w:name="OLE_LINK179"/>
      <w:bookmarkStart w:id="15" w:name="OLE_LINK50"/>
      <w:r w:rsidRPr="00590A21">
        <w:rPr>
          <w:lang w:val="en-GB"/>
        </w:rPr>
        <w:t xml:space="preserve">Figure </w:t>
      </w:r>
      <w:r w:rsidR="00C025DA" w:rsidRPr="00590A21">
        <w:rPr>
          <w:lang w:val="en-GB"/>
        </w:rPr>
        <w:t>1</w:t>
      </w:r>
      <w:r w:rsidRPr="00590A21">
        <w:rPr>
          <w:lang w:val="en-GB"/>
        </w:rPr>
        <w:t xml:space="preserve"> indicates the space charge of 0.3 mm oil and 0.3 mm PB under </w:t>
      </w:r>
      <w:r w:rsidR="00034476">
        <w:rPr>
          <w:lang w:val="en-GB"/>
        </w:rPr>
        <w:t>an applied</w:t>
      </w:r>
      <w:r w:rsidRPr="00590A21">
        <w:rPr>
          <w:lang w:val="en-GB"/>
        </w:rPr>
        <w:t xml:space="preserve"> electric field of 10 kV/mm. </w:t>
      </w:r>
      <w:proofErr w:type="spellStart"/>
      <w:r w:rsidRPr="00590A21">
        <w:rPr>
          <w:lang w:val="en-GB"/>
        </w:rPr>
        <w:t>Homocharge</w:t>
      </w:r>
      <w:proofErr w:type="spellEnd"/>
      <w:r w:rsidRPr="00590A21">
        <w:rPr>
          <w:lang w:val="en-GB"/>
        </w:rPr>
        <w:t xml:space="preserve"> injection </w:t>
      </w:r>
      <w:r w:rsidR="0034773B">
        <w:rPr>
          <w:lang w:val="en-GB"/>
        </w:rPr>
        <w:t xml:space="preserve">appears </w:t>
      </w:r>
      <w:r w:rsidRPr="00590A21">
        <w:rPr>
          <w:lang w:val="en-GB"/>
        </w:rPr>
        <w:t xml:space="preserve">for two layers oil and PB. The injected positive charge accumulates adjacent to the anode. The negative charge migrates across the oil and accumulates at the oil and PB interface, leading to a decreased electric field in oil. </w:t>
      </w:r>
    </w:p>
    <w:bookmarkEnd w:id="12"/>
    <w:p w14:paraId="0B779B56" w14:textId="25B610F1" w:rsidR="008764C2" w:rsidRPr="00590A21" w:rsidRDefault="008764C2" w:rsidP="00583F64">
      <w:pPr>
        <w:ind w:firstLine="142"/>
        <w:jc w:val="both"/>
        <w:rPr>
          <w:lang w:val="en-GB"/>
        </w:rPr>
      </w:pPr>
      <w:r w:rsidRPr="00590A21">
        <w:rPr>
          <w:lang w:val="en-GB"/>
        </w:rPr>
        <w:t xml:space="preserve">Figure </w:t>
      </w:r>
      <w:r w:rsidR="00C025DA" w:rsidRPr="00590A21">
        <w:rPr>
          <w:lang w:val="en-GB"/>
        </w:rPr>
        <w:t>2</w:t>
      </w:r>
      <w:r w:rsidRPr="00590A21">
        <w:rPr>
          <w:lang w:val="en-GB"/>
        </w:rPr>
        <w:t xml:space="preserve"> indicates the space charge of 0.6 mm oil and 0.3 mm PB under an </w:t>
      </w:r>
      <w:r w:rsidR="00CD3EA5" w:rsidRPr="00CD3EA5">
        <w:rPr>
          <w:highlight w:val="yellow"/>
          <w:lang w:val="en-GB"/>
        </w:rPr>
        <w:t>applied</w:t>
      </w:r>
      <w:r w:rsidR="00CD3EA5">
        <w:rPr>
          <w:lang w:val="en-GB"/>
        </w:rPr>
        <w:t xml:space="preserve"> </w:t>
      </w:r>
      <w:r w:rsidRPr="00590A21">
        <w:rPr>
          <w:lang w:val="en-GB"/>
        </w:rPr>
        <w:t xml:space="preserve">electric field of 10 kV/mm. Compared to Figure </w:t>
      </w:r>
      <w:r w:rsidR="00C025DA" w:rsidRPr="00590A21">
        <w:rPr>
          <w:lang w:val="en-GB"/>
        </w:rPr>
        <w:t>1</w:t>
      </w:r>
      <w:r w:rsidRPr="00590A21">
        <w:rPr>
          <w:lang w:val="en-GB"/>
        </w:rPr>
        <w:t>, the increase of the oil thickness could increase the negative interfacial charge density, which is -2.6 C/m</w:t>
      </w:r>
      <w:r w:rsidRPr="00590A21">
        <w:rPr>
          <w:vertAlign w:val="superscript"/>
          <w:lang w:val="en-GB"/>
        </w:rPr>
        <w:t xml:space="preserve">3 </w:t>
      </w:r>
      <w:r w:rsidRPr="00590A21">
        <w:rPr>
          <w:lang w:val="en-GB"/>
        </w:rPr>
        <w:t>under 10 kV/mm compared to around 1.03 C/m</w:t>
      </w:r>
      <w:r w:rsidRPr="00590A21">
        <w:rPr>
          <w:vertAlign w:val="superscript"/>
          <w:lang w:val="en-GB"/>
        </w:rPr>
        <w:t>3</w:t>
      </w:r>
      <w:r w:rsidRPr="00590A21">
        <w:rPr>
          <w:lang w:val="en-GB"/>
        </w:rPr>
        <w:t xml:space="preserve"> in Figure </w:t>
      </w:r>
      <w:r w:rsidR="00C025DA" w:rsidRPr="00590A21">
        <w:rPr>
          <w:lang w:val="en-GB"/>
        </w:rPr>
        <w:t>1</w:t>
      </w:r>
      <w:r w:rsidRPr="00590A21">
        <w:rPr>
          <w:lang w:val="en-GB"/>
        </w:rPr>
        <w:t xml:space="preserve">. </w:t>
      </w:r>
    </w:p>
    <w:tbl>
      <w:tblPr>
        <w:tblW w:w="0" w:type="auto"/>
        <w:tblLook w:val="04A0" w:firstRow="1" w:lastRow="0" w:firstColumn="1" w:lastColumn="0" w:noHBand="0" w:noVBand="1"/>
      </w:tblPr>
      <w:tblGrid>
        <w:gridCol w:w="5030"/>
      </w:tblGrid>
      <w:tr w:rsidR="008764C2" w:rsidRPr="00590A21" w14:paraId="32D8F7F9" w14:textId="77777777" w:rsidTr="00C025DA">
        <w:tc>
          <w:tcPr>
            <w:tcW w:w="5030" w:type="dxa"/>
            <w:shd w:val="clear" w:color="auto" w:fill="auto"/>
          </w:tcPr>
          <w:bookmarkEnd w:id="13"/>
          <w:bookmarkEnd w:id="14"/>
          <w:p w14:paraId="068EE44C" w14:textId="77777777" w:rsidR="008764C2" w:rsidRPr="00590A21" w:rsidRDefault="008764C2" w:rsidP="00C025DA">
            <w:pPr>
              <w:jc w:val="center"/>
              <w:rPr>
                <w:lang w:val="en-GB"/>
              </w:rPr>
            </w:pPr>
            <w:r w:rsidRPr="00590A21">
              <w:rPr>
                <w:noProof/>
                <w:lang w:val="en-GB" w:eastAsia="zh-CN"/>
              </w:rPr>
              <w:drawing>
                <wp:inline distT="0" distB="0" distL="0" distR="0" wp14:anchorId="50259F3A" wp14:editId="0C02E26D">
                  <wp:extent cx="2915771" cy="1411111"/>
                  <wp:effectExtent l="0" t="0" r="5715" b="0"/>
                  <wp:docPr id="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0913" cy="1413599"/>
                          </a:xfrm>
                          <a:prstGeom prst="rect">
                            <a:avLst/>
                          </a:prstGeom>
                          <a:noFill/>
                          <a:ln>
                            <a:noFill/>
                          </a:ln>
                        </pic:spPr>
                      </pic:pic>
                    </a:graphicData>
                  </a:graphic>
                </wp:inline>
              </w:drawing>
            </w:r>
          </w:p>
        </w:tc>
      </w:tr>
      <w:tr w:rsidR="008764C2" w:rsidRPr="00590A21" w14:paraId="526D8457" w14:textId="77777777" w:rsidTr="00C025DA">
        <w:tc>
          <w:tcPr>
            <w:tcW w:w="5030" w:type="dxa"/>
            <w:shd w:val="clear" w:color="auto" w:fill="auto"/>
          </w:tcPr>
          <w:p w14:paraId="48ADE66B" w14:textId="1089DC6F" w:rsidR="008764C2" w:rsidRPr="00590A21" w:rsidRDefault="008764C2" w:rsidP="004C1600">
            <w:pPr>
              <w:jc w:val="both"/>
              <w:rPr>
                <w:sz w:val="16"/>
                <w:szCs w:val="16"/>
                <w:lang w:val="en-GB"/>
              </w:rPr>
            </w:pPr>
            <w:r w:rsidRPr="00590A21">
              <w:rPr>
                <w:rFonts w:ascii="Arial" w:hAnsi="Arial" w:cs="Arial"/>
                <w:b/>
                <w:sz w:val="16"/>
                <w:szCs w:val="16"/>
                <w:lang w:val="en-GB"/>
              </w:rPr>
              <w:t xml:space="preserve">Figure </w:t>
            </w:r>
            <w:r w:rsidR="001013EE" w:rsidRPr="00590A21">
              <w:rPr>
                <w:rFonts w:ascii="Arial" w:hAnsi="Arial" w:cs="Arial"/>
                <w:b/>
                <w:sz w:val="16"/>
                <w:szCs w:val="16"/>
                <w:lang w:val="en-GB"/>
              </w:rPr>
              <w:t>1</w:t>
            </w:r>
            <w:r w:rsidR="0034773B">
              <w:rPr>
                <w:rFonts w:ascii="Arial" w:hAnsi="Arial" w:cs="Arial"/>
                <w:b/>
                <w:sz w:val="16"/>
                <w:szCs w:val="16"/>
                <w:lang w:val="en-GB"/>
              </w:rPr>
              <w:t>.</w:t>
            </w:r>
            <w:r w:rsidRPr="00590A21">
              <w:rPr>
                <w:sz w:val="16"/>
                <w:szCs w:val="16"/>
                <w:lang w:val="en-GB"/>
              </w:rPr>
              <w:t xml:space="preserve"> Space charge distribution of fresh 0.3 mm pressboard </w:t>
            </w:r>
            <w:r w:rsidR="003A4E62" w:rsidRPr="003A4E62">
              <w:rPr>
                <w:sz w:val="16"/>
                <w:szCs w:val="16"/>
                <w:highlight w:val="yellow"/>
                <w:lang w:val="en-GB"/>
              </w:rPr>
              <w:t>and</w:t>
            </w:r>
            <w:r w:rsidR="003A4E62">
              <w:rPr>
                <w:sz w:val="16"/>
                <w:szCs w:val="16"/>
                <w:lang w:val="en-GB"/>
              </w:rPr>
              <w:t xml:space="preserve"> </w:t>
            </w:r>
            <w:r w:rsidRPr="00590A21">
              <w:rPr>
                <w:sz w:val="16"/>
                <w:szCs w:val="16"/>
                <w:lang w:val="en-GB"/>
              </w:rPr>
              <w:t>0.3 mm oil under electric field of 10 kV/mm</w:t>
            </w:r>
            <w:r w:rsidR="0034773B">
              <w:rPr>
                <w:sz w:val="16"/>
                <w:szCs w:val="16"/>
                <w:lang w:val="en-GB"/>
              </w:rPr>
              <w:t>,</w:t>
            </w:r>
            <w:r w:rsidRPr="00590A21">
              <w:rPr>
                <w:sz w:val="16"/>
                <w:szCs w:val="16"/>
                <w:lang w:val="en-GB"/>
              </w:rPr>
              <w:t xml:space="preserve"> </w:t>
            </w:r>
          </w:p>
        </w:tc>
      </w:tr>
      <w:tr w:rsidR="008764C2" w:rsidRPr="00590A21" w14:paraId="407AB448" w14:textId="77777777" w:rsidTr="00C025DA">
        <w:tc>
          <w:tcPr>
            <w:tcW w:w="5030" w:type="dxa"/>
            <w:shd w:val="clear" w:color="auto" w:fill="auto"/>
          </w:tcPr>
          <w:p w14:paraId="5BD2C920" w14:textId="77777777" w:rsidR="008764C2" w:rsidRPr="00590A21" w:rsidRDefault="008764C2" w:rsidP="00C025DA">
            <w:pPr>
              <w:jc w:val="center"/>
              <w:rPr>
                <w:rFonts w:ascii="Cambria Math" w:hAnsi="Cambria Math"/>
                <w:lang w:val="en-GB"/>
              </w:rPr>
            </w:pPr>
            <w:bookmarkStart w:id="16" w:name="OLE_LINK51"/>
            <w:bookmarkEnd w:id="15"/>
            <w:r w:rsidRPr="00590A21">
              <w:rPr>
                <w:noProof/>
                <w:lang w:val="en-GB" w:eastAsia="zh-CN"/>
              </w:rPr>
              <w:drawing>
                <wp:inline distT="0" distB="0" distL="0" distR="0" wp14:anchorId="7CE3ED5A" wp14:editId="665709CB">
                  <wp:extent cx="2892575" cy="1433195"/>
                  <wp:effectExtent l="0" t="0" r="3175" b="1905"/>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4392" cy="1444005"/>
                          </a:xfrm>
                          <a:prstGeom prst="rect">
                            <a:avLst/>
                          </a:prstGeom>
                          <a:noFill/>
                          <a:ln>
                            <a:noFill/>
                          </a:ln>
                        </pic:spPr>
                      </pic:pic>
                    </a:graphicData>
                  </a:graphic>
                </wp:inline>
              </w:drawing>
            </w:r>
          </w:p>
        </w:tc>
      </w:tr>
      <w:tr w:rsidR="008764C2" w:rsidRPr="00590A21" w14:paraId="75CF6EFB" w14:textId="77777777" w:rsidTr="00C025DA">
        <w:tc>
          <w:tcPr>
            <w:tcW w:w="5030" w:type="dxa"/>
            <w:shd w:val="clear" w:color="auto" w:fill="auto"/>
          </w:tcPr>
          <w:p w14:paraId="3E62F7F6" w14:textId="3442E6E2" w:rsidR="008764C2" w:rsidRPr="00590A21" w:rsidRDefault="008764C2" w:rsidP="0034773B">
            <w:pPr>
              <w:jc w:val="both"/>
              <w:rPr>
                <w:sz w:val="16"/>
                <w:szCs w:val="16"/>
                <w:lang w:val="en-GB"/>
              </w:rPr>
            </w:pPr>
            <w:r w:rsidRPr="00590A21">
              <w:rPr>
                <w:rFonts w:ascii="Arial" w:hAnsi="Arial" w:cs="Arial"/>
                <w:b/>
                <w:sz w:val="16"/>
                <w:szCs w:val="16"/>
                <w:lang w:val="en-GB"/>
              </w:rPr>
              <w:t xml:space="preserve">Figure </w:t>
            </w:r>
            <w:r w:rsidR="001013EE" w:rsidRPr="00590A21">
              <w:rPr>
                <w:rFonts w:ascii="Arial" w:hAnsi="Arial" w:cs="Arial"/>
                <w:b/>
                <w:sz w:val="16"/>
                <w:szCs w:val="16"/>
                <w:lang w:val="en-GB"/>
              </w:rPr>
              <w:t>2</w:t>
            </w:r>
            <w:r w:rsidR="0034773B">
              <w:rPr>
                <w:rFonts w:ascii="Arial" w:hAnsi="Arial" w:cs="Arial"/>
                <w:b/>
                <w:sz w:val="16"/>
                <w:szCs w:val="16"/>
                <w:lang w:val="en-GB"/>
              </w:rPr>
              <w:t>.</w:t>
            </w:r>
            <w:r w:rsidRPr="00590A21">
              <w:rPr>
                <w:rFonts w:ascii="Arial" w:hAnsi="Arial" w:cs="Arial"/>
                <w:b/>
                <w:sz w:val="16"/>
                <w:szCs w:val="16"/>
                <w:lang w:val="en-GB"/>
              </w:rPr>
              <w:t xml:space="preserve"> </w:t>
            </w:r>
            <w:r w:rsidRPr="00590A21">
              <w:rPr>
                <w:sz w:val="16"/>
                <w:szCs w:val="16"/>
                <w:lang w:val="en-GB"/>
              </w:rPr>
              <w:t>Space charge distribution of fresh 0.3 mm pressboard and 0.6 mm oil under the electric field 10 kV/mm</w:t>
            </w:r>
            <w:r w:rsidR="0034773B">
              <w:rPr>
                <w:sz w:val="16"/>
                <w:szCs w:val="16"/>
                <w:lang w:val="en-GB"/>
              </w:rPr>
              <w:t>.</w:t>
            </w:r>
          </w:p>
        </w:tc>
      </w:tr>
    </w:tbl>
    <w:p w14:paraId="21FACFD1" w14:textId="77777777" w:rsidR="00DD42AB" w:rsidRDefault="00DD42AB" w:rsidP="00C26460">
      <w:pPr>
        <w:ind w:firstLine="142"/>
        <w:jc w:val="both"/>
        <w:rPr>
          <w:lang w:val="en-GB"/>
        </w:rPr>
      </w:pPr>
      <w:bookmarkStart w:id="17" w:name="OLE_LINK181"/>
    </w:p>
    <w:p w14:paraId="35BD9044" w14:textId="49ECF188" w:rsidR="008764C2" w:rsidRPr="00590A21" w:rsidRDefault="008764C2" w:rsidP="00C26460">
      <w:pPr>
        <w:ind w:firstLine="142"/>
        <w:jc w:val="both"/>
        <w:rPr>
          <w:lang w:val="en-GB"/>
        </w:rPr>
      </w:pPr>
      <w:r w:rsidRPr="00590A21">
        <w:rPr>
          <w:lang w:val="en-GB"/>
        </w:rPr>
        <w:t xml:space="preserve">Figure </w:t>
      </w:r>
      <w:r w:rsidR="00894579" w:rsidRPr="00590A21">
        <w:rPr>
          <w:lang w:val="en-GB"/>
        </w:rPr>
        <w:t>3</w:t>
      </w:r>
      <w:r w:rsidRPr="00590A21">
        <w:rPr>
          <w:lang w:val="en-GB"/>
        </w:rPr>
        <w:t xml:space="preserve"> shows the space charge of 0.3 mm oil and 0.5 mm PB under an electric field of 10 kV/mm. Compared to Figure </w:t>
      </w:r>
      <w:r w:rsidR="00894579" w:rsidRPr="00590A21">
        <w:rPr>
          <w:lang w:val="en-GB"/>
        </w:rPr>
        <w:t>1</w:t>
      </w:r>
      <w:r w:rsidRPr="00590A21">
        <w:rPr>
          <w:lang w:val="en-GB"/>
        </w:rPr>
        <w:t>, the increase of the PB thickness seems to facilitate the positive charge injection and lead to less negative charge accumulation at the interface. The negative interfacial charge density is around 0.6 C/m</w:t>
      </w:r>
      <w:r w:rsidRPr="00590A21">
        <w:rPr>
          <w:vertAlign w:val="superscript"/>
          <w:lang w:val="en-GB"/>
        </w:rPr>
        <w:t>3</w:t>
      </w:r>
      <w:r w:rsidRPr="00590A21">
        <w:rPr>
          <w:lang w:val="en-GB"/>
        </w:rPr>
        <w:t>, which is less than 1.03 C/m</w:t>
      </w:r>
      <w:r w:rsidRPr="00590A21">
        <w:rPr>
          <w:vertAlign w:val="superscript"/>
          <w:lang w:val="en-GB"/>
        </w:rPr>
        <w:t>3</w:t>
      </w:r>
      <w:r w:rsidRPr="00590A21">
        <w:rPr>
          <w:lang w:val="en-GB"/>
        </w:rPr>
        <w:t xml:space="preserve">, shown in Figure </w:t>
      </w:r>
      <w:r w:rsidR="00894579" w:rsidRPr="00590A21">
        <w:rPr>
          <w:lang w:val="en-GB"/>
        </w:rPr>
        <w:t>1</w:t>
      </w:r>
      <w:r w:rsidRPr="00590A21">
        <w:rPr>
          <w:lang w:val="en-GB"/>
        </w:rPr>
        <w:t xml:space="preserve">. </w:t>
      </w:r>
    </w:p>
    <w:tbl>
      <w:tblPr>
        <w:tblW w:w="0" w:type="auto"/>
        <w:tblLook w:val="04A0" w:firstRow="1" w:lastRow="0" w:firstColumn="1" w:lastColumn="0" w:noHBand="0" w:noVBand="1"/>
      </w:tblPr>
      <w:tblGrid>
        <w:gridCol w:w="5034"/>
        <w:gridCol w:w="6"/>
      </w:tblGrid>
      <w:tr w:rsidR="008764C2" w:rsidRPr="00590A21" w14:paraId="70061BFD" w14:textId="77777777" w:rsidTr="008F2EDD">
        <w:trPr>
          <w:gridAfter w:val="1"/>
          <w:wAfter w:w="6" w:type="dxa"/>
          <w:trHeight w:val="2022"/>
        </w:trPr>
        <w:tc>
          <w:tcPr>
            <w:tcW w:w="5034" w:type="dxa"/>
            <w:shd w:val="clear" w:color="auto" w:fill="auto"/>
          </w:tcPr>
          <w:bookmarkEnd w:id="17"/>
          <w:p w14:paraId="445445C9" w14:textId="77777777" w:rsidR="008764C2" w:rsidRPr="00590A21" w:rsidRDefault="008764C2" w:rsidP="00C025DA">
            <w:pPr>
              <w:jc w:val="center"/>
              <w:rPr>
                <w:lang w:val="en-GB"/>
              </w:rPr>
            </w:pPr>
            <w:r w:rsidRPr="00590A21">
              <w:rPr>
                <w:noProof/>
                <w:lang w:val="en-GB" w:eastAsia="zh-CN"/>
              </w:rPr>
              <w:lastRenderedPageBreak/>
              <w:drawing>
                <wp:inline distT="0" distB="0" distL="0" distR="0" wp14:anchorId="08F697F6" wp14:editId="17EC6CEE">
                  <wp:extent cx="2985135" cy="1343378"/>
                  <wp:effectExtent l="0" t="0" r="0" b="3175"/>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4737" cy="1352199"/>
                          </a:xfrm>
                          <a:prstGeom prst="rect">
                            <a:avLst/>
                          </a:prstGeom>
                          <a:noFill/>
                          <a:ln>
                            <a:noFill/>
                          </a:ln>
                        </pic:spPr>
                      </pic:pic>
                    </a:graphicData>
                  </a:graphic>
                </wp:inline>
              </w:drawing>
            </w:r>
          </w:p>
        </w:tc>
      </w:tr>
      <w:tr w:rsidR="008764C2" w:rsidRPr="00590A21" w14:paraId="4C771DF7" w14:textId="77777777" w:rsidTr="008F2EDD">
        <w:trPr>
          <w:gridAfter w:val="1"/>
          <w:wAfter w:w="6" w:type="dxa"/>
          <w:trHeight w:val="367"/>
        </w:trPr>
        <w:tc>
          <w:tcPr>
            <w:tcW w:w="5034" w:type="dxa"/>
            <w:shd w:val="clear" w:color="auto" w:fill="auto"/>
          </w:tcPr>
          <w:p w14:paraId="258DD027" w14:textId="71E15220" w:rsidR="008764C2" w:rsidRPr="00590A21" w:rsidRDefault="008764C2" w:rsidP="00C26460">
            <w:pPr>
              <w:jc w:val="both"/>
              <w:rPr>
                <w:sz w:val="16"/>
                <w:szCs w:val="16"/>
                <w:lang w:val="en-GB"/>
              </w:rPr>
            </w:pPr>
            <w:r w:rsidRPr="00590A21">
              <w:rPr>
                <w:rFonts w:ascii="Arial" w:hAnsi="Arial" w:cs="Arial"/>
                <w:b/>
                <w:sz w:val="16"/>
                <w:szCs w:val="16"/>
                <w:lang w:val="en-GB"/>
              </w:rPr>
              <w:t xml:space="preserve">Figure </w:t>
            </w:r>
            <w:r w:rsidR="001013EE" w:rsidRPr="00590A21">
              <w:rPr>
                <w:rFonts w:ascii="Arial" w:hAnsi="Arial" w:cs="Arial"/>
                <w:b/>
                <w:sz w:val="16"/>
                <w:szCs w:val="16"/>
                <w:lang w:val="en-GB"/>
              </w:rPr>
              <w:t>3</w:t>
            </w:r>
            <w:r w:rsidR="0034773B">
              <w:rPr>
                <w:rFonts w:ascii="Arial" w:hAnsi="Arial" w:cs="Arial"/>
                <w:b/>
                <w:sz w:val="16"/>
                <w:szCs w:val="16"/>
                <w:lang w:val="en-GB"/>
              </w:rPr>
              <w:t>.</w:t>
            </w:r>
            <w:r w:rsidRPr="00590A21">
              <w:rPr>
                <w:b/>
                <w:sz w:val="16"/>
                <w:szCs w:val="16"/>
                <w:lang w:val="en-GB"/>
              </w:rPr>
              <w:t xml:space="preserve"> </w:t>
            </w:r>
            <w:r w:rsidRPr="00590A21">
              <w:rPr>
                <w:sz w:val="16"/>
                <w:szCs w:val="16"/>
                <w:lang w:val="en-GB"/>
              </w:rPr>
              <w:t>Space charge distribution of fresh 0.5 mm pressboard and 0.3 mm oil under electric field of 10 kV/mm</w:t>
            </w:r>
            <w:r w:rsidR="0034773B">
              <w:rPr>
                <w:sz w:val="16"/>
                <w:szCs w:val="16"/>
                <w:lang w:val="en-GB"/>
              </w:rPr>
              <w:t>.</w:t>
            </w:r>
          </w:p>
        </w:tc>
      </w:tr>
      <w:tr w:rsidR="008764C2" w:rsidRPr="00590A21" w14:paraId="0263E50A" w14:textId="77777777" w:rsidTr="008F2EDD">
        <w:trPr>
          <w:trHeight w:val="1986"/>
        </w:trPr>
        <w:tc>
          <w:tcPr>
            <w:tcW w:w="5040" w:type="dxa"/>
            <w:gridSpan w:val="2"/>
            <w:shd w:val="clear" w:color="auto" w:fill="auto"/>
          </w:tcPr>
          <w:p w14:paraId="10C5769B" w14:textId="77777777" w:rsidR="008764C2" w:rsidRPr="00590A21" w:rsidRDefault="008764C2" w:rsidP="00C025DA">
            <w:pPr>
              <w:jc w:val="center"/>
              <w:rPr>
                <w:lang w:val="en-GB"/>
              </w:rPr>
            </w:pPr>
            <w:bookmarkStart w:id="18" w:name="OLE_LINK52"/>
            <w:bookmarkEnd w:id="16"/>
            <w:r w:rsidRPr="00590A21">
              <w:rPr>
                <w:noProof/>
                <w:lang w:val="en-GB" w:eastAsia="zh-CN"/>
              </w:rPr>
              <w:drawing>
                <wp:inline distT="0" distB="0" distL="0" distR="0" wp14:anchorId="1586C796" wp14:editId="27BFBEBE">
                  <wp:extent cx="2901315" cy="1343378"/>
                  <wp:effectExtent l="0" t="0" r="0" b="3175"/>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9863" cy="1361227"/>
                          </a:xfrm>
                          <a:prstGeom prst="rect">
                            <a:avLst/>
                          </a:prstGeom>
                          <a:noFill/>
                          <a:ln>
                            <a:noFill/>
                          </a:ln>
                        </pic:spPr>
                      </pic:pic>
                    </a:graphicData>
                  </a:graphic>
                </wp:inline>
              </w:drawing>
            </w:r>
          </w:p>
        </w:tc>
      </w:tr>
      <w:tr w:rsidR="008764C2" w:rsidRPr="00590A21" w14:paraId="1375E9DD" w14:textId="77777777" w:rsidTr="008F2EDD">
        <w:trPr>
          <w:trHeight w:val="130"/>
        </w:trPr>
        <w:tc>
          <w:tcPr>
            <w:tcW w:w="5040" w:type="dxa"/>
            <w:gridSpan w:val="2"/>
            <w:shd w:val="clear" w:color="auto" w:fill="auto"/>
          </w:tcPr>
          <w:p w14:paraId="064B57DA" w14:textId="02140790" w:rsidR="00C26460" w:rsidRPr="00590A21" w:rsidRDefault="008764C2" w:rsidP="00C26460">
            <w:pPr>
              <w:jc w:val="both"/>
              <w:rPr>
                <w:sz w:val="16"/>
                <w:szCs w:val="16"/>
                <w:lang w:val="en-GB"/>
              </w:rPr>
            </w:pPr>
            <w:r w:rsidRPr="00590A21">
              <w:rPr>
                <w:rFonts w:ascii="Arial" w:hAnsi="Arial" w:cs="Arial"/>
                <w:b/>
                <w:sz w:val="16"/>
                <w:szCs w:val="16"/>
                <w:lang w:val="en-GB"/>
              </w:rPr>
              <w:t xml:space="preserve">Figure </w:t>
            </w:r>
            <w:r w:rsidR="001013EE" w:rsidRPr="00590A21">
              <w:rPr>
                <w:rFonts w:ascii="Arial" w:hAnsi="Arial" w:cs="Arial"/>
                <w:b/>
                <w:sz w:val="16"/>
                <w:szCs w:val="16"/>
                <w:lang w:val="en-GB"/>
              </w:rPr>
              <w:t>4</w:t>
            </w:r>
            <w:r w:rsidR="0034773B">
              <w:rPr>
                <w:rFonts w:ascii="Arial" w:hAnsi="Arial" w:cs="Arial"/>
                <w:b/>
                <w:sz w:val="16"/>
                <w:szCs w:val="16"/>
                <w:lang w:val="en-GB"/>
              </w:rPr>
              <w:t>.</w:t>
            </w:r>
            <w:r w:rsidRPr="00590A21">
              <w:rPr>
                <w:sz w:val="16"/>
                <w:szCs w:val="16"/>
                <w:lang w:val="en-GB"/>
              </w:rPr>
              <w:t xml:space="preserve"> Space charge distribution of fresh 0.5 mm pressboard and 0.5 mm oil under the electric field of 10 kV/mm</w:t>
            </w:r>
            <w:r w:rsidR="0034773B">
              <w:rPr>
                <w:sz w:val="16"/>
                <w:szCs w:val="16"/>
                <w:lang w:val="en-GB"/>
              </w:rPr>
              <w:t>.</w:t>
            </w:r>
            <w:r w:rsidRPr="00590A21">
              <w:rPr>
                <w:sz w:val="16"/>
                <w:szCs w:val="16"/>
                <w:lang w:val="en-GB"/>
              </w:rPr>
              <w:t xml:space="preserve"> </w:t>
            </w:r>
          </w:p>
        </w:tc>
      </w:tr>
      <w:bookmarkEnd w:id="18"/>
    </w:tbl>
    <w:p w14:paraId="08D5CE99" w14:textId="0D636CB9" w:rsidR="00C26460" w:rsidRPr="00590A21" w:rsidRDefault="00C26460" w:rsidP="00C26460">
      <w:pPr>
        <w:rPr>
          <w:lang w:val="en-GB"/>
        </w:rPr>
      </w:pPr>
    </w:p>
    <w:p w14:paraId="3A4E9DF8" w14:textId="750F05BD" w:rsidR="00C26460" w:rsidRPr="00590A21" w:rsidRDefault="00C26460" w:rsidP="00C26460">
      <w:pPr>
        <w:ind w:firstLine="142"/>
        <w:jc w:val="both"/>
        <w:rPr>
          <w:lang w:val="en-GB"/>
        </w:rPr>
      </w:pPr>
      <w:r w:rsidRPr="00590A21">
        <w:rPr>
          <w:lang w:val="en-GB"/>
        </w:rPr>
        <w:t>Figure 4 shows the space charge of 0.5 mm oil and 0.5 mm PB under the electric field of 10 kV/mm. The space charge magnitude in Figure 4 is similar to Figure 1. The interfacial charge density is around 1.27 C/m</w:t>
      </w:r>
      <w:r w:rsidRPr="001812E8">
        <w:rPr>
          <w:vertAlign w:val="superscript"/>
          <w:lang w:val="en-GB"/>
        </w:rPr>
        <w:t>3</w:t>
      </w:r>
      <w:r w:rsidRPr="00590A21">
        <w:rPr>
          <w:lang w:val="en-GB"/>
        </w:rPr>
        <w:t xml:space="preserve"> in Figure 4.</w:t>
      </w:r>
    </w:p>
    <w:p w14:paraId="2D998872" w14:textId="5572D27D" w:rsidR="008764C2" w:rsidRPr="00590A21" w:rsidRDefault="008764C2" w:rsidP="004A2DDE">
      <w:pPr>
        <w:pStyle w:val="Heading1"/>
        <w:numPr>
          <w:ilvl w:val="0"/>
          <w:numId w:val="3"/>
        </w:numPr>
        <w:ind w:left="357" w:hanging="357"/>
        <w:rPr>
          <w:rFonts w:ascii="Arial" w:hAnsi="Arial" w:cs="Arial"/>
          <w:b/>
          <w:caps/>
          <w:sz w:val="24"/>
          <w:lang w:val="en-GB"/>
        </w:rPr>
      </w:pPr>
      <w:r w:rsidRPr="00590A21">
        <w:rPr>
          <w:rFonts w:ascii="Arial" w:hAnsi="Arial" w:cs="Arial"/>
          <w:b/>
          <w:caps/>
          <w:sz w:val="24"/>
          <w:lang w:val="en-GB"/>
        </w:rPr>
        <w:t>Discussion</w:t>
      </w:r>
    </w:p>
    <w:p w14:paraId="761449FD" w14:textId="0F5BAD9A" w:rsidR="008764C2" w:rsidRPr="00590A21" w:rsidRDefault="00013037" w:rsidP="00207C46">
      <w:pPr>
        <w:ind w:firstLine="142"/>
        <w:jc w:val="both"/>
        <w:rPr>
          <w:lang w:val="en-GB"/>
        </w:rPr>
      </w:pPr>
      <w:bookmarkStart w:id="19" w:name="OLE_LINK183"/>
      <w:bookmarkStart w:id="20" w:name="OLE_LINK53"/>
      <w:r>
        <w:rPr>
          <w:lang w:val="en-GB"/>
        </w:rPr>
        <w:t>A</w:t>
      </w:r>
      <w:r w:rsidR="008764C2" w:rsidRPr="00590A21">
        <w:rPr>
          <w:lang w:val="en-GB"/>
        </w:rPr>
        <w:t xml:space="preserve"> comparison of Figure</w:t>
      </w:r>
      <w:r>
        <w:rPr>
          <w:lang w:val="en-GB"/>
        </w:rPr>
        <w:t>s</w:t>
      </w:r>
      <w:r w:rsidR="008764C2" w:rsidRPr="00590A21">
        <w:rPr>
          <w:lang w:val="en-GB"/>
        </w:rPr>
        <w:t xml:space="preserve"> </w:t>
      </w:r>
      <w:r w:rsidR="00894579" w:rsidRPr="00590A21">
        <w:rPr>
          <w:lang w:val="en-GB"/>
        </w:rPr>
        <w:t>1</w:t>
      </w:r>
      <w:r w:rsidR="008764C2" w:rsidRPr="00590A21">
        <w:rPr>
          <w:lang w:val="en-GB"/>
        </w:rPr>
        <w:t xml:space="preserve">, </w:t>
      </w:r>
      <w:r w:rsidR="00894579" w:rsidRPr="00590A21">
        <w:rPr>
          <w:lang w:val="en-GB"/>
        </w:rPr>
        <w:t>2</w:t>
      </w:r>
      <w:r w:rsidR="008764C2" w:rsidRPr="00590A21">
        <w:rPr>
          <w:lang w:val="en-GB"/>
        </w:rPr>
        <w:t xml:space="preserve">, </w:t>
      </w:r>
      <w:r w:rsidR="00894579" w:rsidRPr="00590A21">
        <w:rPr>
          <w:lang w:val="en-GB"/>
        </w:rPr>
        <w:t>3</w:t>
      </w:r>
      <w:r w:rsidR="008764C2" w:rsidRPr="00590A21">
        <w:rPr>
          <w:lang w:val="en-GB"/>
        </w:rPr>
        <w:t xml:space="preserve"> and </w:t>
      </w:r>
      <w:r w:rsidR="00894579" w:rsidRPr="00590A21">
        <w:rPr>
          <w:lang w:val="en-GB"/>
        </w:rPr>
        <w:t>4</w:t>
      </w:r>
      <w:r w:rsidR="008764C2" w:rsidRPr="00590A21">
        <w:rPr>
          <w:lang w:val="en-GB"/>
        </w:rPr>
        <w:t xml:space="preserve"> shows that the increase of the oil thickness increases the negative interfacial charge density while the increase of the PB thickness can decrease the negative interfacial charge density. </w:t>
      </w:r>
      <w:r>
        <w:rPr>
          <w:lang w:val="en-GB"/>
        </w:rPr>
        <w:t>There are s</w:t>
      </w:r>
      <w:r w:rsidR="008764C2" w:rsidRPr="00590A21">
        <w:rPr>
          <w:lang w:val="en-GB"/>
        </w:rPr>
        <w:t xml:space="preserve">everal reasons </w:t>
      </w:r>
      <w:r>
        <w:rPr>
          <w:lang w:val="en-GB"/>
        </w:rPr>
        <w:t xml:space="preserve">that </w:t>
      </w:r>
      <w:r w:rsidR="008764C2" w:rsidRPr="00590A21">
        <w:rPr>
          <w:lang w:val="en-GB"/>
        </w:rPr>
        <w:t xml:space="preserve">may account for the above observations. </w:t>
      </w:r>
    </w:p>
    <w:p w14:paraId="0367612E" w14:textId="25313625" w:rsidR="008764C2" w:rsidRPr="00590A21" w:rsidRDefault="008764C2" w:rsidP="00207C46">
      <w:pPr>
        <w:ind w:firstLine="142"/>
        <w:jc w:val="both"/>
        <w:rPr>
          <w:lang w:val="en-GB"/>
        </w:rPr>
      </w:pPr>
      <w:bookmarkStart w:id="21" w:name="OLE_LINK184"/>
      <w:bookmarkStart w:id="22" w:name="OLE_LINK54"/>
      <w:bookmarkEnd w:id="19"/>
      <w:bookmarkEnd w:id="20"/>
      <w:r w:rsidRPr="00590A21">
        <w:rPr>
          <w:lang w:val="en-GB"/>
        </w:rPr>
        <w:t>Based on the Maxwell-Wagner theory, the steady-state electric field of PB in two layers oil and PB samples can be deduced, as shown in Equation (</w:t>
      </w:r>
      <w:r w:rsidR="000E33D0" w:rsidRPr="00590A21">
        <w:rPr>
          <w:lang w:val="en-GB"/>
        </w:rPr>
        <w:t>1</w:t>
      </w:r>
      <w:r w:rsidRPr="00590A21">
        <w:rPr>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82"/>
      </w:tblGrid>
      <w:tr w:rsidR="00893CBB" w:rsidRPr="00590A21" w14:paraId="2F1F2730" w14:textId="77777777" w:rsidTr="001C58CB">
        <w:tc>
          <w:tcPr>
            <w:tcW w:w="4248" w:type="dxa"/>
          </w:tcPr>
          <w:p w14:paraId="4A086655" w14:textId="68E16DDA" w:rsidR="00893CBB" w:rsidRPr="00590A21" w:rsidRDefault="008C0681" w:rsidP="00207C46">
            <w:pPr>
              <w:jc w:val="both"/>
              <w:rPr>
                <w:lang w:val="en-GB"/>
              </w:rPr>
            </w:pPr>
            <m:oMath>
              <m:sSub>
                <m:sSubPr>
                  <m:ctrlPr>
                    <w:rPr>
                      <w:rFonts w:ascii="Cambria Math" w:hAnsi="Cambria Math"/>
                      <w:i/>
                      <w:sz w:val="18"/>
                      <w:szCs w:val="18"/>
                      <w:lang w:val="en-GB"/>
                    </w:rPr>
                  </m:ctrlPr>
                </m:sSubPr>
                <m:e>
                  <m:r>
                    <w:rPr>
                      <w:rFonts w:ascii="Cambria Math" w:hAnsi="Cambria Math"/>
                      <w:sz w:val="18"/>
                      <w:szCs w:val="18"/>
                      <w:lang w:val="en-GB"/>
                    </w:rPr>
                    <m:t>E</m:t>
                  </m:r>
                </m:e>
                <m:sub>
                  <m:r>
                    <w:rPr>
                      <w:rFonts w:ascii="Cambria Math" w:hAnsi="Cambria Math"/>
                      <w:sz w:val="18"/>
                      <w:szCs w:val="18"/>
                      <w:lang w:val="en-GB"/>
                    </w:rPr>
                    <m:t>PB</m:t>
                  </m:r>
                </m:sub>
              </m:sSub>
              <m:r>
                <w:rPr>
                  <w:rFonts w:ascii="Cambria Math" w:hAnsi="Cambria Math"/>
                  <w:sz w:val="18"/>
                  <w:szCs w:val="18"/>
                  <w:lang w:val="en-GB"/>
                </w:rPr>
                <m:t>=</m:t>
              </m:r>
              <m:f>
                <m:fPr>
                  <m:ctrlPr>
                    <w:rPr>
                      <w:rFonts w:ascii="Cambria Math" w:hAnsi="Cambria Math"/>
                      <w:i/>
                      <w:sz w:val="18"/>
                      <w:szCs w:val="18"/>
                      <w:lang w:val="en-GB"/>
                    </w:rPr>
                  </m:ctrlPr>
                </m:fPr>
                <m:num>
                  <m:sSub>
                    <m:sSubPr>
                      <m:ctrlPr>
                        <w:rPr>
                          <w:rFonts w:ascii="Cambria Math" w:hAnsi="Cambria Math"/>
                          <w:i/>
                          <w:sz w:val="18"/>
                          <w:szCs w:val="18"/>
                          <w:lang w:val="en-GB"/>
                        </w:rPr>
                      </m:ctrlPr>
                    </m:sSubPr>
                    <m:e>
                      <m:r>
                        <w:rPr>
                          <w:rFonts w:ascii="Cambria Math" w:hAnsi="Cambria Math"/>
                          <w:sz w:val="18"/>
                          <w:szCs w:val="18"/>
                          <w:lang w:val="en-GB"/>
                        </w:rPr>
                        <m:t>R</m:t>
                      </m:r>
                    </m:e>
                    <m:sub>
                      <m:r>
                        <w:rPr>
                          <w:rFonts w:ascii="Cambria Math" w:hAnsi="Cambria Math"/>
                          <w:sz w:val="18"/>
                          <w:szCs w:val="18"/>
                          <w:lang w:val="en-GB"/>
                        </w:rPr>
                        <m:t>PB</m:t>
                      </m:r>
                    </m:sub>
                  </m:sSub>
                  <m:r>
                    <w:rPr>
                      <w:rFonts w:ascii="Cambria Math" w:hAnsi="Cambria Math"/>
                      <w:sz w:val="18"/>
                      <w:szCs w:val="18"/>
                      <w:lang w:val="en-GB"/>
                    </w:rPr>
                    <m:t>U</m:t>
                  </m:r>
                </m:num>
                <m:den>
                  <m:d>
                    <m:dPr>
                      <m:ctrlPr>
                        <w:rPr>
                          <w:rFonts w:ascii="Cambria Math" w:hAnsi="Cambria Math"/>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R</m:t>
                          </m:r>
                        </m:e>
                        <m:sub>
                          <m:r>
                            <w:rPr>
                              <w:rFonts w:ascii="Cambria Math" w:hAnsi="Cambria Math"/>
                              <w:sz w:val="18"/>
                              <w:szCs w:val="18"/>
                              <w:lang w:val="en-GB"/>
                            </w:rPr>
                            <m:t>PB</m:t>
                          </m:r>
                        </m:sub>
                      </m:sSub>
                      <m:r>
                        <w:rPr>
                          <w:rFonts w:ascii="Cambria Math" w:hAnsi="Cambria Math"/>
                          <w:sz w:val="18"/>
                          <w:szCs w:val="18"/>
                          <w:lang w:val="en-GB"/>
                        </w:rPr>
                        <m:t>+</m:t>
                      </m:r>
                      <m:sSub>
                        <m:sSubPr>
                          <m:ctrlPr>
                            <w:rPr>
                              <w:rFonts w:ascii="Cambria Math" w:hAnsi="Cambria Math"/>
                              <w:i/>
                              <w:sz w:val="18"/>
                              <w:szCs w:val="18"/>
                              <w:lang w:val="en-GB"/>
                            </w:rPr>
                          </m:ctrlPr>
                        </m:sSubPr>
                        <m:e>
                          <m:r>
                            <w:rPr>
                              <w:rFonts w:ascii="Cambria Math" w:hAnsi="Cambria Math"/>
                              <w:sz w:val="18"/>
                              <w:szCs w:val="18"/>
                              <w:lang w:val="en-GB"/>
                            </w:rPr>
                            <m:t>R</m:t>
                          </m:r>
                        </m:e>
                        <m:sub>
                          <m:r>
                            <m:rPr>
                              <m:sty m:val="p"/>
                            </m:rPr>
                            <w:rPr>
                              <w:rFonts w:ascii="Cambria Math" w:hAnsi="Cambria Math"/>
                              <w:sz w:val="18"/>
                              <w:szCs w:val="18"/>
                              <w:lang w:val="en-GB"/>
                            </w:rPr>
                            <m:t>oil</m:t>
                          </m:r>
                        </m:sub>
                      </m:sSub>
                    </m:e>
                  </m:d>
                  <m:sSub>
                    <m:sSubPr>
                      <m:ctrlPr>
                        <w:rPr>
                          <w:rFonts w:ascii="Cambria Math" w:hAnsi="Cambria Math"/>
                          <w:sz w:val="18"/>
                          <w:szCs w:val="18"/>
                          <w:lang w:val="en-GB"/>
                        </w:rPr>
                      </m:ctrlPr>
                    </m:sSubPr>
                    <m:e>
                      <m:r>
                        <w:rPr>
                          <w:rFonts w:ascii="Cambria Math" w:hAnsi="Cambria Math"/>
                          <w:sz w:val="18"/>
                          <w:szCs w:val="18"/>
                          <w:lang w:val="en-GB"/>
                        </w:rPr>
                        <m:t>d</m:t>
                      </m:r>
                    </m:e>
                    <m:sub>
                      <m:r>
                        <w:rPr>
                          <w:rFonts w:ascii="Cambria Math" w:hAnsi="Cambria Math"/>
                          <w:sz w:val="18"/>
                          <w:szCs w:val="18"/>
                          <w:lang w:val="en-GB"/>
                        </w:rPr>
                        <m:t>PB</m:t>
                      </m:r>
                    </m:sub>
                  </m:sSub>
                </m:den>
              </m:f>
              <m:r>
                <w:rPr>
                  <w:rFonts w:ascii="Cambria Math" w:hAnsi="Cambria Math"/>
                  <w:sz w:val="18"/>
                  <w:szCs w:val="18"/>
                  <w:lang w:val="en-GB"/>
                </w:rPr>
                <m:t>=</m:t>
              </m:r>
              <m:f>
                <m:fPr>
                  <m:ctrlPr>
                    <w:rPr>
                      <w:rFonts w:ascii="Cambria Math" w:hAnsi="Cambria Math"/>
                      <w:i/>
                      <w:sz w:val="18"/>
                      <w:szCs w:val="18"/>
                      <w:lang w:val="en-GB"/>
                    </w:rPr>
                  </m:ctrlPr>
                </m:fPr>
                <m:num>
                  <m:r>
                    <w:rPr>
                      <w:rFonts w:ascii="Cambria Math" w:hAnsi="Cambria Math"/>
                      <w:sz w:val="18"/>
                      <w:szCs w:val="18"/>
                      <w:lang w:val="en-GB"/>
                    </w:rPr>
                    <m:t>U</m:t>
                  </m:r>
                </m:num>
                <m:den>
                  <m:sSub>
                    <m:sSubPr>
                      <m:ctrlPr>
                        <w:rPr>
                          <w:rFonts w:ascii="Cambria Math" w:hAnsi="Cambria Math"/>
                          <w:sz w:val="18"/>
                          <w:szCs w:val="18"/>
                          <w:lang w:val="en-GB"/>
                        </w:rPr>
                      </m:ctrlPr>
                    </m:sSubPr>
                    <m:e>
                      <m:r>
                        <w:rPr>
                          <w:rFonts w:ascii="Cambria Math" w:hAnsi="Cambria Math"/>
                          <w:sz w:val="18"/>
                          <w:szCs w:val="18"/>
                          <w:lang w:val="en-GB"/>
                        </w:rPr>
                        <m:t>d</m:t>
                      </m:r>
                    </m:e>
                    <m:sub>
                      <m:r>
                        <w:rPr>
                          <w:rFonts w:ascii="Cambria Math" w:hAnsi="Cambria Math"/>
                          <w:sz w:val="18"/>
                          <w:szCs w:val="18"/>
                          <w:lang w:val="en-GB"/>
                        </w:rPr>
                        <m:t>PB</m:t>
                      </m:r>
                    </m:sub>
                  </m:sSub>
                  <m:r>
                    <w:rPr>
                      <w:rFonts w:ascii="Cambria Math" w:hAnsi="Cambria Math"/>
                      <w:sz w:val="18"/>
                      <w:szCs w:val="18"/>
                      <w:lang w:val="en-GB"/>
                    </w:rPr>
                    <m:t>+</m:t>
                  </m:r>
                  <m:f>
                    <m:fPr>
                      <m:ctrlPr>
                        <w:rPr>
                          <w:rFonts w:ascii="Cambria Math" w:hAnsi="Cambria Math"/>
                          <w:i/>
                          <w:sz w:val="18"/>
                          <w:szCs w:val="18"/>
                          <w:lang w:val="en-GB"/>
                        </w:rPr>
                      </m:ctrlPr>
                    </m:fPr>
                    <m:num>
                      <m:sSub>
                        <m:sSubPr>
                          <m:ctrlPr>
                            <w:rPr>
                              <w:rFonts w:ascii="Cambria Math" w:hAnsi="Cambria Math"/>
                              <w:i/>
                              <w:sz w:val="18"/>
                              <w:szCs w:val="18"/>
                              <w:lang w:val="en-GB"/>
                            </w:rPr>
                          </m:ctrlPr>
                        </m:sSubPr>
                        <m:e>
                          <m:r>
                            <w:rPr>
                              <w:rFonts w:ascii="Cambria Math" w:hAnsi="Cambria Math"/>
                              <w:sz w:val="18"/>
                              <w:szCs w:val="18"/>
                              <w:lang w:val="en-GB"/>
                            </w:rPr>
                            <m:t>ρ</m:t>
                          </m:r>
                        </m:e>
                        <m:sub>
                          <m:r>
                            <m:rPr>
                              <m:sty m:val="p"/>
                            </m:rPr>
                            <w:rPr>
                              <w:rFonts w:ascii="Cambria Math" w:hAnsi="Cambria Math"/>
                              <w:sz w:val="18"/>
                              <w:szCs w:val="18"/>
                              <w:lang w:val="en-GB"/>
                            </w:rPr>
                            <m:t>oil</m:t>
                          </m:r>
                        </m:sub>
                      </m:sSub>
                    </m:num>
                    <m:den>
                      <m:sSub>
                        <m:sSubPr>
                          <m:ctrlPr>
                            <w:rPr>
                              <w:rFonts w:ascii="Cambria Math" w:hAnsi="Cambria Math"/>
                              <w:i/>
                              <w:sz w:val="18"/>
                              <w:szCs w:val="18"/>
                              <w:lang w:val="en-GB"/>
                            </w:rPr>
                          </m:ctrlPr>
                        </m:sSubPr>
                        <m:e>
                          <m:r>
                            <w:rPr>
                              <w:rFonts w:ascii="Cambria Math" w:hAnsi="Cambria Math"/>
                              <w:sz w:val="18"/>
                              <w:szCs w:val="18"/>
                              <w:lang w:val="en-GB"/>
                            </w:rPr>
                            <m:t>ρ</m:t>
                          </m:r>
                        </m:e>
                        <m:sub>
                          <m:r>
                            <w:rPr>
                              <w:rFonts w:ascii="Cambria Math" w:hAnsi="Cambria Math"/>
                              <w:sz w:val="18"/>
                              <w:szCs w:val="18"/>
                              <w:lang w:val="en-GB"/>
                            </w:rPr>
                            <m:t>PB</m:t>
                          </m:r>
                        </m:sub>
                      </m:sSub>
                    </m:den>
                  </m:f>
                  <m:sSub>
                    <m:sSubPr>
                      <m:ctrlPr>
                        <w:rPr>
                          <w:rFonts w:ascii="Cambria Math" w:hAnsi="Cambria Math"/>
                          <w:sz w:val="18"/>
                          <w:szCs w:val="18"/>
                          <w:lang w:val="en-GB"/>
                        </w:rPr>
                      </m:ctrlPr>
                    </m:sSubPr>
                    <m:e>
                      <m:r>
                        <w:rPr>
                          <w:rFonts w:ascii="Cambria Math" w:hAnsi="Cambria Math"/>
                          <w:sz w:val="18"/>
                          <w:szCs w:val="18"/>
                          <w:lang w:val="en-GB"/>
                        </w:rPr>
                        <m:t>d</m:t>
                      </m:r>
                    </m:e>
                    <m:sub>
                      <m:r>
                        <m:rPr>
                          <m:sty m:val="p"/>
                        </m:rPr>
                        <w:rPr>
                          <w:rFonts w:ascii="Cambria Math" w:hAnsi="Cambria Math"/>
                          <w:sz w:val="18"/>
                          <w:szCs w:val="18"/>
                          <w:lang w:val="en-GB"/>
                        </w:rPr>
                        <m:t>oil</m:t>
                      </m:r>
                    </m:sub>
                  </m:sSub>
                </m:den>
              </m:f>
              <m:r>
                <w:rPr>
                  <w:rFonts w:ascii="Cambria Math" w:hAnsi="Cambria Math"/>
                  <w:sz w:val="18"/>
                  <w:szCs w:val="18"/>
                  <w:lang w:val="en-GB"/>
                </w:rPr>
                <m:t>≈</m:t>
              </m:r>
              <m:sSub>
                <m:sSubPr>
                  <m:ctrlPr>
                    <w:rPr>
                      <w:rFonts w:ascii="Cambria Math" w:hAnsi="Cambria Math"/>
                      <w:i/>
                      <w:sz w:val="18"/>
                      <w:szCs w:val="18"/>
                      <w:lang w:val="en-GB"/>
                    </w:rPr>
                  </m:ctrlPr>
                </m:sSubPr>
                <m:e>
                  <m:r>
                    <w:rPr>
                      <w:rFonts w:ascii="Cambria Math" w:hAnsi="Cambria Math"/>
                      <w:sz w:val="18"/>
                      <w:szCs w:val="18"/>
                      <w:lang w:val="en-GB"/>
                    </w:rPr>
                    <m:t>E</m:t>
                  </m:r>
                </m:e>
                <m:sub>
                  <m:r>
                    <m:rPr>
                      <m:sty m:val="p"/>
                    </m:rPr>
                    <w:rPr>
                      <w:rFonts w:ascii="Cambria Math" w:hAnsi="Cambria Math"/>
                      <w:sz w:val="18"/>
                      <w:szCs w:val="18"/>
                      <w:lang w:val="en-GB"/>
                    </w:rPr>
                    <m:t>av</m:t>
                  </m:r>
                </m:sub>
              </m:sSub>
              <m:r>
                <w:rPr>
                  <w:rFonts w:ascii="Cambria Math" w:hAnsi="Cambria Math"/>
                  <w:sz w:val="18"/>
                  <w:szCs w:val="18"/>
                  <w:lang w:val="en-GB"/>
                </w:rPr>
                <m:t>(</m:t>
              </m:r>
              <m:f>
                <m:fPr>
                  <m:ctrlPr>
                    <w:rPr>
                      <w:rFonts w:ascii="Cambria Math" w:hAnsi="Cambria Math"/>
                      <w:i/>
                      <w:sz w:val="18"/>
                      <w:szCs w:val="18"/>
                      <w:lang w:val="en-GB"/>
                    </w:rPr>
                  </m:ctrlPr>
                </m:fPr>
                <m:num>
                  <m:sSub>
                    <m:sSubPr>
                      <m:ctrlPr>
                        <w:rPr>
                          <w:rFonts w:ascii="Cambria Math" w:hAnsi="Cambria Math"/>
                          <w:i/>
                          <w:sz w:val="18"/>
                          <w:szCs w:val="18"/>
                          <w:lang w:val="en-GB"/>
                        </w:rPr>
                      </m:ctrlPr>
                    </m:sSubPr>
                    <m:e>
                      <m:r>
                        <w:rPr>
                          <w:rFonts w:ascii="Cambria Math" w:hAnsi="Cambria Math"/>
                          <w:sz w:val="18"/>
                          <w:szCs w:val="18"/>
                          <w:lang w:val="en-GB"/>
                        </w:rPr>
                        <m:t>d</m:t>
                      </m:r>
                    </m:e>
                    <m:sub>
                      <m:r>
                        <m:rPr>
                          <m:sty m:val="p"/>
                        </m:rPr>
                        <w:rPr>
                          <w:rFonts w:ascii="Cambria Math" w:hAnsi="Cambria Math"/>
                          <w:sz w:val="18"/>
                          <w:szCs w:val="18"/>
                          <w:lang w:val="en-GB"/>
                        </w:rPr>
                        <m:t>oil</m:t>
                      </m:r>
                    </m:sub>
                  </m:sSub>
                </m:num>
                <m:den>
                  <m:sSub>
                    <m:sSubPr>
                      <m:ctrlPr>
                        <w:rPr>
                          <w:rFonts w:ascii="Cambria Math" w:hAnsi="Cambria Math"/>
                          <w:i/>
                          <w:sz w:val="18"/>
                          <w:szCs w:val="18"/>
                          <w:lang w:val="en-GB"/>
                        </w:rPr>
                      </m:ctrlPr>
                    </m:sSubPr>
                    <m:e>
                      <m:r>
                        <w:rPr>
                          <w:rFonts w:ascii="Cambria Math" w:hAnsi="Cambria Math"/>
                          <w:sz w:val="18"/>
                          <w:szCs w:val="18"/>
                          <w:lang w:val="en-GB"/>
                        </w:rPr>
                        <m:t>d</m:t>
                      </m:r>
                    </m:e>
                    <m:sub>
                      <m:r>
                        <m:rPr>
                          <m:sty m:val="p"/>
                        </m:rPr>
                        <w:rPr>
                          <w:rFonts w:ascii="Cambria Math" w:hAnsi="Cambria Math"/>
                          <w:sz w:val="18"/>
                          <w:szCs w:val="18"/>
                          <w:lang w:val="en-GB"/>
                        </w:rPr>
                        <m:t>PB</m:t>
                      </m:r>
                    </m:sub>
                  </m:sSub>
                </m:den>
              </m:f>
              <m:r>
                <w:rPr>
                  <w:rFonts w:ascii="Cambria Math" w:hAnsi="Cambria Math"/>
                  <w:sz w:val="18"/>
                  <w:szCs w:val="18"/>
                  <w:lang w:val="en-GB"/>
                </w:rPr>
                <m:t>+1)</m:t>
              </m:r>
            </m:oMath>
            <w:r w:rsidR="00893CBB" w:rsidRPr="00590A21">
              <w:rPr>
                <w:sz w:val="18"/>
                <w:szCs w:val="18"/>
                <w:lang w:val="en-GB"/>
              </w:rPr>
              <w:t xml:space="preserve"> </w:t>
            </w:r>
            <w:r w:rsidR="00893CBB" w:rsidRPr="00590A21">
              <w:rPr>
                <w:szCs w:val="22"/>
                <w:lang w:val="en-GB"/>
              </w:rPr>
              <w:t xml:space="preserve">         </w:t>
            </w:r>
          </w:p>
        </w:tc>
        <w:tc>
          <w:tcPr>
            <w:tcW w:w="782" w:type="dxa"/>
          </w:tcPr>
          <w:p w14:paraId="3F4AAEC2" w14:textId="19662FE3" w:rsidR="00893CBB" w:rsidRPr="00590A21" w:rsidRDefault="00893CBB" w:rsidP="00893CBB">
            <w:pPr>
              <w:jc w:val="right"/>
              <w:rPr>
                <w:lang w:val="en-GB"/>
              </w:rPr>
            </w:pPr>
            <w:r w:rsidRPr="00590A21">
              <w:rPr>
                <w:szCs w:val="22"/>
                <w:lang w:val="en-GB"/>
              </w:rPr>
              <w:t>(1)</w:t>
            </w:r>
          </w:p>
        </w:tc>
      </w:tr>
    </w:tbl>
    <w:p w14:paraId="379023DA" w14:textId="4F9FEBBB" w:rsidR="008764C2" w:rsidRDefault="008764C2" w:rsidP="00524181">
      <w:pPr>
        <w:jc w:val="both"/>
        <w:rPr>
          <w:lang w:val="en-GB"/>
        </w:rPr>
      </w:pPr>
      <w:proofErr w:type="gramStart"/>
      <w:r w:rsidRPr="00590A21">
        <w:rPr>
          <w:lang w:val="en-GB"/>
        </w:rPr>
        <w:t>where</w:t>
      </w:r>
      <w:proofErr w:type="gramEnd"/>
      <w:r w:rsidRPr="00590A21">
        <w:rPr>
          <w:lang w:val="en-GB"/>
        </w:rPr>
        <w:t xml:space="preserve"> </w:t>
      </w:r>
      <m:oMath>
        <m:sSub>
          <m:sSubPr>
            <m:ctrlPr>
              <w:rPr>
                <w:rFonts w:ascii="Cambria Math" w:hAnsi="Cambria Math"/>
                <w:lang w:val="en-GB"/>
              </w:rPr>
            </m:ctrlPr>
          </m:sSubPr>
          <m:e>
            <m:r>
              <w:rPr>
                <w:rFonts w:ascii="Cambria Math" w:hAnsi="Cambria Math"/>
                <w:lang w:val="en-GB"/>
              </w:rPr>
              <m:t>ρ</m:t>
            </m:r>
          </m:e>
          <m:sub>
            <m:r>
              <m:rPr>
                <m:sty m:val="p"/>
              </m:rPr>
              <w:rPr>
                <w:rFonts w:ascii="Cambria Math" w:hAnsi="Cambria Math"/>
                <w:lang w:val="en-GB"/>
              </w:rPr>
              <m:t>oil</m:t>
            </m:r>
          </m:sub>
        </m:sSub>
      </m:oMath>
      <w:r w:rsidRPr="00590A21">
        <w:rPr>
          <w:lang w:val="en-GB"/>
        </w:rPr>
        <w:t xml:space="preserve"> and </w:t>
      </w:r>
      <m:oMath>
        <m:sSub>
          <m:sSubPr>
            <m:ctrlPr>
              <w:rPr>
                <w:rFonts w:ascii="Cambria Math" w:hAnsi="Cambria Math"/>
                <w:lang w:val="en-GB"/>
              </w:rPr>
            </m:ctrlPr>
          </m:sSubPr>
          <m:e>
            <m:r>
              <w:rPr>
                <w:rFonts w:ascii="Cambria Math" w:hAnsi="Cambria Math"/>
                <w:lang w:val="en-GB"/>
              </w:rPr>
              <m:t>ρ</m:t>
            </m:r>
          </m:e>
          <m:sub>
            <m:r>
              <m:rPr>
                <m:sty m:val="p"/>
              </m:rPr>
              <w:rPr>
                <w:rFonts w:ascii="Cambria Math" w:hAnsi="Cambria Math"/>
                <w:lang w:val="en-GB"/>
              </w:rPr>
              <m:t>PB</m:t>
            </m:r>
          </m:sub>
        </m:sSub>
      </m:oMath>
      <w:r w:rsidRPr="00590A21">
        <w:rPr>
          <w:lang w:val="en-GB"/>
        </w:rPr>
        <w:t xml:space="preserve"> are resistivities of oil and PB respectively, and </w:t>
      </w:r>
      <m:oMath>
        <m:sSub>
          <m:sSubPr>
            <m:ctrlPr>
              <w:rPr>
                <w:rFonts w:ascii="Cambria Math" w:hAnsi="Cambria Math"/>
                <w:lang w:val="en-GB"/>
              </w:rPr>
            </m:ctrlPr>
          </m:sSubPr>
          <m:e>
            <m:r>
              <w:rPr>
                <w:rFonts w:ascii="Cambria Math" w:hAnsi="Cambria Math"/>
                <w:lang w:val="en-GB"/>
              </w:rPr>
              <m:t>E</m:t>
            </m:r>
          </m:e>
          <m:sub>
            <m:r>
              <m:rPr>
                <m:sty m:val="p"/>
              </m:rPr>
              <w:rPr>
                <w:rFonts w:ascii="Cambria Math" w:hAnsi="Cambria Math"/>
                <w:lang w:val="en-GB"/>
              </w:rPr>
              <m:t>av</m:t>
            </m:r>
          </m:sub>
        </m:sSub>
      </m:oMath>
      <w:r w:rsidRPr="00590A21">
        <w:rPr>
          <w:lang w:val="en-GB"/>
        </w:rPr>
        <w:t xml:space="preserve"> is the average electric field. Based on Table 1 as the second item </w:t>
      </w:r>
      <m:oMath>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ρ</m:t>
                </m:r>
              </m:e>
              <m:sub>
                <m:r>
                  <m:rPr>
                    <m:sty m:val="p"/>
                  </m:rPr>
                  <w:rPr>
                    <w:rFonts w:ascii="Cambria Math" w:hAnsi="Cambria Math"/>
                    <w:lang w:val="en-GB"/>
                  </w:rPr>
                  <m:t>oil</m:t>
                </m:r>
              </m:sub>
            </m:sSub>
          </m:num>
          <m:den>
            <m:sSub>
              <m:sSubPr>
                <m:ctrlPr>
                  <w:rPr>
                    <w:rFonts w:ascii="Cambria Math" w:hAnsi="Cambria Math"/>
                    <w:lang w:val="en-GB"/>
                  </w:rPr>
                </m:ctrlPr>
              </m:sSubPr>
              <m:e>
                <m:r>
                  <w:rPr>
                    <w:rFonts w:ascii="Cambria Math" w:hAnsi="Cambria Math"/>
                    <w:lang w:val="en-GB"/>
                  </w:rPr>
                  <m:t>ρ</m:t>
                </m:r>
              </m:e>
              <m:sub>
                <m:r>
                  <m:rPr>
                    <m:sty m:val="p"/>
                  </m:rPr>
                  <w:rPr>
                    <w:rFonts w:ascii="Cambria Math" w:hAnsi="Cambria Math"/>
                    <w:lang w:val="en-GB"/>
                  </w:rPr>
                  <m:t>PB</m:t>
                </m:r>
              </m:sub>
            </m:sSub>
          </m:den>
        </m:f>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n-GB"/>
              </w:rPr>
              <m:t>oil</m:t>
            </m:r>
          </m:sub>
        </m:sSub>
      </m:oMath>
      <w:r w:rsidRPr="00590A21">
        <w:rPr>
          <w:lang w:val="en-GB"/>
        </w:rPr>
        <w:t xml:space="preserve"> is smaller compared </w:t>
      </w:r>
      <w:proofErr w:type="gramStart"/>
      <w:r w:rsidRPr="00590A21">
        <w:rPr>
          <w:lang w:val="en-GB"/>
        </w:rPr>
        <w:t xml:space="preserve">to </w:t>
      </w:r>
      <w:proofErr w:type="gramEnd"/>
      <m:oMath>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n-GB"/>
              </w:rPr>
              <m:t>PB</m:t>
            </m:r>
          </m:sub>
        </m:sSub>
      </m:oMath>
      <w:r w:rsidRPr="00590A21">
        <w:rPr>
          <w:lang w:val="en-GB"/>
        </w:rPr>
        <w:t>, the simplified equation is shown in equation (</w:t>
      </w:r>
      <w:r w:rsidR="000E33D0" w:rsidRPr="00590A21">
        <w:rPr>
          <w:lang w:val="en-GB"/>
        </w:rPr>
        <w:t>1</w:t>
      </w:r>
      <w:r w:rsidRPr="00590A21">
        <w:rPr>
          <w:lang w:val="en-GB"/>
        </w:rPr>
        <w:t>). Equation (</w:t>
      </w:r>
      <w:r w:rsidR="000E33D0" w:rsidRPr="00590A21">
        <w:rPr>
          <w:lang w:val="en-GB"/>
        </w:rPr>
        <w:t>1</w:t>
      </w:r>
      <w:r w:rsidRPr="00590A21">
        <w:rPr>
          <w:lang w:val="en-GB"/>
        </w:rPr>
        <w:t xml:space="preserve">) shows that with the fixed </w:t>
      </w:r>
      <m:oMath>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n-GB"/>
              </w:rPr>
              <m:t>oil</m:t>
            </m:r>
          </m:sub>
        </m:sSub>
      </m:oMath>
      <w:r w:rsidRPr="00590A21">
        <w:rPr>
          <w:lang w:val="en-GB"/>
        </w:rPr>
        <w:t xml:space="preserve"> </w:t>
      </w:r>
      <w:proofErr w:type="gramStart"/>
      <w:r w:rsidRPr="00590A21">
        <w:rPr>
          <w:lang w:val="en-GB"/>
        </w:rPr>
        <w:t xml:space="preserve">and </w:t>
      </w:r>
      <w:proofErr w:type="gramEnd"/>
      <m:oMath>
        <m:sSub>
          <m:sSubPr>
            <m:ctrlPr>
              <w:rPr>
                <w:rFonts w:ascii="Cambria Math" w:hAnsi="Cambria Math"/>
                <w:lang w:val="en-GB"/>
              </w:rPr>
            </m:ctrlPr>
          </m:sSubPr>
          <m:e>
            <m:r>
              <w:rPr>
                <w:rFonts w:ascii="Cambria Math" w:hAnsi="Cambria Math"/>
                <w:lang w:val="en-GB"/>
              </w:rPr>
              <m:t>E</m:t>
            </m:r>
          </m:e>
          <m:sub>
            <m:r>
              <m:rPr>
                <m:sty m:val="p"/>
              </m:rPr>
              <w:rPr>
                <w:rFonts w:ascii="Cambria Math" w:hAnsi="Cambria Math"/>
                <w:lang w:val="en-GB"/>
              </w:rPr>
              <m:t>av</m:t>
            </m:r>
          </m:sub>
        </m:sSub>
      </m:oMath>
      <w:r w:rsidRPr="00590A21">
        <w:rPr>
          <w:lang w:val="en-GB"/>
        </w:rPr>
        <w:t xml:space="preserve">, the </w:t>
      </w:r>
      <m:oMath>
        <m:sSub>
          <m:sSubPr>
            <m:ctrlPr>
              <w:rPr>
                <w:rFonts w:ascii="Cambria Math" w:hAnsi="Cambria Math"/>
                <w:lang w:val="en-GB"/>
              </w:rPr>
            </m:ctrlPr>
          </m:sSubPr>
          <m:e>
            <m:r>
              <w:rPr>
                <w:rFonts w:ascii="Cambria Math" w:hAnsi="Cambria Math"/>
                <w:lang w:val="en-GB"/>
              </w:rPr>
              <m:t>E</m:t>
            </m:r>
          </m:e>
          <m:sub>
            <m:r>
              <m:rPr>
                <m:sty m:val="p"/>
              </m:rPr>
              <w:rPr>
                <w:rFonts w:ascii="Cambria Math" w:hAnsi="Cambria Math"/>
                <w:lang w:val="en-GB"/>
              </w:rPr>
              <m:t>PB</m:t>
            </m:r>
          </m:sub>
        </m:sSub>
      </m:oMath>
      <w:r w:rsidRPr="00590A21">
        <w:rPr>
          <w:lang w:val="en-GB"/>
        </w:rPr>
        <w:t xml:space="preserve"> decreases with the increase of </w:t>
      </w:r>
      <m:oMath>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n-GB"/>
              </w:rPr>
              <m:t>PB</m:t>
            </m:r>
          </m:sub>
        </m:sSub>
      </m:oMath>
      <w:r w:rsidRPr="00590A21">
        <w:rPr>
          <w:lang w:val="en-GB"/>
        </w:rPr>
        <w:t xml:space="preserve">. It reflects that the magnitude of the interfacial charge density decreases with the </w:t>
      </w:r>
      <w:proofErr w:type="gramStart"/>
      <w:r w:rsidRPr="00590A21">
        <w:rPr>
          <w:lang w:val="en-GB"/>
        </w:rPr>
        <w:t xml:space="preserve">increase </w:t>
      </w:r>
      <w:proofErr w:type="gramEnd"/>
      <m:oMath>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n-GB"/>
              </w:rPr>
              <m:t>PB</m:t>
            </m:r>
          </m:sub>
        </m:sSub>
      </m:oMath>
      <w:r w:rsidR="009420F7">
        <w:rPr>
          <w:lang w:val="en-GB"/>
        </w:rPr>
        <w:t xml:space="preserve">. </w:t>
      </w:r>
      <w:r w:rsidRPr="00590A21">
        <w:rPr>
          <w:lang w:val="en-GB"/>
        </w:rPr>
        <w:t xml:space="preserve">The interfacial charge density </w:t>
      </w:r>
      <m:oMath>
        <m:r>
          <m:rPr>
            <m:sty m:val="p"/>
          </m:rPr>
          <w:rPr>
            <w:rFonts w:ascii="Cambria Math" w:hAnsi="Cambria Math"/>
            <w:lang w:val="en-GB"/>
          </w:rPr>
          <m:t>q</m:t>
        </m:r>
        <m:d>
          <m:dPr>
            <m:ctrlPr>
              <w:rPr>
                <w:rFonts w:ascii="Cambria Math" w:hAnsi="Cambria Math"/>
                <w:lang w:val="en-GB"/>
              </w:rPr>
            </m:ctrlPr>
          </m:dPr>
          <m:e>
            <m:r>
              <m:rPr>
                <m:sty m:val="p"/>
              </m:rPr>
              <w:rPr>
                <w:rFonts w:ascii="Cambria Math" w:hAnsi="Cambria Math"/>
                <w:lang w:val="en-GB"/>
              </w:rPr>
              <m:t>t</m:t>
            </m:r>
          </m:e>
        </m:d>
      </m:oMath>
      <w:r w:rsidRPr="00590A21">
        <w:rPr>
          <w:lang w:val="en-GB"/>
        </w:rPr>
        <w:t xml:space="preserve"> (C) can be deduced, as shown in </w:t>
      </w:r>
      <w:r w:rsidR="00013037">
        <w:rPr>
          <w:lang w:val="en-GB"/>
        </w:rPr>
        <w:t>E</w:t>
      </w:r>
      <w:r w:rsidRPr="00590A21">
        <w:rPr>
          <w:lang w:val="en-GB"/>
        </w:rPr>
        <w:t>quation (</w:t>
      </w:r>
      <w:r w:rsidR="000E33D0" w:rsidRPr="00590A21">
        <w:rPr>
          <w:lang w:val="en-GB"/>
        </w:rPr>
        <w:t>2</w:t>
      </w:r>
      <w:r w:rsidRPr="00590A21">
        <w:rPr>
          <w:lang w:val="en-GB"/>
        </w:rPr>
        <w:t xml:space="preserve">) </w:t>
      </w:r>
      <w:r w:rsidR="00533BF7">
        <w:rPr>
          <w:lang w:val="en-GB"/>
        </w:rPr>
        <w:fldChar w:fldCharType="begin" w:fldLock="1"/>
      </w:r>
      <w:r w:rsidR="003A2F47">
        <w:rPr>
          <w:lang w:val="en-GB"/>
        </w:rPr>
        <w:instrText>ADDIN CSL_CITATION {"citationItems":[{"id":"ITEM-1","itemData":{"DOI":"10.1109/TDEI.2014.004241","ISSN":"1070-9878","author":[{"dropping-particle":"","family":"Wu","given":"Kai","non-dropping-particle":"","parse-names":false,"suffix":""},{"dropping-particle":"","family":"Zhu","given":"Qingdong","non-dropping-particle":"","parse-names":false,"suffix":""},{"dropping-particle":"","family":"Wang","given":"Haosen","non-dropping-particle":"","parse-names":false,"suffix":""},{"dropping-particle":"","family":"Wang","given":"Xia","non-dropping-particle":"","parse-names":false,"suffix":""},{"dropping-particle":"","family":"Li","given":"Shengtao","non-dropping-particle":"","parse-names":false,"suffix":""}],"container-title":"IEEE Transactions on Dielectrics and Electrical Insulation","id":"ITEM-1","issue":"4","issued":{"date-parts":[["2014"]]},"page":"1857-1865","title":"Space Charge Behavior in the Sample with Two Layers of Oil-Immersed-Paper and Oil","type":"article-journal","volume":"21"},"uris":["http://www.mendeley.com/documents/?uuid=40a83f75-e9b2-4d89-9bea-82e54a9e0f0d"]}],"mendeley":{"formattedCitation":"[18]","plainTextFormattedCitation":"[18]","previouslyFormattedCitation":"[18]"},"properties":{"noteIndex":0},"schema":"https://github.com/citation-style-language/schema/raw/master/csl-citation.json"}</w:instrText>
      </w:r>
      <w:r w:rsidR="00533BF7">
        <w:rPr>
          <w:lang w:val="en-GB"/>
        </w:rPr>
        <w:fldChar w:fldCharType="separate"/>
      </w:r>
      <w:r w:rsidR="00533BF7" w:rsidRPr="00533BF7">
        <w:rPr>
          <w:noProof/>
          <w:lang w:val="en-GB"/>
        </w:rPr>
        <w:t>[18]</w:t>
      </w:r>
      <w:r w:rsidR="00533BF7">
        <w:rPr>
          <w:lang w:val="en-GB"/>
        </w:rPr>
        <w:fldChar w:fldCharType="end"/>
      </w:r>
      <w:r w:rsidR="002945ED">
        <w:rPr>
          <w:lang w:val="en-GB"/>
        </w:rPr>
        <w:t xml:space="preserve">, </w:t>
      </w:r>
      <w:r w:rsidR="002945ED" w:rsidRPr="007B7EEB">
        <w:rPr>
          <w:highlight w:val="yellow"/>
          <w:lang w:val="en-GB"/>
        </w:rPr>
        <w:t xml:space="preserve">where </w:t>
      </w:r>
      <m:oMath>
        <m:sSub>
          <m:sSubPr>
            <m:ctrlPr>
              <w:rPr>
                <w:rFonts w:ascii="Cambria Math" w:hAnsi="Cambria Math"/>
                <w:highlight w:val="yellow"/>
              </w:rPr>
            </m:ctrlPr>
          </m:sSubPr>
          <m:e>
            <m:r>
              <m:rPr>
                <m:sty m:val="p"/>
              </m:rPr>
              <w:rPr>
                <w:rFonts w:ascii="Cambria Math" w:hAnsi="Cambria Math"/>
                <w:highlight w:val="yellow"/>
              </w:rPr>
              <m:t>γ</m:t>
            </m:r>
          </m:e>
          <m:sub>
            <m:r>
              <m:rPr>
                <m:sty m:val="p"/>
              </m:rPr>
              <w:rPr>
                <w:rFonts w:ascii="Cambria Math" w:hAnsi="Cambria Math"/>
                <w:highlight w:val="yellow"/>
              </w:rPr>
              <m:t>oil</m:t>
            </m:r>
          </m:sub>
        </m:sSub>
        <m:r>
          <m:rPr>
            <m:sty m:val="p"/>
          </m:rPr>
          <w:rPr>
            <w:rFonts w:ascii="Cambria Math" w:hAnsi="Cambria Math"/>
            <w:highlight w:val="yellow"/>
          </w:rPr>
          <m:t xml:space="preserve"> </m:t>
        </m:r>
      </m:oMath>
      <w:r w:rsidR="002945ED" w:rsidRPr="007B7EEB">
        <w:rPr>
          <w:highlight w:val="yellow"/>
        </w:rPr>
        <w:t xml:space="preserve">and </w:t>
      </w:r>
      <m:oMath>
        <m:sSub>
          <m:sSubPr>
            <m:ctrlPr>
              <w:rPr>
                <w:rFonts w:ascii="Cambria Math" w:hAnsi="Cambria Math"/>
                <w:highlight w:val="yellow"/>
              </w:rPr>
            </m:ctrlPr>
          </m:sSubPr>
          <m:e>
            <m:r>
              <m:rPr>
                <m:sty m:val="p"/>
              </m:rPr>
              <w:rPr>
                <w:rFonts w:ascii="Cambria Math" w:hAnsi="Cambria Math"/>
                <w:highlight w:val="yellow"/>
              </w:rPr>
              <m:t>γ</m:t>
            </m:r>
          </m:e>
          <m:sub>
            <m:r>
              <m:rPr>
                <m:sty m:val="p"/>
              </m:rPr>
              <w:rPr>
                <w:rFonts w:ascii="Cambria Math" w:hAnsi="Cambria Math"/>
                <w:highlight w:val="yellow"/>
              </w:rPr>
              <m:t>op</m:t>
            </m:r>
          </m:sub>
        </m:sSub>
      </m:oMath>
      <w:r w:rsidR="002945ED" w:rsidRPr="007B7EEB">
        <w:rPr>
          <w:highlight w:val="yellow"/>
        </w:rPr>
        <w:t xml:space="preserve"> </w:t>
      </w:r>
      <w:r w:rsidR="002945ED" w:rsidRPr="007B7EEB">
        <w:rPr>
          <w:highlight w:val="yellow"/>
          <w:lang w:val="en-GB"/>
        </w:rPr>
        <w:t>represents the conductivity of oil and PB, S is the surface area of the electrode</w:t>
      </w:r>
      <w:r w:rsidRPr="007B7EEB">
        <w:rPr>
          <w:highlight w:val="yellow"/>
          <w:lang w:val="en-GB"/>
        </w:rPr>
        <w:t>:</w:t>
      </w:r>
      <w:r w:rsidR="003B1280">
        <w:rPr>
          <w:lang w:val="en-GB"/>
        </w:rPr>
        <w:t xml:space="preserve"> </w:t>
      </w:r>
    </w:p>
    <w:p w14:paraId="2FBC3358" w14:textId="1413A16C" w:rsidR="008764C2" w:rsidRPr="00590A21" w:rsidRDefault="008A6809" w:rsidP="00207C46">
      <w:pPr>
        <w:ind w:firstLine="142"/>
        <w:rPr>
          <w:lang w:val="en-GB"/>
        </w:rPr>
      </w:pPr>
      <m:oMath>
        <m:r>
          <m:rPr>
            <m:sty m:val="p"/>
          </m:rPr>
          <w:rPr>
            <w:rFonts w:ascii="Cambria Math" w:hAnsi="Cambria Math"/>
            <w:sz w:val="18"/>
            <w:szCs w:val="18"/>
            <w:lang w:val="en-GB"/>
          </w:rPr>
          <m:t>q(t)</m:t>
        </m:r>
        <m:r>
          <w:rPr>
            <w:rFonts w:ascii="Cambria Math" w:hAnsi="Cambria Math"/>
            <w:sz w:val="18"/>
            <w:szCs w:val="18"/>
            <w:lang w:val="en-GB"/>
          </w:rPr>
          <m:t>=</m:t>
        </m:r>
        <m:d>
          <m:dPr>
            <m:ctrlPr>
              <w:rPr>
                <w:rFonts w:ascii="Cambria Math" w:hAnsi="Cambria Math"/>
                <w:i/>
                <w:sz w:val="18"/>
                <w:szCs w:val="18"/>
                <w:lang w:val="en-GB"/>
              </w:rPr>
            </m:ctrlPr>
          </m:dPr>
          <m:e>
            <m:f>
              <m:fPr>
                <m:ctrlPr>
                  <w:rPr>
                    <w:rFonts w:ascii="Cambria Math" w:hAnsi="Cambria Math"/>
                    <w:i/>
                    <w:sz w:val="18"/>
                    <w:szCs w:val="18"/>
                    <w:lang w:val="en-GB"/>
                  </w:rPr>
                </m:ctrlPr>
              </m:fPr>
              <m:num>
                <m:sSub>
                  <m:sSubPr>
                    <m:ctrlPr>
                      <w:rPr>
                        <w:rFonts w:ascii="Cambria Math" w:hAnsi="Cambria Math"/>
                        <w:i/>
                        <w:sz w:val="18"/>
                        <w:szCs w:val="18"/>
                        <w:lang w:val="en-GB"/>
                      </w:rPr>
                    </m:ctrlPr>
                  </m:sSubPr>
                  <m:e>
                    <m:r>
                      <w:rPr>
                        <w:rFonts w:ascii="Cambria Math" w:hAnsi="Cambria Math"/>
                        <w:sz w:val="18"/>
                        <w:szCs w:val="18"/>
                        <w:lang w:val="en-GB"/>
                      </w:rPr>
                      <m:t>ε</m:t>
                    </m:r>
                  </m:e>
                  <m:sub>
                    <m:r>
                      <m:rPr>
                        <m:sty m:val="p"/>
                      </m:rPr>
                      <w:rPr>
                        <w:rFonts w:ascii="Cambria Math" w:hAnsi="Cambria Math"/>
                        <w:sz w:val="18"/>
                        <w:szCs w:val="18"/>
                        <w:lang w:val="en-GB"/>
                      </w:rPr>
                      <m:t>oil</m:t>
                    </m:r>
                  </m:sub>
                </m:sSub>
                <m:sSub>
                  <m:sSubPr>
                    <m:ctrlPr>
                      <w:rPr>
                        <w:rFonts w:ascii="Cambria Math" w:hAnsi="Cambria Math"/>
                        <w:i/>
                        <w:sz w:val="18"/>
                        <w:szCs w:val="18"/>
                        <w:lang w:val="en-GB"/>
                      </w:rPr>
                    </m:ctrlPr>
                  </m:sSubPr>
                  <m:e>
                    <m:r>
                      <w:rPr>
                        <w:rFonts w:ascii="Cambria Math" w:hAnsi="Cambria Math"/>
                        <w:sz w:val="18"/>
                        <w:szCs w:val="18"/>
                        <w:lang w:val="en-GB"/>
                      </w:rPr>
                      <m:t>γ</m:t>
                    </m:r>
                  </m:e>
                  <m:sub>
                    <m:r>
                      <m:rPr>
                        <m:sty m:val="p"/>
                      </m:rPr>
                      <w:rPr>
                        <w:rFonts w:ascii="Cambria Math" w:hAnsi="Cambria Math"/>
                        <w:sz w:val="18"/>
                        <w:szCs w:val="18"/>
                        <w:lang w:val="en-GB"/>
                      </w:rPr>
                      <m:t>PB</m:t>
                    </m:r>
                  </m:sub>
                </m:sSub>
                <m:r>
                  <w:rPr>
                    <w:rFonts w:ascii="Cambria Math" w:hAnsi="Cambria Math"/>
                    <w:sz w:val="18"/>
                    <w:szCs w:val="18"/>
                    <w:lang w:val="en-GB"/>
                  </w:rPr>
                  <m:t>-</m:t>
                </m:r>
                <m:sSub>
                  <m:sSubPr>
                    <m:ctrlPr>
                      <w:rPr>
                        <w:rFonts w:ascii="Cambria Math" w:hAnsi="Cambria Math"/>
                        <w:i/>
                        <w:sz w:val="18"/>
                        <w:szCs w:val="18"/>
                        <w:lang w:val="en-GB"/>
                      </w:rPr>
                    </m:ctrlPr>
                  </m:sSubPr>
                  <m:e>
                    <m:r>
                      <w:rPr>
                        <w:rFonts w:ascii="Cambria Math" w:hAnsi="Cambria Math"/>
                        <w:sz w:val="18"/>
                        <w:szCs w:val="18"/>
                        <w:lang w:val="en-GB"/>
                      </w:rPr>
                      <m:t>ε</m:t>
                    </m:r>
                  </m:e>
                  <m:sub>
                    <m:r>
                      <m:rPr>
                        <m:sty m:val="p"/>
                      </m:rPr>
                      <w:rPr>
                        <w:rFonts w:ascii="Cambria Math" w:hAnsi="Cambria Math"/>
                        <w:sz w:val="18"/>
                        <w:szCs w:val="18"/>
                        <w:lang w:val="en-GB"/>
                      </w:rPr>
                      <m:t>PB</m:t>
                    </m:r>
                  </m:sub>
                </m:sSub>
                <m:sSub>
                  <m:sSubPr>
                    <m:ctrlPr>
                      <w:rPr>
                        <w:rFonts w:ascii="Cambria Math" w:hAnsi="Cambria Math"/>
                        <w:i/>
                        <w:sz w:val="18"/>
                        <w:szCs w:val="18"/>
                        <w:lang w:val="en-GB"/>
                      </w:rPr>
                    </m:ctrlPr>
                  </m:sSubPr>
                  <m:e>
                    <m:r>
                      <w:rPr>
                        <w:rFonts w:ascii="Cambria Math" w:hAnsi="Cambria Math"/>
                        <w:sz w:val="18"/>
                        <w:szCs w:val="18"/>
                        <w:lang w:val="en-GB"/>
                      </w:rPr>
                      <m:t>γ</m:t>
                    </m:r>
                  </m:e>
                  <m:sub>
                    <m:r>
                      <m:rPr>
                        <m:sty m:val="p"/>
                      </m:rPr>
                      <w:rPr>
                        <w:rFonts w:ascii="Cambria Math" w:hAnsi="Cambria Math"/>
                        <w:sz w:val="18"/>
                        <w:szCs w:val="18"/>
                        <w:lang w:val="en-GB"/>
                      </w:rPr>
                      <m:t>oil</m:t>
                    </m:r>
                  </m:sub>
                </m:sSub>
              </m:num>
              <m:den>
                <m:sSub>
                  <m:sSubPr>
                    <m:ctrlPr>
                      <w:rPr>
                        <w:rFonts w:ascii="Cambria Math" w:hAnsi="Cambria Math"/>
                        <w:i/>
                        <w:sz w:val="18"/>
                        <w:szCs w:val="18"/>
                        <w:lang w:val="en-GB"/>
                      </w:rPr>
                    </m:ctrlPr>
                  </m:sSubPr>
                  <m:e>
                    <m:r>
                      <w:rPr>
                        <w:rFonts w:ascii="Cambria Math" w:hAnsi="Cambria Math"/>
                        <w:sz w:val="18"/>
                        <w:szCs w:val="18"/>
                        <w:lang w:val="en-GB"/>
                      </w:rPr>
                      <m:t>d</m:t>
                    </m:r>
                  </m:e>
                  <m:sub>
                    <m:r>
                      <m:rPr>
                        <m:sty m:val="p"/>
                      </m:rPr>
                      <w:rPr>
                        <w:rFonts w:ascii="Cambria Math" w:hAnsi="Cambria Math"/>
                        <w:sz w:val="18"/>
                        <w:szCs w:val="18"/>
                        <w:lang w:val="en-GB"/>
                      </w:rPr>
                      <m:t>oil</m:t>
                    </m:r>
                  </m:sub>
                </m:sSub>
                <m:sSub>
                  <m:sSubPr>
                    <m:ctrlPr>
                      <w:rPr>
                        <w:rFonts w:ascii="Cambria Math" w:hAnsi="Cambria Math"/>
                        <w:i/>
                        <w:sz w:val="18"/>
                        <w:szCs w:val="18"/>
                        <w:lang w:val="en-GB"/>
                      </w:rPr>
                    </m:ctrlPr>
                  </m:sSubPr>
                  <m:e>
                    <m:r>
                      <w:rPr>
                        <w:rFonts w:ascii="Cambria Math" w:hAnsi="Cambria Math"/>
                        <w:sz w:val="18"/>
                        <w:szCs w:val="18"/>
                        <w:lang w:val="en-GB"/>
                      </w:rPr>
                      <m:t>γ</m:t>
                    </m:r>
                  </m:e>
                  <m:sub>
                    <m:r>
                      <m:rPr>
                        <m:sty m:val="p"/>
                      </m:rPr>
                      <w:rPr>
                        <w:rFonts w:ascii="Cambria Math" w:hAnsi="Cambria Math"/>
                        <w:sz w:val="18"/>
                        <w:szCs w:val="18"/>
                        <w:lang w:val="en-GB"/>
                      </w:rPr>
                      <m:t>PB</m:t>
                    </m:r>
                  </m:sub>
                </m:sSub>
                <m:r>
                  <w:rPr>
                    <w:rFonts w:ascii="Cambria Math" w:hAnsi="Cambria Math"/>
                    <w:sz w:val="18"/>
                    <w:szCs w:val="18"/>
                    <w:lang w:val="en-GB"/>
                  </w:rPr>
                  <m:t>+</m:t>
                </m:r>
                <m:sSub>
                  <m:sSubPr>
                    <m:ctrlPr>
                      <w:rPr>
                        <w:rFonts w:ascii="Cambria Math" w:hAnsi="Cambria Math"/>
                        <w:i/>
                        <w:sz w:val="18"/>
                        <w:szCs w:val="18"/>
                        <w:lang w:val="en-GB"/>
                      </w:rPr>
                    </m:ctrlPr>
                  </m:sSubPr>
                  <m:e>
                    <m:r>
                      <w:rPr>
                        <w:rFonts w:ascii="Cambria Math" w:hAnsi="Cambria Math"/>
                        <w:sz w:val="18"/>
                        <w:szCs w:val="18"/>
                        <w:lang w:val="en-GB"/>
                      </w:rPr>
                      <m:t>d</m:t>
                    </m:r>
                  </m:e>
                  <m:sub>
                    <m:r>
                      <m:rPr>
                        <m:sty m:val="p"/>
                      </m:rPr>
                      <w:rPr>
                        <w:rFonts w:ascii="Cambria Math" w:hAnsi="Cambria Math"/>
                        <w:sz w:val="18"/>
                        <w:szCs w:val="18"/>
                        <w:lang w:val="en-GB"/>
                      </w:rPr>
                      <m:t>PB</m:t>
                    </m:r>
                  </m:sub>
                </m:sSub>
                <m:sSub>
                  <m:sSubPr>
                    <m:ctrlPr>
                      <w:rPr>
                        <w:rFonts w:ascii="Cambria Math" w:hAnsi="Cambria Math"/>
                        <w:i/>
                        <w:sz w:val="18"/>
                        <w:szCs w:val="18"/>
                        <w:lang w:val="en-GB"/>
                      </w:rPr>
                    </m:ctrlPr>
                  </m:sSubPr>
                  <m:e>
                    <m:r>
                      <w:rPr>
                        <w:rFonts w:ascii="Cambria Math" w:hAnsi="Cambria Math"/>
                        <w:sz w:val="18"/>
                        <w:szCs w:val="18"/>
                        <w:lang w:val="en-GB"/>
                      </w:rPr>
                      <m:t>γ</m:t>
                    </m:r>
                  </m:e>
                  <m:sub>
                    <m:r>
                      <m:rPr>
                        <m:sty m:val="p"/>
                      </m:rPr>
                      <w:rPr>
                        <w:rFonts w:ascii="Cambria Math" w:hAnsi="Cambria Math"/>
                        <w:sz w:val="18"/>
                        <w:szCs w:val="18"/>
                        <w:lang w:val="en-GB"/>
                      </w:rPr>
                      <m:t>oil</m:t>
                    </m:r>
                  </m:sub>
                </m:sSub>
              </m:den>
            </m:f>
          </m:e>
        </m:d>
        <m:r>
          <w:rPr>
            <w:rFonts w:ascii="Cambria Math" w:hAnsi="Cambria Math"/>
            <w:sz w:val="18"/>
            <w:szCs w:val="18"/>
            <w:lang w:val="en-GB"/>
          </w:rPr>
          <m:t>US=</m:t>
        </m:r>
        <m:sSub>
          <m:sSubPr>
            <m:ctrlPr>
              <w:rPr>
                <w:rFonts w:ascii="Cambria Math" w:hAnsi="Cambria Math"/>
                <w:i/>
                <w:sz w:val="18"/>
                <w:szCs w:val="18"/>
                <w:lang w:val="en-GB"/>
              </w:rPr>
            </m:ctrlPr>
          </m:sSubPr>
          <m:e>
            <m:r>
              <w:rPr>
                <w:rFonts w:ascii="Cambria Math" w:hAnsi="Cambria Math"/>
                <w:sz w:val="18"/>
                <w:szCs w:val="18"/>
                <w:lang w:val="en-GB"/>
              </w:rPr>
              <m:t>(ε</m:t>
            </m:r>
          </m:e>
          <m:sub>
            <m:r>
              <m:rPr>
                <m:sty m:val="p"/>
              </m:rPr>
              <w:rPr>
                <w:rFonts w:ascii="Cambria Math" w:hAnsi="Cambria Math"/>
                <w:sz w:val="18"/>
                <w:szCs w:val="18"/>
                <w:lang w:val="en-GB"/>
              </w:rPr>
              <m:t>oil</m:t>
            </m:r>
          </m:sub>
        </m:sSub>
        <m:r>
          <w:rPr>
            <w:rFonts w:ascii="Cambria Math" w:hAnsi="Cambria Math"/>
            <w:sz w:val="18"/>
            <w:szCs w:val="18"/>
            <w:lang w:val="en-GB"/>
          </w:rPr>
          <m:t>-</m:t>
        </m:r>
        <m:sSub>
          <m:sSubPr>
            <m:ctrlPr>
              <w:rPr>
                <w:rFonts w:ascii="Cambria Math" w:hAnsi="Cambria Math"/>
                <w:i/>
                <w:sz w:val="18"/>
                <w:szCs w:val="18"/>
                <w:lang w:val="en-GB"/>
              </w:rPr>
            </m:ctrlPr>
          </m:sSubPr>
          <m:e>
            <m:r>
              <w:rPr>
                <w:rFonts w:ascii="Cambria Math" w:hAnsi="Cambria Math"/>
                <w:sz w:val="18"/>
                <w:szCs w:val="18"/>
                <w:lang w:val="en-GB"/>
              </w:rPr>
              <m:t>ε</m:t>
            </m:r>
          </m:e>
          <m:sub>
            <m:r>
              <m:rPr>
                <m:sty m:val="p"/>
              </m:rPr>
              <w:rPr>
                <w:rFonts w:ascii="Cambria Math" w:hAnsi="Cambria Math"/>
                <w:sz w:val="18"/>
                <w:szCs w:val="18"/>
                <w:lang w:val="en-GB"/>
              </w:rPr>
              <m:t>PB</m:t>
            </m:r>
          </m:sub>
        </m:sSub>
        <m:f>
          <m:fPr>
            <m:ctrlPr>
              <w:rPr>
                <w:rFonts w:ascii="Cambria Math" w:hAnsi="Cambria Math"/>
                <w:i/>
                <w:sz w:val="18"/>
                <w:szCs w:val="18"/>
                <w:lang w:val="en-GB"/>
              </w:rPr>
            </m:ctrlPr>
          </m:fPr>
          <m:num>
            <m:sSub>
              <m:sSubPr>
                <m:ctrlPr>
                  <w:rPr>
                    <w:rFonts w:ascii="Cambria Math" w:hAnsi="Cambria Math"/>
                    <w:i/>
                    <w:sz w:val="18"/>
                    <w:szCs w:val="18"/>
                    <w:lang w:val="en-GB"/>
                  </w:rPr>
                </m:ctrlPr>
              </m:sSubPr>
              <m:e>
                <m:r>
                  <w:rPr>
                    <w:rFonts w:ascii="Cambria Math" w:hAnsi="Cambria Math"/>
                    <w:sz w:val="18"/>
                    <w:szCs w:val="18"/>
                    <w:lang w:val="en-GB"/>
                  </w:rPr>
                  <m:t>ρ</m:t>
                </m:r>
              </m:e>
              <m:sub>
                <m:r>
                  <m:rPr>
                    <m:sty m:val="p"/>
                  </m:rPr>
                  <w:rPr>
                    <w:rFonts w:ascii="Cambria Math" w:hAnsi="Cambria Math"/>
                    <w:sz w:val="18"/>
                    <w:szCs w:val="18"/>
                    <w:lang w:val="en-GB"/>
                  </w:rPr>
                  <m:t>PB</m:t>
                </m:r>
              </m:sub>
            </m:sSub>
          </m:num>
          <m:den>
            <m:sSub>
              <m:sSubPr>
                <m:ctrlPr>
                  <w:rPr>
                    <w:rFonts w:ascii="Cambria Math" w:hAnsi="Cambria Math"/>
                    <w:i/>
                    <w:sz w:val="18"/>
                    <w:szCs w:val="18"/>
                    <w:lang w:val="en-GB"/>
                  </w:rPr>
                </m:ctrlPr>
              </m:sSubPr>
              <m:e>
                <m:r>
                  <w:rPr>
                    <w:rFonts w:ascii="Cambria Math" w:hAnsi="Cambria Math"/>
                    <w:sz w:val="18"/>
                    <w:szCs w:val="18"/>
                    <w:lang w:val="en-GB"/>
                  </w:rPr>
                  <m:t>ρ</m:t>
                </m:r>
              </m:e>
              <m:sub>
                <m:r>
                  <m:rPr>
                    <m:sty m:val="p"/>
                  </m:rPr>
                  <w:rPr>
                    <w:rFonts w:ascii="Cambria Math" w:hAnsi="Cambria Math"/>
                    <w:sz w:val="18"/>
                    <w:szCs w:val="18"/>
                    <w:lang w:val="en-GB"/>
                  </w:rPr>
                  <m:t>oil</m:t>
                </m:r>
              </m:sub>
            </m:sSub>
          </m:den>
        </m:f>
        <m:r>
          <w:rPr>
            <w:rFonts w:ascii="Cambria Math" w:hAnsi="Cambria Math"/>
            <w:sz w:val="18"/>
            <w:szCs w:val="18"/>
            <w:lang w:val="en-GB"/>
          </w:rPr>
          <m:t>)</m:t>
        </m:r>
        <m:sSub>
          <m:sSubPr>
            <m:ctrlPr>
              <w:rPr>
                <w:rFonts w:ascii="Cambria Math" w:hAnsi="Cambria Math"/>
                <w:i/>
                <w:sz w:val="18"/>
                <w:szCs w:val="18"/>
                <w:lang w:val="en-GB"/>
              </w:rPr>
            </m:ctrlPr>
          </m:sSubPr>
          <m:e>
            <m:r>
              <w:rPr>
                <w:rFonts w:ascii="Cambria Math" w:hAnsi="Cambria Math"/>
                <w:sz w:val="18"/>
                <w:szCs w:val="18"/>
                <w:lang w:val="en-GB"/>
              </w:rPr>
              <m:t>E</m:t>
            </m:r>
          </m:e>
          <m:sub>
            <m:r>
              <m:rPr>
                <m:sty m:val="p"/>
              </m:rPr>
              <w:rPr>
                <w:rFonts w:ascii="Cambria Math" w:hAnsi="Cambria Math"/>
                <w:sz w:val="18"/>
                <w:szCs w:val="18"/>
                <w:lang w:val="en-GB"/>
              </w:rPr>
              <m:t>av</m:t>
            </m:r>
          </m:sub>
        </m:sSub>
        <m:r>
          <w:rPr>
            <w:rFonts w:ascii="Cambria Math" w:hAnsi="Cambria Math"/>
            <w:sz w:val="18"/>
            <w:szCs w:val="18"/>
            <w:lang w:val="en-GB"/>
          </w:rPr>
          <m:t>S</m:t>
        </m:r>
        <m:d>
          <m:dPr>
            <m:ctrlPr>
              <w:rPr>
                <w:rFonts w:ascii="Cambria Math" w:hAnsi="Cambria Math"/>
                <w:i/>
                <w:sz w:val="18"/>
                <w:szCs w:val="18"/>
                <w:lang w:val="en-GB"/>
              </w:rPr>
            </m:ctrlPr>
          </m:dPr>
          <m:e>
            <m:f>
              <m:fPr>
                <m:ctrlPr>
                  <w:rPr>
                    <w:rFonts w:ascii="Cambria Math" w:hAnsi="Cambria Math"/>
                    <w:i/>
                    <w:sz w:val="18"/>
                    <w:szCs w:val="18"/>
                    <w:lang w:val="en-GB"/>
                  </w:rPr>
                </m:ctrlPr>
              </m:fPr>
              <m:num>
                <m:r>
                  <w:rPr>
                    <w:rFonts w:ascii="Cambria Math" w:hAnsi="Cambria Math"/>
                    <w:sz w:val="18"/>
                    <w:szCs w:val="18"/>
                    <w:lang w:val="en-GB"/>
                  </w:rPr>
                  <m:t>1+</m:t>
                </m:r>
                <m:f>
                  <m:fPr>
                    <m:ctrlPr>
                      <w:rPr>
                        <w:rFonts w:ascii="Cambria Math" w:hAnsi="Cambria Math"/>
                        <w:i/>
                        <w:sz w:val="18"/>
                        <w:szCs w:val="18"/>
                        <w:lang w:val="en-GB"/>
                      </w:rPr>
                    </m:ctrlPr>
                  </m:fPr>
                  <m:num>
                    <m:sSub>
                      <m:sSubPr>
                        <m:ctrlPr>
                          <w:rPr>
                            <w:rFonts w:ascii="Cambria Math" w:hAnsi="Cambria Math"/>
                            <w:i/>
                            <w:sz w:val="18"/>
                            <w:szCs w:val="18"/>
                            <w:lang w:val="en-GB"/>
                          </w:rPr>
                        </m:ctrlPr>
                      </m:sSubPr>
                      <m:e>
                        <m:r>
                          <w:rPr>
                            <w:rFonts w:ascii="Cambria Math" w:hAnsi="Cambria Math"/>
                            <w:sz w:val="18"/>
                            <w:szCs w:val="18"/>
                            <w:lang w:val="en-GB"/>
                          </w:rPr>
                          <m:t>d</m:t>
                        </m:r>
                      </m:e>
                      <m:sub>
                        <m:r>
                          <m:rPr>
                            <m:sty m:val="p"/>
                          </m:rPr>
                          <w:rPr>
                            <w:rFonts w:ascii="Cambria Math" w:hAnsi="Cambria Math"/>
                            <w:sz w:val="18"/>
                            <w:szCs w:val="18"/>
                            <w:lang w:val="en-GB"/>
                          </w:rPr>
                          <m:t>oil</m:t>
                        </m:r>
                      </m:sub>
                    </m:sSub>
                  </m:num>
                  <m:den>
                    <m:sSub>
                      <m:sSubPr>
                        <m:ctrlPr>
                          <w:rPr>
                            <w:rFonts w:ascii="Cambria Math" w:hAnsi="Cambria Math"/>
                            <w:i/>
                            <w:sz w:val="18"/>
                            <w:szCs w:val="18"/>
                            <w:lang w:val="en-GB"/>
                          </w:rPr>
                        </m:ctrlPr>
                      </m:sSubPr>
                      <m:e>
                        <m:r>
                          <w:rPr>
                            <w:rFonts w:ascii="Cambria Math" w:hAnsi="Cambria Math"/>
                            <w:sz w:val="18"/>
                            <w:szCs w:val="18"/>
                            <w:lang w:val="en-GB"/>
                          </w:rPr>
                          <m:t>d</m:t>
                        </m:r>
                      </m:e>
                      <m:sub>
                        <m:r>
                          <m:rPr>
                            <m:sty m:val="p"/>
                          </m:rPr>
                          <w:rPr>
                            <w:rFonts w:ascii="Cambria Math" w:hAnsi="Cambria Math"/>
                            <w:sz w:val="18"/>
                            <w:szCs w:val="18"/>
                            <w:lang w:val="en-GB"/>
                          </w:rPr>
                          <m:t>PB</m:t>
                        </m:r>
                      </m:sub>
                    </m:sSub>
                  </m:den>
                </m:f>
              </m:num>
              <m:den>
                <m:f>
                  <m:fPr>
                    <m:ctrlPr>
                      <w:rPr>
                        <w:rFonts w:ascii="Cambria Math" w:hAnsi="Cambria Math"/>
                        <w:i/>
                        <w:sz w:val="18"/>
                        <w:szCs w:val="18"/>
                        <w:lang w:val="en-GB"/>
                      </w:rPr>
                    </m:ctrlPr>
                  </m:fPr>
                  <m:num>
                    <m:sSub>
                      <m:sSubPr>
                        <m:ctrlPr>
                          <w:rPr>
                            <w:rFonts w:ascii="Cambria Math" w:hAnsi="Cambria Math"/>
                            <w:i/>
                            <w:sz w:val="18"/>
                            <w:szCs w:val="18"/>
                            <w:lang w:val="en-GB"/>
                          </w:rPr>
                        </m:ctrlPr>
                      </m:sSubPr>
                      <m:e>
                        <m:r>
                          <w:rPr>
                            <w:rFonts w:ascii="Cambria Math" w:hAnsi="Cambria Math"/>
                            <w:sz w:val="18"/>
                            <w:szCs w:val="18"/>
                            <w:lang w:val="en-GB"/>
                          </w:rPr>
                          <m:t>ρ</m:t>
                        </m:r>
                      </m:e>
                      <m:sub>
                        <m:r>
                          <m:rPr>
                            <m:sty m:val="p"/>
                          </m:rPr>
                          <w:rPr>
                            <w:rFonts w:ascii="Cambria Math" w:hAnsi="Cambria Math"/>
                            <w:sz w:val="18"/>
                            <w:szCs w:val="18"/>
                            <w:lang w:val="en-GB"/>
                          </w:rPr>
                          <m:t>PB</m:t>
                        </m:r>
                      </m:sub>
                    </m:sSub>
                  </m:num>
                  <m:den>
                    <m:sSub>
                      <m:sSubPr>
                        <m:ctrlPr>
                          <w:rPr>
                            <w:rFonts w:ascii="Cambria Math" w:hAnsi="Cambria Math"/>
                            <w:i/>
                            <w:sz w:val="18"/>
                            <w:szCs w:val="18"/>
                            <w:lang w:val="en-GB"/>
                          </w:rPr>
                        </m:ctrlPr>
                      </m:sSubPr>
                      <m:e>
                        <m:r>
                          <w:rPr>
                            <w:rFonts w:ascii="Cambria Math" w:hAnsi="Cambria Math"/>
                            <w:sz w:val="18"/>
                            <w:szCs w:val="18"/>
                            <w:lang w:val="en-GB"/>
                          </w:rPr>
                          <m:t>ρ</m:t>
                        </m:r>
                      </m:e>
                      <m:sub>
                        <m:r>
                          <m:rPr>
                            <m:sty m:val="p"/>
                          </m:rPr>
                          <w:rPr>
                            <w:rFonts w:ascii="Cambria Math" w:hAnsi="Cambria Math"/>
                            <w:sz w:val="18"/>
                            <w:szCs w:val="18"/>
                            <w:lang w:val="en-GB"/>
                          </w:rPr>
                          <m:t>oil</m:t>
                        </m:r>
                      </m:sub>
                    </m:sSub>
                  </m:den>
                </m:f>
                <m:r>
                  <w:rPr>
                    <w:rFonts w:ascii="Cambria Math" w:hAnsi="Cambria Math"/>
                    <w:sz w:val="18"/>
                    <w:szCs w:val="18"/>
                    <w:lang w:val="en-GB"/>
                  </w:rPr>
                  <m:t>+</m:t>
                </m:r>
                <m:f>
                  <m:fPr>
                    <m:ctrlPr>
                      <w:rPr>
                        <w:rFonts w:ascii="Cambria Math" w:hAnsi="Cambria Math"/>
                        <w:i/>
                        <w:sz w:val="18"/>
                        <w:szCs w:val="18"/>
                        <w:lang w:val="en-GB"/>
                      </w:rPr>
                    </m:ctrlPr>
                  </m:fPr>
                  <m:num>
                    <m:sSub>
                      <m:sSubPr>
                        <m:ctrlPr>
                          <w:rPr>
                            <w:rFonts w:ascii="Cambria Math" w:hAnsi="Cambria Math"/>
                            <w:i/>
                            <w:sz w:val="18"/>
                            <w:szCs w:val="18"/>
                            <w:lang w:val="en-GB"/>
                          </w:rPr>
                        </m:ctrlPr>
                      </m:sSubPr>
                      <m:e>
                        <m:r>
                          <w:rPr>
                            <w:rFonts w:ascii="Cambria Math" w:hAnsi="Cambria Math"/>
                            <w:sz w:val="18"/>
                            <w:szCs w:val="18"/>
                            <w:lang w:val="en-GB"/>
                          </w:rPr>
                          <m:t>d</m:t>
                        </m:r>
                      </m:e>
                      <m:sub>
                        <m:r>
                          <m:rPr>
                            <m:sty m:val="p"/>
                          </m:rPr>
                          <w:rPr>
                            <w:rFonts w:ascii="Cambria Math" w:hAnsi="Cambria Math"/>
                            <w:sz w:val="18"/>
                            <w:szCs w:val="18"/>
                            <w:lang w:val="en-GB"/>
                          </w:rPr>
                          <m:t>oil</m:t>
                        </m:r>
                      </m:sub>
                    </m:sSub>
                  </m:num>
                  <m:den>
                    <m:sSub>
                      <m:sSubPr>
                        <m:ctrlPr>
                          <w:rPr>
                            <w:rFonts w:ascii="Cambria Math" w:hAnsi="Cambria Math"/>
                            <w:i/>
                            <w:sz w:val="18"/>
                            <w:szCs w:val="18"/>
                            <w:lang w:val="en-GB"/>
                          </w:rPr>
                        </m:ctrlPr>
                      </m:sSubPr>
                      <m:e>
                        <m:r>
                          <w:rPr>
                            <w:rFonts w:ascii="Cambria Math" w:hAnsi="Cambria Math"/>
                            <w:sz w:val="18"/>
                            <w:szCs w:val="18"/>
                            <w:lang w:val="en-GB"/>
                          </w:rPr>
                          <m:t>d</m:t>
                        </m:r>
                      </m:e>
                      <m:sub>
                        <m:r>
                          <m:rPr>
                            <m:sty m:val="p"/>
                          </m:rPr>
                          <w:rPr>
                            <w:rFonts w:ascii="Cambria Math" w:hAnsi="Cambria Math"/>
                            <w:sz w:val="18"/>
                            <w:szCs w:val="18"/>
                            <w:lang w:val="en-GB"/>
                          </w:rPr>
                          <m:t>PB</m:t>
                        </m:r>
                      </m:sub>
                    </m:sSub>
                  </m:den>
                </m:f>
              </m:den>
            </m:f>
          </m:e>
        </m:d>
      </m:oMath>
      <w:r w:rsidR="008764C2" w:rsidRPr="00590A21">
        <w:rPr>
          <w:sz w:val="18"/>
          <w:szCs w:val="18"/>
          <w:lang w:val="en-GB"/>
        </w:rPr>
        <w:t xml:space="preserve">   </w:t>
      </w:r>
      <w:r w:rsidR="008764C2" w:rsidRPr="00590A21">
        <w:rPr>
          <w:szCs w:val="22"/>
          <w:lang w:val="en-GB"/>
        </w:rPr>
        <w:t>(</w:t>
      </w:r>
      <w:r w:rsidR="006A0CC3" w:rsidRPr="00590A21">
        <w:rPr>
          <w:szCs w:val="22"/>
          <w:lang w:val="en-GB"/>
        </w:rPr>
        <w:t>2</w:t>
      </w:r>
      <w:r w:rsidR="008764C2" w:rsidRPr="00590A21">
        <w:rPr>
          <w:szCs w:val="22"/>
          <w:lang w:val="en-GB"/>
        </w:rPr>
        <w:t>)</w:t>
      </w:r>
    </w:p>
    <w:p w14:paraId="45F002DB" w14:textId="2228D1B9" w:rsidR="008A6809" w:rsidRDefault="00013037" w:rsidP="00207C46">
      <w:pPr>
        <w:ind w:firstLine="142"/>
        <w:jc w:val="both"/>
        <w:rPr>
          <w:lang w:val="en-GB"/>
        </w:rPr>
      </w:pPr>
      <w:r>
        <w:rPr>
          <w:lang w:val="en-GB"/>
        </w:rPr>
        <w:t>E</w:t>
      </w:r>
      <w:r w:rsidR="008A6809">
        <w:rPr>
          <w:lang w:val="en-GB"/>
        </w:rPr>
        <w:t xml:space="preserve">quation (2) verifies the increase of </w:t>
      </w:r>
      <m:oMath>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n-GB"/>
              </w:rPr>
              <m:t>PB</m:t>
            </m:r>
          </m:sub>
        </m:sSub>
      </m:oMath>
      <w:r w:rsidR="008A6809">
        <w:rPr>
          <w:lang w:val="en-GB"/>
        </w:rPr>
        <w:t xml:space="preserve"> leads to the decrease of the interfacial charge </w:t>
      </w:r>
      <w:proofErr w:type="gramStart"/>
      <w:r w:rsidR="008A6809">
        <w:rPr>
          <w:lang w:val="en-GB"/>
        </w:rPr>
        <w:t xml:space="preserve">density </w:t>
      </w:r>
      <w:proofErr w:type="gramEnd"/>
      <m:oMath>
        <m:r>
          <m:rPr>
            <m:sty m:val="p"/>
          </m:rPr>
          <w:rPr>
            <w:rFonts w:ascii="Cambria Math" w:hAnsi="Cambria Math"/>
            <w:sz w:val="18"/>
            <w:szCs w:val="18"/>
            <w:lang w:val="en-GB"/>
          </w:rPr>
          <m:t>q(t)</m:t>
        </m:r>
      </m:oMath>
      <w:r w:rsidR="008A6809">
        <w:rPr>
          <w:sz w:val="18"/>
          <w:szCs w:val="18"/>
          <w:lang w:val="en-GB"/>
        </w:rPr>
        <w:t xml:space="preserve">. </w:t>
      </w:r>
    </w:p>
    <w:p w14:paraId="087AFD93" w14:textId="5BFEEA5E" w:rsidR="00AF5C85" w:rsidRDefault="00A65835" w:rsidP="00BC52DC">
      <w:pPr>
        <w:ind w:firstLine="142"/>
        <w:jc w:val="both"/>
        <w:rPr>
          <w:lang w:val="en-GB"/>
        </w:rPr>
      </w:pPr>
      <w:bookmarkStart w:id="23" w:name="OLE_LINK56"/>
      <w:bookmarkStart w:id="24" w:name="OLE_LINK186"/>
      <w:bookmarkStart w:id="25" w:name="OLE_LINK187"/>
      <w:bookmarkEnd w:id="21"/>
      <w:bookmarkEnd w:id="22"/>
      <w:r>
        <w:rPr>
          <w:lang w:val="en-GB"/>
        </w:rPr>
        <w:t>Moreover</w:t>
      </w:r>
      <w:r w:rsidR="00651F34">
        <w:rPr>
          <w:lang w:val="en-GB"/>
        </w:rPr>
        <w:t xml:space="preserve">, the thickness dependence of the interfacial charge density is correlated with the charge trapping and de-trapping rate. The DC </w:t>
      </w:r>
      <w:r w:rsidR="00651F34" w:rsidRPr="00590A21">
        <w:rPr>
          <w:lang w:val="en-GB"/>
        </w:rPr>
        <w:t xml:space="preserve">dielectric strength of the solid insulation materials decreases with the increased sample thickness </w:t>
      </w:r>
      <w:r w:rsidR="00651F34" w:rsidRPr="00590A21">
        <w:rPr>
          <w:lang w:val="en-GB"/>
        </w:rPr>
        <w:fldChar w:fldCharType="begin" w:fldLock="1"/>
      </w:r>
      <w:r w:rsidR="003A2F47">
        <w:rPr>
          <w:lang w:val="en-GB"/>
        </w:rPr>
        <w:instrText>ADDIN CSL_CITATION {"citationItems":[{"id":"ITEM-1","itemData":{"DOI":"10.1109/TDEI.2016.005811","author":[{"dropping-particle":"","family":"Zhou","given":"Churui","non-dropping-particle":"","parse-names":false,"suffix":""},{"dropping-particle":"","family":"Chen","given":"George","non-dropping-particle":"","parse-names":false,"suffix":""}],"container-title":"IEEE Transactions on Dielectrics and Electrical Insulation","id":"ITEM-1","issue":"1","issued":{"date-parts":[["2017"]]},"page":"559-566","title":"Space Charge and AC Electrical Breakdown Strength in Polyethylene","type":"article-journal","volume":"24"},"uris":["http://www.mendeley.com/documents/?uuid=9ce585e7-ed58-49c0-9877-6301b76c0538"]}],"mendeley":{"formattedCitation":"[19]","plainTextFormattedCitation":"[19]","previouslyFormattedCitation":"[19]"},"properties":{"noteIndex":0},"schema":"https://github.com/citation-style-language/schema/raw/master/csl-citation.json"}</w:instrText>
      </w:r>
      <w:r w:rsidR="00651F34" w:rsidRPr="00590A21">
        <w:rPr>
          <w:lang w:val="en-GB"/>
        </w:rPr>
        <w:fldChar w:fldCharType="separate"/>
      </w:r>
      <w:r w:rsidR="00533BF7" w:rsidRPr="00533BF7">
        <w:rPr>
          <w:noProof/>
          <w:lang w:val="en-GB"/>
        </w:rPr>
        <w:t>[19]</w:t>
      </w:r>
      <w:r w:rsidR="00651F34" w:rsidRPr="00590A21">
        <w:rPr>
          <w:lang w:val="en-GB"/>
        </w:rPr>
        <w:fldChar w:fldCharType="end"/>
      </w:r>
      <w:r w:rsidR="00651F34" w:rsidRPr="00590A21">
        <w:rPr>
          <w:lang w:val="en-GB"/>
        </w:rPr>
        <w:t xml:space="preserve">. It </w:t>
      </w:r>
      <w:r w:rsidR="00651F34">
        <w:rPr>
          <w:lang w:val="en-GB"/>
        </w:rPr>
        <w:t>indicates</w:t>
      </w:r>
      <w:r w:rsidR="00651F34" w:rsidRPr="00590A21">
        <w:rPr>
          <w:lang w:val="en-GB"/>
        </w:rPr>
        <w:t xml:space="preserve"> that the trapping rate </w:t>
      </w:r>
      <w:r w:rsidR="008649E9">
        <w:rPr>
          <w:lang w:val="en-GB"/>
        </w:rPr>
        <w:t xml:space="preserve">is higher than the de-trapping rate </w:t>
      </w:r>
      <w:r w:rsidR="00651F34" w:rsidRPr="00590A21">
        <w:rPr>
          <w:lang w:val="en-GB"/>
        </w:rPr>
        <w:t xml:space="preserve">of the </w:t>
      </w:r>
      <w:r w:rsidR="00651F34" w:rsidRPr="00590A21">
        <w:rPr>
          <w:lang w:val="en-GB"/>
        </w:rPr>
        <w:t xml:space="preserve">space charge with the increased sample thickness. Therefore, the increased thickness of PB </w:t>
      </w:r>
      <w:r w:rsidR="00AF5C85">
        <w:rPr>
          <w:lang w:val="en-GB"/>
        </w:rPr>
        <w:t xml:space="preserve">leads to the increase of the trapping rate of positive charge and decrease the </w:t>
      </w:r>
      <w:r w:rsidR="00A315B7">
        <w:rPr>
          <w:lang w:val="en-GB"/>
        </w:rPr>
        <w:t xml:space="preserve">negative interfacial charge density at the oil PB interface </w:t>
      </w:r>
      <w:r w:rsidR="00A315B7" w:rsidRPr="00590A21">
        <w:rPr>
          <w:lang w:val="en-GB"/>
        </w:rPr>
        <w:fldChar w:fldCharType="begin" w:fldLock="1"/>
      </w:r>
      <w:r w:rsidR="000F792E">
        <w:rPr>
          <w:lang w:val="en-GB"/>
        </w:rPr>
        <w:instrText>ADDIN CSL_CITATION {"citationItems":[{"id":"ITEM-1","itemData":{"author":[{"dropping-particle":"","family":"Chen","given":"G","non-dropping-particle":"","parse-names":false,"suffix":""},{"dropping-particle":"","family":"Tanaka","given":"Y","non-dropping-particle":"","parse-names":false,"suffix":""},{"dropping-particle":"","family":"Takada","given":"T","non-dropping-particle":"","parse-names":false,"suffix":""},{"dropping-particle":"","family":"Zhong","given":"L","non-dropping-particle":"","parse-names":false,"suffix":""}],"container-title":"IEEE Transactions on Dielectrics and Electrical Insulation","id":"ITEM-1","issue":"1","issued":{"date-parts":[["2004"]]},"page":"113-121","title":"Effect of Polyethylene Interface on Space Charge Formation","type":"article-journal","volume":"11"},"uris":["http://www.mendeley.com/documents/?uuid=6dbfeb74-37a6-4e3b-a637-3ab6cb1dfc25"]}],"mendeley":{"formattedCitation":"[7]","plainTextFormattedCitation":"[7]","previouslyFormattedCitation":"[7]"},"properties":{"noteIndex":0},"schema":"https://github.com/citation-style-language/schema/raw/master/csl-citation.json"}</w:instrText>
      </w:r>
      <w:r w:rsidR="00A315B7" w:rsidRPr="00590A21">
        <w:rPr>
          <w:lang w:val="en-GB"/>
        </w:rPr>
        <w:fldChar w:fldCharType="separate"/>
      </w:r>
      <w:r w:rsidR="00152D0F" w:rsidRPr="00152D0F">
        <w:rPr>
          <w:noProof/>
          <w:lang w:val="en-GB"/>
        </w:rPr>
        <w:t>[7]</w:t>
      </w:r>
      <w:r w:rsidR="00A315B7" w:rsidRPr="00590A21">
        <w:rPr>
          <w:lang w:val="en-GB"/>
        </w:rPr>
        <w:fldChar w:fldCharType="end"/>
      </w:r>
      <w:r w:rsidR="00A315B7">
        <w:rPr>
          <w:lang w:val="en-GB"/>
        </w:rPr>
        <w:t xml:space="preserve">. </w:t>
      </w:r>
    </w:p>
    <w:p w14:paraId="3C981841" w14:textId="716671EC" w:rsidR="008764C2" w:rsidRPr="00590A21" w:rsidRDefault="008764C2" w:rsidP="00207C46">
      <w:pPr>
        <w:ind w:firstLine="142"/>
        <w:jc w:val="both"/>
        <w:rPr>
          <w:lang w:val="en-GB"/>
        </w:rPr>
      </w:pPr>
      <w:r w:rsidRPr="00590A21">
        <w:rPr>
          <w:lang w:val="en-GB"/>
        </w:rPr>
        <w:t>Based on the above discussion,</w:t>
      </w:r>
      <w:r w:rsidR="00DF5803">
        <w:rPr>
          <w:lang w:val="en-GB"/>
        </w:rPr>
        <w:t xml:space="preserve"> the</w:t>
      </w:r>
      <w:r w:rsidRPr="00590A21">
        <w:rPr>
          <w:lang w:val="en-GB"/>
        </w:rPr>
        <w:t xml:space="preserve"> increased thickness of oil increases the negative interfacial charge density while the increased thickness of PB decreases the negative interfacial charge density. These two opposite trends allow us to hypothesise that the same thickness ratio of the oil and PB leads to the similar space charge distribution under the same electric field. </w:t>
      </w:r>
    </w:p>
    <w:p w14:paraId="31E75A3E" w14:textId="79B2278A" w:rsidR="008764C2" w:rsidRPr="00590A21" w:rsidRDefault="008764C2" w:rsidP="00207C46">
      <w:pPr>
        <w:ind w:firstLine="142"/>
        <w:jc w:val="both"/>
        <w:rPr>
          <w:lang w:val="en-GB"/>
        </w:rPr>
      </w:pPr>
      <w:r w:rsidRPr="00590A21">
        <w:rPr>
          <w:lang w:val="en-GB"/>
        </w:rPr>
        <w:t xml:space="preserve">To verify this hypothesis, the interfacial charge and maximum electric field are further investigated based on both Maxwell-Wagner theory and space charge results. The interfacial charge of oil and PB can be calculated based on </w:t>
      </w:r>
      <w:r w:rsidR="00013037">
        <w:rPr>
          <w:lang w:val="en-GB"/>
        </w:rPr>
        <w:t>E</w:t>
      </w:r>
      <w:r w:rsidRPr="00590A21">
        <w:rPr>
          <w:lang w:val="en-GB"/>
        </w:rPr>
        <w:t>quation</w:t>
      </w:r>
      <w:r w:rsidR="00DF5803">
        <w:rPr>
          <w:lang w:val="en-GB"/>
        </w:rPr>
        <w:t>s</w:t>
      </w:r>
      <w:r w:rsidRPr="00590A21">
        <w:rPr>
          <w:lang w:val="en-GB"/>
        </w:rPr>
        <w:t xml:space="preserve"> </w:t>
      </w:r>
      <w:r w:rsidR="00DF5803">
        <w:rPr>
          <w:lang w:val="en-GB"/>
        </w:rPr>
        <w:t>(3) and (4)</w:t>
      </w:r>
      <w:r w:rsidRPr="00590A21">
        <w:rPr>
          <w:lang w:val="en-GB"/>
        </w:rPr>
        <w:t xml:space="preserve">: </w:t>
      </w:r>
    </w:p>
    <w:tbl>
      <w:tblPr>
        <w:tblStyle w:val="TableGrid"/>
        <w:tblW w:w="0" w:type="auto"/>
        <w:tblLook w:val="04A0" w:firstRow="1" w:lastRow="0" w:firstColumn="1" w:lastColumn="0" w:noHBand="0" w:noVBand="1"/>
      </w:tblPr>
      <w:tblGrid>
        <w:gridCol w:w="4390"/>
        <w:gridCol w:w="640"/>
      </w:tblGrid>
      <w:tr w:rsidR="00893CBB" w:rsidRPr="00246AA8" w14:paraId="6626043E" w14:textId="77777777" w:rsidTr="00246AA8">
        <w:tc>
          <w:tcPr>
            <w:tcW w:w="4390" w:type="dxa"/>
            <w:tcBorders>
              <w:top w:val="nil"/>
              <w:left w:val="nil"/>
              <w:bottom w:val="nil"/>
              <w:right w:val="nil"/>
            </w:tcBorders>
          </w:tcPr>
          <w:p w14:paraId="31A477F0" w14:textId="0F824B97" w:rsidR="00893CBB" w:rsidRPr="00590A21" w:rsidRDefault="00893CBB" w:rsidP="00207C46">
            <w:pPr>
              <w:jc w:val="both"/>
              <w:rPr>
                <w:lang w:val="en-GB"/>
              </w:rPr>
            </w:pPr>
            <m:oMathPara>
              <m:oMath>
                <m:r>
                  <w:rPr>
                    <w:rFonts w:ascii="Cambria Math" w:hAnsi="Cambria Math"/>
                    <w:sz w:val="18"/>
                    <w:szCs w:val="18"/>
                    <w:lang w:val="en-GB"/>
                  </w:rPr>
                  <m:t>Q(t)=</m:t>
                </m:r>
                <m:d>
                  <m:dPr>
                    <m:ctrlPr>
                      <w:rPr>
                        <w:rFonts w:ascii="Cambria Math" w:hAnsi="Cambria Math"/>
                        <w:i/>
                        <w:sz w:val="18"/>
                        <w:szCs w:val="18"/>
                        <w:lang w:val="en-GB"/>
                      </w:rPr>
                    </m:ctrlPr>
                  </m:dPr>
                  <m:e>
                    <m:f>
                      <m:fPr>
                        <m:ctrlPr>
                          <w:rPr>
                            <w:rFonts w:ascii="Cambria Math" w:hAnsi="Cambria Math"/>
                            <w:i/>
                            <w:sz w:val="18"/>
                            <w:szCs w:val="18"/>
                            <w:lang w:val="en-GB"/>
                          </w:rPr>
                        </m:ctrlPr>
                      </m:fPr>
                      <m:num>
                        <m:sSub>
                          <m:sSubPr>
                            <m:ctrlPr>
                              <w:rPr>
                                <w:rFonts w:ascii="Cambria Math" w:hAnsi="Cambria Math"/>
                                <w:i/>
                                <w:sz w:val="18"/>
                                <w:szCs w:val="18"/>
                                <w:lang w:val="en-GB"/>
                              </w:rPr>
                            </m:ctrlPr>
                          </m:sSubPr>
                          <m:e>
                            <m:r>
                              <w:rPr>
                                <w:rFonts w:ascii="Cambria Math" w:hAnsi="Cambria Math"/>
                                <w:sz w:val="18"/>
                                <w:szCs w:val="18"/>
                                <w:lang w:val="en-GB"/>
                              </w:rPr>
                              <m:t>ε</m:t>
                            </m:r>
                          </m:e>
                          <m:sub>
                            <m:r>
                              <w:rPr>
                                <w:rFonts w:ascii="Cambria Math" w:hAnsi="Cambria Math"/>
                                <w:sz w:val="18"/>
                                <w:szCs w:val="18"/>
                                <w:lang w:val="en-GB"/>
                              </w:rPr>
                              <m:t>oil</m:t>
                            </m:r>
                          </m:sub>
                        </m:sSub>
                        <m:sSub>
                          <m:sSubPr>
                            <m:ctrlPr>
                              <w:rPr>
                                <w:rFonts w:ascii="Cambria Math" w:hAnsi="Cambria Math"/>
                                <w:i/>
                                <w:sz w:val="18"/>
                                <w:szCs w:val="18"/>
                                <w:lang w:val="en-GB"/>
                              </w:rPr>
                            </m:ctrlPr>
                          </m:sSubPr>
                          <m:e>
                            <m:r>
                              <w:rPr>
                                <w:rFonts w:ascii="Cambria Math" w:hAnsi="Cambria Math"/>
                                <w:sz w:val="18"/>
                                <w:szCs w:val="18"/>
                                <w:lang w:val="en-GB"/>
                              </w:rPr>
                              <m:t>γ</m:t>
                            </m:r>
                          </m:e>
                          <m:sub>
                            <m:r>
                              <w:rPr>
                                <w:rFonts w:ascii="Cambria Math" w:hAnsi="Cambria Math"/>
                                <w:sz w:val="18"/>
                                <w:szCs w:val="18"/>
                                <w:lang w:val="en-GB"/>
                              </w:rPr>
                              <m:t>PB</m:t>
                            </m:r>
                          </m:sub>
                        </m:sSub>
                        <m:r>
                          <w:rPr>
                            <w:rFonts w:ascii="Cambria Math" w:hAnsi="Cambria Math"/>
                            <w:sz w:val="18"/>
                            <w:szCs w:val="18"/>
                            <w:lang w:val="en-GB"/>
                          </w:rPr>
                          <m:t>-</m:t>
                        </m:r>
                        <m:sSub>
                          <m:sSubPr>
                            <m:ctrlPr>
                              <w:rPr>
                                <w:rFonts w:ascii="Cambria Math" w:hAnsi="Cambria Math"/>
                                <w:i/>
                                <w:sz w:val="18"/>
                                <w:szCs w:val="18"/>
                                <w:lang w:val="en-GB"/>
                              </w:rPr>
                            </m:ctrlPr>
                          </m:sSubPr>
                          <m:e>
                            <m:r>
                              <w:rPr>
                                <w:rFonts w:ascii="Cambria Math" w:hAnsi="Cambria Math"/>
                                <w:sz w:val="18"/>
                                <w:szCs w:val="18"/>
                                <w:lang w:val="en-GB"/>
                              </w:rPr>
                              <m:t>ε</m:t>
                            </m:r>
                          </m:e>
                          <m:sub>
                            <m:r>
                              <w:rPr>
                                <w:rFonts w:ascii="Cambria Math" w:hAnsi="Cambria Math"/>
                                <w:sz w:val="18"/>
                                <w:szCs w:val="18"/>
                                <w:lang w:val="en-GB"/>
                              </w:rPr>
                              <m:t>PB</m:t>
                            </m:r>
                          </m:sub>
                        </m:sSub>
                        <m:sSub>
                          <m:sSubPr>
                            <m:ctrlPr>
                              <w:rPr>
                                <w:rFonts w:ascii="Cambria Math" w:hAnsi="Cambria Math"/>
                                <w:i/>
                                <w:sz w:val="18"/>
                                <w:szCs w:val="18"/>
                                <w:lang w:val="en-GB"/>
                              </w:rPr>
                            </m:ctrlPr>
                          </m:sSubPr>
                          <m:e>
                            <m:r>
                              <w:rPr>
                                <w:rFonts w:ascii="Cambria Math" w:hAnsi="Cambria Math"/>
                                <w:sz w:val="18"/>
                                <w:szCs w:val="18"/>
                                <w:lang w:val="en-GB"/>
                              </w:rPr>
                              <m:t>γ</m:t>
                            </m:r>
                          </m:e>
                          <m:sub>
                            <m:r>
                              <w:rPr>
                                <w:rFonts w:ascii="Cambria Math" w:hAnsi="Cambria Math"/>
                                <w:sz w:val="18"/>
                                <w:szCs w:val="18"/>
                                <w:lang w:val="en-GB"/>
                              </w:rPr>
                              <m:t>oil</m:t>
                            </m:r>
                          </m:sub>
                        </m:sSub>
                      </m:num>
                      <m:den>
                        <m:sSub>
                          <m:sSubPr>
                            <m:ctrlPr>
                              <w:rPr>
                                <w:rFonts w:ascii="Cambria Math" w:hAnsi="Cambria Math"/>
                                <w:i/>
                                <w:sz w:val="18"/>
                                <w:szCs w:val="18"/>
                                <w:lang w:val="en-GB"/>
                              </w:rPr>
                            </m:ctrlPr>
                          </m:sSubPr>
                          <m:e>
                            <m:r>
                              <w:rPr>
                                <w:rFonts w:ascii="Cambria Math" w:hAnsi="Cambria Math"/>
                                <w:sz w:val="18"/>
                                <w:szCs w:val="18"/>
                                <w:lang w:val="en-GB"/>
                              </w:rPr>
                              <m:t>d</m:t>
                            </m:r>
                          </m:e>
                          <m:sub>
                            <m:r>
                              <w:rPr>
                                <w:rFonts w:ascii="Cambria Math" w:hAnsi="Cambria Math"/>
                                <w:sz w:val="18"/>
                                <w:szCs w:val="18"/>
                                <w:lang w:val="en-GB"/>
                              </w:rPr>
                              <m:t>oil</m:t>
                            </m:r>
                          </m:sub>
                        </m:sSub>
                        <m:sSub>
                          <m:sSubPr>
                            <m:ctrlPr>
                              <w:rPr>
                                <w:rFonts w:ascii="Cambria Math" w:hAnsi="Cambria Math"/>
                                <w:i/>
                                <w:sz w:val="18"/>
                                <w:szCs w:val="18"/>
                                <w:lang w:val="en-GB"/>
                              </w:rPr>
                            </m:ctrlPr>
                          </m:sSubPr>
                          <m:e>
                            <m:r>
                              <w:rPr>
                                <w:rFonts w:ascii="Cambria Math" w:hAnsi="Cambria Math"/>
                                <w:sz w:val="18"/>
                                <w:szCs w:val="18"/>
                                <w:lang w:val="en-GB"/>
                              </w:rPr>
                              <m:t>γ</m:t>
                            </m:r>
                          </m:e>
                          <m:sub>
                            <m:r>
                              <w:rPr>
                                <w:rFonts w:ascii="Cambria Math" w:hAnsi="Cambria Math"/>
                                <w:sz w:val="18"/>
                                <w:szCs w:val="18"/>
                                <w:lang w:val="en-GB"/>
                              </w:rPr>
                              <m:t>PB</m:t>
                            </m:r>
                          </m:sub>
                        </m:sSub>
                        <m:r>
                          <w:rPr>
                            <w:rFonts w:ascii="Cambria Math" w:hAnsi="Cambria Math"/>
                            <w:sz w:val="18"/>
                            <w:szCs w:val="18"/>
                            <w:lang w:val="en-GB"/>
                          </w:rPr>
                          <m:t>+</m:t>
                        </m:r>
                        <m:sSub>
                          <m:sSubPr>
                            <m:ctrlPr>
                              <w:rPr>
                                <w:rFonts w:ascii="Cambria Math" w:hAnsi="Cambria Math"/>
                                <w:i/>
                                <w:sz w:val="18"/>
                                <w:szCs w:val="18"/>
                                <w:lang w:val="en-GB"/>
                              </w:rPr>
                            </m:ctrlPr>
                          </m:sSubPr>
                          <m:e>
                            <m:r>
                              <w:rPr>
                                <w:rFonts w:ascii="Cambria Math" w:hAnsi="Cambria Math"/>
                                <w:sz w:val="18"/>
                                <w:szCs w:val="18"/>
                                <w:lang w:val="en-GB"/>
                              </w:rPr>
                              <m:t>d</m:t>
                            </m:r>
                          </m:e>
                          <m:sub>
                            <m:r>
                              <w:rPr>
                                <w:rFonts w:ascii="Cambria Math" w:hAnsi="Cambria Math"/>
                                <w:sz w:val="18"/>
                                <w:szCs w:val="18"/>
                                <w:lang w:val="en-GB"/>
                              </w:rPr>
                              <m:t>PB</m:t>
                            </m:r>
                          </m:sub>
                        </m:sSub>
                        <m:sSub>
                          <m:sSubPr>
                            <m:ctrlPr>
                              <w:rPr>
                                <w:rFonts w:ascii="Cambria Math" w:hAnsi="Cambria Math"/>
                                <w:i/>
                                <w:sz w:val="18"/>
                                <w:szCs w:val="18"/>
                                <w:lang w:val="en-GB"/>
                              </w:rPr>
                            </m:ctrlPr>
                          </m:sSubPr>
                          <m:e>
                            <m:r>
                              <w:rPr>
                                <w:rFonts w:ascii="Cambria Math" w:hAnsi="Cambria Math"/>
                                <w:sz w:val="18"/>
                                <w:szCs w:val="18"/>
                                <w:lang w:val="en-GB"/>
                              </w:rPr>
                              <m:t>γ</m:t>
                            </m:r>
                          </m:e>
                          <m:sub>
                            <m:r>
                              <w:rPr>
                                <w:rFonts w:ascii="Cambria Math" w:hAnsi="Cambria Math"/>
                                <w:sz w:val="18"/>
                                <w:szCs w:val="18"/>
                                <w:lang w:val="en-GB"/>
                              </w:rPr>
                              <m:t>oil</m:t>
                            </m:r>
                          </m:sub>
                        </m:sSub>
                      </m:den>
                    </m:f>
                  </m:e>
                </m:d>
                <m:r>
                  <w:rPr>
                    <w:rFonts w:ascii="Cambria Math" w:hAnsi="Cambria Math"/>
                    <w:sz w:val="18"/>
                    <w:szCs w:val="18"/>
                    <w:lang w:val="en-GB"/>
                  </w:rPr>
                  <m:t>US</m:t>
                </m:r>
                <m:d>
                  <m:dPr>
                    <m:ctrlPr>
                      <w:rPr>
                        <w:rFonts w:ascii="Cambria Math" w:hAnsi="Cambria Math"/>
                        <w:i/>
                        <w:sz w:val="18"/>
                        <w:szCs w:val="18"/>
                        <w:lang w:val="en-GB"/>
                      </w:rPr>
                    </m:ctrlPr>
                  </m:dPr>
                  <m:e>
                    <m:r>
                      <w:rPr>
                        <w:rFonts w:ascii="Cambria Math" w:hAnsi="Cambria Math"/>
                        <w:sz w:val="18"/>
                        <w:szCs w:val="18"/>
                        <w:lang w:val="en-GB"/>
                      </w:rPr>
                      <m:t>1-</m:t>
                    </m:r>
                    <m:sSup>
                      <m:sSupPr>
                        <m:ctrlPr>
                          <w:rPr>
                            <w:rFonts w:ascii="Cambria Math" w:hAnsi="Cambria Math"/>
                            <w:i/>
                            <w:sz w:val="18"/>
                            <w:szCs w:val="18"/>
                            <w:lang w:val="en-GB"/>
                          </w:rPr>
                        </m:ctrlPr>
                      </m:sSupPr>
                      <m:e>
                        <m:r>
                          <w:rPr>
                            <w:rFonts w:ascii="Cambria Math" w:hAnsi="Cambria Math"/>
                            <w:sz w:val="18"/>
                            <w:szCs w:val="18"/>
                            <w:lang w:val="en-GB"/>
                          </w:rPr>
                          <m:t>e</m:t>
                        </m:r>
                      </m:e>
                      <m:sup>
                        <m:r>
                          <w:rPr>
                            <w:rFonts w:ascii="Cambria Math" w:hAnsi="Cambria Math"/>
                            <w:sz w:val="18"/>
                            <w:szCs w:val="18"/>
                            <w:lang w:val="en-GB"/>
                          </w:rPr>
                          <m:t>-</m:t>
                        </m:r>
                        <m:f>
                          <m:fPr>
                            <m:ctrlPr>
                              <w:rPr>
                                <w:rFonts w:ascii="Cambria Math" w:hAnsi="Cambria Math"/>
                                <w:i/>
                                <w:sz w:val="18"/>
                                <w:szCs w:val="18"/>
                                <w:lang w:val="en-GB"/>
                              </w:rPr>
                            </m:ctrlPr>
                          </m:fPr>
                          <m:num>
                            <m:r>
                              <w:rPr>
                                <w:rFonts w:ascii="Cambria Math" w:hAnsi="Cambria Math"/>
                                <w:sz w:val="18"/>
                                <w:szCs w:val="18"/>
                                <w:lang w:val="en-GB"/>
                              </w:rPr>
                              <m:t>t</m:t>
                            </m:r>
                          </m:num>
                          <m:den>
                            <m:sSub>
                              <m:sSubPr>
                                <m:ctrlPr>
                                  <w:rPr>
                                    <w:rFonts w:ascii="Cambria Math" w:hAnsi="Cambria Math"/>
                                    <w:i/>
                                    <w:sz w:val="18"/>
                                    <w:szCs w:val="18"/>
                                    <w:lang w:val="en-GB"/>
                                  </w:rPr>
                                </m:ctrlPr>
                              </m:sSubPr>
                              <m:e>
                                <m:r>
                                  <w:rPr>
                                    <w:rFonts w:ascii="Cambria Math" w:hAnsi="Cambria Math"/>
                                    <w:sz w:val="18"/>
                                    <w:szCs w:val="18"/>
                                    <w:lang w:val="en-GB"/>
                                  </w:rPr>
                                  <m:t>τ</m:t>
                                </m:r>
                              </m:e>
                              <m:sub>
                                <m:r>
                                  <w:rPr>
                                    <w:rFonts w:ascii="Cambria Math" w:hAnsi="Cambria Math"/>
                                    <w:sz w:val="18"/>
                                    <w:szCs w:val="18"/>
                                    <w:lang w:val="en-GB"/>
                                  </w:rPr>
                                  <m:t>MW</m:t>
                                </m:r>
                              </m:sub>
                            </m:sSub>
                          </m:den>
                        </m:f>
                      </m:sup>
                    </m:sSup>
                  </m:e>
                </m:d>
              </m:oMath>
            </m:oMathPara>
          </w:p>
        </w:tc>
        <w:tc>
          <w:tcPr>
            <w:tcW w:w="640" w:type="dxa"/>
            <w:tcBorders>
              <w:top w:val="nil"/>
              <w:left w:val="nil"/>
              <w:bottom w:val="nil"/>
              <w:right w:val="nil"/>
            </w:tcBorders>
          </w:tcPr>
          <w:p w14:paraId="0D99F3AE" w14:textId="07E86BE1" w:rsidR="00893CBB" w:rsidRPr="00590A21" w:rsidRDefault="00893CBB" w:rsidP="00893CBB">
            <w:pPr>
              <w:jc w:val="right"/>
              <w:rPr>
                <w:lang w:val="en-GB"/>
              </w:rPr>
            </w:pPr>
            <w:r w:rsidRPr="00246AA8">
              <w:rPr>
                <w:lang w:val="en-GB"/>
              </w:rPr>
              <w:t>(3)</w:t>
            </w:r>
          </w:p>
        </w:tc>
      </w:tr>
      <w:tr w:rsidR="00893CBB" w:rsidRPr="00246AA8" w14:paraId="671C20F7" w14:textId="77777777" w:rsidTr="00246AA8">
        <w:tc>
          <w:tcPr>
            <w:tcW w:w="4390" w:type="dxa"/>
            <w:tcBorders>
              <w:top w:val="nil"/>
              <w:left w:val="nil"/>
              <w:bottom w:val="nil"/>
              <w:right w:val="nil"/>
            </w:tcBorders>
          </w:tcPr>
          <w:p w14:paraId="42BC6779" w14:textId="36D43CC3" w:rsidR="00893CBB" w:rsidRPr="00590A21" w:rsidRDefault="00893CBB" w:rsidP="00893CBB">
            <w:pPr>
              <w:jc w:val="both"/>
              <w:rPr>
                <w:lang w:val="en-GB"/>
              </w:rPr>
            </w:pPr>
            <m:oMathPara>
              <m:oMath>
                <m:r>
                  <w:rPr>
                    <w:rFonts w:ascii="Cambria Math" w:hAnsi="Cambria Math"/>
                    <w:sz w:val="18"/>
                    <w:szCs w:val="18"/>
                    <w:lang w:val="en-GB"/>
                  </w:rPr>
                  <m:t>τ=</m:t>
                </m:r>
                <m:f>
                  <m:fPr>
                    <m:ctrlPr>
                      <w:rPr>
                        <w:rFonts w:ascii="Cambria Math" w:hAnsi="Cambria Math"/>
                        <w:i/>
                        <w:sz w:val="18"/>
                        <w:szCs w:val="18"/>
                        <w:lang w:val="en-GB"/>
                      </w:rPr>
                    </m:ctrlPr>
                  </m:fPr>
                  <m:num>
                    <m:sSub>
                      <m:sSubPr>
                        <m:ctrlPr>
                          <w:rPr>
                            <w:rFonts w:ascii="Cambria Math" w:hAnsi="Cambria Math"/>
                            <w:i/>
                            <w:sz w:val="18"/>
                            <w:szCs w:val="18"/>
                            <w:lang w:val="en-GB"/>
                          </w:rPr>
                        </m:ctrlPr>
                      </m:sSubPr>
                      <m:e>
                        <m:r>
                          <w:rPr>
                            <w:rFonts w:ascii="Cambria Math" w:hAnsi="Cambria Math"/>
                            <w:sz w:val="18"/>
                            <w:szCs w:val="18"/>
                            <w:lang w:val="en-GB"/>
                          </w:rPr>
                          <m:t>d</m:t>
                        </m:r>
                      </m:e>
                      <m:sub>
                        <m:r>
                          <w:rPr>
                            <w:rFonts w:ascii="Cambria Math" w:hAnsi="Cambria Math"/>
                            <w:sz w:val="18"/>
                            <w:szCs w:val="18"/>
                            <w:lang w:val="en-GB"/>
                          </w:rPr>
                          <m:t>oil</m:t>
                        </m:r>
                      </m:sub>
                    </m:sSub>
                    <m:sSub>
                      <m:sSubPr>
                        <m:ctrlPr>
                          <w:rPr>
                            <w:rFonts w:ascii="Cambria Math" w:hAnsi="Cambria Math"/>
                            <w:i/>
                            <w:sz w:val="18"/>
                            <w:szCs w:val="18"/>
                            <w:lang w:val="en-GB"/>
                          </w:rPr>
                        </m:ctrlPr>
                      </m:sSubPr>
                      <m:e>
                        <m:r>
                          <w:rPr>
                            <w:rFonts w:ascii="Cambria Math" w:hAnsi="Cambria Math"/>
                            <w:sz w:val="18"/>
                            <w:szCs w:val="18"/>
                            <w:lang w:val="en-GB"/>
                          </w:rPr>
                          <m:t>ε</m:t>
                        </m:r>
                      </m:e>
                      <m:sub>
                        <m:r>
                          <w:rPr>
                            <w:rFonts w:ascii="Cambria Math" w:hAnsi="Cambria Math"/>
                            <w:sz w:val="18"/>
                            <w:szCs w:val="18"/>
                            <w:lang w:val="en-GB"/>
                          </w:rPr>
                          <m:t>PB</m:t>
                        </m:r>
                      </m:sub>
                    </m:sSub>
                    <m:r>
                      <w:rPr>
                        <w:rFonts w:ascii="Cambria Math" w:hAnsi="Cambria Math"/>
                        <w:sz w:val="18"/>
                        <w:szCs w:val="18"/>
                        <w:lang w:val="en-GB"/>
                      </w:rPr>
                      <m:t>+</m:t>
                    </m:r>
                    <m:sSub>
                      <m:sSubPr>
                        <m:ctrlPr>
                          <w:rPr>
                            <w:rFonts w:ascii="Cambria Math" w:hAnsi="Cambria Math"/>
                            <w:i/>
                            <w:sz w:val="18"/>
                            <w:szCs w:val="18"/>
                            <w:lang w:val="en-GB"/>
                          </w:rPr>
                        </m:ctrlPr>
                      </m:sSubPr>
                      <m:e>
                        <m:r>
                          <w:rPr>
                            <w:rFonts w:ascii="Cambria Math" w:hAnsi="Cambria Math"/>
                            <w:sz w:val="18"/>
                            <w:szCs w:val="18"/>
                            <w:lang w:val="en-GB"/>
                          </w:rPr>
                          <m:t>d</m:t>
                        </m:r>
                      </m:e>
                      <m:sub>
                        <m:r>
                          <w:rPr>
                            <w:rFonts w:ascii="Cambria Math" w:hAnsi="Cambria Math"/>
                            <w:sz w:val="18"/>
                            <w:szCs w:val="18"/>
                            <w:lang w:val="en-GB"/>
                          </w:rPr>
                          <m:t>PB</m:t>
                        </m:r>
                      </m:sub>
                    </m:sSub>
                    <m:sSub>
                      <m:sSubPr>
                        <m:ctrlPr>
                          <w:rPr>
                            <w:rFonts w:ascii="Cambria Math" w:hAnsi="Cambria Math"/>
                            <w:i/>
                            <w:sz w:val="18"/>
                            <w:szCs w:val="18"/>
                            <w:lang w:val="en-GB"/>
                          </w:rPr>
                        </m:ctrlPr>
                      </m:sSubPr>
                      <m:e>
                        <m:r>
                          <w:rPr>
                            <w:rFonts w:ascii="Cambria Math" w:hAnsi="Cambria Math"/>
                            <w:sz w:val="18"/>
                            <w:szCs w:val="18"/>
                            <w:lang w:val="en-GB"/>
                          </w:rPr>
                          <m:t>ε</m:t>
                        </m:r>
                      </m:e>
                      <m:sub>
                        <m:r>
                          <w:rPr>
                            <w:rFonts w:ascii="Cambria Math" w:hAnsi="Cambria Math"/>
                            <w:sz w:val="18"/>
                            <w:szCs w:val="18"/>
                            <w:lang w:val="en-GB"/>
                          </w:rPr>
                          <m:t>oil</m:t>
                        </m:r>
                      </m:sub>
                    </m:sSub>
                  </m:num>
                  <m:den>
                    <m:sSub>
                      <m:sSubPr>
                        <m:ctrlPr>
                          <w:rPr>
                            <w:rFonts w:ascii="Cambria Math" w:hAnsi="Cambria Math"/>
                            <w:i/>
                            <w:sz w:val="18"/>
                            <w:szCs w:val="18"/>
                            <w:lang w:val="en-GB"/>
                          </w:rPr>
                        </m:ctrlPr>
                      </m:sSubPr>
                      <m:e>
                        <m:r>
                          <w:rPr>
                            <w:rFonts w:ascii="Cambria Math" w:hAnsi="Cambria Math"/>
                            <w:sz w:val="18"/>
                            <w:szCs w:val="18"/>
                            <w:lang w:val="en-GB"/>
                          </w:rPr>
                          <m:t>d</m:t>
                        </m:r>
                      </m:e>
                      <m:sub>
                        <m:r>
                          <w:rPr>
                            <w:rFonts w:ascii="Cambria Math" w:hAnsi="Cambria Math"/>
                            <w:sz w:val="18"/>
                            <w:szCs w:val="18"/>
                            <w:lang w:val="en-GB"/>
                          </w:rPr>
                          <m:t>oil</m:t>
                        </m:r>
                      </m:sub>
                    </m:sSub>
                    <m:sSub>
                      <m:sSubPr>
                        <m:ctrlPr>
                          <w:rPr>
                            <w:rFonts w:ascii="Cambria Math" w:hAnsi="Cambria Math"/>
                            <w:i/>
                            <w:sz w:val="18"/>
                            <w:szCs w:val="18"/>
                            <w:lang w:val="en-GB"/>
                          </w:rPr>
                        </m:ctrlPr>
                      </m:sSubPr>
                      <m:e>
                        <m:r>
                          <w:rPr>
                            <w:rFonts w:ascii="Cambria Math" w:hAnsi="Cambria Math"/>
                            <w:sz w:val="18"/>
                            <w:szCs w:val="18"/>
                            <w:lang w:val="en-GB"/>
                          </w:rPr>
                          <m:t>γ</m:t>
                        </m:r>
                      </m:e>
                      <m:sub>
                        <m:r>
                          <w:rPr>
                            <w:rFonts w:ascii="Cambria Math" w:hAnsi="Cambria Math"/>
                            <w:sz w:val="18"/>
                            <w:szCs w:val="18"/>
                            <w:lang w:val="en-GB"/>
                          </w:rPr>
                          <m:t>PB</m:t>
                        </m:r>
                      </m:sub>
                    </m:sSub>
                    <m:r>
                      <w:rPr>
                        <w:rFonts w:ascii="Cambria Math" w:hAnsi="Cambria Math"/>
                        <w:sz w:val="18"/>
                        <w:szCs w:val="18"/>
                        <w:lang w:val="en-GB"/>
                      </w:rPr>
                      <m:t>+</m:t>
                    </m:r>
                    <m:sSub>
                      <m:sSubPr>
                        <m:ctrlPr>
                          <w:rPr>
                            <w:rFonts w:ascii="Cambria Math" w:hAnsi="Cambria Math"/>
                            <w:i/>
                            <w:sz w:val="18"/>
                            <w:szCs w:val="18"/>
                            <w:lang w:val="en-GB"/>
                          </w:rPr>
                        </m:ctrlPr>
                      </m:sSubPr>
                      <m:e>
                        <m:r>
                          <w:rPr>
                            <w:rFonts w:ascii="Cambria Math" w:hAnsi="Cambria Math"/>
                            <w:sz w:val="18"/>
                            <w:szCs w:val="18"/>
                            <w:lang w:val="en-GB"/>
                          </w:rPr>
                          <m:t>d</m:t>
                        </m:r>
                      </m:e>
                      <m:sub>
                        <m:r>
                          <w:rPr>
                            <w:rFonts w:ascii="Cambria Math" w:hAnsi="Cambria Math"/>
                            <w:sz w:val="18"/>
                            <w:szCs w:val="18"/>
                            <w:lang w:val="en-GB"/>
                          </w:rPr>
                          <m:t>PB</m:t>
                        </m:r>
                      </m:sub>
                    </m:sSub>
                    <m:sSub>
                      <m:sSubPr>
                        <m:ctrlPr>
                          <w:rPr>
                            <w:rFonts w:ascii="Cambria Math" w:hAnsi="Cambria Math"/>
                            <w:i/>
                            <w:sz w:val="18"/>
                            <w:szCs w:val="18"/>
                            <w:lang w:val="en-GB"/>
                          </w:rPr>
                        </m:ctrlPr>
                      </m:sSubPr>
                      <m:e>
                        <m:r>
                          <w:rPr>
                            <w:rFonts w:ascii="Cambria Math" w:hAnsi="Cambria Math"/>
                            <w:sz w:val="18"/>
                            <w:szCs w:val="18"/>
                            <w:lang w:val="en-GB"/>
                          </w:rPr>
                          <m:t>γ</m:t>
                        </m:r>
                      </m:e>
                      <m:sub>
                        <m:r>
                          <w:rPr>
                            <w:rFonts w:ascii="Cambria Math" w:hAnsi="Cambria Math"/>
                            <w:sz w:val="18"/>
                            <w:szCs w:val="18"/>
                            <w:lang w:val="en-GB"/>
                          </w:rPr>
                          <m:t>oil</m:t>
                        </m:r>
                      </m:sub>
                    </m:sSub>
                  </m:den>
                </m:f>
              </m:oMath>
            </m:oMathPara>
          </w:p>
        </w:tc>
        <w:tc>
          <w:tcPr>
            <w:tcW w:w="640" w:type="dxa"/>
            <w:tcBorders>
              <w:top w:val="nil"/>
              <w:left w:val="nil"/>
              <w:bottom w:val="nil"/>
              <w:right w:val="nil"/>
            </w:tcBorders>
          </w:tcPr>
          <w:p w14:paraId="50DA7089" w14:textId="60733B44" w:rsidR="00893CBB" w:rsidRPr="00590A21" w:rsidRDefault="00893CBB" w:rsidP="00893CBB">
            <w:pPr>
              <w:jc w:val="right"/>
              <w:rPr>
                <w:lang w:val="en-GB"/>
              </w:rPr>
            </w:pPr>
            <w:r w:rsidRPr="00246AA8">
              <w:rPr>
                <w:lang w:val="en-GB"/>
              </w:rPr>
              <w:t>(4)</w:t>
            </w:r>
          </w:p>
        </w:tc>
      </w:tr>
    </w:tbl>
    <w:p w14:paraId="63DC04C6" w14:textId="1F1B34ED" w:rsidR="008764C2" w:rsidRPr="00590A21" w:rsidRDefault="008764C2" w:rsidP="00207C46">
      <w:pPr>
        <w:jc w:val="both"/>
        <w:rPr>
          <w:lang w:val="en-GB"/>
        </w:rPr>
      </w:pPr>
      <w:bookmarkStart w:id="26" w:name="OLE_LINK57"/>
      <w:bookmarkEnd w:id="23"/>
      <w:proofErr w:type="gramStart"/>
      <w:r w:rsidRPr="00590A21">
        <w:rPr>
          <w:lang w:val="en-GB"/>
        </w:rPr>
        <w:t>where</w:t>
      </w:r>
      <w:proofErr w:type="gramEnd"/>
      <w:r w:rsidRPr="00590A21">
        <w:rPr>
          <w:lang w:val="en-GB"/>
        </w:rPr>
        <w:t xml:space="preserve"> </w:t>
      </w:r>
      <m:oMath>
        <m:r>
          <w:rPr>
            <w:rFonts w:ascii="Cambria Math" w:hAnsi="Cambria Math"/>
            <w:lang w:val="en-GB"/>
          </w:rPr>
          <m:t>Q</m:t>
        </m:r>
        <m:r>
          <m:rPr>
            <m:sty m:val="p"/>
          </m:rPr>
          <w:rPr>
            <w:rFonts w:ascii="Cambria Math" w:hAnsi="Cambria Math"/>
            <w:lang w:val="en-GB"/>
          </w:rPr>
          <m:t>(</m:t>
        </m:r>
        <m:r>
          <w:rPr>
            <w:rFonts w:ascii="Cambria Math" w:hAnsi="Cambria Math"/>
            <w:lang w:val="en-GB"/>
          </w:rPr>
          <m:t>t</m:t>
        </m:r>
        <m:r>
          <m:rPr>
            <m:sty m:val="p"/>
          </m:rPr>
          <w:rPr>
            <w:rFonts w:ascii="Cambria Math" w:hAnsi="Cambria Math"/>
            <w:lang w:val="en-GB"/>
          </w:rPr>
          <m:t>)</m:t>
        </m:r>
      </m:oMath>
      <w:r w:rsidRPr="00590A21">
        <w:rPr>
          <w:lang w:val="en-GB"/>
        </w:rPr>
        <w:t xml:space="preserve"> (C) is surface charge and </w:t>
      </w:r>
      <m:oMath>
        <m:r>
          <w:rPr>
            <w:rFonts w:ascii="Cambria Math" w:hAnsi="Cambria Math"/>
            <w:lang w:val="en-GB"/>
          </w:rPr>
          <m:t>S</m:t>
        </m:r>
      </m:oMath>
      <w:r w:rsidRPr="00590A21">
        <w:rPr>
          <w:lang w:val="en-GB"/>
        </w:rPr>
        <w:t xml:space="preserve"> is the surface area of the electrode. Figure </w:t>
      </w:r>
      <w:r w:rsidR="00894579" w:rsidRPr="00590A21">
        <w:rPr>
          <w:lang w:val="en-GB"/>
        </w:rPr>
        <w:t>5</w:t>
      </w:r>
      <w:r w:rsidRPr="00590A21">
        <w:rPr>
          <w:lang w:val="en-GB"/>
        </w:rPr>
        <w:t>a shows the absolute value of the interfacial charge density</w:t>
      </w:r>
      <w:r w:rsidR="002E370A">
        <w:rPr>
          <w:lang w:val="en-GB"/>
        </w:rPr>
        <w:t xml:space="preserve"> based on </w:t>
      </w:r>
      <w:r w:rsidR="00013037">
        <w:rPr>
          <w:lang w:val="en-GB"/>
        </w:rPr>
        <w:t>E</w:t>
      </w:r>
      <w:r w:rsidR="002E370A">
        <w:rPr>
          <w:lang w:val="en-GB"/>
        </w:rPr>
        <w:t xml:space="preserve">quations (3) and (4). Figure 5b is </w:t>
      </w:r>
      <w:r w:rsidRPr="00590A21">
        <w:rPr>
          <w:lang w:val="en-GB"/>
        </w:rPr>
        <w:t xml:space="preserve">the maximum electric field within the PB based on the Maxwell-Wagner theory. </w:t>
      </w:r>
    </w:p>
    <w:p w14:paraId="0AB00E4D" w14:textId="2C5FFFEE" w:rsidR="008764C2" w:rsidRPr="00590A21" w:rsidRDefault="008764C2" w:rsidP="00207C46">
      <w:pPr>
        <w:ind w:firstLine="142"/>
        <w:jc w:val="both"/>
        <w:rPr>
          <w:lang w:val="en-GB"/>
        </w:rPr>
      </w:pPr>
      <w:r w:rsidRPr="00590A21">
        <w:rPr>
          <w:lang w:val="en-GB"/>
        </w:rPr>
        <w:t xml:space="preserve">Figure </w:t>
      </w:r>
      <w:r w:rsidR="00894579" w:rsidRPr="00590A21">
        <w:rPr>
          <w:lang w:val="en-GB"/>
        </w:rPr>
        <w:t>5</w:t>
      </w:r>
      <w:r w:rsidRPr="00590A21">
        <w:rPr>
          <w:lang w:val="en-GB"/>
        </w:rPr>
        <w:t xml:space="preserve">a shows the absolute value of the interfacial charge density </w:t>
      </w:r>
      <m:oMath>
        <m:r>
          <w:rPr>
            <w:rFonts w:ascii="Cambria Math" w:hAnsi="Cambria Math"/>
            <w:lang w:val="en-GB"/>
          </w:rPr>
          <m:t>Q</m:t>
        </m:r>
        <m:r>
          <m:rPr>
            <m:sty m:val="p"/>
          </m:rPr>
          <w:rPr>
            <w:rFonts w:ascii="Cambria Math" w:hAnsi="Cambria Math"/>
            <w:lang w:val="en-GB"/>
          </w:rPr>
          <m:t>(</m:t>
        </m:r>
        <m:r>
          <w:rPr>
            <w:rFonts w:ascii="Cambria Math" w:hAnsi="Cambria Math"/>
            <w:lang w:val="en-GB"/>
          </w:rPr>
          <m:t>t</m:t>
        </m:r>
        <m:r>
          <m:rPr>
            <m:sty m:val="p"/>
          </m:rPr>
          <w:rPr>
            <w:rFonts w:ascii="Cambria Math" w:hAnsi="Cambria Math"/>
            <w:lang w:val="en-GB"/>
          </w:rPr>
          <m:t>)</m:t>
        </m:r>
      </m:oMath>
      <w:r w:rsidRPr="00590A21">
        <w:rPr>
          <w:lang w:val="en-GB"/>
        </w:rPr>
        <w:t xml:space="preserve"> versus the different thickness of the oil layer. Figure </w:t>
      </w:r>
      <w:r w:rsidR="00894579" w:rsidRPr="00590A21">
        <w:rPr>
          <w:lang w:val="en-GB"/>
        </w:rPr>
        <w:t>5</w:t>
      </w:r>
      <w:r w:rsidRPr="00590A21">
        <w:rPr>
          <w:lang w:val="en-GB"/>
        </w:rPr>
        <w:t xml:space="preserve">a shows that the surface charge at the oil PB interface increases with the increased oil thickness and decreases with the increased PB thickness. Moreover, the interfacial charge is the same with the same thickness ratio between the oil and PB. </w:t>
      </w:r>
    </w:p>
    <w:p w14:paraId="1F2168CE" w14:textId="3BCB1142" w:rsidR="008764C2" w:rsidRPr="00590A21" w:rsidRDefault="008764C2" w:rsidP="00F049B4">
      <w:pPr>
        <w:ind w:firstLine="142"/>
        <w:jc w:val="both"/>
        <w:rPr>
          <w:lang w:val="en-GB"/>
        </w:rPr>
      </w:pPr>
      <w:r w:rsidRPr="00590A21">
        <w:rPr>
          <w:lang w:val="en-GB"/>
        </w:rPr>
        <w:t xml:space="preserve">Figure </w:t>
      </w:r>
      <w:r w:rsidR="00894579" w:rsidRPr="00590A21">
        <w:rPr>
          <w:lang w:val="en-GB"/>
        </w:rPr>
        <w:t>5</w:t>
      </w:r>
      <w:r w:rsidRPr="00590A21">
        <w:rPr>
          <w:lang w:val="en-GB"/>
        </w:rPr>
        <w:t xml:space="preserve">b shows the maximum electric field of the PB with different thickness combination between the oil and PB. </w:t>
      </w:r>
      <w:r w:rsidR="00F049B4">
        <w:rPr>
          <w:lang w:val="en-GB"/>
        </w:rPr>
        <w:t xml:space="preserve">With the unchanged thickness of PB, it shows that </w:t>
      </w:r>
      <w:r w:rsidRPr="00590A21">
        <w:rPr>
          <w:lang w:val="en-GB"/>
        </w:rPr>
        <w:t xml:space="preserve">the maximum electric field of the PB increases with the increased oil thickness. With the unchanged thickness of oil, the maximum electric field of the PB decreases with the increased PB thickness. The comparison of Figure </w:t>
      </w:r>
      <w:r w:rsidR="00894579" w:rsidRPr="00590A21">
        <w:rPr>
          <w:lang w:val="en-GB"/>
        </w:rPr>
        <w:t>5</w:t>
      </w:r>
      <w:r w:rsidRPr="00590A21">
        <w:rPr>
          <w:lang w:val="en-GB"/>
        </w:rPr>
        <w:t xml:space="preserve">a and Figure </w:t>
      </w:r>
      <w:r w:rsidR="00894579" w:rsidRPr="00590A21">
        <w:rPr>
          <w:lang w:val="en-GB"/>
        </w:rPr>
        <w:t>5</w:t>
      </w:r>
      <w:r w:rsidRPr="00590A21">
        <w:rPr>
          <w:lang w:val="en-GB"/>
        </w:rPr>
        <w:t xml:space="preserve">b illustrates that the increased interfacial charge leads to the increased maximum electric field in the PB. </w:t>
      </w:r>
    </w:p>
    <w:tbl>
      <w:tblPr>
        <w:tblW w:w="0" w:type="auto"/>
        <w:tblLook w:val="04A0" w:firstRow="1" w:lastRow="0" w:firstColumn="1" w:lastColumn="0" w:noHBand="0" w:noVBand="1"/>
      </w:tblPr>
      <w:tblGrid>
        <w:gridCol w:w="2528"/>
        <w:gridCol w:w="2512"/>
      </w:tblGrid>
      <w:tr w:rsidR="008764C2" w:rsidRPr="00590A21" w14:paraId="52C3FEA2" w14:textId="77777777" w:rsidTr="00C025DA">
        <w:tc>
          <w:tcPr>
            <w:tcW w:w="2528" w:type="dxa"/>
            <w:shd w:val="clear" w:color="auto" w:fill="auto"/>
          </w:tcPr>
          <w:p w14:paraId="5FBE6F97" w14:textId="77777777" w:rsidR="008764C2" w:rsidRPr="00590A21" w:rsidRDefault="008764C2" w:rsidP="00C025DA">
            <w:pPr>
              <w:rPr>
                <w:lang w:val="en-GB"/>
              </w:rPr>
            </w:pPr>
            <w:r w:rsidRPr="00590A21">
              <w:rPr>
                <w:noProof/>
                <w:lang w:val="en-GB" w:eastAsia="zh-CN"/>
              </w:rPr>
              <w:drawing>
                <wp:inline distT="0" distB="0" distL="0" distR="0" wp14:anchorId="1213C05F" wp14:editId="1AC7AB32">
                  <wp:extent cx="1561605" cy="1452058"/>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81893" cy="1470923"/>
                          </a:xfrm>
                          <a:prstGeom prst="rect">
                            <a:avLst/>
                          </a:prstGeom>
                        </pic:spPr>
                      </pic:pic>
                    </a:graphicData>
                  </a:graphic>
                </wp:inline>
              </w:drawing>
            </w:r>
          </w:p>
        </w:tc>
        <w:tc>
          <w:tcPr>
            <w:tcW w:w="2512" w:type="dxa"/>
            <w:shd w:val="clear" w:color="auto" w:fill="auto"/>
          </w:tcPr>
          <w:p w14:paraId="27CBDC02" w14:textId="77777777" w:rsidR="008764C2" w:rsidRPr="00590A21" w:rsidRDefault="008764C2" w:rsidP="00C025DA">
            <w:pPr>
              <w:rPr>
                <w:lang w:val="en-GB"/>
              </w:rPr>
            </w:pPr>
            <w:r w:rsidRPr="00590A21">
              <w:rPr>
                <w:noProof/>
                <w:lang w:val="en-GB" w:eastAsia="zh-CN"/>
              </w:rPr>
              <w:drawing>
                <wp:inline distT="0" distB="0" distL="0" distR="0" wp14:anchorId="78FF56DB" wp14:editId="76B40A83">
                  <wp:extent cx="1552470" cy="1455420"/>
                  <wp:effectExtent l="0" t="0" r="0" b="0"/>
                  <wp:docPr id="9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6298" cy="1487133"/>
                          </a:xfrm>
                          <a:prstGeom prst="rect">
                            <a:avLst/>
                          </a:prstGeom>
                          <a:noFill/>
                          <a:ln>
                            <a:noFill/>
                          </a:ln>
                        </pic:spPr>
                      </pic:pic>
                    </a:graphicData>
                  </a:graphic>
                </wp:inline>
              </w:drawing>
            </w:r>
          </w:p>
        </w:tc>
      </w:tr>
      <w:tr w:rsidR="008764C2" w:rsidRPr="00590A21" w14:paraId="4EBA8A7F" w14:textId="77777777" w:rsidTr="00C025DA">
        <w:tc>
          <w:tcPr>
            <w:tcW w:w="2528" w:type="dxa"/>
            <w:shd w:val="clear" w:color="auto" w:fill="auto"/>
          </w:tcPr>
          <w:p w14:paraId="440C78C0" w14:textId="77777777" w:rsidR="008764C2" w:rsidRPr="00590A21" w:rsidRDefault="008764C2" w:rsidP="00C025DA">
            <w:pPr>
              <w:pStyle w:val="ListParagraph"/>
              <w:rPr>
                <w:lang w:val="en-GB"/>
              </w:rPr>
            </w:pPr>
            <w:r w:rsidRPr="00590A21">
              <w:rPr>
                <w:sz w:val="16"/>
                <w:szCs w:val="16"/>
                <w:lang w:val="en-GB"/>
              </w:rPr>
              <w:t>(a) Interfacial charge</w:t>
            </w:r>
          </w:p>
        </w:tc>
        <w:tc>
          <w:tcPr>
            <w:tcW w:w="2512" w:type="dxa"/>
            <w:shd w:val="clear" w:color="auto" w:fill="auto"/>
          </w:tcPr>
          <w:p w14:paraId="2D8126CE" w14:textId="60612D4E" w:rsidR="008764C2" w:rsidRPr="00590A21" w:rsidRDefault="008764C2" w:rsidP="00C025DA">
            <w:pPr>
              <w:pStyle w:val="ListParagraph"/>
              <w:rPr>
                <w:lang w:val="en-GB"/>
              </w:rPr>
            </w:pPr>
            <w:r w:rsidRPr="00590A21">
              <w:rPr>
                <w:sz w:val="16"/>
                <w:szCs w:val="16"/>
                <w:lang w:val="en-GB"/>
              </w:rPr>
              <w:t xml:space="preserve">(b) Electric field of </w:t>
            </w:r>
            <w:r w:rsidR="002E370A">
              <w:rPr>
                <w:sz w:val="16"/>
                <w:szCs w:val="16"/>
                <w:lang w:val="en-GB"/>
              </w:rPr>
              <w:t>PB</w:t>
            </w:r>
          </w:p>
        </w:tc>
      </w:tr>
      <w:tr w:rsidR="008764C2" w:rsidRPr="00590A21" w14:paraId="5DD3FF52" w14:textId="77777777" w:rsidTr="00C025DA">
        <w:tc>
          <w:tcPr>
            <w:tcW w:w="5040" w:type="dxa"/>
            <w:gridSpan w:val="2"/>
            <w:shd w:val="clear" w:color="auto" w:fill="auto"/>
          </w:tcPr>
          <w:p w14:paraId="656005EC" w14:textId="765C10D9" w:rsidR="008764C2" w:rsidRPr="00590A21" w:rsidRDefault="008764C2" w:rsidP="004C1600">
            <w:pPr>
              <w:jc w:val="both"/>
              <w:rPr>
                <w:sz w:val="16"/>
                <w:szCs w:val="16"/>
                <w:lang w:val="en-GB"/>
              </w:rPr>
            </w:pPr>
            <w:r w:rsidRPr="00590A21">
              <w:rPr>
                <w:rFonts w:ascii="Arial" w:hAnsi="Arial" w:cs="Arial"/>
                <w:b/>
                <w:sz w:val="16"/>
                <w:szCs w:val="16"/>
                <w:lang w:val="en-GB"/>
              </w:rPr>
              <w:t xml:space="preserve">Figure </w:t>
            </w:r>
            <w:r w:rsidR="001013EE" w:rsidRPr="00590A21">
              <w:rPr>
                <w:rFonts w:ascii="Arial" w:hAnsi="Arial" w:cs="Arial"/>
                <w:b/>
                <w:sz w:val="16"/>
                <w:szCs w:val="16"/>
                <w:lang w:val="en-GB"/>
              </w:rPr>
              <w:t>5</w:t>
            </w:r>
            <w:r w:rsidR="00013037">
              <w:rPr>
                <w:rFonts w:ascii="Arial" w:hAnsi="Arial" w:cs="Arial"/>
                <w:b/>
                <w:sz w:val="16"/>
                <w:szCs w:val="16"/>
                <w:lang w:val="en-GB"/>
              </w:rPr>
              <w:t>.</w:t>
            </w:r>
            <w:r w:rsidRPr="00590A21">
              <w:rPr>
                <w:rFonts w:ascii="Arial" w:hAnsi="Arial" w:cs="Arial"/>
                <w:b/>
                <w:sz w:val="16"/>
                <w:szCs w:val="16"/>
                <w:lang w:val="en-GB"/>
              </w:rPr>
              <w:t xml:space="preserve"> </w:t>
            </w:r>
            <w:r w:rsidRPr="00590A21">
              <w:rPr>
                <w:sz w:val="16"/>
                <w:szCs w:val="16"/>
                <w:lang w:val="en-GB"/>
              </w:rPr>
              <w:t>(a) The interfacial charge and (b) the electric field for two layers oil and PB with the different thickness of the oil based on Maxwell-Wagner theory</w:t>
            </w:r>
            <w:r w:rsidR="00013037">
              <w:rPr>
                <w:sz w:val="16"/>
                <w:szCs w:val="16"/>
                <w:lang w:val="en-GB"/>
              </w:rPr>
              <w:t>.</w:t>
            </w:r>
            <w:r w:rsidRPr="00590A21">
              <w:rPr>
                <w:sz w:val="16"/>
                <w:szCs w:val="16"/>
                <w:lang w:val="en-GB"/>
              </w:rPr>
              <w:t xml:space="preserve"> </w:t>
            </w:r>
          </w:p>
          <w:p w14:paraId="2FD01C22" w14:textId="77777777" w:rsidR="008764C2" w:rsidRPr="00590A21" w:rsidRDefault="008764C2" w:rsidP="00C025DA">
            <w:pPr>
              <w:rPr>
                <w:sz w:val="16"/>
                <w:szCs w:val="16"/>
                <w:lang w:val="en-GB"/>
              </w:rPr>
            </w:pPr>
          </w:p>
        </w:tc>
      </w:tr>
    </w:tbl>
    <w:p w14:paraId="28F6C4C2" w14:textId="13204400" w:rsidR="008764C2" w:rsidRPr="00590A21" w:rsidRDefault="008764C2" w:rsidP="00207C46">
      <w:pPr>
        <w:ind w:firstLine="142"/>
        <w:jc w:val="both"/>
        <w:rPr>
          <w:lang w:val="en-GB"/>
        </w:rPr>
      </w:pPr>
      <w:r w:rsidRPr="00590A21">
        <w:rPr>
          <w:lang w:val="en-GB"/>
        </w:rPr>
        <w:t xml:space="preserve">The interfacial charge amount </w:t>
      </w:r>
      <m:oMath>
        <m:r>
          <w:rPr>
            <w:rFonts w:ascii="Cambria Math" w:hAnsi="Cambria Math"/>
            <w:lang w:val="en-GB"/>
          </w:rPr>
          <m:t>q</m:t>
        </m:r>
        <m:d>
          <m:dPr>
            <m:ctrlPr>
              <w:rPr>
                <w:rFonts w:ascii="Cambria Math" w:hAnsi="Cambria Math"/>
                <w:lang w:val="en-GB"/>
              </w:rPr>
            </m:ctrlPr>
          </m:dPr>
          <m:e>
            <m:r>
              <w:rPr>
                <w:rFonts w:ascii="Cambria Math" w:hAnsi="Cambria Math"/>
                <w:lang w:val="en-GB"/>
              </w:rPr>
              <m:t>t</m:t>
            </m:r>
          </m:e>
        </m:d>
        <m:r>
          <m:rPr>
            <m:sty m:val="p"/>
          </m:rPr>
          <w:rPr>
            <w:rFonts w:ascii="Cambria Math" w:hAnsi="Cambria Math"/>
            <w:lang w:val="en-GB"/>
          </w:rPr>
          <m:t xml:space="preserve"> </m:t>
        </m:r>
      </m:oMath>
      <w:r w:rsidRPr="00590A21">
        <w:rPr>
          <w:lang w:val="en-GB"/>
        </w:rPr>
        <w:t xml:space="preserve">can also be calculated from </w:t>
      </w:r>
      <w:r w:rsidR="00013037">
        <w:rPr>
          <w:lang w:val="en-GB"/>
        </w:rPr>
        <w:t>E</w:t>
      </w:r>
      <w:r w:rsidRPr="00590A21">
        <w:rPr>
          <w:lang w:val="en-GB"/>
        </w:rPr>
        <w:t xml:space="preserve">quation </w:t>
      </w:r>
      <w:r w:rsidR="000E33D0" w:rsidRPr="00590A21">
        <w:rPr>
          <w:lang w:val="en-GB"/>
        </w:rPr>
        <w:t xml:space="preserve">(5) </w:t>
      </w:r>
      <w:r w:rsidRPr="00590A21">
        <w:rPr>
          <w:lang w:val="en-GB"/>
        </w:rPr>
        <w:t xml:space="preserve">based on the space charge results: </w:t>
      </w:r>
    </w:p>
    <w:tbl>
      <w:tblPr>
        <w:tblW w:w="0" w:type="auto"/>
        <w:tblLook w:val="04A0" w:firstRow="1" w:lastRow="0" w:firstColumn="1" w:lastColumn="0" w:noHBand="0" w:noVBand="1"/>
      </w:tblPr>
      <w:tblGrid>
        <w:gridCol w:w="1676"/>
        <w:gridCol w:w="1863"/>
        <w:gridCol w:w="1491"/>
      </w:tblGrid>
      <w:tr w:rsidR="008764C2" w:rsidRPr="00590A21" w14:paraId="72A236E9" w14:textId="77777777" w:rsidTr="00C025DA">
        <w:tc>
          <w:tcPr>
            <w:tcW w:w="1676" w:type="dxa"/>
            <w:shd w:val="clear" w:color="auto" w:fill="auto"/>
          </w:tcPr>
          <w:p w14:paraId="1DE70365" w14:textId="77777777" w:rsidR="008764C2" w:rsidRPr="00590A21" w:rsidRDefault="008764C2" w:rsidP="00207C46">
            <w:pPr>
              <w:ind w:firstLine="142"/>
              <w:rPr>
                <w:rFonts w:ascii="Cambria Math" w:hAnsi="Cambria Math"/>
                <w:lang w:val="en-GB"/>
              </w:rPr>
            </w:pPr>
          </w:p>
        </w:tc>
        <w:tc>
          <w:tcPr>
            <w:tcW w:w="1863" w:type="dxa"/>
            <w:shd w:val="clear" w:color="auto" w:fill="auto"/>
          </w:tcPr>
          <w:p w14:paraId="427A0705" w14:textId="77777777" w:rsidR="008764C2" w:rsidRPr="00590A21" w:rsidRDefault="008764C2" w:rsidP="00207C46">
            <w:pPr>
              <w:ind w:firstLine="142"/>
              <w:rPr>
                <w:rFonts w:ascii="Cambria Math" w:hAnsi="Cambria Math"/>
                <w:i/>
                <w:sz w:val="18"/>
                <w:szCs w:val="18"/>
                <w:lang w:val="en-GB"/>
              </w:rPr>
            </w:pPr>
            <m:oMathPara>
              <m:oMath>
                <m:r>
                  <w:rPr>
                    <w:rFonts w:ascii="Cambria Math" w:hAnsi="Cambria Math"/>
                    <w:sz w:val="18"/>
                    <w:szCs w:val="18"/>
                    <w:lang w:val="en-GB"/>
                  </w:rPr>
                  <m:t>q=</m:t>
                </m:r>
                <m:nary>
                  <m:naryPr>
                    <m:limLoc m:val="subSup"/>
                    <m:ctrlPr>
                      <w:rPr>
                        <w:rFonts w:ascii="Cambria Math" w:hAnsi="Cambria Math"/>
                        <w:i/>
                        <w:sz w:val="18"/>
                        <w:szCs w:val="18"/>
                        <w:lang w:val="en-GB"/>
                      </w:rPr>
                    </m:ctrlPr>
                  </m:naryPr>
                  <m:sub>
                    <m:r>
                      <w:rPr>
                        <w:rFonts w:ascii="Cambria Math" w:hAnsi="Cambria Math"/>
                        <w:sz w:val="18"/>
                        <w:szCs w:val="18"/>
                        <w:lang w:val="en-GB"/>
                      </w:rPr>
                      <m:t>d2</m:t>
                    </m:r>
                  </m:sub>
                  <m:sup>
                    <m:r>
                      <w:rPr>
                        <w:rFonts w:ascii="Cambria Math" w:hAnsi="Cambria Math"/>
                        <w:sz w:val="18"/>
                        <w:szCs w:val="18"/>
                        <w:lang w:val="en-GB"/>
                      </w:rPr>
                      <m:t>d1</m:t>
                    </m:r>
                  </m:sup>
                  <m:e>
                    <m:d>
                      <m:dPr>
                        <m:begChr m:val="|"/>
                        <m:endChr m:val="|"/>
                        <m:ctrlPr>
                          <w:rPr>
                            <w:rFonts w:ascii="Cambria Math" w:hAnsi="Cambria Math"/>
                            <w:i/>
                            <w:sz w:val="18"/>
                            <w:szCs w:val="18"/>
                            <w:lang w:val="en-GB"/>
                          </w:rPr>
                        </m:ctrlPr>
                      </m:dPr>
                      <m:e>
                        <m:r>
                          <w:rPr>
                            <w:rFonts w:ascii="Cambria Math" w:hAnsi="Cambria Math"/>
                            <w:sz w:val="18"/>
                            <w:szCs w:val="18"/>
                            <w:lang w:val="en-GB"/>
                          </w:rPr>
                          <m:t>ρ(x,t)</m:t>
                        </m:r>
                      </m:e>
                    </m:d>
                    <m:r>
                      <w:rPr>
                        <w:rFonts w:ascii="Cambria Math" w:hAnsi="Cambria Math"/>
                        <w:sz w:val="18"/>
                        <w:szCs w:val="18"/>
                        <w:lang w:val="en-GB"/>
                      </w:rPr>
                      <m:t>Sdt</m:t>
                    </m:r>
                  </m:e>
                </m:nary>
              </m:oMath>
            </m:oMathPara>
          </w:p>
        </w:tc>
        <w:tc>
          <w:tcPr>
            <w:tcW w:w="1491" w:type="dxa"/>
            <w:shd w:val="clear" w:color="auto" w:fill="auto"/>
          </w:tcPr>
          <w:p w14:paraId="5E6C0FAD" w14:textId="6FD444D9" w:rsidR="008764C2" w:rsidRPr="00B44A94" w:rsidRDefault="008764C2" w:rsidP="00207C46">
            <w:pPr>
              <w:ind w:firstLine="142"/>
              <w:jc w:val="right"/>
              <w:rPr>
                <w:lang w:val="en-GB"/>
              </w:rPr>
            </w:pPr>
            <w:r w:rsidRPr="00B44A94">
              <w:rPr>
                <w:lang w:val="en-GB"/>
              </w:rPr>
              <w:t>(</w:t>
            </w:r>
            <w:r w:rsidR="006A0CC3" w:rsidRPr="00B44A94">
              <w:rPr>
                <w:lang w:val="en-GB"/>
              </w:rPr>
              <w:t>5</w:t>
            </w:r>
            <w:r w:rsidRPr="00B44A94">
              <w:rPr>
                <w:lang w:val="en-GB"/>
              </w:rPr>
              <w:t>)</w:t>
            </w:r>
          </w:p>
        </w:tc>
      </w:tr>
    </w:tbl>
    <w:p w14:paraId="54218B65" w14:textId="39FE5BF8" w:rsidR="008764C2" w:rsidRDefault="008764C2" w:rsidP="00207C46">
      <w:pPr>
        <w:jc w:val="both"/>
        <w:rPr>
          <w:lang w:val="en-GB"/>
        </w:rPr>
      </w:pPr>
      <w:proofErr w:type="gramStart"/>
      <w:r w:rsidRPr="00590A21">
        <w:rPr>
          <w:lang w:val="en-GB"/>
        </w:rPr>
        <w:t>where</w:t>
      </w:r>
      <w:proofErr w:type="gramEnd"/>
      <w:r w:rsidRPr="00590A21">
        <w:rPr>
          <w:lang w:val="en-GB"/>
        </w:rPr>
        <w:t xml:space="preserve"> d</w:t>
      </w:r>
      <w:r w:rsidRPr="00590A21">
        <w:rPr>
          <w:vertAlign w:val="subscript"/>
          <w:lang w:val="en-GB"/>
        </w:rPr>
        <w:t>1</w:t>
      </w:r>
      <w:r w:rsidRPr="00590A21">
        <w:rPr>
          <w:lang w:val="en-GB"/>
        </w:rPr>
        <w:t xml:space="preserve"> and d</w:t>
      </w:r>
      <w:r w:rsidRPr="00590A21">
        <w:rPr>
          <w:vertAlign w:val="subscript"/>
          <w:lang w:val="en-GB"/>
        </w:rPr>
        <w:t>2</w:t>
      </w:r>
      <w:r w:rsidRPr="00590A21">
        <w:rPr>
          <w:lang w:val="en-GB"/>
        </w:rPr>
        <w:t xml:space="preserve"> is the start and end point of the interfacial charge area.</w:t>
      </w:r>
    </w:p>
    <w:p w14:paraId="6E1B018C" w14:textId="30039D7F" w:rsidR="00DA762C" w:rsidRPr="00590A21" w:rsidRDefault="00DA762C" w:rsidP="00DA762C">
      <w:pPr>
        <w:ind w:firstLine="142"/>
        <w:jc w:val="both"/>
        <w:rPr>
          <w:lang w:val="en-GB"/>
        </w:rPr>
      </w:pPr>
      <w:r w:rsidRPr="00590A21">
        <w:rPr>
          <w:lang w:val="en-GB"/>
        </w:rPr>
        <w:lastRenderedPageBreak/>
        <w:t>Figure</w:t>
      </w:r>
      <w:r w:rsidR="00013037">
        <w:rPr>
          <w:lang w:val="en-GB"/>
        </w:rPr>
        <w:t>s</w:t>
      </w:r>
      <w:r w:rsidRPr="00590A21">
        <w:rPr>
          <w:lang w:val="en-GB"/>
        </w:rPr>
        <w:t xml:space="preserve"> 6a and 6b shows the absolute value of the interfacial charge density and the maximum electric field within the PB based on the space charge results. When comparing Figure 5 to Figure 6, the same trend has been observed, namely that the interfacial charge and maximum electric field increase with the increased oil thickness. Moreover, the interface charge and the electric field is lower compared to that from the Maxwell-Wagner theory. This may relate to the fresh oil and PB, which could lead to less space charge injection and relative lower electric field enhancement. In Figure 6a, it also reflects that the interfacial charge is approximately the same with the same thickness ratio between the oil and PB. </w:t>
      </w:r>
    </w:p>
    <w:tbl>
      <w:tblPr>
        <w:tblW w:w="0" w:type="auto"/>
        <w:tblLook w:val="04A0" w:firstRow="1" w:lastRow="0" w:firstColumn="1" w:lastColumn="0" w:noHBand="0" w:noVBand="1"/>
      </w:tblPr>
      <w:tblGrid>
        <w:gridCol w:w="2451"/>
        <w:gridCol w:w="2589"/>
      </w:tblGrid>
      <w:tr w:rsidR="008764C2" w:rsidRPr="00590A21" w14:paraId="030280A1" w14:textId="77777777" w:rsidTr="00C025DA">
        <w:tc>
          <w:tcPr>
            <w:tcW w:w="2451" w:type="dxa"/>
            <w:shd w:val="clear" w:color="auto" w:fill="auto"/>
          </w:tcPr>
          <w:p w14:paraId="25ED7A2F" w14:textId="77777777" w:rsidR="008764C2" w:rsidRPr="00590A21" w:rsidRDefault="008764C2" w:rsidP="00C025DA">
            <w:pPr>
              <w:rPr>
                <w:i/>
                <w:sz w:val="16"/>
                <w:szCs w:val="16"/>
                <w:lang w:val="en-GB"/>
              </w:rPr>
            </w:pPr>
            <w:r w:rsidRPr="00590A21">
              <w:rPr>
                <w:noProof/>
                <w:lang w:val="en-GB" w:eastAsia="zh-CN"/>
              </w:rPr>
              <w:drawing>
                <wp:inline distT="0" distB="0" distL="0" distR="0" wp14:anchorId="740446A3" wp14:editId="6316CF94">
                  <wp:extent cx="1537397" cy="1464159"/>
                  <wp:effectExtent l="0" t="0" r="571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77759" cy="1502599"/>
                          </a:xfrm>
                          <a:prstGeom prst="rect">
                            <a:avLst/>
                          </a:prstGeom>
                        </pic:spPr>
                      </pic:pic>
                    </a:graphicData>
                  </a:graphic>
                </wp:inline>
              </w:drawing>
            </w:r>
          </w:p>
        </w:tc>
        <w:tc>
          <w:tcPr>
            <w:tcW w:w="2589" w:type="dxa"/>
            <w:shd w:val="clear" w:color="auto" w:fill="auto"/>
          </w:tcPr>
          <w:p w14:paraId="22752468" w14:textId="77777777" w:rsidR="008764C2" w:rsidRPr="00590A21" w:rsidRDefault="008764C2" w:rsidP="00C025DA">
            <w:pPr>
              <w:rPr>
                <w:i/>
                <w:sz w:val="16"/>
                <w:szCs w:val="16"/>
                <w:lang w:val="en-GB"/>
              </w:rPr>
            </w:pPr>
            <w:r w:rsidRPr="00590A21">
              <w:rPr>
                <w:noProof/>
                <w:lang w:val="en-GB" w:eastAsia="zh-CN"/>
              </w:rPr>
              <w:drawing>
                <wp:inline distT="0" distB="0" distL="0" distR="0" wp14:anchorId="7D263E0C" wp14:editId="3F275808">
                  <wp:extent cx="1633766" cy="1463040"/>
                  <wp:effectExtent l="0" t="0" r="508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86800" cy="1510532"/>
                          </a:xfrm>
                          <a:prstGeom prst="rect">
                            <a:avLst/>
                          </a:prstGeom>
                        </pic:spPr>
                      </pic:pic>
                    </a:graphicData>
                  </a:graphic>
                </wp:inline>
              </w:drawing>
            </w:r>
          </w:p>
        </w:tc>
      </w:tr>
      <w:tr w:rsidR="008764C2" w:rsidRPr="00590A21" w14:paraId="482E9499" w14:textId="77777777" w:rsidTr="00C025DA">
        <w:tc>
          <w:tcPr>
            <w:tcW w:w="2451" w:type="dxa"/>
            <w:shd w:val="clear" w:color="auto" w:fill="auto"/>
          </w:tcPr>
          <w:p w14:paraId="120D419C" w14:textId="77777777" w:rsidR="008764C2" w:rsidRPr="00590A21" w:rsidRDefault="008764C2" w:rsidP="00C025DA">
            <w:pPr>
              <w:jc w:val="center"/>
              <w:rPr>
                <w:i/>
                <w:sz w:val="16"/>
                <w:szCs w:val="16"/>
                <w:lang w:val="en-GB"/>
              </w:rPr>
            </w:pPr>
            <w:r w:rsidRPr="00590A21">
              <w:rPr>
                <w:sz w:val="16"/>
                <w:szCs w:val="16"/>
                <w:lang w:val="en-GB"/>
              </w:rPr>
              <w:t>(a) Interfacial charge</w:t>
            </w:r>
          </w:p>
        </w:tc>
        <w:tc>
          <w:tcPr>
            <w:tcW w:w="2589" w:type="dxa"/>
            <w:shd w:val="clear" w:color="auto" w:fill="auto"/>
          </w:tcPr>
          <w:p w14:paraId="219ABC17" w14:textId="76D40122" w:rsidR="008764C2" w:rsidRPr="00590A21" w:rsidRDefault="008764C2" w:rsidP="00C025DA">
            <w:pPr>
              <w:pStyle w:val="ListParagraph"/>
              <w:rPr>
                <w:sz w:val="16"/>
                <w:szCs w:val="16"/>
                <w:lang w:val="en-GB"/>
              </w:rPr>
            </w:pPr>
            <w:r w:rsidRPr="00590A21">
              <w:rPr>
                <w:sz w:val="16"/>
                <w:szCs w:val="16"/>
                <w:lang w:val="en-GB"/>
              </w:rPr>
              <w:t xml:space="preserve">(b) Electric field of </w:t>
            </w:r>
            <w:r w:rsidR="009420F7">
              <w:rPr>
                <w:sz w:val="16"/>
                <w:szCs w:val="16"/>
                <w:lang w:val="en-GB"/>
              </w:rPr>
              <w:t>PB</w:t>
            </w:r>
          </w:p>
        </w:tc>
      </w:tr>
      <w:tr w:rsidR="008764C2" w:rsidRPr="00590A21" w14:paraId="42E11B61" w14:textId="77777777" w:rsidTr="00C025DA">
        <w:tc>
          <w:tcPr>
            <w:tcW w:w="5040" w:type="dxa"/>
            <w:gridSpan w:val="2"/>
            <w:shd w:val="clear" w:color="auto" w:fill="auto"/>
          </w:tcPr>
          <w:p w14:paraId="3E078E0B" w14:textId="2E0C971C" w:rsidR="008764C2" w:rsidRPr="00590A21" w:rsidRDefault="008764C2" w:rsidP="004C1600">
            <w:pPr>
              <w:jc w:val="both"/>
              <w:rPr>
                <w:sz w:val="16"/>
                <w:szCs w:val="16"/>
                <w:lang w:val="en-GB"/>
              </w:rPr>
            </w:pPr>
            <w:r w:rsidRPr="00590A21">
              <w:rPr>
                <w:rFonts w:ascii="Arial" w:hAnsi="Arial" w:cs="Arial"/>
                <w:b/>
                <w:sz w:val="16"/>
                <w:szCs w:val="16"/>
                <w:lang w:val="en-GB"/>
              </w:rPr>
              <w:t xml:space="preserve">Figure </w:t>
            </w:r>
            <w:r w:rsidR="001013EE" w:rsidRPr="00590A21">
              <w:rPr>
                <w:rFonts w:ascii="Arial" w:hAnsi="Arial" w:cs="Arial"/>
                <w:b/>
                <w:sz w:val="16"/>
                <w:szCs w:val="16"/>
                <w:lang w:val="en-GB"/>
              </w:rPr>
              <w:t>6</w:t>
            </w:r>
            <w:r w:rsidR="00013037">
              <w:rPr>
                <w:rFonts w:ascii="Arial" w:hAnsi="Arial" w:cs="Arial"/>
                <w:b/>
                <w:sz w:val="16"/>
                <w:szCs w:val="16"/>
                <w:lang w:val="en-GB"/>
              </w:rPr>
              <w:t>.</w:t>
            </w:r>
            <w:r w:rsidRPr="00590A21">
              <w:rPr>
                <w:rFonts w:ascii="Arial" w:hAnsi="Arial" w:cs="Arial"/>
                <w:b/>
                <w:sz w:val="16"/>
                <w:szCs w:val="16"/>
                <w:lang w:val="en-GB"/>
              </w:rPr>
              <w:t xml:space="preserve"> </w:t>
            </w:r>
            <w:r w:rsidRPr="00590A21">
              <w:rPr>
                <w:sz w:val="16"/>
                <w:szCs w:val="16"/>
                <w:lang w:val="en-GB"/>
              </w:rPr>
              <w:t>(a) The interfacial charge (b) Electric field for two layers oil and pressboard with different thickness of oil based on space charge measurement</w:t>
            </w:r>
            <w:r w:rsidR="00013037">
              <w:rPr>
                <w:sz w:val="16"/>
                <w:szCs w:val="16"/>
                <w:lang w:val="en-GB"/>
              </w:rPr>
              <w:t>.</w:t>
            </w:r>
            <w:r w:rsidRPr="00590A21">
              <w:rPr>
                <w:sz w:val="16"/>
                <w:szCs w:val="16"/>
                <w:lang w:val="en-GB"/>
              </w:rPr>
              <w:t xml:space="preserve"> </w:t>
            </w:r>
          </w:p>
        </w:tc>
      </w:tr>
    </w:tbl>
    <w:p w14:paraId="402E9623" w14:textId="77777777" w:rsidR="00DD42AB" w:rsidRDefault="00DD42AB" w:rsidP="00207C46">
      <w:pPr>
        <w:ind w:firstLine="142"/>
        <w:jc w:val="both"/>
        <w:rPr>
          <w:lang w:val="en-GB"/>
        </w:rPr>
      </w:pPr>
    </w:p>
    <w:p w14:paraId="5EB24BCE" w14:textId="74FD9AF5" w:rsidR="008764C2" w:rsidRPr="00590A21" w:rsidRDefault="008764C2" w:rsidP="00207C46">
      <w:pPr>
        <w:ind w:firstLine="142"/>
        <w:jc w:val="both"/>
        <w:rPr>
          <w:lang w:val="en-GB"/>
        </w:rPr>
      </w:pPr>
      <w:r w:rsidRPr="00590A21">
        <w:rPr>
          <w:lang w:val="en-GB"/>
        </w:rPr>
        <w:t>The interfacial negative charge is also summarised to evaluate the space charge behaviour, a C/m</w:t>
      </w:r>
      <w:r w:rsidRPr="00590A21">
        <w:rPr>
          <w:vertAlign w:val="superscript"/>
          <w:lang w:val="en-GB"/>
        </w:rPr>
        <w:t>3</w:t>
      </w:r>
      <w:r w:rsidRPr="00590A21">
        <w:rPr>
          <w:lang w:val="en-GB"/>
        </w:rPr>
        <w:t>, b C/m</w:t>
      </w:r>
      <w:r w:rsidRPr="00590A21">
        <w:rPr>
          <w:vertAlign w:val="superscript"/>
          <w:lang w:val="en-GB"/>
        </w:rPr>
        <w:t>3</w:t>
      </w:r>
      <w:r w:rsidRPr="00590A21">
        <w:rPr>
          <w:lang w:val="en-GB"/>
        </w:rPr>
        <w:t xml:space="preserve"> and c C/m</w:t>
      </w:r>
      <w:r w:rsidRPr="00590A21">
        <w:rPr>
          <w:vertAlign w:val="superscript"/>
          <w:lang w:val="en-GB"/>
        </w:rPr>
        <w:t xml:space="preserve">3 </w:t>
      </w:r>
      <w:r w:rsidRPr="00590A21">
        <w:rPr>
          <w:lang w:val="en-GB"/>
        </w:rPr>
        <w:t>is the maximum charge density on the cathode, interface and anode. The d C/m</w:t>
      </w:r>
      <w:r w:rsidRPr="00590A21">
        <w:rPr>
          <w:vertAlign w:val="superscript"/>
          <w:lang w:val="en-GB"/>
        </w:rPr>
        <w:t>3</w:t>
      </w:r>
      <w:r w:rsidRPr="00590A21">
        <w:rPr>
          <w:lang w:val="en-GB"/>
        </w:rPr>
        <w:t>, e C/m</w:t>
      </w:r>
      <w:r w:rsidRPr="00590A21">
        <w:rPr>
          <w:vertAlign w:val="superscript"/>
          <w:lang w:val="en-GB"/>
        </w:rPr>
        <w:t>3</w:t>
      </w:r>
      <w:r w:rsidRPr="00590A21">
        <w:rPr>
          <w:lang w:val="en-GB"/>
        </w:rPr>
        <w:t xml:space="preserve"> and f C/m</w:t>
      </w:r>
      <w:r w:rsidRPr="00590A21">
        <w:rPr>
          <w:vertAlign w:val="superscript"/>
          <w:lang w:val="en-GB"/>
        </w:rPr>
        <w:t>3</w:t>
      </w:r>
      <w:r w:rsidRPr="00590A21">
        <w:rPr>
          <w:lang w:val="en-GB"/>
        </w:rPr>
        <w:t xml:space="preserve"> is the sum of the charge density on the cathode, interface and anode. The g </w:t>
      </w:r>
      <w:proofErr w:type="spellStart"/>
      <w:r w:rsidRPr="00590A21">
        <w:rPr>
          <w:lang w:val="en-GB"/>
        </w:rPr>
        <w:t>μm</w:t>
      </w:r>
      <w:proofErr w:type="spellEnd"/>
      <w:r w:rsidRPr="00590A21">
        <w:rPr>
          <w:lang w:val="en-GB"/>
        </w:rPr>
        <w:t xml:space="preserve"> is the distance of the anode peak movement due to charge injection.</w:t>
      </w:r>
    </w:p>
    <w:p w14:paraId="791307C8" w14:textId="13B10970" w:rsidR="008764C2" w:rsidRPr="00590A21" w:rsidRDefault="008764C2" w:rsidP="00207C46">
      <w:pPr>
        <w:ind w:firstLine="142"/>
        <w:jc w:val="both"/>
        <w:rPr>
          <w:lang w:val="en-GB"/>
        </w:rPr>
      </w:pPr>
      <w:r w:rsidRPr="00590A21">
        <w:rPr>
          <w:lang w:val="en-GB"/>
        </w:rPr>
        <w:t xml:space="preserve">The summary results of different thickness combination of oil and PB are shown in Table </w:t>
      </w:r>
      <w:r w:rsidR="00894579" w:rsidRPr="00590A21">
        <w:rPr>
          <w:lang w:val="en-GB"/>
        </w:rPr>
        <w:t>3</w:t>
      </w:r>
      <w:r w:rsidRPr="00590A21">
        <w:rPr>
          <w:lang w:val="en-GB"/>
        </w:rPr>
        <w:t xml:space="preserve">. In Table </w:t>
      </w:r>
      <w:r w:rsidR="00894579" w:rsidRPr="00590A21">
        <w:rPr>
          <w:lang w:val="en-GB"/>
        </w:rPr>
        <w:t>3</w:t>
      </w:r>
      <w:r w:rsidRPr="00590A21">
        <w:rPr>
          <w:lang w:val="en-GB"/>
        </w:rPr>
        <w:t>, with the comparison of a</w:t>
      </w:r>
      <w:r w:rsidRPr="00590A21">
        <w:rPr>
          <w:vertAlign w:val="superscript"/>
          <w:lang w:val="en-GB"/>
        </w:rPr>
        <w:t>1</w:t>
      </w:r>
      <w:r w:rsidRPr="00590A21">
        <w:rPr>
          <w:lang w:val="en-GB"/>
        </w:rPr>
        <w:t>, b</w:t>
      </w:r>
      <w:r w:rsidRPr="00590A21">
        <w:rPr>
          <w:vertAlign w:val="superscript"/>
          <w:lang w:val="en-GB"/>
        </w:rPr>
        <w:t>1</w:t>
      </w:r>
      <w:r w:rsidRPr="00590A21">
        <w:rPr>
          <w:lang w:val="en-GB"/>
        </w:rPr>
        <w:t>, c</w:t>
      </w:r>
      <w:r w:rsidRPr="00590A21">
        <w:rPr>
          <w:vertAlign w:val="superscript"/>
          <w:lang w:val="en-GB"/>
        </w:rPr>
        <w:t>1</w:t>
      </w:r>
      <w:r w:rsidRPr="00590A21">
        <w:rPr>
          <w:lang w:val="en-GB"/>
        </w:rPr>
        <w:t xml:space="preserve"> and a</w:t>
      </w:r>
      <w:r w:rsidRPr="00590A21">
        <w:rPr>
          <w:vertAlign w:val="superscript"/>
          <w:lang w:val="en-GB"/>
        </w:rPr>
        <w:t>4</w:t>
      </w:r>
      <w:r w:rsidRPr="00590A21">
        <w:rPr>
          <w:lang w:val="en-GB"/>
        </w:rPr>
        <w:t>, b</w:t>
      </w:r>
      <w:r w:rsidRPr="00590A21">
        <w:rPr>
          <w:vertAlign w:val="superscript"/>
          <w:lang w:val="en-GB"/>
        </w:rPr>
        <w:t>4</w:t>
      </w:r>
      <w:r w:rsidRPr="00590A21">
        <w:rPr>
          <w:lang w:val="en-GB"/>
        </w:rPr>
        <w:t>, c</w:t>
      </w:r>
      <w:r w:rsidRPr="00590A21">
        <w:rPr>
          <w:vertAlign w:val="superscript"/>
          <w:lang w:val="en-GB"/>
        </w:rPr>
        <w:t>4</w:t>
      </w:r>
      <w:r w:rsidRPr="00590A21">
        <w:rPr>
          <w:lang w:val="en-GB"/>
        </w:rPr>
        <w:t>, the space charge density is quite similar when the ratios of oil and PB is the same, as compared to other groups. Furthermore, the sum of d</w:t>
      </w:r>
      <w:r w:rsidRPr="00590A21">
        <w:rPr>
          <w:vertAlign w:val="superscript"/>
          <w:lang w:val="en-GB"/>
        </w:rPr>
        <w:t>1</w:t>
      </w:r>
      <w:r w:rsidRPr="00590A21">
        <w:rPr>
          <w:lang w:val="en-GB"/>
        </w:rPr>
        <w:t xml:space="preserve"> and e</w:t>
      </w:r>
      <w:r w:rsidRPr="00590A21">
        <w:rPr>
          <w:vertAlign w:val="superscript"/>
          <w:lang w:val="en-GB"/>
        </w:rPr>
        <w:t>1</w:t>
      </w:r>
      <w:r w:rsidRPr="00590A21">
        <w:rPr>
          <w:lang w:val="en-GB"/>
        </w:rPr>
        <w:t>, d</w:t>
      </w:r>
      <w:r w:rsidRPr="00590A21">
        <w:rPr>
          <w:vertAlign w:val="superscript"/>
          <w:lang w:val="en-GB"/>
        </w:rPr>
        <w:t>2</w:t>
      </w:r>
      <w:r w:rsidRPr="00590A21">
        <w:rPr>
          <w:lang w:val="en-GB"/>
        </w:rPr>
        <w:t xml:space="preserve"> and e</w:t>
      </w:r>
      <w:r w:rsidRPr="00590A21">
        <w:rPr>
          <w:vertAlign w:val="superscript"/>
          <w:lang w:val="en-GB"/>
        </w:rPr>
        <w:t>2</w:t>
      </w:r>
      <w:r w:rsidRPr="00590A21">
        <w:rPr>
          <w:lang w:val="en-GB"/>
        </w:rPr>
        <w:t>, d</w:t>
      </w:r>
      <w:r w:rsidRPr="00590A21">
        <w:rPr>
          <w:vertAlign w:val="superscript"/>
          <w:lang w:val="en-GB"/>
        </w:rPr>
        <w:t>3</w:t>
      </w:r>
      <w:r w:rsidRPr="00590A21">
        <w:rPr>
          <w:lang w:val="en-GB"/>
        </w:rPr>
        <w:t xml:space="preserve"> and e</w:t>
      </w:r>
      <w:r w:rsidRPr="00590A21">
        <w:rPr>
          <w:vertAlign w:val="superscript"/>
          <w:lang w:val="en-GB"/>
        </w:rPr>
        <w:t>3</w:t>
      </w:r>
      <w:r w:rsidRPr="00590A21">
        <w:rPr>
          <w:lang w:val="en-GB"/>
        </w:rPr>
        <w:t>, d</w:t>
      </w:r>
      <w:r w:rsidRPr="00590A21">
        <w:rPr>
          <w:vertAlign w:val="superscript"/>
          <w:lang w:val="en-GB"/>
        </w:rPr>
        <w:t>4</w:t>
      </w:r>
      <w:r w:rsidRPr="00590A21">
        <w:rPr>
          <w:lang w:val="en-GB"/>
        </w:rPr>
        <w:t xml:space="preserve"> and e</w:t>
      </w:r>
      <w:r w:rsidRPr="00590A21">
        <w:rPr>
          <w:vertAlign w:val="superscript"/>
          <w:lang w:val="en-GB"/>
        </w:rPr>
        <w:t>4</w:t>
      </w:r>
      <w:r w:rsidRPr="00590A21">
        <w:rPr>
          <w:lang w:val="en-GB"/>
        </w:rPr>
        <w:t xml:space="preserve"> is -19.995 C/m</w:t>
      </w:r>
      <w:r w:rsidRPr="00590A21">
        <w:rPr>
          <w:vertAlign w:val="superscript"/>
          <w:lang w:val="en-GB"/>
        </w:rPr>
        <w:t>3</w:t>
      </w:r>
      <w:r w:rsidRPr="00590A21">
        <w:rPr>
          <w:lang w:val="en-GB"/>
        </w:rPr>
        <w:t>, -64.919 C/m</w:t>
      </w:r>
      <w:r w:rsidRPr="00590A21">
        <w:rPr>
          <w:vertAlign w:val="superscript"/>
          <w:lang w:val="en-GB"/>
        </w:rPr>
        <w:t>3</w:t>
      </w:r>
      <w:r w:rsidRPr="00590A21">
        <w:rPr>
          <w:lang w:val="en-GB"/>
        </w:rPr>
        <w:t>, -6.917 C/m</w:t>
      </w:r>
      <w:r w:rsidRPr="00590A21">
        <w:rPr>
          <w:vertAlign w:val="superscript"/>
          <w:lang w:val="en-GB"/>
        </w:rPr>
        <w:t>3</w:t>
      </w:r>
      <w:r w:rsidRPr="00590A21">
        <w:rPr>
          <w:lang w:val="en-GB"/>
        </w:rPr>
        <w:t xml:space="preserve"> and -26.256 C/m</w:t>
      </w:r>
      <w:r w:rsidRPr="00590A21">
        <w:rPr>
          <w:vertAlign w:val="superscript"/>
          <w:lang w:val="en-GB"/>
        </w:rPr>
        <w:t>3</w:t>
      </w:r>
      <w:r w:rsidRPr="00590A21">
        <w:rPr>
          <w:lang w:val="en-GB"/>
        </w:rPr>
        <w:t>, respectively. Among them, the sum of d</w:t>
      </w:r>
      <w:r w:rsidRPr="00590A21">
        <w:rPr>
          <w:vertAlign w:val="superscript"/>
          <w:lang w:val="en-GB"/>
        </w:rPr>
        <w:t>1</w:t>
      </w:r>
      <w:r w:rsidRPr="00590A21">
        <w:rPr>
          <w:lang w:val="en-GB"/>
        </w:rPr>
        <w:t xml:space="preserve"> and e</w:t>
      </w:r>
      <w:r w:rsidRPr="00590A21">
        <w:rPr>
          <w:vertAlign w:val="superscript"/>
          <w:lang w:val="en-GB"/>
        </w:rPr>
        <w:t>1</w:t>
      </w:r>
      <w:r w:rsidRPr="00590A21">
        <w:rPr>
          <w:lang w:val="en-GB"/>
        </w:rPr>
        <w:t xml:space="preserve"> -19.995 C/m</w:t>
      </w:r>
      <w:r w:rsidRPr="00590A21">
        <w:rPr>
          <w:vertAlign w:val="superscript"/>
          <w:lang w:val="en-GB"/>
        </w:rPr>
        <w:t>3</w:t>
      </w:r>
      <w:r w:rsidRPr="00590A21">
        <w:rPr>
          <w:lang w:val="en-GB"/>
        </w:rPr>
        <w:t xml:space="preserve"> and d</w:t>
      </w:r>
      <w:r w:rsidRPr="00590A21">
        <w:rPr>
          <w:vertAlign w:val="superscript"/>
          <w:lang w:val="en-GB"/>
        </w:rPr>
        <w:t>4</w:t>
      </w:r>
      <w:r w:rsidRPr="00590A21">
        <w:rPr>
          <w:lang w:val="en-GB"/>
        </w:rPr>
        <w:t xml:space="preserve"> and e</w:t>
      </w:r>
      <w:r w:rsidRPr="00590A21">
        <w:rPr>
          <w:vertAlign w:val="superscript"/>
          <w:lang w:val="en-GB"/>
        </w:rPr>
        <w:t>4</w:t>
      </w:r>
      <w:r w:rsidRPr="00590A21">
        <w:rPr>
          <w:lang w:val="en-GB"/>
        </w:rPr>
        <w:t xml:space="preserve"> -26.256 C/m</w:t>
      </w:r>
      <w:r w:rsidRPr="00590A21">
        <w:rPr>
          <w:vertAlign w:val="superscript"/>
          <w:lang w:val="en-GB"/>
        </w:rPr>
        <w:t>3</w:t>
      </w:r>
      <w:r w:rsidRPr="00590A21">
        <w:rPr>
          <w:lang w:val="en-GB"/>
        </w:rPr>
        <w:t xml:space="preserve"> are approximately similar, showing that the maximum electric field in PB is approximately the same. </w:t>
      </w:r>
    </w:p>
    <w:p w14:paraId="6A1E7DB6" w14:textId="77777777" w:rsidR="008764C2" w:rsidRPr="00590A21" w:rsidRDefault="008764C2" w:rsidP="008764C2">
      <w:pPr>
        <w:ind w:firstLineChars="100" w:firstLine="200"/>
        <w:rPr>
          <w:lang w:val="en-GB"/>
        </w:rPr>
      </w:pPr>
    </w:p>
    <w:p w14:paraId="2EC9AB46" w14:textId="14AC0C88" w:rsidR="008764C2" w:rsidRPr="00590A21" w:rsidRDefault="008764C2" w:rsidP="008764C2">
      <w:pPr>
        <w:ind w:firstLineChars="100" w:firstLine="161"/>
        <w:rPr>
          <w:sz w:val="16"/>
          <w:szCs w:val="16"/>
          <w:lang w:val="en-GB"/>
        </w:rPr>
      </w:pPr>
      <w:bookmarkStart w:id="27" w:name="OLE_LINK58"/>
      <w:bookmarkEnd w:id="26"/>
      <w:r w:rsidRPr="00590A21">
        <w:rPr>
          <w:rFonts w:ascii="Arial" w:hAnsi="Arial" w:cs="Arial"/>
          <w:b/>
          <w:sz w:val="16"/>
          <w:szCs w:val="16"/>
          <w:lang w:val="en-GB"/>
        </w:rPr>
        <w:t xml:space="preserve">Table </w:t>
      </w:r>
      <w:r w:rsidR="001013EE" w:rsidRPr="00590A21">
        <w:rPr>
          <w:rFonts w:ascii="Arial" w:hAnsi="Arial" w:cs="Arial"/>
          <w:b/>
          <w:sz w:val="16"/>
          <w:szCs w:val="16"/>
          <w:lang w:val="en-GB"/>
        </w:rPr>
        <w:t>3</w:t>
      </w:r>
      <w:r w:rsidR="00013037">
        <w:rPr>
          <w:rFonts w:ascii="Arial" w:hAnsi="Arial" w:cs="Arial"/>
          <w:b/>
          <w:sz w:val="16"/>
          <w:szCs w:val="16"/>
          <w:lang w:val="en-GB"/>
        </w:rPr>
        <w:t>.</w:t>
      </w:r>
      <w:r w:rsidRPr="00590A21">
        <w:rPr>
          <w:sz w:val="16"/>
          <w:szCs w:val="16"/>
          <w:lang w:val="en-GB"/>
        </w:rPr>
        <w:t xml:space="preserve"> Space charge behaviour for various oil and paper thickness ratios</w:t>
      </w:r>
      <w:r w:rsidR="00013037">
        <w:rPr>
          <w:sz w:val="16"/>
          <w:szCs w:val="16"/>
          <w:lang w:val="en-GB"/>
        </w:rPr>
        <w:t>.</w:t>
      </w:r>
    </w:p>
    <w:tbl>
      <w:tblPr>
        <w:tblpPr w:leftFromText="180" w:rightFromText="180" w:vertAnchor="text" w:horzAnchor="margin" w:tblpY="25"/>
        <w:tblOverlap w:val="never"/>
        <w:tblW w:w="5040" w:type="dxa"/>
        <w:tblLayout w:type="fixed"/>
        <w:tblLook w:val="04A0" w:firstRow="1" w:lastRow="0" w:firstColumn="1" w:lastColumn="0" w:noHBand="0" w:noVBand="1"/>
      </w:tblPr>
      <w:tblGrid>
        <w:gridCol w:w="739"/>
        <w:gridCol w:w="505"/>
        <w:gridCol w:w="615"/>
        <w:gridCol w:w="405"/>
        <w:gridCol w:w="692"/>
        <w:gridCol w:w="405"/>
        <w:gridCol w:w="615"/>
        <w:gridCol w:w="405"/>
        <w:gridCol w:w="659"/>
      </w:tblGrid>
      <w:tr w:rsidR="00DA762C" w:rsidRPr="00590A21" w14:paraId="6748F539" w14:textId="77777777" w:rsidTr="00DA762C">
        <w:trPr>
          <w:trHeight w:val="216"/>
        </w:trPr>
        <w:tc>
          <w:tcPr>
            <w:tcW w:w="732" w:type="pct"/>
            <w:tcBorders>
              <w:top w:val="single" w:sz="12" w:space="0" w:color="auto"/>
              <w:bottom w:val="single" w:sz="4" w:space="0" w:color="auto"/>
              <w:right w:val="single" w:sz="4" w:space="0" w:color="auto"/>
            </w:tcBorders>
            <w:shd w:val="clear" w:color="auto" w:fill="auto"/>
            <w:noWrap/>
            <w:vAlign w:val="bottom"/>
            <w:hideMark/>
          </w:tcPr>
          <w:p w14:paraId="5551C70E" w14:textId="77777777" w:rsidR="00DA762C" w:rsidRPr="00590A21" w:rsidRDefault="00DA762C" w:rsidP="00DA762C">
            <w:pPr>
              <w:rPr>
                <w:lang w:val="en-GB"/>
              </w:rPr>
            </w:pPr>
          </w:p>
        </w:tc>
        <w:tc>
          <w:tcPr>
            <w:tcW w:w="2199" w:type="pct"/>
            <w:gridSpan w:val="4"/>
            <w:tcBorders>
              <w:top w:val="single" w:sz="12" w:space="0" w:color="auto"/>
              <w:left w:val="nil"/>
              <w:bottom w:val="single" w:sz="4" w:space="0" w:color="auto"/>
              <w:right w:val="single" w:sz="4" w:space="0" w:color="auto"/>
            </w:tcBorders>
            <w:shd w:val="clear" w:color="auto" w:fill="auto"/>
            <w:noWrap/>
            <w:vAlign w:val="bottom"/>
            <w:hideMark/>
          </w:tcPr>
          <w:p w14:paraId="3D4E4498" w14:textId="77777777" w:rsidR="00DA762C" w:rsidRPr="00590A21" w:rsidRDefault="00DA762C" w:rsidP="00DA762C">
            <w:pPr>
              <w:pStyle w:val="tablecolsubhead"/>
              <w:rPr>
                <w:sz w:val="16"/>
                <w:szCs w:val="16"/>
                <w:lang w:val="en-GB"/>
              </w:rPr>
            </w:pPr>
            <w:r w:rsidRPr="00590A21">
              <w:rPr>
                <w:bCs w:val="0"/>
                <w:i w:val="0"/>
                <w:iCs w:val="0"/>
                <w:sz w:val="16"/>
                <w:szCs w:val="16"/>
                <w:lang w:val="en-GB"/>
              </w:rPr>
              <w:t>Oil 0.3 (mm)</w:t>
            </w:r>
          </w:p>
        </w:tc>
        <w:tc>
          <w:tcPr>
            <w:tcW w:w="2068" w:type="pct"/>
            <w:gridSpan w:val="4"/>
            <w:tcBorders>
              <w:top w:val="single" w:sz="12" w:space="0" w:color="auto"/>
              <w:left w:val="nil"/>
              <w:bottom w:val="single" w:sz="4" w:space="0" w:color="auto"/>
            </w:tcBorders>
            <w:shd w:val="clear" w:color="auto" w:fill="auto"/>
            <w:noWrap/>
            <w:vAlign w:val="bottom"/>
            <w:hideMark/>
          </w:tcPr>
          <w:p w14:paraId="7EAA5342" w14:textId="77777777" w:rsidR="00DA762C" w:rsidRPr="00590A21" w:rsidRDefault="00DA762C" w:rsidP="00DA762C">
            <w:pPr>
              <w:pStyle w:val="tablecolsubhead"/>
              <w:rPr>
                <w:sz w:val="16"/>
                <w:szCs w:val="16"/>
                <w:lang w:val="en-GB"/>
              </w:rPr>
            </w:pPr>
            <w:r w:rsidRPr="00590A21">
              <w:rPr>
                <w:bCs w:val="0"/>
                <w:i w:val="0"/>
                <w:iCs w:val="0"/>
                <w:sz w:val="16"/>
                <w:szCs w:val="16"/>
                <w:lang w:val="en-GB"/>
              </w:rPr>
              <w:t>Oil 0.5</w:t>
            </w:r>
            <w:r w:rsidRPr="00590A21">
              <w:rPr>
                <w:sz w:val="16"/>
                <w:szCs w:val="16"/>
                <w:lang w:val="en-GB"/>
              </w:rPr>
              <w:t xml:space="preserve"> </w:t>
            </w:r>
            <w:r w:rsidRPr="00590A21">
              <w:rPr>
                <w:i w:val="0"/>
                <w:sz w:val="16"/>
                <w:szCs w:val="16"/>
                <w:lang w:val="en-GB"/>
              </w:rPr>
              <w:t>(mm)</w:t>
            </w:r>
          </w:p>
        </w:tc>
      </w:tr>
      <w:tr w:rsidR="00DA762C" w:rsidRPr="00590A21" w14:paraId="62601E95" w14:textId="77777777" w:rsidTr="00DA762C">
        <w:trPr>
          <w:trHeight w:val="202"/>
        </w:trPr>
        <w:tc>
          <w:tcPr>
            <w:tcW w:w="732" w:type="pct"/>
            <w:vMerge w:val="restart"/>
            <w:tcBorders>
              <w:top w:val="nil"/>
              <w:right w:val="single" w:sz="4" w:space="0" w:color="auto"/>
            </w:tcBorders>
            <w:shd w:val="clear" w:color="auto" w:fill="auto"/>
            <w:noWrap/>
            <w:vAlign w:val="bottom"/>
            <w:hideMark/>
          </w:tcPr>
          <w:p w14:paraId="74F47B6C" w14:textId="77777777" w:rsidR="00DA762C" w:rsidRPr="00590A21" w:rsidRDefault="00DA762C" w:rsidP="00DA762C">
            <w:pPr>
              <w:pStyle w:val="tablecopy"/>
              <w:jc w:val="center"/>
              <w:rPr>
                <w:b/>
                <w:lang w:val="en-GB"/>
              </w:rPr>
            </w:pPr>
            <w:r w:rsidRPr="00590A21">
              <w:rPr>
                <w:b/>
                <w:lang w:val="en-GB"/>
              </w:rPr>
              <w:t>Paper 0.3</w:t>
            </w:r>
          </w:p>
          <w:p w14:paraId="622FD7C4" w14:textId="77777777" w:rsidR="00DA762C" w:rsidRPr="00590A21" w:rsidRDefault="00DA762C" w:rsidP="00DA762C">
            <w:pPr>
              <w:pStyle w:val="tablecopy"/>
              <w:jc w:val="center"/>
              <w:rPr>
                <w:b/>
                <w:lang w:val="en-GB"/>
              </w:rPr>
            </w:pPr>
            <w:r w:rsidRPr="00590A21">
              <w:rPr>
                <w:b/>
                <w:lang w:val="en-GB"/>
              </w:rPr>
              <w:t>(mm)</w:t>
            </w:r>
          </w:p>
          <w:p w14:paraId="60756C04" w14:textId="77777777" w:rsidR="00DA762C" w:rsidRPr="00590A21" w:rsidRDefault="00DA762C" w:rsidP="00DA762C">
            <w:pPr>
              <w:pStyle w:val="tablecopy"/>
              <w:rPr>
                <w:b/>
                <w:lang w:val="en-GB"/>
              </w:rPr>
            </w:pPr>
          </w:p>
        </w:tc>
        <w:tc>
          <w:tcPr>
            <w:tcW w:w="501" w:type="pct"/>
            <w:tcBorders>
              <w:top w:val="nil"/>
              <w:left w:val="nil"/>
              <w:bottom w:val="single" w:sz="4" w:space="0" w:color="auto"/>
              <w:right w:val="single" w:sz="4" w:space="0" w:color="auto"/>
            </w:tcBorders>
            <w:shd w:val="clear" w:color="auto" w:fill="auto"/>
            <w:noWrap/>
            <w:hideMark/>
          </w:tcPr>
          <w:p w14:paraId="13BDD249" w14:textId="77777777" w:rsidR="00DA762C" w:rsidRPr="00590A21" w:rsidRDefault="00DA762C" w:rsidP="00DA762C">
            <w:pPr>
              <w:pStyle w:val="tablecopy"/>
              <w:rPr>
                <w:sz w:val="14"/>
                <w:szCs w:val="14"/>
                <w:lang w:val="en-GB"/>
              </w:rPr>
            </w:pPr>
            <w:r w:rsidRPr="00590A21">
              <w:rPr>
                <w:sz w:val="14"/>
                <w:szCs w:val="14"/>
                <w:lang w:val="en-GB"/>
              </w:rPr>
              <w:t>a</w:t>
            </w:r>
            <w:r w:rsidRPr="00590A21">
              <w:rPr>
                <w:sz w:val="14"/>
                <w:szCs w:val="14"/>
                <w:vertAlign w:val="superscript"/>
                <w:lang w:val="en-GB"/>
              </w:rPr>
              <w:t>1</w:t>
            </w:r>
          </w:p>
        </w:tc>
        <w:tc>
          <w:tcPr>
            <w:tcW w:w="610" w:type="pct"/>
            <w:tcBorders>
              <w:top w:val="nil"/>
              <w:left w:val="nil"/>
              <w:bottom w:val="single" w:sz="4" w:space="0" w:color="auto"/>
              <w:right w:val="single" w:sz="4" w:space="0" w:color="auto"/>
            </w:tcBorders>
            <w:shd w:val="clear" w:color="auto" w:fill="auto"/>
            <w:noWrap/>
          </w:tcPr>
          <w:p w14:paraId="74390585" w14:textId="77777777" w:rsidR="00DA762C" w:rsidRPr="00590A21" w:rsidRDefault="00DA762C" w:rsidP="00DA762C">
            <w:pPr>
              <w:pStyle w:val="tablecopy"/>
              <w:rPr>
                <w:sz w:val="14"/>
                <w:szCs w:val="14"/>
                <w:lang w:val="en-GB"/>
              </w:rPr>
            </w:pPr>
            <w:r w:rsidRPr="00590A21">
              <w:rPr>
                <w:sz w:val="14"/>
                <w:szCs w:val="14"/>
                <w:lang w:val="en-GB"/>
              </w:rPr>
              <w:t>0.068</w:t>
            </w:r>
          </w:p>
        </w:tc>
        <w:tc>
          <w:tcPr>
            <w:tcW w:w="402" w:type="pct"/>
            <w:tcBorders>
              <w:top w:val="nil"/>
              <w:left w:val="nil"/>
              <w:bottom w:val="single" w:sz="4" w:space="0" w:color="auto"/>
              <w:right w:val="single" w:sz="4" w:space="0" w:color="auto"/>
            </w:tcBorders>
            <w:shd w:val="clear" w:color="auto" w:fill="auto"/>
            <w:noWrap/>
            <w:hideMark/>
          </w:tcPr>
          <w:p w14:paraId="4A95B8B3" w14:textId="77777777" w:rsidR="00DA762C" w:rsidRPr="00590A21" w:rsidRDefault="00DA762C" w:rsidP="00DA762C">
            <w:pPr>
              <w:pStyle w:val="tablecopy"/>
              <w:rPr>
                <w:sz w:val="14"/>
                <w:szCs w:val="14"/>
                <w:lang w:val="en-GB"/>
              </w:rPr>
            </w:pPr>
            <w:r w:rsidRPr="00590A21">
              <w:rPr>
                <w:sz w:val="14"/>
                <w:szCs w:val="14"/>
                <w:lang w:val="en-GB"/>
              </w:rPr>
              <w:t>d</w:t>
            </w:r>
            <w:r w:rsidRPr="00590A21">
              <w:rPr>
                <w:sz w:val="14"/>
                <w:szCs w:val="14"/>
                <w:vertAlign w:val="superscript"/>
                <w:lang w:val="en-GB"/>
              </w:rPr>
              <w:t>1</w:t>
            </w:r>
          </w:p>
        </w:tc>
        <w:tc>
          <w:tcPr>
            <w:tcW w:w="687" w:type="pct"/>
            <w:tcBorders>
              <w:top w:val="nil"/>
              <w:left w:val="nil"/>
              <w:bottom w:val="single" w:sz="4" w:space="0" w:color="auto"/>
              <w:right w:val="single" w:sz="4" w:space="0" w:color="auto"/>
            </w:tcBorders>
            <w:shd w:val="clear" w:color="auto" w:fill="auto"/>
            <w:noWrap/>
          </w:tcPr>
          <w:p w14:paraId="6CDB8EC1" w14:textId="77777777" w:rsidR="00DA762C" w:rsidRPr="00590A21" w:rsidRDefault="00DA762C" w:rsidP="00DA762C">
            <w:pPr>
              <w:pStyle w:val="tablecopy"/>
              <w:rPr>
                <w:sz w:val="14"/>
                <w:szCs w:val="14"/>
                <w:lang w:val="en-GB"/>
              </w:rPr>
            </w:pPr>
            <w:r w:rsidRPr="00590A21">
              <w:rPr>
                <w:sz w:val="14"/>
                <w:szCs w:val="14"/>
                <w:lang w:val="en-GB"/>
              </w:rPr>
              <w:t>3.054</w:t>
            </w:r>
          </w:p>
        </w:tc>
        <w:tc>
          <w:tcPr>
            <w:tcW w:w="402" w:type="pct"/>
            <w:tcBorders>
              <w:top w:val="nil"/>
              <w:left w:val="nil"/>
              <w:bottom w:val="single" w:sz="4" w:space="0" w:color="auto"/>
              <w:right w:val="single" w:sz="4" w:space="0" w:color="auto"/>
            </w:tcBorders>
            <w:shd w:val="clear" w:color="auto" w:fill="auto"/>
            <w:noWrap/>
            <w:hideMark/>
          </w:tcPr>
          <w:p w14:paraId="3E007940" w14:textId="77777777" w:rsidR="00DA762C" w:rsidRPr="00590A21" w:rsidRDefault="00DA762C" w:rsidP="00DA762C">
            <w:pPr>
              <w:pStyle w:val="tablecopy"/>
              <w:rPr>
                <w:sz w:val="14"/>
                <w:szCs w:val="14"/>
                <w:lang w:val="en-GB"/>
              </w:rPr>
            </w:pPr>
            <w:r w:rsidRPr="00590A21">
              <w:rPr>
                <w:sz w:val="14"/>
                <w:szCs w:val="14"/>
                <w:lang w:val="en-GB"/>
              </w:rPr>
              <w:t>a</w:t>
            </w:r>
            <w:r w:rsidRPr="00590A21">
              <w:rPr>
                <w:sz w:val="14"/>
                <w:szCs w:val="14"/>
                <w:vertAlign w:val="superscript"/>
                <w:lang w:val="en-GB"/>
              </w:rPr>
              <w:t>2</w:t>
            </w:r>
          </w:p>
        </w:tc>
        <w:tc>
          <w:tcPr>
            <w:tcW w:w="610" w:type="pct"/>
            <w:tcBorders>
              <w:top w:val="nil"/>
              <w:left w:val="nil"/>
              <w:bottom w:val="single" w:sz="4" w:space="0" w:color="auto"/>
              <w:right w:val="single" w:sz="4" w:space="0" w:color="auto"/>
            </w:tcBorders>
            <w:shd w:val="clear" w:color="auto" w:fill="auto"/>
            <w:noWrap/>
          </w:tcPr>
          <w:p w14:paraId="33385EE6" w14:textId="77777777" w:rsidR="00DA762C" w:rsidRPr="00590A21" w:rsidRDefault="00DA762C" w:rsidP="00DA762C">
            <w:pPr>
              <w:pStyle w:val="tablecopy"/>
              <w:rPr>
                <w:sz w:val="14"/>
                <w:szCs w:val="14"/>
                <w:lang w:val="en-GB"/>
              </w:rPr>
            </w:pPr>
            <w:r w:rsidRPr="00590A21">
              <w:rPr>
                <w:sz w:val="14"/>
                <w:szCs w:val="14"/>
                <w:lang w:val="en-GB"/>
              </w:rPr>
              <w:t>0.201</w:t>
            </w:r>
          </w:p>
        </w:tc>
        <w:tc>
          <w:tcPr>
            <w:tcW w:w="402" w:type="pct"/>
            <w:tcBorders>
              <w:top w:val="nil"/>
              <w:left w:val="nil"/>
              <w:bottom w:val="single" w:sz="4" w:space="0" w:color="auto"/>
              <w:right w:val="single" w:sz="4" w:space="0" w:color="auto"/>
            </w:tcBorders>
            <w:shd w:val="clear" w:color="auto" w:fill="auto"/>
            <w:noWrap/>
            <w:hideMark/>
          </w:tcPr>
          <w:p w14:paraId="149D5E72" w14:textId="77777777" w:rsidR="00DA762C" w:rsidRPr="00590A21" w:rsidRDefault="00DA762C" w:rsidP="00DA762C">
            <w:pPr>
              <w:pStyle w:val="tablecopy"/>
              <w:rPr>
                <w:sz w:val="14"/>
                <w:szCs w:val="14"/>
                <w:lang w:val="en-GB"/>
              </w:rPr>
            </w:pPr>
            <w:r w:rsidRPr="00590A21">
              <w:rPr>
                <w:sz w:val="14"/>
                <w:szCs w:val="14"/>
                <w:lang w:val="en-GB"/>
              </w:rPr>
              <w:t>d</w:t>
            </w:r>
            <w:r w:rsidRPr="00590A21">
              <w:rPr>
                <w:sz w:val="14"/>
                <w:szCs w:val="14"/>
                <w:vertAlign w:val="superscript"/>
                <w:lang w:val="en-GB"/>
              </w:rPr>
              <w:t>2</w:t>
            </w:r>
          </w:p>
        </w:tc>
        <w:tc>
          <w:tcPr>
            <w:tcW w:w="655" w:type="pct"/>
            <w:tcBorders>
              <w:top w:val="nil"/>
              <w:left w:val="nil"/>
              <w:bottom w:val="single" w:sz="4" w:space="0" w:color="auto"/>
            </w:tcBorders>
            <w:shd w:val="clear" w:color="auto" w:fill="auto"/>
            <w:noWrap/>
          </w:tcPr>
          <w:p w14:paraId="743CFA6D" w14:textId="77777777" w:rsidR="00DA762C" w:rsidRPr="00590A21" w:rsidRDefault="00DA762C" w:rsidP="00DA762C">
            <w:pPr>
              <w:pStyle w:val="tablecopy"/>
              <w:rPr>
                <w:sz w:val="14"/>
                <w:szCs w:val="14"/>
                <w:lang w:val="en-GB"/>
              </w:rPr>
            </w:pPr>
            <w:r w:rsidRPr="00590A21">
              <w:rPr>
                <w:sz w:val="14"/>
                <w:szCs w:val="14"/>
                <w:lang w:val="en-GB"/>
              </w:rPr>
              <w:t>6.329</w:t>
            </w:r>
          </w:p>
        </w:tc>
      </w:tr>
      <w:tr w:rsidR="00DA762C" w:rsidRPr="00590A21" w14:paraId="52E7712A" w14:textId="77777777" w:rsidTr="00DA762C">
        <w:trPr>
          <w:trHeight w:val="202"/>
        </w:trPr>
        <w:tc>
          <w:tcPr>
            <w:tcW w:w="732" w:type="pct"/>
            <w:vMerge/>
            <w:tcBorders>
              <w:right w:val="single" w:sz="4" w:space="0" w:color="auto"/>
            </w:tcBorders>
            <w:shd w:val="clear" w:color="auto" w:fill="auto"/>
            <w:noWrap/>
            <w:vAlign w:val="bottom"/>
            <w:hideMark/>
          </w:tcPr>
          <w:p w14:paraId="1C82250E" w14:textId="77777777" w:rsidR="00DA762C" w:rsidRPr="00590A21" w:rsidRDefault="00DA762C" w:rsidP="00DA762C">
            <w:pPr>
              <w:pStyle w:val="tablecopy"/>
              <w:jc w:val="center"/>
              <w:rPr>
                <w:b/>
                <w:lang w:val="en-GB"/>
              </w:rPr>
            </w:pPr>
          </w:p>
        </w:tc>
        <w:tc>
          <w:tcPr>
            <w:tcW w:w="501" w:type="pct"/>
            <w:tcBorders>
              <w:top w:val="nil"/>
              <w:left w:val="nil"/>
              <w:bottom w:val="single" w:sz="4" w:space="0" w:color="auto"/>
              <w:right w:val="single" w:sz="4" w:space="0" w:color="auto"/>
            </w:tcBorders>
            <w:shd w:val="clear" w:color="auto" w:fill="auto"/>
            <w:noWrap/>
            <w:hideMark/>
          </w:tcPr>
          <w:p w14:paraId="47D44547" w14:textId="77777777" w:rsidR="00DA762C" w:rsidRPr="00590A21" w:rsidRDefault="00DA762C" w:rsidP="00DA762C">
            <w:pPr>
              <w:pStyle w:val="tablecopy"/>
              <w:rPr>
                <w:sz w:val="14"/>
                <w:szCs w:val="14"/>
                <w:lang w:val="en-GB"/>
              </w:rPr>
            </w:pPr>
            <w:r w:rsidRPr="00590A21">
              <w:rPr>
                <w:sz w:val="14"/>
                <w:szCs w:val="14"/>
                <w:lang w:val="en-GB"/>
              </w:rPr>
              <w:t>b</w:t>
            </w:r>
            <w:r w:rsidRPr="00590A21">
              <w:rPr>
                <w:sz w:val="14"/>
                <w:szCs w:val="14"/>
                <w:vertAlign w:val="superscript"/>
                <w:lang w:val="en-GB"/>
              </w:rPr>
              <w:t>1</w:t>
            </w:r>
          </w:p>
        </w:tc>
        <w:tc>
          <w:tcPr>
            <w:tcW w:w="610" w:type="pct"/>
            <w:tcBorders>
              <w:top w:val="nil"/>
              <w:left w:val="nil"/>
              <w:bottom w:val="single" w:sz="4" w:space="0" w:color="auto"/>
              <w:right w:val="single" w:sz="4" w:space="0" w:color="auto"/>
            </w:tcBorders>
            <w:shd w:val="clear" w:color="auto" w:fill="auto"/>
            <w:noWrap/>
          </w:tcPr>
          <w:p w14:paraId="3572A1AA" w14:textId="77777777" w:rsidR="00DA762C" w:rsidRPr="00590A21" w:rsidRDefault="00DA762C" w:rsidP="00DA762C">
            <w:pPr>
              <w:pStyle w:val="tablecopy"/>
              <w:rPr>
                <w:sz w:val="14"/>
                <w:szCs w:val="14"/>
                <w:lang w:val="en-GB"/>
              </w:rPr>
            </w:pPr>
            <w:r w:rsidRPr="00590A21">
              <w:rPr>
                <w:sz w:val="14"/>
                <w:szCs w:val="14"/>
                <w:lang w:val="en-GB"/>
              </w:rPr>
              <w:t>-1.033</w:t>
            </w:r>
          </w:p>
        </w:tc>
        <w:tc>
          <w:tcPr>
            <w:tcW w:w="402" w:type="pct"/>
            <w:tcBorders>
              <w:top w:val="nil"/>
              <w:left w:val="nil"/>
              <w:bottom w:val="single" w:sz="4" w:space="0" w:color="auto"/>
              <w:right w:val="single" w:sz="4" w:space="0" w:color="auto"/>
            </w:tcBorders>
            <w:shd w:val="clear" w:color="auto" w:fill="auto"/>
            <w:noWrap/>
            <w:hideMark/>
          </w:tcPr>
          <w:p w14:paraId="09B0CDAE" w14:textId="77777777" w:rsidR="00DA762C" w:rsidRPr="00590A21" w:rsidRDefault="00DA762C" w:rsidP="00DA762C">
            <w:pPr>
              <w:pStyle w:val="tablecopy"/>
              <w:rPr>
                <w:sz w:val="14"/>
                <w:szCs w:val="14"/>
                <w:lang w:val="en-GB"/>
              </w:rPr>
            </w:pPr>
            <w:r w:rsidRPr="00590A21">
              <w:rPr>
                <w:sz w:val="14"/>
                <w:szCs w:val="14"/>
                <w:lang w:val="en-GB"/>
              </w:rPr>
              <w:t>e</w:t>
            </w:r>
            <w:r w:rsidRPr="00590A21">
              <w:rPr>
                <w:sz w:val="14"/>
                <w:szCs w:val="14"/>
                <w:vertAlign w:val="superscript"/>
                <w:lang w:val="en-GB"/>
              </w:rPr>
              <w:t>1</w:t>
            </w:r>
          </w:p>
        </w:tc>
        <w:tc>
          <w:tcPr>
            <w:tcW w:w="687" w:type="pct"/>
            <w:tcBorders>
              <w:top w:val="nil"/>
              <w:left w:val="nil"/>
              <w:bottom w:val="single" w:sz="4" w:space="0" w:color="auto"/>
              <w:right w:val="single" w:sz="4" w:space="0" w:color="auto"/>
            </w:tcBorders>
            <w:shd w:val="clear" w:color="auto" w:fill="auto"/>
            <w:noWrap/>
          </w:tcPr>
          <w:p w14:paraId="5ECF344C" w14:textId="77777777" w:rsidR="00DA762C" w:rsidRPr="00590A21" w:rsidRDefault="00DA762C" w:rsidP="00DA762C">
            <w:pPr>
              <w:pStyle w:val="tablecopy"/>
              <w:rPr>
                <w:sz w:val="14"/>
                <w:szCs w:val="14"/>
                <w:lang w:val="en-GB"/>
              </w:rPr>
            </w:pPr>
            <w:r w:rsidRPr="00590A21">
              <w:rPr>
                <w:sz w:val="14"/>
                <w:szCs w:val="14"/>
                <w:lang w:val="en-GB"/>
              </w:rPr>
              <w:t>-23.049</w:t>
            </w:r>
          </w:p>
        </w:tc>
        <w:tc>
          <w:tcPr>
            <w:tcW w:w="402" w:type="pct"/>
            <w:tcBorders>
              <w:top w:val="nil"/>
              <w:left w:val="nil"/>
              <w:bottom w:val="single" w:sz="4" w:space="0" w:color="auto"/>
              <w:right w:val="single" w:sz="4" w:space="0" w:color="auto"/>
            </w:tcBorders>
            <w:shd w:val="clear" w:color="auto" w:fill="auto"/>
            <w:noWrap/>
            <w:hideMark/>
          </w:tcPr>
          <w:p w14:paraId="4E162844" w14:textId="77777777" w:rsidR="00DA762C" w:rsidRPr="00590A21" w:rsidRDefault="00DA762C" w:rsidP="00DA762C">
            <w:pPr>
              <w:pStyle w:val="tablecopy"/>
              <w:rPr>
                <w:sz w:val="14"/>
                <w:szCs w:val="14"/>
                <w:lang w:val="en-GB"/>
              </w:rPr>
            </w:pPr>
            <w:r w:rsidRPr="00590A21">
              <w:rPr>
                <w:sz w:val="14"/>
                <w:szCs w:val="14"/>
                <w:lang w:val="en-GB"/>
              </w:rPr>
              <w:t>b</w:t>
            </w:r>
            <w:r w:rsidRPr="00590A21">
              <w:rPr>
                <w:sz w:val="14"/>
                <w:szCs w:val="14"/>
                <w:vertAlign w:val="superscript"/>
                <w:lang w:val="en-GB"/>
              </w:rPr>
              <w:t>2</w:t>
            </w:r>
          </w:p>
        </w:tc>
        <w:tc>
          <w:tcPr>
            <w:tcW w:w="610" w:type="pct"/>
            <w:tcBorders>
              <w:top w:val="nil"/>
              <w:left w:val="nil"/>
              <w:bottom w:val="single" w:sz="4" w:space="0" w:color="auto"/>
              <w:right w:val="single" w:sz="4" w:space="0" w:color="auto"/>
            </w:tcBorders>
            <w:shd w:val="clear" w:color="auto" w:fill="auto"/>
            <w:noWrap/>
          </w:tcPr>
          <w:p w14:paraId="43139EAE" w14:textId="77777777" w:rsidR="00DA762C" w:rsidRPr="00590A21" w:rsidRDefault="00DA762C" w:rsidP="00DA762C">
            <w:pPr>
              <w:pStyle w:val="tablecopy"/>
              <w:rPr>
                <w:sz w:val="14"/>
                <w:szCs w:val="14"/>
                <w:lang w:val="en-GB"/>
              </w:rPr>
            </w:pPr>
            <w:r w:rsidRPr="00590A21">
              <w:rPr>
                <w:sz w:val="14"/>
                <w:szCs w:val="14"/>
                <w:lang w:val="en-GB"/>
              </w:rPr>
              <w:t>-2.556</w:t>
            </w:r>
          </w:p>
        </w:tc>
        <w:tc>
          <w:tcPr>
            <w:tcW w:w="402" w:type="pct"/>
            <w:tcBorders>
              <w:top w:val="nil"/>
              <w:left w:val="nil"/>
              <w:bottom w:val="single" w:sz="4" w:space="0" w:color="auto"/>
              <w:right w:val="single" w:sz="4" w:space="0" w:color="auto"/>
            </w:tcBorders>
            <w:shd w:val="clear" w:color="auto" w:fill="auto"/>
            <w:noWrap/>
            <w:hideMark/>
          </w:tcPr>
          <w:p w14:paraId="62BB5B37" w14:textId="77777777" w:rsidR="00DA762C" w:rsidRPr="00590A21" w:rsidRDefault="00DA762C" w:rsidP="00DA762C">
            <w:pPr>
              <w:pStyle w:val="tablecopy"/>
              <w:rPr>
                <w:sz w:val="14"/>
                <w:szCs w:val="14"/>
                <w:lang w:val="en-GB"/>
              </w:rPr>
            </w:pPr>
            <w:r w:rsidRPr="00590A21">
              <w:rPr>
                <w:sz w:val="14"/>
                <w:szCs w:val="14"/>
                <w:lang w:val="en-GB"/>
              </w:rPr>
              <w:t>e</w:t>
            </w:r>
            <w:r w:rsidRPr="00590A21">
              <w:rPr>
                <w:sz w:val="14"/>
                <w:szCs w:val="14"/>
                <w:vertAlign w:val="superscript"/>
                <w:lang w:val="en-GB"/>
              </w:rPr>
              <w:t>2</w:t>
            </w:r>
          </w:p>
        </w:tc>
        <w:tc>
          <w:tcPr>
            <w:tcW w:w="655" w:type="pct"/>
            <w:tcBorders>
              <w:top w:val="nil"/>
              <w:left w:val="nil"/>
              <w:bottom w:val="single" w:sz="4" w:space="0" w:color="auto"/>
            </w:tcBorders>
            <w:shd w:val="clear" w:color="auto" w:fill="auto"/>
            <w:noWrap/>
          </w:tcPr>
          <w:p w14:paraId="48A73D4C" w14:textId="77777777" w:rsidR="00DA762C" w:rsidRPr="00590A21" w:rsidRDefault="00DA762C" w:rsidP="00DA762C">
            <w:pPr>
              <w:pStyle w:val="tablecopy"/>
              <w:rPr>
                <w:sz w:val="14"/>
                <w:szCs w:val="14"/>
                <w:lang w:val="en-GB"/>
              </w:rPr>
            </w:pPr>
            <w:r w:rsidRPr="00590A21">
              <w:rPr>
                <w:sz w:val="14"/>
                <w:szCs w:val="14"/>
                <w:lang w:val="en-GB"/>
              </w:rPr>
              <w:t>-71.248</w:t>
            </w:r>
          </w:p>
        </w:tc>
      </w:tr>
      <w:tr w:rsidR="00DA762C" w:rsidRPr="00590A21" w14:paraId="79630840" w14:textId="77777777" w:rsidTr="00DA762C">
        <w:trPr>
          <w:trHeight w:val="202"/>
        </w:trPr>
        <w:tc>
          <w:tcPr>
            <w:tcW w:w="732" w:type="pct"/>
            <w:vMerge/>
            <w:tcBorders>
              <w:right w:val="single" w:sz="4" w:space="0" w:color="auto"/>
            </w:tcBorders>
            <w:shd w:val="clear" w:color="auto" w:fill="auto"/>
            <w:noWrap/>
            <w:vAlign w:val="bottom"/>
            <w:hideMark/>
          </w:tcPr>
          <w:p w14:paraId="13ED28F5" w14:textId="77777777" w:rsidR="00DA762C" w:rsidRPr="00590A21" w:rsidRDefault="00DA762C" w:rsidP="00DA762C">
            <w:pPr>
              <w:pStyle w:val="tablecopy"/>
              <w:jc w:val="center"/>
              <w:rPr>
                <w:b/>
                <w:lang w:val="en-GB"/>
              </w:rPr>
            </w:pPr>
          </w:p>
        </w:tc>
        <w:tc>
          <w:tcPr>
            <w:tcW w:w="501" w:type="pct"/>
            <w:tcBorders>
              <w:top w:val="nil"/>
              <w:left w:val="nil"/>
              <w:bottom w:val="single" w:sz="4" w:space="0" w:color="auto"/>
              <w:right w:val="single" w:sz="4" w:space="0" w:color="auto"/>
            </w:tcBorders>
            <w:shd w:val="clear" w:color="auto" w:fill="auto"/>
            <w:noWrap/>
            <w:hideMark/>
          </w:tcPr>
          <w:p w14:paraId="0C490A89" w14:textId="77777777" w:rsidR="00DA762C" w:rsidRPr="00590A21" w:rsidRDefault="00DA762C" w:rsidP="00DA762C">
            <w:pPr>
              <w:pStyle w:val="tablecopy"/>
              <w:rPr>
                <w:sz w:val="14"/>
                <w:szCs w:val="14"/>
                <w:lang w:val="en-GB"/>
              </w:rPr>
            </w:pPr>
            <w:r w:rsidRPr="00590A21">
              <w:rPr>
                <w:sz w:val="14"/>
                <w:szCs w:val="14"/>
                <w:lang w:val="en-GB"/>
              </w:rPr>
              <w:t>c</w:t>
            </w:r>
            <w:r w:rsidRPr="00590A21">
              <w:rPr>
                <w:sz w:val="14"/>
                <w:szCs w:val="14"/>
                <w:vertAlign w:val="superscript"/>
                <w:lang w:val="en-GB"/>
              </w:rPr>
              <w:t>1</w:t>
            </w:r>
          </w:p>
        </w:tc>
        <w:tc>
          <w:tcPr>
            <w:tcW w:w="610" w:type="pct"/>
            <w:tcBorders>
              <w:top w:val="nil"/>
              <w:left w:val="nil"/>
              <w:bottom w:val="single" w:sz="4" w:space="0" w:color="auto"/>
              <w:right w:val="single" w:sz="4" w:space="0" w:color="auto"/>
            </w:tcBorders>
            <w:shd w:val="clear" w:color="auto" w:fill="auto"/>
            <w:noWrap/>
          </w:tcPr>
          <w:p w14:paraId="6925E0D7" w14:textId="77777777" w:rsidR="00DA762C" w:rsidRPr="00590A21" w:rsidRDefault="00DA762C" w:rsidP="00DA762C">
            <w:pPr>
              <w:pStyle w:val="tablecopy"/>
              <w:rPr>
                <w:sz w:val="14"/>
                <w:szCs w:val="14"/>
                <w:lang w:val="en-GB"/>
              </w:rPr>
            </w:pPr>
            <w:r w:rsidRPr="00590A21">
              <w:rPr>
                <w:sz w:val="14"/>
                <w:szCs w:val="14"/>
                <w:lang w:val="en-GB"/>
              </w:rPr>
              <w:t>1.459</w:t>
            </w:r>
          </w:p>
        </w:tc>
        <w:tc>
          <w:tcPr>
            <w:tcW w:w="402" w:type="pct"/>
            <w:tcBorders>
              <w:top w:val="nil"/>
              <w:left w:val="nil"/>
              <w:bottom w:val="single" w:sz="4" w:space="0" w:color="auto"/>
              <w:right w:val="single" w:sz="4" w:space="0" w:color="auto"/>
            </w:tcBorders>
            <w:shd w:val="clear" w:color="auto" w:fill="auto"/>
            <w:noWrap/>
            <w:hideMark/>
          </w:tcPr>
          <w:p w14:paraId="6D2F8559" w14:textId="77777777" w:rsidR="00DA762C" w:rsidRPr="00590A21" w:rsidRDefault="00DA762C" w:rsidP="00DA762C">
            <w:pPr>
              <w:pStyle w:val="tablecopy"/>
              <w:rPr>
                <w:sz w:val="14"/>
                <w:szCs w:val="14"/>
                <w:lang w:val="en-GB"/>
              </w:rPr>
            </w:pPr>
            <w:r w:rsidRPr="00590A21">
              <w:rPr>
                <w:sz w:val="14"/>
                <w:szCs w:val="14"/>
                <w:lang w:val="en-GB"/>
              </w:rPr>
              <w:t>f</w:t>
            </w:r>
            <w:r w:rsidRPr="00590A21">
              <w:rPr>
                <w:sz w:val="14"/>
                <w:szCs w:val="14"/>
                <w:vertAlign w:val="superscript"/>
                <w:lang w:val="en-GB"/>
              </w:rPr>
              <w:t>1</w:t>
            </w:r>
          </w:p>
        </w:tc>
        <w:tc>
          <w:tcPr>
            <w:tcW w:w="687" w:type="pct"/>
            <w:tcBorders>
              <w:top w:val="nil"/>
              <w:left w:val="nil"/>
              <w:bottom w:val="single" w:sz="4" w:space="0" w:color="auto"/>
              <w:right w:val="single" w:sz="4" w:space="0" w:color="auto"/>
            </w:tcBorders>
            <w:shd w:val="clear" w:color="auto" w:fill="auto"/>
            <w:noWrap/>
          </w:tcPr>
          <w:p w14:paraId="531BA117" w14:textId="77777777" w:rsidR="00DA762C" w:rsidRPr="00590A21" w:rsidRDefault="00DA762C" w:rsidP="00DA762C">
            <w:pPr>
              <w:pStyle w:val="tablecopy"/>
              <w:rPr>
                <w:sz w:val="14"/>
                <w:szCs w:val="14"/>
                <w:lang w:val="en-GB"/>
              </w:rPr>
            </w:pPr>
            <w:r w:rsidRPr="00590A21">
              <w:rPr>
                <w:sz w:val="14"/>
                <w:szCs w:val="14"/>
                <w:lang w:val="en-GB"/>
              </w:rPr>
              <w:t>59.552</w:t>
            </w:r>
          </w:p>
        </w:tc>
        <w:tc>
          <w:tcPr>
            <w:tcW w:w="402" w:type="pct"/>
            <w:tcBorders>
              <w:top w:val="nil"/>
              <w:left w:val="nil"/>
              <w:bottom w:val="single" w:sz="4" w:space="0" w:color="auto"/>
              <w:right w:val="single" w:sz="4" w:space="0" w:color="auto"/>
            </w:tcBorders>
            <w:shd w:val="clear" w:color="auto" w:fill="auto"/>
            <w:noWrap/>
            <w:hideMark/>
          </w:tcPr>
          <w:p w14:paraId="65FFCFA3" w14:textId="77777777" w:rsidR="00DA762C" w:rsidRPr="00590A21" w:rsidRDefault="00DA762C" w:rsidP="00DA762C">
            <w:pPr>
              <w:pStyle w:val="tablecopy"/>
              <w:rPr>
                <w:sz w:val="14"/>
                <w:szCs w:val="14"/>
                <w:lang w:val="en-GB"/>
              </w:rPr>
            </w:pPr>
            <w:r w:rsidRPr="00590A21">
              <w:rPr>
                <w:sz w:val="14"/>
                <w:szCs w:val="14"/>
                <w:lang w:val="en-GB"/>
              </w:rPr>
              <w:t>c</w:t>
            </w:r>
            <w:r w:rsidRPr="00590A21">
              <w:rPr>
                <w:sz w:val="14"/>
                <w:szCs w:val="14"/>
                <w:vertAlign w:val="superscript"/>
                <w:lang w:val="en-GB"/>
              </w:rPr>
              <w:t>2</w:t>
            </w:r>
          </w:p>
        </w:tc>
        <w:tc>
          <w:tcPr>
            <w:tcW w:w="610" w:type="pct"/>
            <w:tcBorders>
              <w:top w:val="nil"/>
              <w:left w:val="nil"/>
              <w:bottom w:val="single" w:sz="4" w:space="0" w:color="auto"/>
              <w:right w:val="single" w:sz="4" w:space="0" w:color="auto"/>
            </w:tcBorders>
            <w:shd w:val="clear" w:color="auto" w:fill="auto"/>
            <w:noWrap/>
          </w:tcPr>
          <w:p w14:paraId="21CD89B7" w14:textId="77777777" w:rsidR="00DA762C" w:rsidRPr="00590A21" w:rsidRDefault="00DA762C" w:rsidP="00DA762C">
            <w:pPr>
              <w:pStyle w:val="tablecopy"/>
              <w:rPr>
                <w:sz w:val="14"/>
                <w:szCs w:val="14"/>
                <w:lang w:val="en-GB"/>
              </w:rPr>
            </w:pPr>
            <w:r w:rsidRPr="00590A21">
              <w:rPr>
                <w:sz w:val="14"/>
                <w:szCs w:val="14"/>
                <w:lang w:val="en-GB"/>
              </w:rPr>
              <w:t>4.027</w:t>
            </w:r>
          </w:p>
        </w:tc>
        <w:tc>
          <w:tcPr>
            <w:tcW w:w="402" w:type="pct"/>
            <w:tcBorders>
              <w:top w:val="nil"/>
              <w:left w:val="nil"/>
              <w:bottom w:val="single" w:sz="4" w:space="0" w:color="auto"/>
              <w:right w:val="single" w:sz="4" w:space="0" w:color="auto"/>
            </w:tcBorders>
            <w:shd w:val="clear" w:color="auto" w:fill="auto"/>
            <w:noWrap/>
            <w:hideMark/>
          </w:tcPr>
          <w:p w14:paraId="652901BA" w14:textId="77777777" w:rsidR="00DA762C" w:rsidRPr="00590A21" w:rsidRDefault="00DA762C" w:rsidP="00DA762C">
            <w:pPr>
              <w:pStyle w:val="tablecopy"/>
              <w:rPr>
                <w:sz w:val="14"/>
                <w:szCs w:val="14"/>
                <w:lang w:val="en-GB"/>
              </w:rPr>
            </w:pPr>
            <w:r w:rsidRPr="00590A21">
              <w:rPr>
                <w:sz w:val="14"/>
                <w:szCs w:val="14"/>
                <w:lang w:val="en-GB"/>
              </w:rPr>
              <w:t>f</w:t>
            </w:r>
            <w:r w:rsidRPr="00590A21">
              <w:rPr>
                <w:sz w:val="14"/>
                <w:szCs w:val="14"/>
                <w:vertAlign w:val="superscript"/>
                <w:lang w:val="en-GB"/>
              </w:rPr>
              <w:t>2</w:t>
            </w:r>
          </w:p>
        </w:tc>
        <w:tc>
          <w:tcPr>
            <w:tcW w:w="655" w:type="pct"/>
            <w:tcBorders>
              <w:top w:val="nil"/>
              <w:left w:val="nil"/>
              <w:bottom w:val="single" w:sz="4" w:space="0" w:color="auto"/>
            </w:tcBorders>
            <w:shd w:val="clear" w:color="auto" w:fill="auto"/>
            <w:noWrap/>
          </w:tcPr>
          <w:p w14:paraId="71342B03" w14:textId="77777777" w:rsidR="00DA762C" w:rsidRPr="00590A21" w:rsidRDefault="00DA762C" w:rsidP="00DA762C">
            <w:pPr>
              <w:pStyle w:val="tablecopy"/>
              <w:rPr>
                <w:sz w:val="14"/>
                <w:szCs w:val="14"/>
                <w:lang w:val="en-GB"/>
              </w:rPr>
            </w:pPr>
            <w:r w:rsidRPr="00590A21">
              <w:rPr>
                <w:sz w:val="14"/>
                <w:szCs w:val="14"/>
                <w:lang w:val="en-GB"/>
              </w:rPr>
              <w:t>112.1</w:t>
            </w:r>
          </w:p>
        </w:tc>
      </w:tr>
      <w:tr w:rsidR="00DA762C" w:rsidRPr="00590A21" w14:paraId="6183180C" w14:textId="77777777" w:rsidTr="00DA762C">
        <w:trPr>
          <w:trHeight w:val="202"/>
        </w:trPr>
        <w:tc>
          <w:tcPr>
            <w:tcW w:w="732" w:type="pct"/>
            <w:vMerge/>
            <w:tcBorders>
              <w:bottom w:val="single" w:sz="4" w:space="0" w:color="auto"/>
              <w:right w:val="single" w:sz="4" w:space="0" w:color="auto"/>
            </w:tcBorders>
            <w:shd w:val="clear" w:color="auto" w:fill="auto"/>
            <w:noWrap/>
            <w:vAlign w:val="bottom"/>
            <w:hideMark/>
          </w:tcPr>
          <w:p w14:paraId="67406A52" w14:textId="77777777" w:rsidR="00DA762C" w:rsidRPr="00590A21" w:rsidRDefault="00DA762C" w:rsidP="00DA762C">
            <w:pPr>
              <w:pStyle w:val="tablecopy"/>
              <w:jc w:val="center"/>
              <w:rPr>
                <w:b/>
                <w:lang w:val="en-GB"/>
              </w:rPr>
            </w:pPr>
          </w:p>
        </w:tc>
        <w:tc>
          <w:tcPr>
            <w:tcW w:w="501" w:type="pct"/>
            <w:tcBorders>
              <w:top w:val="nil"/>
              <w:left w:val="nil"/>
              <w:bottom w:val="single" w:sz="4" w:space="0" w:color="auto"/>
              <w:right w:val="single" w:sz="4" w:space="0" w:color="auto"/>
            </w:tcBorders>
            <w:shd w:val="clear" w:color="auto" w:fill="auto"/>
            <w:noWrap/>
            <w:hideMark/>
          </w:tcPr>
          <w:p w14:paraId="2D3BBB5C" w14:textId="77777777" w:rsidR="00DA762C" w:rsidRPr="00590A21" w:rsidRDefault="00DA762C" w:rsidP="00DA762C">
            <w:pPr>
              <w:pStyle w:val="tablecopy"/>
              <w:rPr>
                <w:sz w:val="14"/>
                <w:szCs w:val="14"/>
                <w:lang w:val="en-GB"/>
              </w:rPr>
            </w:pPr>
            <w:r w:rsidRPr="00590A21">
              <w:rPr>
                <w:sz w:val="14"/>
                <w:szCs w:val="14"/>
                <w:lang w:val="en-GB"/>
              </w:rPr>
              <w:t> </w:t>
            </w:r>
          </w:p>
        </w:tc>
        <w:tc>
          <w:tcPr>
            <w:tcW w:w="610" w:type="pct"/>
            <w:tcBorders>
              <w:top w:val="nil"/>
              <w:left w:val="nil"/>
              <w:bottom w:val="single" w:sz="4" w:space="0" w:color="auto"/>
              <w:right w:val="single" w:sz="4" w:space="0" w:color="auto"/>
            </w:tcBorders>
            <w:shd w:val="clear" w:color="auto" w:fill="auto"/>
            <w:noWrap/>
          </w:tcPr>
          <w:p w14:paraId="678F7DA7" w14:textId="77777777" w:rsidR="00DA762C" w:rsidRPr="00590A21" w:rsidRDefault="00DA762C" w:rsidP="00DA762C">
            <w:pPr>
              <w:pStyle w:val="tablecopy"/>
              <w:rPr>
                <w:sz w:val="14"/>
                <w:szCs w:val="14"/>
                <w:lang w:val="en-GB"/>
              </w:rPr>
            </w:pPr>
          </w:p>
        </w:tc>
        <w:tc>
          <w:tcPr>
            <w:tcW w:w="402" w:type="pct"/>
            <w:tcBorders>
              <w:top w:val="nil"/>
              <w:left w:val="nil"/>
              <w:bottom w:val="single" w:sz="4" w:space="0" w:color="auto"/>
              <w:right w:val="single" w:sz="4" w:space="0" w:color="auto"/>
            </w:tcBorders>
            <w:shd w:val="clear" w:color="auto" w:fill="auto"/>
            <w:noWrap/>
            <w:hideMark/>
          </w:tcPr>
          <w:p w14:paraId="06D46995" w14:textId="77777777" w:rsidR="00DA762C" w:rsidRPr="00590A21" w:rsidRDefault="00DA762C" w:rsidP="00DA762C">
            <w:pPr>
              <w:pStyle w:val="tablecopy"/>
              <w:rPr>
                <w:sz w:val="14"/>
                <w:szCs w:val="14"/>
                <w:lang w:val="en-GB"/>
              </w:rPr>
            </w:pPr>
            <w:r w:rsidRPr="00590A21">
              <w:rPr>
                <w:sz w:val="14"/>
                <w:szCs w:val="14"/>
                <w:lang w:val="en-GB"/>
              </w:rPr>
              <w:t>g</w:t>
            </w:r>
            <w:r w:rsidRPr="00590A21">
              <w:rPr>
                <w:sz w:val="14"/>
                <w:szCs w:val="14"/>
                <w:vertAlign w:val="superscript"/>
                <w:lang w:val="en-GB"/>
              </w:rPr>
              <w:t>1</w:t>
            </w:r>
          </w:p>
        </w:tc>
        <w:tc>
          <w:tcPr>
            <w:tcW w:w="687" w:type="pct"/>
            <w:tcBorders>
              <w:top w:val="nil"/>
              <w:left w:val="nil"/>
              <w:bottom w:val="single" w:sz="4" w:space="0" w:color="auto"/>
              <w:right w:val="single" w:sz="4" w:space="0" w:color="auto"/>
            </w:tcBorders>
            <w:shd w:val="clear" w:color="auto" w:fill="auto"/>
            <w:noWrap/>
          </w:tcPr>
          <w:p w14:paraId="1DE31A8D" w14:textId="77777777" w:rsidR="00DA762C" w:rsidRPr="00590A21" w:rsidRDefault="00DA762C" w:rsidP="00DA762C">
            <w:pPr>
              <w:pStyle w:val="tablecopy"/>
              <w:rPr>
                <w:sz w:val="14"/>
                <w:szCs w:val="14"/>
                <w:lang w:val="en-GB"/>
              </w:rPr>
            </w:pPr>
            <w:r w:rsidRPr="00590A21">
              <w:rPr>
                <w:sz w:val="14"/>
                <w:szCs w:val="14"/>
                <w:lang w:val="en-GB"/>
              </w:rPr>
              <w:t>24.934</w:t>
            </w:r>
          </w:p>
        </w:tc>
        <w:tc>
          <w:tcPr>
            <w:tcW w:w="402" w:type="pct"/>
            <w:tcBorders>
              <w:top w:val="nil"/>
              <w:left w:val="nil"/>
              <w:bottom w:val="single" w:sz="4" w:space="0" w:color="auto"/>
              <w:right w:val="single" w:sz="4" w:space="0" w:color="auto"/>
            </w:tcBorders>
            <w:shd w:val="clear" w:color="auto" w:fill="auto"/>
            <w:noWrap/>
            <w:hideMark/>
          </w:tcPr>
          <w:p w14:paraId="2C7E4726" w14:textId="77777777" w:rsidR="00DA762C" w:rsidRPr="00590A21" w:rsidRDefault="00DA762C" w:rsidP="00DA762C">
            <w:pPr>
              <w:pStyle w:val="tablecopy"/>
              <w:rPr>
                <w:sz w:val="14"/>
                <w:szCs w:val="14"/>
                <w:lang w:val="en-GB"/>
              </w:rPr>
            </w:pPr>
            <w:r w:rsidRPr="00590A21">
              <w:rPr>
                <w:sz w:val="14"/>
                <w:szCs w:val="14"/>
                <w:lang w:val="en-GB"/>
              </w:rPr>
              <w:t> </w:t>
            </w:r>
          </w:p>
        </w:tc>
        <w:tc>
          <w:tcPr>
            <w:tcW w:w="610" w:type="pct"/>
            <w:tcBorders>
              <w:top w:val="nil"/>
              <w:left w:val="nil"/>
              <w:bottom w:val="single" w:sz="4" w:space="0" w:color="auto"/>
              <w:right w:val="single" w:sz="4" w:space="0" w:color="auto"/>
            </w:tcBorders>
            <w:shd w:val="clear" w:color="auto" w:fill="auto"/>
            <w:noWrap/>
          </w:tcPr>
          <w:p w14:paraId="037C51ED" w14:textId="77777777" w:rsidR="00DA762C" w:rsidRPr="00590A21" w:rsidRDefault="00DA762C" w:rsidP="00DA762C">
            <w:pPr>
              <w:pStyle w:val="tablecopy"/>
              <w:rPr>
                <w:sz w:val="14"/>
                <w:szCs w:val="14"/>
                <w:lang w:val="en-GB"/>
              </w:rPr>
            </w:pPr>
          </w:p>
        </w:tc>
        <w:tc>
          <w:tcPr>
            <w:tcW w:w="402" w:type="pct"/>
            <w:tcBorders>
              <w:top w:val="nil"/>
              <w:left w:val="nil"/>
              <w:bottom w:val="single" w:sz="4" w:space="0" w:color="auto"/>
              <w:right w:val="single" w:sz="4" w:space="0" w:color="auto"/>
            </w:tcBorders>
            <w:shd w:val="clear" w:color="auto" w:fill="auto"/>
            <w:noWrap/>
            <w:hideMark/>
          </w:tcPr>
          <w:p w14:paraId="535FB1C3" w14:textId="77777777" w:rsidR="00DA762C" w:rsidRPr="00590A21" w:rsidRDefault="00DA762C" w:rsidP="00DA762C">
            <w:pPr>
              <w:pStyle w:val="tablecopy"/>
              <w:rPr>
                <w:sz w:val="14"/>
                <w:szCs w:val="14"/>
                <w:lang w:val="en-GB"/>
              </w:rPr>
            </w:pPr>
            <w:r w:rsidRPr="00590A21">
              <w:rPr>
                <w:sz w:val="14"/>
                <w:szCs w:val="14"/>
                <w:lang w:val="en-GB"/>
              </w:rPr>
              <w:t>g</w:t>
            </w:r>
            <w:r w:rsidRPr="00590A21">
              <w:rPr>
                <w:sz w:val="14"/>
                <w:szCs w:val="14"/>
                <w:vertAlign w:val="superscript"/>
                <w:lang w:val="en-GB"/>
              </w:rPr>
              <w:t>2</w:t>
            </w:r>
          </w:p>
        </w:tc>
        <w:tc>
          <w:tcPr>
            <w:tcW w:w="655" w:type="pct"/>
            <w:tcBorders>
              <w:top w:val="nil"/>
              <w:left w:val="nil"/>
              <w:bottom w:val="single" w:sz="4" w:space="0" w:color="auto"/>
            </w:tcBorders>
            <w:shd w:val="clear" w:color="auto" w:fill="auto"/>
            <w:noWrap/>
          </w:tcPr>
          <w:p w14:paraId="19335651" w14:textId="77777777" w:rsidR="00DA762C" w:rsidRPr="00590A21" w:rsidRDefault="00DA762C" w:rsidP="00DA762C">
            <w:pPr>
              <w:pStyle w:val="tablecopy"/>
              <w:rPr>
                <w:sz w:val="14"/>
                <w:szCs w:val="14"/>
                <w:lang w:val="en-GB"/>
              </w:rPr>
            </w:pPr>
            <w:r w:rsidRPr="00590A21">
              <w:rPr>
                <w:sz w:val="14"/>
                <w:szCs w:val="14"/>
                <w:lang w:val="en-GB"/>
              </w:rPr>
              <w:t>55.781</w:t>
            </w:r>
          </w:p>
        </w:tc>
      </w:tr>
      <w:tr w:rsidR="00DA762C" w:rsidRPr="00590A21" w14:paraId="0E44BEC7" w14:textId="77777777" w:rsidTr="00DA762C">
        <w:trPr>
          <w:trHeight w:val="202"/>
        </w:trPr>
        <w:tc>
          <w:tcPr>
            <w:tcW w:w="732" w:type="pct"/>
            <w:vMerge w:val="restart"/>
            <w:tcBorders>
              <w:top w:val="nil"/>
              <w:right w:val="single" w:sz="4" w:space="0" w:color="auto"/>
            </w:tcBorders>
            <w:shd w:val="clear" w:color="auto" w:fill="auto"/>
            <w:noWrap/>
            <w:vAlign w:val="bottom"/>
            <w:hideMark/>
          </w:tcPr>
          <w:p w14:paraId="7D3E6E28" w14:textId="77777777" w:rsidR="00DA762C" w:rsidRPr="00590A21" w:rsidRDefault="00DA762C" w:rsidP="00DA762C">
            <w:pPr>
              <w:pStyle w:val="tablecopy"/>
              <w:jc w:val="center"/>
              <w:rPr>
                <w:b/>
                <w:lang w:val="en-GB"/>
              </w:rPr>
            </w:pPr>
            <w:r w:rsidRPr="00590A21">
              <w:rPr>
                <w:b/>
                <w:lang w:val="en-GB"/>
              </w:rPr>
              <w:t>Paper 0.5</w:t>
            </w:r>
          </w:p>
          <w:p w14:paraId="5F14E0A7" w14:textId="77777777" w:rsidR="00DA762C" w:rsidRPr="00590A21" w:rsidRDefault="00DA762C" w:rsidP="00DA762C">
            <w:pPr>
              <w:pStyle w:val="tablecopy"/>
              <w:jc w:val="center"/>
              <w:rPr>
                <w:b/>
                <w:lang w:val="en-GB"/>
              </w:rPr>
            </w:pPr>
            <w:r w:rsidRPr="00590A21">
              <w:rPr>
                <w:b/>
                <w:lang w:val="en-GB"/>
              </w:rPr>
              <w:t>(mm)</w:t>
            </w:r>
          </w:p>
          <w:p w14:paraId="3EFB44B4" w14:textId="77777777" w:rsidR="00DA762C" w:rsidRPr="00590A21" w:rsidRDefault="00DA762C" w:rsidP="00DA762C">
            <w:pPr>
              <w:pStyle w:val="tablecopy"/>
              <w:rPr>
                <w:b/>
                <w:lang w:val="en-GB"/>
              </w:rPr>
            </w:pPr>
          </w:p>
        </w:tc>
        <w:tc>
          <w:tcPr>
            <w:tcW w:w="501" w:type="pct"/>
            <w:tcBorders>
              <w:top w:val="nil"/>
              <w:left w:val="nil"/>
              <w:bottom w:val="single" w:sz="4" w:space="0" w:color="auto"/>
              <w:right w:val="single" w:sz="4" w:space="0" w:color="auto"/>
            </w:tcBorders>
            <w:shd w:val="clear" w:color="auto" w:fill="auto"/>
            <w:noWrap/>
            <w:hideMark/>
          </w:tcPr>
          <w:p w14:paraId="488785A8" w14:textId="77777777" w:rsidR="00DA762C" w:rsidRPr="00590A21" w:rsidRDefault="00DA762C" w:rsidP="00DA762C">
            <w:pPr>
              <w:pStyle w:val="tablecopy"/>
              <w:rPr>
                <w:sz w:val="14"/>
                <w:szCs w:val="14"/>
                <w:lang w:val="en-GB"/>
              </w:rPr>
            </w:pPr>
            <w:r w:rsidRPr="00590A21">
              <w:rPr>
                <w:sz w:val="14"/>
                <w:szCs w:val="14"/>
                <w:lang w:val="en-GB"/>
              </w:rPr>
              <w:t>a</w:t>
            </w:r>
            <w:r w:rsidRPr="00590A21">
              <w:rPr>
                <w:sz w:val="14"/>
                <w:szCs w:val="14"/>
                <w:vertAlign w:val="superscript"/>
                <w:lang w:val="en-GB"/>
              </w:rPr>
              <w:t>3</w:t>
            </w:r>
          </w:p>
        </w:tc>
        <w:tc>
          <w:tcPr>
            <w:tcW w:w="610" w:type="pct"/>
            <w:tcBorders>
              <w:top w:val="nil"/>
              <w:left w:val="nil"/>
              <w:bottom w:val="single" w:sz="4" w:space="0" w:color="auto"/>
              <w:right w:val="single" w:sz="4" w:space="0" w:color="auto"/>
            </w:tcBorders>
            <w:shd w:val="clear" w:color="auto" w:fill="auto"/>
            <w:noWrap/>
          </w:tcPr>
          <w:p w14:paraId="121F56D3" w14:textId="77777777" w:rsidR="00DA762C" w:rsidRPr="00590A21" w:rsidRDefault="00DA762C" w:rsidP="00DA762C">
            <w:pPr>
              <w:pStyle w:val="tablecopy"/>
              <w:rPr>
                <w:sz w:val="14"/>
                <w:szCs w:val="14"/>
                <w:lang w:val="en-GB"/>
              </w:rPr>
            </w:pPr>
            <w:r w:rsidRPr="00590A21">
              <w:rPr>
                <w:sz w:val="14"/>
                <w:szCs w:val="14"/>
                <w:lang w:val="en-GB"/>
              </w:rPr>
              <w:t>0.359</w:t>
            </w:r>
          </w:p>
        </w:tc>
        <w:tc>
          <w:tcPr>
            <w:tcW w:w="402" w:type="pct"/>
            <w:tcBorders>
              <w:top w:val="nil"/>
              <w:left w:val="nil"/>
              <w:bottom w:val="single" w:sz="4" w:space="0" w:color="auto"/>
              <w:right w:val="single" w:sz="4" w:space="0" w:color="auto"/>
            </w:tcBorders>
            <w:shd w:val="clear" w:color="auto" w:fill="auto"/>
            <w:noWrap/>
            <w:hideMark/>
          </w:tcPr>
          <w:p w14:paraId="5752997E" w14:textId="77777777" w:rsidR="00DA762C" w:rsidRPr="00590A21" w:rsidRDefault="00DA762C" w:rsidP="00DA762C">
            <w:pPr>
              <w:pStyle w:val="tablecopy"/>
              <w:rPr>
                <w:sz w:val="14"/>
                <w:szCs w:val="14"/>
                <w:lang w:val="en-GB"/>
              </w:rPr>
            </w:pPr>
            <w:r w:rsidRPr="00590A21">
              <w:rPr>
                <w:sz w:val="14"/>
                <w:szCs w:val="14"/>
                <w:lang w:val="en-GB"/>
              </w:rPr>
              <w:t>d</w:t>
            </w:r>
            <w:r w:rsidRPr="00590A21">
              <w:rPr>
                <w:sz w:val="14"/>
                <w:szCs w:val="14"/>
                <w:vertAlign w:val="superscript"/>
                <w:lang w:val="en-GB"/>
              </w:rPr>
              <w:t>3</w:t>
            </w:r>
          </w:p>
        </w:tc>
        <w:tc>
          <w:tcPr>
            <w:tcW w:w="687" w:type="pct"/>
            <w:tcBorders>
              <w:top w:val="nil"/>
              <w:left w:val="nil"/>
              <w:bottom w:val="single" w:sz="4" w:space="0" w:color="auto"/>
              <w:right w:val="single" w:sz="4" w:space="0" w:color="auto"/>
            </w:tcBorders>
            <w:shd w:val="clear" w:color="auto" w:fill="auto"/>
            <w:noWrap/>
          </w:tcPr>
          <w:p w14:paraId="16D7637F" w14:textId="77777777" w:rsidR="00DA762C" w:rsidRPr="00590A21" w:rsidRDefault="00DA762C" w:rsidP="00DA762C">
            <w:pPr>
              <w:pStyle w:val="tablecopy"/>
              <w:rPr>
                <w:sz w:val="14"/>
                <w:szCs w:val="14"/>
                <w:lang w:val="en-GB"/>
              </w:rPr>
            </w:pPr>
            <w:r w:rsidRPr="00590A21">
              <w:rPr>
                <w:sz w:val="14"/>
                <w:szCs w:val="14"/>
                <w:lang w:val="en-GB"/>
              </w:rPr>
              <w:t>8.765</w:t>
            </w:r>
          </w:p>
        </w:tc>
        <w:tc>
          <w:tcPr>
            <w:tcW w:w="402" w:type="pct"/>
            <w:tcBorders>
              <w:top w:val="nil"/>
              <w:left w:val="nil"/>
              <w:bottom w:val="single" w:sz="4" w:space="0" w:color="auto"/>
              <w:right w:val="single" w:sz="4" w:space="0" w:color="auto"/>
            </w:tcBorders>
            <w:shd w:val="clear" w:color="auto" w:fill="auto"/>
            <w:noWrap/>
            <w:hideMark/>
          </w:tcPr>
          <w:p w14:paraId="6010C81E" w14:textId="77777777" w:rsidR="00DA762C" w:rsidRPr="00590A21" w:rsidRDefault="00DA762C" w:rsidP="00DA762C">
            <w:pPr>
              <w:pStyle w:val="tablecopy"/>
              <w:rPr>
                <w:sz w:val="14"/>
                <w:szCs w:val="14"/>
                <w:lang w:val="en-GB"/>
              </w:rPr>
            </w:pPr>
            <w:r w:rsidRPr="00590A21">
              <w:rPr>
                <w:sz w:val="14"/>
                <w:szCs w:val="14"/>
                <w:lang w:val="en-GB"/>
              </w:rPr>
              <w:t>a</w:t>
            </w:r>
            <w:r w:rsidRPr="00590A21">
              <w:rPr>
                <w:sz w:val="14"/>
                <w:szCs w:val="14"/>
                <w:vertAlign w:val="superscript"/>
                <w:lang w:val="en-GB"/>
              </w:rPr>
              <w:t>4</w:t>
            </w:r>
          </w:p>
        </w:tc>
        <w:tc>
          <w:tcPr>
            <w:tcW w:w="610" w:type="pct"/>
            <w:tcBorders>
              <w:top w:val="nil"/>
              <w:left w:val="nil"/>
              <w:bottom w:val="single" w:sz="4" w:space="0" w:color="auto"/>
              <w:right w:val="single" w:sz="4" w:space="0" w:color="auto"/>
            </w:tcBorders>
            <w:shd w:val="clear" w:color="auto" w:fill="auto"/>
            <w:noWrap/>
          </w:tcPr>
          <w:p w14:paraId="7ED9FD96" w14:textId="77777777" w:rsidR="00DA762C" w:rsidRPr="00590A21" w:rsidRDefault="00DA762C" w:rsidP="00DA762C">
            <w:pPr>
              <w:pStyle w:val="tablecopy"/>
              <w:rPr>
                <w:sz w:val="14"/>
                <w:szCs w:val="14"/>
                <w:lang w:val="en-GB"/>
              </w:rPr>
            </w:pPr>
            <w:r w:rsidRPr="00590A21">
              <w:rPr>
                <w:sz w:val="14"/>
                <w:szCs w:val="14"/>
                <w:lang w:val="en-GB"/>
              </w:rPr>
              <w:t>0.321</w:t>
            </w:r>
          </w:p>
        </w:tc>
        <w:tc>
          <w:tcPr>
            <w:tcW w:w="402" w:type="pct"/>
            <w:tcBorders>
              <w:top w:val="nil"/>
              <w:left w:val="nil"/>
              <w:bottom w:val="single" w:sz="4" w:space="0" w:color="auto"/>
              <w:right w:val="single" w:sz="4" w:space="0" w:color="auto"/>
            </w:tcBorders>
            <w:shd w:val="clear" w:color="auto" w:fill="auto"/>
            <w:noWrap/>
            <w:hideMark/>
          </w:tcPr>
          <w:p w14:paraId="0BE269C4" w14:textId="77777777" w:rsidR="00DA762C" w:rsidRPr="00590A21" w:rsidRDefault="00DA762C" w:rsidP="00DA762C">
            <w:pPr>
              <w:pStyle w:val="tablecopy"/>
              <w:rPr>
                <w:sz w:val="14"/>
                <w:szCs w:val="14"/>
                <w:lang w:val="en-GB"/>
              </w:rPr>
            </w:pPr>
            <w:r w:rsidRPr="00590A21">
              <w:rPr>
                <w:sz w:val="14"/>
                <w:szCs w:val="14"/>
                <w:lang w:val="en-GB"/>
              </w:rPr>
              <w:t>d</w:t>
            </w:r>
            <w:r w:rsidRPr="00590A21">
              <w:rPr>
                <w:sz w:val="14"/>
                <w:szCs w:val="14"/>
                <w:vertAlign w:val="superscript"/>
                <w:lang w:val="en-GB"/>
              </w:rPr>
              <w:t>4</w:t>
            </w:r>
          </w:p>
        </w:tc>
        <w:tc>
          <w:tcPr>
            <w:tcW w:w="655" w:type="pct"/>
            <w:tcBorders>
              <w:top w:val="nil"/>
              <w:left w:val="nil"/>
              <w:bottom w:val="single" w:sz="4" w:space="0" w:color="auto"/>
            </w:tcBorders>
            <w:shd w:val="clear" w:color="auto" w:fill="auto"/>
            <w:noWrap/>
          </w:tcPr>
          <w:p w14:paraId="08004ADD" w14:textId="77777777" w:rsidR="00DA762C" w:rsidRPr="00590A21" w:rsidRDefault="00DA762C" w:rsidP="00DA762C">
            <w:pPr>
              <w:pStyle w:val="tablecopy"/>
              <w:rPr>
                <w:sz w:val="14"/>
                <w:szCs w:val="14"/>
                <w:lang w:val="en-GB"/>
              </w:rPr>
            </w:pPr>
            <w:r w:rsidRPr="00590A21">
              <w:rPr>
                <w:sz w:val="14"/>
                <w:szCs w:val="14"/>
                <w:lang w:val="en-GB"/>
              </w:rPr>
              <w:t>7.229</w:t>
            </w:r>
          </w:p>
        </w:tc>
      </w:tr>
      <w:tr w:rsidR="00DA762C" w:rsidRPr="00590A21" w14:paraId="2BBFB9FB" w14:textId="77777777" w:rsidTr="00DA762C">
        <w:trPr>
          <w:trHeight w:val="202"/>
        </w:trPr>
        <w:tc>
          <w:tcPr>
            <w:tcW w:w="732" w:type="pct"/>
            <w:vMerge/>
            <w:tcBorders>
              <w:right w:val="single" w:sz="4" w:space="0" w:color="auto"/>
            </w:tcBorders>
            <w:shd w:val="clear" w:color="auto" w:fill="auto"/>
            <w:noWrap/>
            <w:vAlign w:val="bottom"/>
            <w:hideMark/>
          </w:tcPr>
          <w:p w14:paraId="7E579E7F" w14:textId="77777777" w:rsidR="00DA762C" w:rsidRPr="00590A21" w:rsidRDefault="00DA762C" w:rsidP="00DA762C">
            <w:pPr>
              <w:pStyle w:val="tablecopy"/>
              <w:rPr>
                <w:lang w:val="en-GB"/>
              </w:rPr>
            </w:pPr>
          </w:p>
        </w:tc>
        <w:tc>
          <w:tcPr>
            <w:tcW w:w="501" w:type="pct"/>
            <w:tcBorders>
              <w:top w:val="nil"/>
              <w:left w:val="nil"/>
              <w:bottom w:val="single" w:sz="4" w:space="0" w:color="auto"/>
              <w:right w:val="single" w:sz="4" w:space="0" w:color="auto"/>
            </w:tcBorders>
            <w:shd w:val="clear" w:color="auto" w:fill="auto"/>
            <w:noWrap/>
            <w:hideMark/>
          </w:tcPr>
          <w:p w14:paraId="026875E9" w14:textId="77777777" w:rsidR="00DA762C" w:rsidRPr="00590A21" w:rsidRDefault="00DA762C" w:rsidP="00DA762C">
            <w:pPr>
              <w:pStyle w:val="tablecopy"/>
              <w:rPr>
                <w:sz w:val="14"/>
                <w:szCs w:val="14"/>
                <w:lang w:val="en-GB"/>
              </w:rPr>
            </w:pPr>
            <w:r w:rsidRPr="00590A21">
              <w:rPr>
                <w:sz w:val="14"/>
                <w:szCs w:val="14"/>
                <w:lang w:val="en-GB"/>
              </w:rPr>
              <w:t>b</w:t>
            </w:r>
            <w:r w:rsidRPr="00590A21">
              <w:rPr>
                <w:sz w:val="14"/>
                <w:szCs w:val="14"/>
                <w:vertAlign w:val="superscript"/>
                <w:lang w:val="en-GB"/>
              </w:rPr>
              <w:t>3</w:t>
            </w:r>
          </w:p>
        </w:tc>
        <w:tc>
          <w:tcPr>
            <w:tcW w:w="610" w:type="pct"/>
            <w:tcBorders>
              <w:top w:val="nil"/>
              <w:left w:val="nil"/>
              <w:bottom w:val="single" w:sz="4" w:space="0" w:color="auto"/>
              <w:right w:val="single" w:sz="4" w:space="0" w:color="auto"/>
            </w:tcBorders>
            <w:shd w:val="clear" w:color="auto" w:fill="auto"/>
            <w:noWrap/>
          </w:tcPr>
          <w:p w14:paraId="7C802436" w14:textId="77777777" w:rsidR="00DA762C" w:rsidRPr="00590A21" w:rsidRDefault="00DA762C" w:rsidP="00DA762C">
            <w:pPr>
              <w:pStyle w:val="tablecopy"/>
              <w:rPr>
                <w:sz w:val="14"/>
                <w:szCs w:val="14"/>
                <w:lang w:val="en-GB"/>
              </w:rPr>
            </w:pPr>
            <w:r w:rsidRPr="00590A21">
              <w:rPr>
                <w:sz w:val="14"/>
                <w:szCs w:val="14"/>
                <w:lang w:val="en-GB"/>
              </w:rPr>
              <w:t>-0.600</w:t>
            </w:r>
          </w:p>
        </w:tc>
        <w:tc>
          <w:tcPr>
            <w:tcW w:w="402" w:type="pct"/>
            <w:tcBorders>
              <w:top w:val="nil"/>
              <w:left w:val="nil"/>
              <w:bottom w:val="single" w:sz="4" w:space="0" w:color="auto"/>
              <w:right w:val="single" w:sz="4" w:space="0" w:color="auto"/>
            </w:tcBorders>
            <w:shd w:val="clear" w:color="auto" w:fill="auto"/>
            <w:noWrap/>
            <w:hideMark/>
          </w:tcPr>
          <w:p w14:paraId="5AFA3124" w14:textId="77777777" w:rsidR="00DA762C" w:rsidRPr="00590A21" w:rsidRDefault="00DA762C" w:rsidP="00DA762C">
            <w:pPr>
              <w:pStyle w:val="tablecopy"/>
              <w:rPr>
                <w:sz w:val="14"/>
                <w:szCs w:val="14"/>
                <w:lang w:val="en-GB"/>
              </w:rPr>
            </w:pPr>
            <w:r w:rsidRPr="00590A21">
              <w:rPr>
                <w:sz w:val="14"/>
                <w:szCs w:val="14"/>
                <w:lang w:val="en-GB"/>
              </w:rPr>
              <w:t>e</w:t>
            </w:r>
            <w:r w:rsidRPr="00590A21">
              <w:rPr>
                <w:sz w:val="14"/>
                <w:szCs w:val="14"/>
                <w:vertAlign w:val="superscript"/>
                <w:lang w:val="en-GB"/>
              </w:rPr>
              <w:t>3</w:t>
            </w:r>
          </w:p>
        </w:tc>
        <w:tc>
          <w:tcPr>
            <w:tcW w:w="687" w:type="pct"/>
            <w:tcBorders>
              <w:top w:val="nil"/>
              <w:left w:val="nil"/>
              <w:bottom w:val="single" w:sz="4" w:space="0" w:color="auto"/>
              <w:right w:val="single" w:sz="4" w:space="0" w:color="auto"/>
            </w:tcBorders>
            <w:shd w:val="clear" w:color="auto" w:fill="auto"/>
            <w:noWrap/>
          </w:tcPr>
          <w:p w14:paraId="4B3C16DB" w14:textId="77777777" w:rsidR="00DA762C" w:rsidRPr="00590A21" w:rsidRDefault="00DA762C" w:rsidP="00DA762C">
            <w:pPr>
              <w:pStyle w:val="tablecopy"/>
              <w:rPr>
                <w:sz w:val="14"/>
                <w:szCs w:val="14"/>
                <w:lang w:val="en-GB"/>
              </w:rPr>
            </w:pPr>
            <w:r w:rsidRPr="00590A21">
              <w:rPr>
                <w:sz w:val="14"/>
                <w:szCs w:val="14"/>
                <w:lang w:val="en-GB"/>
              </w:rPr>
              <w:t>-15.682</w:t>
            </w:r>
          </w:p>
        </w:tc>
        <w:tc>
          <w:tcPr>
            <w:tcW w:w="402" w:type="pct"/>
            <w:tcBorders>
              <w:top w:val="nil"/>
              <w:left w:val="nil"/>
              <w:bottom w:val="single" w:sz="4" w:space="0" w:color="auto"/>
              <w:right w:val="single" w:sz="4" w:space="0" w:color="auto"/>
            </w:tcBorders>
            <w:shd w:val="clear" w:color="auto" w:fill="auto"/>
            <w:noWrap/>
            <w:hideMark/>
          </w:tcPr>
          <w:p w14:paraId="5B45B529" w14:textId="77777777" w:rsidR="00DA762C" w:rsidRPr="00590A21" w:rsidRDefault="00DA762C" w:rsidP="00DA762C">
            <w:pPr>
              <w:pStyle w:val="tablecopy"/>
              <w:rPr>
                <w:sz w:val="14"/>
                <w:szCs w:val="14"/>
                <w:lang w:val="en-GB"/>
              </w:rPr>
            </w:pPr>
            <w:r w:rsidRPr="00590A21">
              <w:rPr>
                <w:sz w:val="14"/>
                <w:szCs w:val="14"/>
                <w:lang w:val="en-GB"/>
              </w:rPr>
              <w:t>b</w:t>
            </w:r>
            <w:r w:rsidRPr="00590A21">
              <w:rPr>
                <w:sz w:val="14"/>
                <w:szCs w:val="14"/>
                <w:vertAlign w:val="superscript"/>
                <w:lang w:val="en-GB"/>
              </w:rPr>
              <w:t>4</w:t>
            </w:r>
          </w:p>
        </w:tc>
        <w:tc>
          <w:tcPr>
            <w:tcW w:w="610" w:type="pct"/>
            <w:tcBorders>
              <w:top w:val="nil"/>
              <w:left w:val="nil"/>
              <w:bottom w:val="single" w:sz="4" w:space="0" w:color="auto"/>
              <w:right w:val="single" w:sz="4" w:space="0" w:color="auto"/>
            </w:tcBorders>
            <w:shd w:val="clear" w:color="auto" w:fill="auto"/>
            <w:noWrap/>
          </w:tcPr>
          <w:p w14:paraId="1C43CB6D" w14:textId="77777777" w:rsidR="00DA762C" w:rsidRPr="00590A21" w:rsidRDefault="00DA762C" w:rsidP="00DA762C">
            <w:pPr>
              <w:pStyle w:val="tablecopy"/>
              <w:rPr>
                <w:sz w:val="14"/>
                <w:szCs w:val="14"/>
                <w:lang w:val="en-GB"/>
              </w:rPr>
            </w:pPr>
            <w:r w:rsidRPr="00590A21">
              <w:rPr>
                <w:sz w:val="14"/>
                <w:szCs w:val="14"/>
                <w:lang w:val="en-GB"/>
              </w:rPr>
              <w:t>-1.268</w:t>
            </w:r>
          </w:p>
        </w:tc>
        <w:tc>
          <w:tcPr>
            <w:tcW w:w="402" w:type="pct"/>
            <w:tcBorders>
              <w:top w:val="nil"/>
              <w:left w:val="nil"/>
              <w:bottom w:val="single" w:sz="4" w:space="0" w:color="auto"/>
              <w:right w:val="single" w:sz="4" w:space="0" w:color="auto"/>
            </w:tcBorders>
            <w:shd w:val="clear" w:color="auto" w:fill="auto"/>
            <w:noWrap/>
            <w:hideMark/>
          </w:tcPr>
          <w:p w14:paraId="6FDFCCCB" w14:textId="77777777" w:rsidR="00DA762C" w:rsidRPr="00590A21" w:rsidRDefault="00DA762C" w:rsidP="00DA762C">
            <w:pPr>
              <w:pStyle w:val="tablecopy"/>
              <w:rPr>
                <w:sz w:val="14"/>
                <w:szCs w:val="14"/>
                <w:lang w:val="en-GB"/>
              </w:rPr>
            </w:pPr>
            <w:r w:rsidRPr="00590A21">
              <w:rPr>
                <w:sz w:val="14"/>
                <w:szCs w:val="14"/>
                <w:lang w:val="en-GB"/>
              </w:rPr>
              <w:t>e</w:t>
            </w:r>
            <w:r w:rsidRPr="00590A21">
              <w:rPr>
                <w:sz w:val="14"/>
                <w:szCs w:val="14"/>
                <w:vertAlign w:val="superscript"/>
                <w:lang w:val="en-GB"/>
              </w:rPr>
              <w:t>4</w:t>
            </w:r>
          </w:p>
        </w:tc>
        <w:tc>
          <w:tcPr>
            <w:tcW w:w="655" w:type="pct"/>
            <w:tcBorders>
              <w:top w:val="nil"/>
              <w:left w:val="nil"/>
              <w:bottom w:val="single" w:sz="4" w:space="0" w:color="auto"/>
            </w:tcBorders>
            <w:shd w:val="clear" w:color="auto" w:fill="auto"/>
            <w:noWrap/>
          </w:tcPr>
          <w:p w14:paraId="77C06A6C" w14:textId="77777777" w:rsidR="00DA762C" w:rsidRPr="00590A21" w:rsidRDefault="00DA762C" w:rsidP="00DA762C">
            <w:pPr>
              <w:pStyle w:val="tablecopy"/>
              <w:rPr>
                <w:sz w:val="14"/>
                <w:szCs w:val="14"/>
                <w:lang w:val="en-GB"/>
              </w:rPr>
            </w:pPr>
            <w:r w:rsidRPr="00590A21">
              <w:rPr>
                <w:sz w:val="14"/>
                <w:szCs w:val="14"/>
                <w:lang w:val="en-GB"/>
              </w:rPr>
              <w:t>-33.485</w:t>
            </w:r>
          </w:p>
        </w:tc>
      </w:tr>
      <w:tr w:rsidR="00DA762C" w:rsidRPr="00590A21" w14:paraId="46E9D0F3" w14:textId="77777777" w:rsidTr="00DA762C">
        <w:trPr>
          <w:trHeight w:val="202"/>
        </w:trPr>
        <w:tc>
          <w:tcPr>
            <w:tcW w:w="732" w:type="pct"/>
            <w:vMerge/>
            <w:tcBorders>
              <w:right w:val="single" w:sz="4" w:space="0" w:color="auto"/>
            </w:tcBorders>
            <w:shd w:val="clear" w:color="auto" w:fill="auto"/>
            <w:noWrap/>
            <w:vAlign w:val="bottom"/>
            <w:hideMark/>
          </w:tcPr>
          <w:p w14:paraId="754E98B0" w14:textId="77777777" w:rsidR="00DA762C" w:rsidRPr="00590A21" w:rsidRDefault="00DA762C" w:rsidP="00DA762C">
            <w:pPr>
              <w:pStyle w:val="tablecopy"/>
              <w:rPr>
                <w:lang w:val="en-GB"/>
              </w:rPr>
            </w:pPr>
          </w:p>
        </w:tc>
        <w:tc>
          <w:tcPr>
            <w:tcW w:w="501" w:type="pct"/>
            <w:tcBorders>
              <w:top w:val="nil"/>
              <w:left w:val="nil"/>
              <w:bottom w:val="single" w:sz="4" w:space="0" w:color="auto"/>
              <w:right w:val="single" w:sz="4" w:space="0" w:color="auto"/>
            </w:tcBorders>
            <w:shd w:val="clear" w:color="auto" w:fill="auto"/>
            <w:noWrap/>
            <w:hideMark/>
          </w:tcPr>
          <w:p w14:paraId="63449537" w14:textId="77777777" w:rsidR="00DA762C" w:rsidRPr="00590A21" w:rsidRDefault="00DA762C" w:rsidP="00DA762C">
            <w:pPr>
              <w:pStyle w:val="tablecopy"/>
              <w:rPr>
                <w:sz w:val="14"/>
                <w:szCs w:val="14"/>
                <w:lang w:val="en-GB"/>
              </w:rPr>
            </w:pPr>
            <w:r w:rsidRPr="00590A21">
              <w:rPr>
                <w:sz w:val="14"/>
                <w:szCs w:val="14"/>
                <w:lang w:val="en-GB"/>
              </w:rPr>
              <w:t>c</w:t>
            </w:r>
            <w:r w:rsidRPr="00590A21">
              <w:rPr>
                <w:sz w:val="14"/>
                <w:szCs w:val="14"/>
                <w:vertAlign w:val="superscript"/>
                <w:lang w:val="en-GB"/>
              </w:rPr>
              <w:t>3</w:t>
            </w:r>
          </w:p>
        </w:tc>
        <w:tc>
          <w:tcPr>
            <w:tcW w:w="610" w:type="pct"/>
            <w:tcBorders>
              <w:top w:val="nil"/>
              <w:left w:val="nil"/>
              <w:bottom w:val="single" w:sz="4" w:space="0" w:color="auto"/>
              <w:right w:val="single" w:sz="4" w:space="0" w:color="auto"/>
            </w:tcBorders>
            <w:shd w:val="clear" w:color="auto" w:fill="auto"/>
            <w:noWrap/>
          </w:tcPr>
          <w:p w14:paraId="591D53CB" w14:textId="77777777" w:rsidR="00DA762C" w:rsidRPr="00590A21" w:rsidRDefault="00DA762C" w:rsidP="00DA762C">
            <w:pPr>
              <w:pStyle w:val="tablecopy"/>
              <w:rPr>
                <w:sz w:val="14"/>
                <w:szCs w:val="14"/>
                <w:lang w:val="en-GB"/>
              </w:rPr>
            </w:pPr>
            <w:r w:rsidRPr="00590A21">
              <w:rPr>
                <w:sz w:val="14"/>
                <w:szCs w:val="14"/>
                <w:lang w:val="en-GB"/>
              </w:rPr>
              <w:t>0.793</w:t>
            </w:r>
          </w:p>
        </w:tc>
        <w:tc>
          <w:tcPr>
            <w:tcW w:w="402" w:type="pct"/>
            <w:tcBorders>
              <w:top w:val="nil"/>
              <w:left w:val="nil"/>
              <w:bottom w:val="single" w:sz="4" w:space="0" w:color="auto"/>
              <w:right w:val="single" w:sz="4" w:space="0" w:color="auto"/>
            </w:tcBorders>
            <w:shd w:val="clear" w:color="auto" w:fill="auto"/>
            <w:noWrap/>
            <w:hideMark/>
          </w:tcPr>
          <w:p w14:paraId="55247367" w14:textId="77777777" w:rsidR="00DA762C" w:rsidRPr="00590A21" w:rsidRDefault="00DA762C" w:rsidP="00DA762C">
            <w:pPr>
              <w:pStyle w:val="tablecopy"/>
              <w:rPr>
                <w:sz w:val="14"/>
                <w:szCs w:val="14"/>
                <w:lang w:val="en-GB"/>
              </w:rPr>
            </w:pPr>
            <w:r w:rsidRPr="00590A21">
              <w:rPr>
                <w:sz w:val="14"/>
                <w:szCs w:val="14"/>
                <w:lang w:val="en-GB"/>
              </w:rPr>
              <w:t>f</w:t>
            </w:r>
            <w:r w:rsidRPr="00590A21">
              <w:rPr>
                <w:sz w:val="14"/>
                <w:szCs w:val="14"/>
                <w:vertAlign w:val="superscript"/>
                <w:lang w:val="en-GB"/>
              </w:rPr>
              <w:t>3</w:t>
            </w:r>
          </w:p>
        </w:tc>
        <w:tc>
          <w:tcPr>
            <w:tcW w:w="687" w:type="pct"/>
            <w:tcBorders>
              <w:top w:val="nil"/>
              <w:left w:val="nil"/>
              <w:bottom w:val="single" w:sz="4" w:space="0" w:color="auto"/>
              <w:right w:val="single" w:sz="4" w:space="0" w:color="auto"/>
            </w:tcBorders>
            <w:shd w:val="clear" w:color="auto" w:fill="auto"/>
            <w:noWrap/>
          </w:tcPr>
          <w:p w14:paraId="726C1C65" w14:textId="77777777" w:rsidR="00DA762C" w:rsidRPr="00590A21" w:rsidRDefault="00DA762C" w:rsidP="00DA762C">
            <w:pPr>
              <w:pStyle w:val="tablecopy"/>
              <w:rPr>
                <w:sz w:val="14"/>
                <w:szCs w:val="14"/>
                <w:lang w:val="en-GB"/>
              </w:rPr>
            </w:pPr>
            <w:r w:rsidRPr="00590A21">
              <w:rPr>
                <w:sz w:val="14"/>
                <w:szCs w:val="14"/>
                <w:lang w:val="en-GB"/>
              </w:rPr>
              <w:t>16.150</w:t>
            </w:r>
          </w:p>
        </w:tc>
        <w:tc>
          <w:tcPr>
            <w:tcW w:w="402" w:type="pct"/>
            <w:tcBorders>
              <w:top w:val="nil"/>
              <w:left w:val="nil"/>
              <w:bottom w:val="single" w:sz="4" w:space="0" w:color="auto"/>
              <w:right w:val="single" w:sz="4" w:space="0" w:color="auto"/>
            </w:tcBorders>
            <w:shd w:val="clear" w:color="auto" w:fill="auto"/>
            <w:noWrap/>
            <w:hideMark/>
          </w:tcPr>
          <w:p w14:paraId="388A30B3" w14:textId="77777777" w:rsidR="00DA762C" w:rsidRPr="00590A21" w:rsidRDefault="00DA762C" w:rsidP="00DA762C">
            <w:pPr>
              <w:pStyle w:val="tablecopy"/>
              <w:rPr>
                <w:sz w:val="14"/>
                <w:szCs w:val="14"/>
                <w:lang w:val="en-GB"/>
              </w:rPr>
            </w:pPr>
            <w:r w:rsidRPr="00590A21">
              <w:rPr>
                <w:sz w:val="14"/>
                <w:szCs w:val="14"/>
                <w:lang w:val="en-GB"/>
              </w:rPr>
              <w:t>c</w:t>
            </w:r>
            <w:r w:rsidRPr="00590A21">
              <w:rPr>
                <w:sz w:val="14"/>
                <w:szCs w:val="14"/>
                <w:vertAlign w:val="superscript"/>
                <w:lang w:val="en-GB"/>
              </w:rPr>
              <w:t>4</w:t>
            </w:r>
          </w:p>
        </w:tc>
        <w:tc>
          <w:tcPr>
            <w:tcW w:w="610" w:type="pct"/>
            <w:tcBorders>
              <w:top w:val="nil"/>
              <w:left w:val="nil"/>
              <w:bottom w:val="single" w:sz="4" w:space="0" w:color="auto"/>
              <w:right w:val="single" w:sz="4" w:space="0" w:color="auto"/>
            </w:tcBorders>
            <w:shd w:val="clear" w:color="auto" w:fill="auto"/>
            <w:noWrap/>
          </w:tcPr>
          <w:p w14:paraId="287B0CFC" w14:textId="77777777" w:rsidR="00DA762C" w:rsidRPr="00590A21" w:rsidRDefault="00DA762C" w:rsidP="00DA762C">
            <w:pPr>
              <w:pStyle w:val="tablecopy"/>
              <w:rPr>
                <w:sz w:val="14"/>
                <w:szCs w:val="14"/>
                <w:lang w:val="en-GB"/>
              </w:rPr>
            </w:pPr>
            <w:r w:rsidRPr="00590A21">
              <w:rPr>
                <w:sz w:val="14"/>
                <w:szCs w:val="14"/>
                <w:lang w:val="en-GB"/>
              </w:rPr>
              <w:t>2.206</w:t>
            </w:r>
          </w:p>
        </w:tc>
        <w:tc>
          <w:tcPr>
            <w:tcW w:w="402" w:type="pct"/>
            <w:tcBorders>
              <w:top w:val="nil"/>
              <w:left w:val="nil"/>
              <w:bottom w:val="single" w:sz="4" w:space="0" w:color="auto"/>
              <w:right w:val="single" w:sz="4" w:space="0" w:color="auto"/>
            </w:tcBorders>
            <w:shd w:val="clear" w:color="auto" w:fill="auto"/>
            <w:noWrap/>
            <w:hideMark/>
          </w:tcPr>
          <w:p w14:paraId="13ADDDBE" w14:textId="77777777" w:rsidR="00DA762C" w:rsidRPr="00590A21" w:rsidRDefault="00DA762C" w:rsidP="00DA762C">
            <w:pPr>
              <w:pStyle w:val="tablecopy"/>
              <w:rPr>
                <w:sz w:val="14"/>
                <w:szCs w:val="14"/>
                <w:lang w:val="en-GB"/>
              </w:rPr>
            </w:pPr>
            <w:r w:rsidRPr="00590A21">
              <w:rPr>
                <w:sz w:val="14"/>
                <w:szCs w:val="14"/>
                <w:lang w:val="en-GB"/>
              </w:rPr>
              <w:t>f</w:t>
            </w:r>
            <w:r w:rsidRPr="00590A21">
              <w:rPr>
                <w:sz w:val="14"/>
                <w:szCs w:val="14"/>
                <w:vertAlign w:val="superscript"/>
                <w:lang w:val="en-GB"/>
              </w:rPr>
              <w:t>4</w:t>
            </w:r>
          </w:p>
        </w:tc>
        <w:tc>
          <w:tcPr>
            <w:tcW w:w="655" w:type="pct"/>
            <w:tcBorders>
              <w:top w:val="nil"/>
              <w:left w:val="nil"/>
              <w:bottom w:val="single" w:sz="4" w:space="0" w:color="auto"/>
            </w:tcBorders>
            <w:shd w:val="clear" w:color="auto" w:fill="auto"/>
            <w:noWrap/>
          </w:tcPr>
          <w:p w14:paraId="10206C5C" w14:textId="77777777" w:rsidR="00DA762C" w:rsidRPr="00590A21" w:rsidRDefault="00DA762C" w:rsidP="00DA762C">
            <w:pPr>
              <w:pStyle w:val="tablecopy"/>
              <w:rPr>
                <w:sz w:val="14"/>
                <w:szCs w:val="14"/>
                <w:lang w:val="en-GB"/>
              </w:rPr>
            </w:pPr>
            <w:r w:rsidRPr="00590A21">
              <w:rPr>
                <w:sz w:val="14"/>
                <w:szCs w:val="14"/>
                <w:lang w:val="en-GB"/>
              </w:rPr>
              <w:t>89.365</w:t>
            </w:r>
          </w:p>
        </w:tc>
      </w:tr>
      <w:tr w:rsidR="00DA762C" w:rsidRPr="00590A21" w14:paraId="6C06E1F2" w14:textId="77777777" w:rsidTr="00DA762C">
        <w:trPr>
          <w:trHeight w:val="62"/>
        </w:trPr>
        <w:tc>
          <w:tcPr>
            <w:tcW w:w="732" w:type="pct"/>
            <w:vMerge/>
            <w:tcBorders>
              <w:bottom w:val="single" w:sz="12" w:space="0" w:color="auto"/>
              <w:right w:val="single" w:sz="4" w:space="0" w:color="auto"/>
            </w:tcBorders>
            <w:shd w:val="clear" w:color="auto" w:fill="auto"/>
            <w:noWrap/>
            <w:vAlign w:val="bottom"/>
            <w:hideMark/>
          </w:tcPr>
          <w:p w14:paraId="1301D7B7" w14:textId="77777777" w:rsidR="00DA762C" w:rsidRPr="00590A21" w:rsidRDefault="00DA762C" w:rsidP="00DA762C">
            <w:pPr>
              <w:pStyle w:val="tablecopy"/>
              <w:rPr>
                <w:lang w:val="en-GB"/>
              </w:rPr>
            </w:pPr>
          </w:p>
        </w:tc>
        <w:tc>
          <w:tcPr>
            <w:tcW w:w="501" w:type="pct"/>
            <w:tcBorders>
              <w:top w:val="nil"/>
              <w:left w:val="nil"/>
              <w:bottom w:val="single" w:sz="12" w:space="0" w:color="auto"/>
              <w:right w:val="single" w:sz="4" w:space="0" w:color="auto"/>
            </w:tcBorders>
            <w:shd w:val="clear" w:color="auto" w:fill="auto"/>
            <w:noWrap/>
            <w:hideMark/>
          </w:tcPr>
          <w:p w14:paraId="48BD4E5D" w14:textId="77777777" w:rsidR="00DA762C" w:rsidRPr="00590A21" w:rsidRDefault="00DA762C" w:rsidP="00DA762C">
            <w:pPr>
              <w:pStyle w:val="tablecopy"/>
              <w:rPr>
                <w:sz w:val="14"/>
                <w:szCs w:val="14"/>
                <w:lang w:val="en-GB"/>
              </w:rPr>
            </w:pPr>
            <w:r w:rsidRPr="00590A21">
              <w:rPr>
                <w:sz w:val="14"/>
                <w:szCs w:val="14"/>
                <w:lang w:val="en-GB"/>
              </w:rPr>
              <w:t> </w:t>
            </w:r>
          </w:p>
        </w:tc>
        <w:tc>
          <w:tcPr>
            <w:tcW w:w="610" w:type="pct"/>
            <w:tcBorders>
              <w:top w:val="nil"/>
              <w:left w:val="nil"/>
              <w:bottom w:val="single" w:sz="12" w:space="0" w:color="auto"/>
              <w:right w:val="single" w:sz="4" w:space="0" w:color="auto"/>
            </w:tcBorders>
            <w:shd w:val="clear" w:color="auto" w:fill="auto"/>
            <w:noWrap/>
            <w:hideMark/>
          </w:tcPr>
          <w:p w14:paraId="2174192F" w14:textId="77777777" w:rsidR="00DA762C" w:rsidRPr="00590A21" w:rsidRDefault="00DA762C" w:rsidP="00DA762C">
            <w:pPr>
              <w:pStyle w:val="tablecopy"/>
              <w:rPr>
                <w:sz w:val="14"/>
                <w:szCs w:val="14"/>
                <w:lang w:val="en-GB"/>
              </w:rPr>
            </w:pPr>
            <w:r w:rsidRPr="00590A21">
              <w:rPr>
                <w:sz w:val="14"/>
                <w:szCs w:val="14"/>
                <w:lang w:val="en-GB"/>
              </w:rPr>
              <w:t> </w:t>
            </w:r>
          </w:p>
        </w:tc>
        <w:tc>
          <w:tcPr>
            <w:tcW w:w="402" w:type="pct"/>
            <w:tcBorders>
              <w:top w:val="nil"/>
              <w:left w:val="nil"/>
              <w:bottom w:val="single" w:sz="12" w:space="0" w:color="auto"/>
              <w:right w:val="single" w:sz="4" w:space="0" w:color="auto"/>
            </w:tcBorders>
            <w:shd w:val="clear" w:color="auto" w:fill="auto"/>
            <w:noWrap/>
            <w:hideMark/>
          </w:tcPr>
          <w:p w14:paraId="7DF6D9EA" w14:textId="77777777" w:rsidR="00DA762C" w:rsidRPr="00590A21" w:rsidRDefault="00DA762C" w:rsidP="00DA762C">
            <w:pPr>
              <w:pStyle w:val="tablecopy"/>
              <w:rPr>
                <w:sz w:val="14"/>
                <w:szCs w:val="14"/>
                <w:lang w:val="en-GB"/>
              </w:rPr>
            </w:pPr>
            <w:r w:rsidRPr="00590A21">
              <w:rPr>
                <w:sz w:val="14"/>
                <w:szCs w:val="14"/>
                <w:lang w:val="en-GB"/>
              </w:rPr>
              <w:t>g</w:t>
            </w:r>
            <w:r w:rsidRPr="00590A21">
              <w:rPr>
                <w:sz w:val="14"/>
                <w:szCs w:val="14"/>
                <w:vertAlign w:val="superscript"/>
                <w:lang w:val="en-GB"/>
              </w:rPr>
              <w:t>3</w:t>
            </w:r>
          </w:p>
        </w:tc>
        <w:tc>
          <w:tcPr>
            <w:tcW w:w="687" w:type="pct"/>
            <w:tcBorders>
              <w:top w:val="nil"/>
              <w:left w:val="nil"/>
              <w:bottom w:val="single" w:sz="12" w:space="0" w:color="auto"/>
              <w:right w:val="single" w:sz="4" w:space="0" w:color="auto"/>
            </w:tcBorders>
            <w:shd w:val="clear" w:color="auto" w:fill="auto"/>
            <w:noWrap/>
          </w:tcPr>
          <w:p w14:paraId="0212EEE8" w14:textId="77777777" w:rsidR="00DA762C" w:rsidRPr="00590A21" w:rsidRDefault="00DA762C" w:rsidP="00DA762C">
            <w:pPr>
              <w:pStyle w:val="tablecopy"/>
              <w:rPr>
                <w:sz w:val="14"/>
                <w:szCs w:val="14"/>
                <w:lang w:val="en-GB"/>
              </w:rPr>
            </w:pPr>
            <w:r w:rsidRPr="00590A21">
              <w:rPr>
                <w:sz w:val="14"/>
                <w:szCs w:val="14"/>
                <w:lang w:val="en-GB"/>
              </w:rPr>
              <w:t>66.964</w:t>
            </w:r>
          </w:p>
        </w:tc>
        <w:tc>
          <w:tcPr>
            <w:tcW w:w="402" w:type="pct"/>
            <w:tcBorders>
              <w:top w:val="nil"/>
              <w:left w:val="nil"/>
              <w:bottom w:val="single" w:sz="12" w:space="0" w:color="auto"/>
              <w:right w:val="single" w:sz="4" w:space="0" w:color="auto"/>
            </w:tcBorders>
            <w:shd w:val="clear" w:color="auto" w:fill="auto"/>
            <w:noWrap/>
            <w:hideMark/>
          </w:tcPr>
          <w:p w14:paraId="2B63E85D" w14:textId="77777777" w:rsidR="00DA762C" w:rsidRPr="00590A21" w:rsidRDefault="00DA762C" w:rsidP="00DA762C">
            <w:pPr>
              <w:pStyle w:val="tablecopy"/>
              <w:rPr>
                <w:sz w:val="14"/>
                <w:szCs w:val="14"/>
                <w:lang w:val="en-GB"/>
              </w:rPr>
            </w:pPr>
            <w:r w:rsidRPr="00590A21">
              <w:rPr>
                <w:sz w:val="14"/>
                <w:szCs w:val="14"/>
                <w:lang w:val="en-GB"/>
              </w:rPr>
              <w:t> </w:t>
            </w:r>
          </w:p>
        </w:tc>
        <w:tc>
          <w:tcPr>
            <w:tcW w:w="610" w:type="pct"/>
            <w:tcBorders>
              <w:top w:val="nil"/>
              <w:left w:val="nil"/>
              <w:bottom w:val="single" w:sz="12" w:space="0" w:color="auto"/>
              <w:right w:val="single" w:sz="4" w:space="0" w:color="auto"/>
            </w:tcBorders>
            <w:shd w:val="clear" w:color="auto" w:fill="auto"/>
            <w:noWrap/>
            <w:hideMark/>
          </w:tcPr>
          <w:p w14:paraId="32D60677" w14:textId="77777777" w:rsidR="00DA762C" w:rsidRPr="00590A21" w:rsidRDefault="00DA762C" w:rsidP="00DA762C">
            <w:pPr>
              <w:pStyle w:val="tablecopy"/>
              <w:rPr>
                <w:sz w:val="14"/>
                <w:szCs w:val="14"/>
                <w:lang w:val="en-GB"/>
              </w:rPr>
            </w:pPr>
            <w:r w:rsidRPr="00590A21">
              <w:rPr>
                <w:sz w:val="14"/>
                <w:szCs w:val="14"/>
                <w:lang w:val="en-GB"/>
              </w:rPr>
              <w:t> </w:t>
            </w:r>
          </w:p>
        </w:tc>
        <w:tc>
          <w:tcPr>
            <w:tcW w:w="402" w:type="pct"/>
            <w:tcBorders>
              <w:top w:val="nil"/>
              <w:left w:val="nil"/>
              <w:bottom w:val="single" w:sz="12" w:space="0" w:color="auto"/>
              <w:right w:val="single" w:sz="4" w:space="0" w:color="auto"/>
            </w:tcBorders>
            <w:shd w:val="clear" w:color="auto" w:fill="auto"/>
            <w:noWrap/>
            <w:hideMark/>
          </w:tcPr>
          <w:p w14:paraId="57C2C311" w14:textId="77777777" w:rsidR="00DA762C" w:rsidRPr="00590A21" w:rsidRDefault="00DA762C" w:rsidP="00DA762C">
            <w:pPr>
              <w:pStyle w:val="tablecopy"/>
              <w:rPr>
                <w:sz w:val="14"/>
                <w:szCs w:val="14"/>
                <w:lang w:val="en-GB"/>
              </w:rPr>
            </w:pPr>
            <w:r w:rsidRPr="00590A21">
              <w:rPr>
                <w:sz w:val="14"/>
                <w:szCs w:val="14"/>
                <w:lang w:val="en-GB"/>
              </w:rPr>
              <w:t>g</w:t>
            </w:r>
            <w:r w:rsidRPr="00590A21">
              <w:rPr>
                <w:sz w:val="14"/>
                <w:szCs w:val="14"/>
                <w:vertAlign w:val="superscript"/>
                <w:lang w:val="en-GB"/>
              </w:rPr>
              <w:t>4</w:t>
            </w:r>
          </w:p>
        </w:tc>
        <w:tc>
          <w:tcPr>
            <w:tcW w:w="655" w:type="pct"/>
            <w:tcBorders>
              <w:top w:val="nil"/>
              <w:left w:val="nil"/>
              <w:bottom w:val="single" w:sz="12" w:space="0" w:color="auto"/>
            </w:tcBorders>
            <w:shd w:val="clear" w:color="auto" w:fill="auto"/>
            <w:noWrap/>
          </w:tcPr>
          <w:p w14:paraId="65C25A16" w14:textId="77777777" w:rsidR="00DA762C" w:rsidRPr="00590A21" w:rsidRDefault="00DA762C" w:rsidP="00DA762C">
            <w:pPr>
              <w:pStyle w:val="tablecopy"/>
              <w:rPr>
                <w:sz w:val="14"/>
                <w:szCs w:val="14"/>
                <w:lang w:val="en-GB"/>
              </w:rPr>
            </w:pPr>
            <w:r w:rsidRPr="00590A21">
              <w:rPr>
                <w:sz w:val="14"/>
                <w:szCs w:val="14"/>
                <w:lang w:val="en-GB"/>
              </w:rPr>
              <w:t>44.703</w:t>
            </w:r>
          </w:p>
        </w:tc>
      </w:tr>
    </w:tbl>
    <w:p w14:paraId="274D9E4E" w14:textId="77777777" w:rsidR="008764C2" w:rsidRPr="00590A21" w:rsidRDefault="008764C2" w:rsidP="008764C2">
      <w:pPr>
        <w:rPr>
          <w:b/>
          <w:sz w:val="16"/>
          <w:szCs w:val="16"/>
          <w:lang w:val="en-GB"/>
        </w:rPr>
      </w:pPr>
    </w:p>
    <w:p w14:paraId="67BEE948" w14:textId="77777777" w:rsidR="008764C2" w:rsidRPr="00590A21" w:rsidRDefault="008764C2" w:rsidP="00207C46">
      <w:pPr>
        <w:ind w:firstLine="142"/>
        <w:jc w:val="both"/>
        <w:rPr>
          <w:lang w:val="en-GB"/>
        </w:rPr>
      </w:pPr>
      <w:bookmarkStart w:id="28" w:name="OLE_LINK189"/>
      <w:bookmarkStart w:id="29" w:name="OLE_LINK190"/>
      <w:bookmarkStart w:id="30" w:name="OLE_LINK60"/>
      <w:bookmarkEnd w:id="24"/>
      <w:bookmarkEnd w:id="25"/>
      <w:bookmarkEnd w:id="27"/>
      <w:r w:rsidRPr="00590A21">
        <w:rPr>
          <w:lang w:val="en-GB"/>
        </w:rPr>
        <w:t xml:space="preserve">Based on the above discussion, it verifies the hypothesis that the interfacial charge is approximately the same with the same thickness ratio between the oil and PB. It will allow one to interpolate the space charge from the thinner samples to multilayer thicker samples for the electric field estimation. </w:t>
      </w:r>
    </w:p>
    <w:bookmarkEnd w:id="28"/>
    <w:bookmarkEnd w:id="29"/>
    <w:bookmarkEnd w:id="30"/>
    <w:p w14:paraId="22084BEB" w14:textId="77777777" w:rsidR="008764C2" w:rsidRPr="00590A21" w:rsidRDefault="008764C2" w:rsidP="004A2DDE">
      <w:pPr>
        <w:pStyle w:val="Heading1"/>
        <w:numPr>
          <w:ilvl w:val="0"/>
          <w:numId w:val="3"/>
        </w:numPr>
        <w:ind w:left="357" w:hanging="357"/>
        <w:rPr>
          <w:rFonts w:ascii="Arial" w:hAnsi="Arial" w:cs="Arial"/>
          <w:b/>
          <w:caps/>
          <w:sz w:val="24"/>
          <w:lang w:val="en-GB"/>
        </w:rPr>
      </w:pPr>
      <w:r w:rsidRPr="00590A21">
        <w:rPr>
          <w:rFonts w:ascii="Arial" w:hAnsi="Arial" w:cs="Arial"/>
          <w:b/>
          <w:caps/>
          <w:sz w:val="24"/>
          <w:lang w:val="en-GB"/>
        </w:rPr>
        <w:t>Electric field distribution of four and layers oil and oil-impregnated pb</w:t>
      </w:r>
    </w:p>
    <w:p w14:paraId="33554B44" w14:textId="37E18C8C" w:rsidR="008764C2" w:rsidRPr="00590A21" w:rsidRDefault="008764C2" w:rsidP="00207C46">
      <w:pPr>
        <w:ind w:firstLine="142"/>
        <w:jc w:val="both"/>
        <w:rPr>
          <w:lang w:val="en-GB"/>
        </w:rPr>
      </w:pPr>
      <w:bookmarkStart w:id="31" w:name="OLE_LINK66"/>
      <w:bookmarkStart w:id="32" w:name="OLE_LINK198"/>
      <w:bookmarkStart w:id="33" w:name="OLE_LINK199"/>
      <w:r w:rsidRPr="00590A21">
        <w:rPr>
          <w:lang w:val="en-GB"/>
        </w:rPr>
        <w:t>The multilayers consisting of four and six layers structure model of oil and PB, which are proposed by the CIGRE working group A2/D1.41,</w:t>
      </w:r>
      <w:r w:rsidR="00B31A57">
        <w:rPr>
          <w:lang w:val="en-GB"/>
        </w:rPr>
        <w:t xml:space="preserve"> which</w:t>
      </w:r>
      <w:r w:rsidRPr="00590A21">
        <w:rPr>
          <w:lang w:val="en-GB"/>
        </w:rPr>
        <w:t xml:space="preserve"> is shown in Figure </w:t>
      </w:r>
      <w:r w:rsidR="00894579" w:rsidRPr="00590A21">
        <w:rPr>
          <w:lang w:val="en-GB"/>
        </w:rPr>
        <w:t>7</w:t>
      </w:r>
      <w:r w:rsidRPr="00590A21">
        <w:rPr>
          <w:lang w:val="en-GB"/>
        </w:rPr>
        <w:t xml:space="preserve">. The aim of the simple four and six layers model is to mimic the part of the electric field in the converter transformer. Considering the thick and multilayers structure of the oil and PB, it is difficult to measure the space charge directly. Therefore, the new methodology of interpolating the space charge into the model will be described in detail here. </w:t>
      </w:r>
    </w:p>
    <w:p w14:paraId="6A3541D3" w14:textId="77777777" w:rsidR="008764C2" w:rsidRPr="00590A21" w:rsidRDefault="008764C2" w:rsidP="00207C46">
      <w:pPr>
        <w:ind w:firstLine="142"/>
        <w:jc w:val="both"/>
        <w:rPr>
          <w:lang w:val="en-GB"/>
        </w:rPr>
      </w:pPr>
      <w:r w:rsidRPr="00590A21">
        <w:rPr>
          <w:lang w:val="en-GB"/>
        </w:rPr>
        <w:t>The interpolation of space charge methodology will contain the following parts: (</w:t>
      </w:r>
      <w:proofErr w:type="spellStart"/>
      <w:r w:rsidRPr="00590A21">
        <w:rPr>
          <w:lang w:val="en-GB"/>
        </w:rPr>
        <w:t>i</w:t>
      </w:r>
      <w:proofErr w:type="spellEnd"/>
      <w:r w:rsidRPr="00590A21">
        <w:rPr>
          <w:lang w:val="en-GB"/>
        </w:rPr>
        <w:t xml:space="preserve">) Divide the model based on different thickness ratios sections; (ii) Summarise the interfacial charge based on different thickness ratios; (iii) Estimate the interfacial charge with different thickness ratios; </w:t>
      </w:r>
      <w:proofErr w:type="gramStart"/>
      <w:r w:rsidRPr="00590A21">
        <w:rPr>
          <w:lang w:val="en-GB"/>
        </w:rPr>
        <w:t>(iv) Interpolate</w:t>
      </w:r>
      <w:proofErr w:type="gramEnd"/>
      <w:r w:rsidRPr="00590A21">
        <w:rPr>
          <w:lang w:val="en-GB"/>
        </w:rPr>
        <w:t xml:space="preserve"> the space charge into the model; and (v) Compute the electric field distribution. </w:t>
      </w:r>
    </w:p>
    <w:p w14:paraId="182B187E" w14:textId="14D9EBBB" w:rsidR="008764C2" w:rsidRPr="00590A21" w:rsidRDefault="008764C2" w:rsidP="00207C46">
      <w:pPr>
        <w:ind w:firstLine="142"/>
        <w:jc w:val="both"/>
        <w:rPr>
          <w:lang w:val="en-GB"/>
        </w:rPr>
      </w:pPr>
      <w:r w:rsidRPr="00590A21">
        <w:rPr>
          <w:lang w:val="en-GB"/>
        </w:rPr>
        <w:t xml:space="preserve">Firstly, the thickness of each oil and PB layers are shown in Figure </w:t>
      </w:r>
      <w:r w:rsidR="00894579" w:rsidRPr="00590A21">
        <w:rPr>
          <w:lang w:val="en-GB"/>
        </w:rPr>
        <w:t>7</w:t>
      </w:r>
      <w:r w:rsidRPr="00590A21">
        <w:rPr>
          <w:lang w:val="en-GB"/>
        </w:rPr>
        <w:t xml:space="preserve">. The four and six layers oil and PB are divided into different thickness ratio sections based on the </w:t>
      </w:r>
      <w:r w:rsidR="00013037">
        <w:rPr>
          <w:lang w:val="en-GB"/>
        </w:rPr>
        <w:t>E</w:t>
      </w:r>
      <w:r w:rsidRPr="00590A21">
        <w:rPr>
          <w:lang w:val="en-GB"/>
        </w:rPr>
        <w:t>quation (</w:t>
      </w:r>
      <w:r w:rsidR="000E33D0" w:rsidRPr="00590A21">
        <w:rPr>
          <w:lang w:val="en-GB"/>
        </w:rPr>
        <w:t>6</w:t>
      </w:r>
      <w:r w:rsidRPr="00590A21">
        <w:rPr>
          <w:lang w:val="en-GB"/>
        </w:rPr>
        <w:t xml:space="preserve">): </w:t>
      </w:r>
    </w:p>
    <w:tbl>
      <w:tblPr>
        <w:tblW w:w="0" w:type="auto"/>
        <w:tblLook w:val="04A0" w:firstRow="1" w:lastRow="0" w:firstColumn="1" w:lastColumn="0" w:noHBand="0" w:noVBand="1"/>
      </w:tblPr>
      <w:tblGrid>
        <w:gridCol w:w="1681"/>
        <w:gridCol w:w="1682"/>
        <w:gridCol w:w="1677"/>
      </w:tblGrid>
      <w:tr w:rsidR="008764C2" w:rsidRPr="00590A21" w14:paraId="79083352" w14:textId="77777777" w:rsidTr="00C025DA">
        <w:tc>
          <w:tcPr>
            <w:tcW w:w="1681" w:type="dxa"/>
            <w:shd w:val="clear" w:color="auto" w:fill="auto"/>
          </w:tcPr>
          <w:p w14:paraId="48574F46" w14:textId="77777777" w:rsidR="008764C2" w:rsidRPr="00590A21" w:rsidRDefault="008764C2" w:rsidP="00C025DA">
            <w:pPr>
              <w:rPr>
                <w:rFonts w:ascii="Cambria Math" w:hAnsi="Cambria Math"/>
                <w:lang w:val="en-GB"/>
              </w:rPr>
            </w:pPr>
          </w:p>
        </w:tc>
        <w:tc>
          <w:tcPr>
            <w:tcW w:w="1682" w:type="dxa"/>
            <w:shd w:val="clear" w:color="auto" w:fill="auto"/>
          </w:tcPr>
          <w:p w14:paraId="5888FE6E" w14:textId="7C8F48AA" w:rsidR="008764C2" w:rsidRPr="00FB3D31" w:rsidRDefault="008764C2" w:rsidP="00C025DA">
            <w:pPr>
              <w:ind w:firstLineChars="100" w:firstLine="180"/>
              <w:rPr>
                <w:rFonts w:ascii="Cambria Math" w:hAnsi="Cambria Math"/>
                <w:sz w:val="18"/>
                <w:szCs w:val="18"/>
                <w:lang w:val="en-GB"/>
              </w:rPr>
            </w:pPr>
            <m:oMathPara>
              <m:oMath>
                <m:r>
                  <w:rPr>
                    <w:rFonts w:ascii="Cambria Math" w:hAnsi="Cambria Math"/>
                    <w:sz w:val="18"/>
                    <w:szCs w:val="18"/>
                    <w:lang w:val="en-GB"/>
                  </w:rPr>
                  <m:t>Ratio=</m:t>
                </m:r>
                <m:f>
                  <m:fPr>
                    <m:ctrlPr>
                      <w:rPr>
                        <w:rFonts w:ascii="Cambria Math" w:hAnsi="Cambria Math"/>
                        <w:i/>
                        <w:sz w:val="18"/>
                        <w:szCs w:val="18"/>
                        <w:lang w:val="en-GB"/>
                      </w:rPr>
                    </m:ctrlPr>
                  </m:fPr>
                  <m:num>
                    <m:sSub>
                      <m:sSubPr>
                        <m:ctrlPr>
                          <w:rPr>
                            <w:rFonts w:ascii="Cambria Math" w:hAnsi="Cambria Math"/>
                            <w:i/>
                            <w:sz w:val="18"/>
                            <w:szCs w:val="18"/>
                            <w:lang w:val="en-GB"/>
                          </w:rPr>
                        </m:ctrlPr>
                      </m:sSubPr>
                      <m:e>
                        <m:r>
                          <w:rPr>
                            <w:rFonts w:ascii="Cambria Math" w:hAnsi="Cambria Math"/>
                            <w:sz w:val="18"/>
                            <w:szCs w:val="18"/>
                            <w:lang w:val="en-GB"/>
                          </w:rPr>
                          <m:t>d</m:t>
                        </m:r>
                      </m:e>
                      <m:sub>
                        <m:r>
                          <w:rPr>
                            <w:rFonts w:ascii="Cambria Math" w:hAnsi="Cambria Math"/>
                            <w:sz w:val="18"/>
                            <w:szCs w:val="18"/>
                            <w:lang w:val="en-GB"/>
                          </w:rPr>
                          <m:t>PB</m:t>
                        </m:r>
                      </m:sub>
                    </m:sSub>
                  </m:num>
                  <m:den>
                    <m:sSub>
                      <m:sSubPr>
                        <m:ctrlPr>
                          <w:rPr>
                            <w:rFonts w:ascii="Cambria Math" w:hAnsi="Cambria Math"/>
                            <w:i/>
                            <w:sz w:val="18"/>
                            <w:szCs w:val="18"/>
                            <w:lang w:val="en-GB"/>
                          </w:rPr>
                        </m:ctrlPr>
                      </m:sSubPr>
                      <m:e>
                        <m:r>
                          <w:rPr>
                            <w:rFonts w:ascii="Cambria Math" w:hAnsi="Cambria Math"/>
                            <w:sz w:val="18"/>
                            <w:szCs w:val="18"/>
                            <w:lang w:val="en-GB"/>
                          </w:rPr>
                          <m:t>d</m:t>
                        </m:r>
                      </m:e>
                      <m:sub>
                        <m:r>
                          <w:rPr>
                            <w:rFonts w:ascii="Cambria Math" w:hAnsi="Cambria Math"/>
                            <w:sz w:val="18"/>
                            <w:szCs w:val="18"/>
                            <w:lang w:val="en-GB"/>
                          </w:rPr>
                          <m:t>oil</m:t>
                        </m:r>
                      </m:sub>
                    </m:sSub>
                  </m:den>
                </m:f>
              </m:oMath>
            </m:oMathPara>
          </w:p>
        </w:tc>
        <w:tc>
          <w:tcPr>
            <w:tcW w:w="1677" w:type="dxa"/>
            <w:shd w:val="clear" w:color="auto" w:fill="auto"/>
          </w:tcPr>
          <w:p w14:paraId="1A959F2D" w14:textId="7C07C1E1" w:rsidR="008764C2" w:rsidRPr="00B44A94" w:rsidRDefault="008764C2" w:rsidP="00C025DA">
            <w:pPr>
              <w:jc w:val="right"/>
              <w:rPr>
                <w:lang w:val="en-GB"/>
              </w:rPr>
            </w:pPr>
            <w:r w:rsidRPr="00B44A94">
              <w:rPr>
                <w:lang w:val="en-GB"/>
              </w:rPr>
              <w:t>(</w:t>
            </w:r>
            <w:r w:rsidR="006A0CC3" w:rsidRPr="00B44A94">
              <w:rPr>
                <w:lang w:val="en-GB"/>
              </w:rPr>
              <w:t>6</w:t>
            </w:r>
            <w:r w:rsidRPr="00B44A94">
              <w:rPr>
                <w:lang w:val="en-GB"/>
              </w:rPr>
              <w:t>)</w:t>
            </w:r>
          </w:p>
        </w:tc>
      </w:tr>
    </w:tbl>
    <w:p w14:paraId="4AA5D6E9" w14:textId="15F44F47" w:rsidR="008764C2" w:rsidRPr="00590A21" w:rsidRDefault="008764C2" w:rsidP="00207C46">
      <w:pPr>
        <w:ind w:firstLine="142"/>
        <w:jc w:val="both"/>
        <w:rPr>
          <w:lang w:val="en-GB"/>
        </w:rPr>
      </w:pPr>
      <w:r w:rsidRPr="00590A21">
        <w:rPr>
          <w:lang w:val="en-GB"/>
        </w:rPr>
        <w:t xml:space="preserve">Table </w:t>
      </w:r>
      <w:r w:rsidR="00894579" w:rsidRPr="00590A21">
        <w:rPr>
          <w:lang w:val="en-GB"/>
        </w:rPr>
        <w:t>4</w:t>
      </w:r>
      <w:r w:rsidRPr="00590A21">
        <w:rPr>
          <w:lang w:val="en-GB"/>
        </w:rPr>
        <w:t xml:space="preserve"> shows that the four and six layers model are divided into eleven and fifteen thickness ratios sections, separately. </w:t>
      </w:r>
    </w:p>
    <w:tbl>
      <w:tblPr>
        <w:tblW w:w="0" w:type="auto"/>
        <w:tblLook w:val="04A0" w:firstRow="1" w:lastRow="0" w:firstColumn="1" w:lastColumn="0" w:noHBand="0" w:noVBand="1"/>
      </w:tblPr>
      <w:tblGrid>
        <w:gridCol w:w="2909"/>
        <w:gridCol w:w="2131"/>
      </w:tblGrid>
      <w:tr w:rsidR="008764C2" w:rsidRPr="00590A21" w14:paraId="48939768" w14:textId="77777777" w:rsidTr="00C025DA">
        <w:tc>
          <w:tcPr>
            <w:tcW w:w="5040" w:type="dxa"/>
            <w:gridSpan w:val="2"/>
            <w:shd w:val="clear" w:color="auto" w:fill="auto"/>
          </w:tcPr>
          <w:p w14:paraId="573287E1" w14:textId="77777777" w:rsidR="008764C2" w:rsidRPr="00590A21" w:rsidRDefault="008764C2" w:rsidP="00C025DA">
            <w:pPr>
              <w:rPr>
                <w:b/>
                <w:sz w:val="16"/>
                <w:szCs w:val="16"/>
                <w:lang w:val="en-GB"/>
              </w:rPr>
            </w:pPr>
            <w:bookmarkStart w:id="34" w:name="OLE_LINK200"/>
            <w:bookmarkStart w:id="35" w:name="OLE_LINK68"/>
            <w:bookmarkEnd w:id="31"/>
            <w:bookmarkEnd w:id="32"/>
            <w:bookmarkEnd w:id="33"/>
            <w:r w:rsidRPr="00590A21">
              <w:rPr>
                <w:lang w:val="en-GB"/>
              </w:rPr>
              <w:t xml:space="preserve"> </w:t>
            </w:r>
            <w:bookmarkStart w:id="36" w:name="OLE_LINK9"/>
            <w:bookmarkEnd w:id="34"/>
            <w:bookmarkEnd w:id="35"/>
            <w:r w:rsidR="00F90A00" w:rsidRPr="00782F24">
              <w:rPr>
                <w:noProof/>
                <w:lang w:val="en-GB"/>
              </w:rPr>
              <w:object w:dxaOrig="23746" w:dyaOrig="10425" w14:anchorId="234E3B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6.75pt;height:143.25pt;mso-width-percent:0;mso-height-percent:0;mso-width-percent:0;mso-height-percent:0" o:ole="">
                  <v:imagedata r:id="rId18" o:title=""/>
                </v:shape>
                <o:OLEObject Type="Embed" ProgID="Visio.Drawing.15" ShapeID="_x0000_i1025" DrawAspect="Content" ObjectID="_1608362593" r:id="rId19"/>
              </w:object>
            </w:r>
          </w:p>
        </w:tc>
      </w:tr>
      <w:tr w:rsidR="008764C2" w:rsidRPr="00590A21" w14:paraId="2DCD4C80" w14:textId="77777777" w:rsidTr="00C025DA">
        <w:tc>
          <w:tcPr>
            <w:tcW w:w="2698" w:type="dxa"/>
            <w:shd w:val="clear" w:color="auto" w:fill="auto"/>
          </w:tcPr>
          <w:p w14:paraId="6124545C" w14:textId="1637C0EC" w:rsidR="008764C2" w:rsidRPr="00590A21" w:rsidRDefault="00013037" w:rsidP="00C025DA">
            <w:pPr>
              <w:pStyle w:val="ListParagraph"/>
              <w:rPr>
                <w:sz w:val="16"/>
                <w:szCs w:val="16"/>
                <w:lang w:val="en-GB"/>
              </w:rPr>
            </w:pPr>
            <w:r>
              <w:rPr>
                <w:sz w:val="16"/>
                <w:szCs w:val="16"/>
                <w:lang w:val="en-GB"/>
              </w:rPr>
              <w:t>(a) Four layers</w:t>
            </w:r>
          </w:p>
        </w:tc>
        <w:tc>
          <w:tcPr>
            <w:tcW w:w="2342" w:type="dxa"/>
            <w:shd w:val="clear" w:color="auto" w:fill="auto"/>
          </w:tcPr>
          <w:p w14:paraId="49C5369F" w14:textId="77777777" w:rsidR="008764C2" w:rsidRPr="00590A21" w:rsidRDefault="008764C2" w:rsidP="00C025DA">
            <w:pPr>
              <w:rPr>
                <w:sz w:val="16"/>
                <w:szCs w:val="16"/>
                <w:lang w:val="en-GB"/>
              </w:rPr>
            </w:pPr>
            <w:r w:rsidRPr="00590A21">
              <w:rPr>
                <w:sz w:val="16"/>
                <w:szCs w:val="16"/>
                <w:lang w:val="en-GB"/>
              </w:rPr>
              <w:t>(b) Six layers</w:t>
            </w:r>
          </w:p>
        </w:tc>
      </w:tr>
      <w:tr w:rsidR="008764C2" w:rsidRPr="00590A21" w14:paraId="72089179" w14:textId="77777777" w:rsidTr="00C025DA">
        <w:tc>
          <w:tcPr>
            <w:tcW w:w="5040" w:type="dxa"/>
            <w:gridSpan w:val="2"/>
            <w:shd w:val="clear" w:color="auto" w:fill="auto"/>
          </w:tcPr>
          <w:p w14:paraId="37FCA311" w14:textId="07352560" w:rsidR="008764C2" w:rsidRPr="00590A21" w:rsidRDefault="008764C2" w:rsidP="004C1600">
            <w:pPr>
              <w:jc w:val="both"/>
              <w:rPr>
                <w:sz w:val="16"/>
                <w:szCs w:val="16"/>
                <w:lang w:val="en-GB"/>
              </w:rPr>
            </w:pPr>
            <w:r w:rsidRPr="00590A21">
              <w:rPr>
                <w:rFonts w:ascii="Arial" w:hAnsi="Arial" w:cs="Arial"/>
                <w:b/>
                <w:sz w:val="16"/>
                <w:szCs w:val="16"/>
                <w:lang w:val="en-GB"/>
              </w:rPr>
              <w:t xml:space="preserve">Figure </w:t>
            </w:r>
            <w:r w:rsidR="001013EE" w:rsidRPr="00590A21">
              <w:rPr>
                <w:rFonts w:ascii="Arial" w:hAnsi="Arial" w:cs="Arial"/>
                <w:b/>
                <w:sz w:val="16"/>
                <w:szCs w:val="16"/>
                <w:lang w:val="en-GB"/>
              </w:rPr>
              <w:t>7</w:t>
            </w:r>
            <w:r w:rsidR="00013037">
              <w:rPr>
                <w:rFonts w:ascii="Arial" w:hAnsi="Arial" w:cs="Arial"/>
                <w:b/>
                <w:sz w:val="16"/>
                <w:szCs w:val="16"/>
                <w:lang w:val="en-GB"/>
              </w:rPr>
              <w:t>.</w:t>
            </w:r>
            <w:r w:rsidRPr="00590A21">
              <w:rPr>
                <w:sz w:val="16"/>
                <w:szCs w:val="16"/>
                <w:lang w:val="en-GB"/>
              </w:rPr>
              <w:t xml:space="preserve"> Configuration of four and six layers oil and pressboard structure </w:t>
            </w:r>
          </w:p>
        </w:tc>
      </w:tr>
    </w:tbl>
    <w:p w14:paraId="73F0D900" w14:textId="77777777" w:rsidR="00013037" w:rsidRDefault="00013037" w:rsidP="008764C2">
      <w:pPr>
        <w:ind w:firstLineChars="100" w:firstLine="161"/>
        <w:jc w:val="center"/>
        <w:rPr>
          <w:rFonts w:ascii="Arial" w:hAnsi="Arial" w:cs="Arial"/>
          <w:b/>
          <w:sz w:val="16"/>
          <w:szCs w:val="16"/>
          <w:lang w:val="en-GB"/>
        </w:rPr>
      </w:pPr>
    </w:p>
    <w:p w14:paraId="4DC1C80A" w14:textId="725D6585" w:rsidR="008764C2" w:rsidRPr="00590A21" w:rsidRDefault="008764C2" w:rsidP="008764C2">
      <w:pPr>
        <w:ind w:firstLineChars="100" w:firstLine="161"/>
        <w:jc w:val="center"/>
        <w:rPr>
          <w:sz w:val="16"/>
          <w:szCs w:val="16"/>
          <w:lang w:val="en-GB"/>
        </w:rPr>
      </w:pPr>
      <w:r w:rsidRPr="00590A21">
        <w:rPr>
          <w:rFonts w:ascii="Arial" w:hAnsi="Arial" w:cs="Arial"/>
          <w:b/>
          <w:sz w:val="16"/>
          <w:szCs w:val="16"/>
          <w:lang w:val="en-GB"/>
        </w:rPr>
        <w:t xml:space="preserve">Table </w:t>
      </w:r>
      <w:r w:rsidR="001013EE" w:rsidRPr="00590A21">
        <w:rPr>
          <w:rFonts w:ascii="Arial" w:hAnsi="Arial" w:cs="Arial"/>
          <w:b/>
          <w:sz w:val="16"/>
          <w:szCs w:val="16"/>
          <w:lang w:val="en-GB"/>
        </w:rPr>
        <w:t>4</w:t>
      </w:r>
      <w:r w:rsidR="00013037">
        <w:rPr>
          <w:rFonts w:ascii="Arial" w:hAnsi="Arial" w:cs="Arial"/>
          <w:b/>
          <w:sz w:val="16"/>
          <w:szCs w:val="16"/>
          <w:lang w:val="en-GB"/>
        </w:rPr>
        <w:t>.</w:t>
      </w:r>
      <w:r w:rsidR="00013037">
        <w:rPr>
          <w:sz w:val="16"/>
          <w:szCs w:val="16"/>
          <w:lang w:val="en-GB"/>
        </w:rPr>
        <w:t xml:space="preserve"> D</w:t>
      </w:r>
      <w:r w:rsidRPr="00590A21">
        <w:rPr>
          <w:sz w:val="16"/>
          <w:szCs w:val="16"/>
          <w:lang w:val="en-GB"/>
        </w:rPr>
        <w:t>ifferent section of space charge different ratios</w:t>
      </w:r>
      <w:r w:rsidR="00013037">
        <w:rPr>
          <w:sz w:val="16"/>
          <w:szCs w:val="16"/>
          <w:lang w:val="en-GB"/>
        </w:rPr>
        <w:t>.</w:t>
      </w:r>
    </w:p>
    <w:tbl>
      <w:tblPr>
        <w:tblW w:w="4054" w:type="pct"/>
        <w:jc w:val="center"/>
        <w:tblBorders>
          <w:top w:val="single" w:sz="12" w:space="0" w:color="000000"/>
          <w:left w:val="nil"/>
          <w:bottom w:val="single" w:sz="12" w:space="0" w:color="000000"/>
          <w:right w:val="nil"/>
          <w:insideH w:val="nil"/>
          <w:insideV w:val="nil"/>
        </w:tblBorders>
        <w:tblLook w:val="00A0" w:firstRow="1" w:lastRow="0" w:firstColumn="1" w:lastColumn="0" w:noHBand="0" w:noVBand="0"/>
      </w:tblPr>
      <w:tblGrid>
        <w:gridCol w:w="954"/>
        <w:gridCol w:w="1044"/>
        <w:gridCol w:w="1044"/>
        <w:gridCol w:w="1044"/>
      </w:tblGrid>
      <w:tr w:rsidR="008764C2" w:rsidRPr="00590A21" w14:paraId="06D605DB" w14:textId="77777777" w:rsidTr="00C025DA">
        <w:trPr>
          <w:trHeight w:val="415"/>
          <w:jc w:val="center"/>
        </w:trPr>
        <w:tc>
          <w:tcPr>
            <w:tcW w:w="1167" w:type="pct"/>
            <w:tcBorders>
              <w:bottom w:val="single" w:sz="6" w:space="0" w:color="000000"/>
              <w:right w:val="single" w:sz="4" w:space="0" w:color="auto"/>
            </w:tcBorders>
            <w:vAlign w:val="center"/>
          </w:tcPr>
          <w:p w14:paraId="1E2415DB" w14:textId="77777777" w:rsidR="008764C2" w:rsidRPr="00590A21" w:rsidRDefault="008764C2" w:rsidP="00C025DA">
            <w:pPr>
              <w:jc w:val="center"/>
              <w:rPr>
                <w:sz w:val="16"/>
                <w:szCs w:val="16"/>
                <w:lang w:val="en-GB"/>
              </w:rPr>
            </w:pPr>
            <w:r w:rsidRPr="00590A21">
              <w:rPr>
                <w:sz w:val="16"/>
                <w:szCs w:val="16"/>
                <w:lang w:val="en-GB"/>
              </w:rPr>
              <w:t>Number</w:t>
            </w:r>
          </w:p>
        </w:tc>
        <w:tc>
          <w:tcPr>
            <w:tcW w:w="1278" w:type="pct"/>
            <w:tcBorders>
              <w:left w:val="single" w:sz="4" w:space="0" w:color="auto"/>
              <w:bottom w:val="single" w:sz="6" w:space="0" w:color="000000"/>
              <w:right w:val="single" w:sz="4" w:space="0" w:color="auto"/>
            </w:tcBorders>
            <w:vAlign w:val="center"/>
          </w:tcPr>
          <w:p w14:paraId="69672D73" w14:textId="77777777" w:rsidR="008764C2" w:rsidRPr="00590A21" w:rsidRDefault="008764C2" w:rsidP="00C025DA">
            <w:pPr>
              <w:jc w:val="center"/>
              <w:rPr>
                <w:sz w:val="16"/>
                <w:szCs w:val="16"/>
                <w:lang w:val="en-GB"/>
              </w:rPr>
            </w:pPr>
            <w:r w:rsidRPr="00590A21">
              <w:rPr>
                <w:sz w:val="16"/>
                <w:szCs w:val="16"/>
                <w:lang w:val="en-GB"/>
              </w:rPr>
              <w:t>Ratio</w:t>
            </w:r>
          </w:p>
        </w:tc>
        <w:tc>
          <w:tcPr>
            <w:tcW w:w="1278" w:type="pct"/>
            <w:tcBorders>
              <w:left w:val="single" w:sz="4" w:space="0" w:color="auto"/>
              <w:bottom w:val="single" w:sz="6" w:space="0" w:color="000000"/>
              <w:right w:val="single" w:sz="4" w:space="0" w:color="auto"/>
            </w:tcBorders>
            <w:vAlign w:val="center"/>
          </w:tcPr>
          <w:p w14:paraId="36478C24" w14:textId="77777777" w:rsidR="008764C2" w:rsidRPr="00590A21" w:rsidRDefault="008764C2" w:rsidP="00C025DA">
            <w:pPr>
              <w:jc w:val="center"/>
              <w:rPr>
                <w:sz w:val="16"/>
                <w:szCs w:val="16"/>
                <w:lang w:val="en-GB"/>
              </w:rPr>
            </w:pPr>
            <w:r w:rsidRPr="00590A21">
              <w:rPr>
                <w:sz w:val="16"/>
                <w:szCs w:val="16"/>
                <w:lang w:val="en-GB"/>
              </w:rPr>
              <w:t>Number</w:t>
            </w:r>
          </w:p>
        </w:tc>
        <w:tc>
          <w:tcPr>
            <w:tcW w:w="1278" w:type="pct"/>
            <w:tcBorders>
              <w:left w:val="single" w:sz="4" w:space="0" w:color="auto"/>
              <w:bottom w:val="single" w:sz="6" w:space="0" w:color="000000"/>
              <w:right w:val="nil"/>
            </w:tcBorders>
            <w:vAlign w:val="center"/>
          </w:tcPr>
          <w:p w14:paraId="71D8021D" w14:textId="77777777" w:rsidR="008764C2" w:rsidRPr="00590A21" w:rsidRDefault="008764C2" w:rsidP="00C025DA">
            <w:pPr>
              <w:jc w:val="center"/>
              <w:rPr>
                <w:sz w:val="16"/>
                <w:szCs w:val="16"/>
                <w:lang w:val="en-GB"/>
              </w:rPr>
            </w:pPr>
            <w:r w:rsidRPr="00590A21">
              <w:rPr>
                <w:sz w:val="16"/>
                <w:szCs w:val="16"/>
                <w:lang w:val="en-GB"/>
              </w:rPr>
              <w:t>Ratio</w:t>
            </w:r>
          </w:p>
        </w:tc>
      </w:tr>
      <w:tr w:rsidR="008764C2" w:rsidRPr="00590A21" w14:paraId="02AFFD71" w14:textId="77777777" w:rsidTr="00C025DA">
        <w:trPr>
          <w:trHeight w:val="138"/>
          <w:jc w:val="center"/>
        </w:trPr>
        <w:tc>
          <w:tcPr>
            <w:tcW w:w="1167" w:type="pct"/>
            <w:tcBorders>
              <w:top w:val="single" w:sz="12" w:space="0" w:color="000000"/>
              <w:left w:val="nil"/>
              <w:bottom w:val="nil"/>
              <w:right w:val="single" w:sz="4" w:space="0" w:color="auto"/>
            </w:tcBorders>
            <w:shd w:val="clear" w:color="auto" w:fill="auto"/>
          </w:tcPr>
          <w:p w14:paraId="5BAB44A6" w14:textId="77777777" w:rsidR="008764C2" w:rsidRPr="00590A21" w:rsidRDefault="008764C2" w:rsidP="00C025DA">
            <w:pPr>
              <w:jc w:val="center"/>
              <w:rPr>
                <w:sz w:val="16"/>
                <w:szCs w:val="16"/>
                <w:lang w:val="en-GB"/>
              </w:rPr>
            </w:pPr>
            <w:r w:rsidRPr="00590A21">
              <w:rPr>
                <w:sz w:val="16"/>
                <w:szCs w:val="16"/>
                <w:lang w:val="en-GB"/>
              </w:rPr>
              <w:t>1</w:t>
            </w:r>
          </w:p>
        </w:tc>
        <w:tc>
          <w:tcPr>
            <w:tcW w:w="1278" w:type="pct"/>
            <w:tcBorders>
              <w:top w:val="single" w:sz="12" w:space="0" w:color="000000"/>
              <w:left w:val="single" w:sz="4" w:space="0" w:color="auto"/>
              <w:bottom w:val="nil"/>
              <w:right w:val="single" w:sz="4" w:space="0" w:color="auto"/>
            </w:tcBorders>
            <w:shd w:val="clear" w:color="auto" w:fill="auto"/>
          </w:tcPr>
          <w:p w14:paraId="547586F2" w14:textId="77777777" w:rsidR="008764C2" w:rsidRPr="00590A21" w:rsidRDefault="008764C2" w:rsidP="00C025DA">
            <w:pPr>
              <w:jc w:val="center"/>
              <w:rPr>
                <w:sz w:val="16"/>
                <w:szCs w:val="16"/>
                <w:lang w:val="en-GB"/>
              </w:rPr>
            </w:pPr>
            <w:r w:rsidRPr="00590A21">
              <w:rPr>
                <w:sz w:val="16"/>
                <w:szCs w:val="16"/>
                <w:lang w:val="en-GB"/>
              </w:rPr>
              <w:t>1:2</w:t>
            </w:r>
          </w:p>
        </w:tc>
        <w:tc>
          <w:tcPr>
            <w:tcW w:w="1278" w:type="pct"/>
            <w:tcBorders>
              <w:top w:val="single" w:sz="12" w:space="0" w:color="000000"/>
              <w:left w:val="single" w:sz="4" w:space="0" w:color="auto"/>
              <w:bottom w:val="nil"/>
              <w:right w:val="single" w:sz="4" w:space="0" w:color="auto"/>
            </w:tcBorders>
            <w:shd w:val="clear" w:color="auto" w:fill="auto"/>
          </w:tcPr>
          <w:p w14:paraId="3BC6C84F" w14:textId="77777777" w:rsidR="008764C2" w:rsidRPr="00590A21" w:rsidRDefault="008764C2" w:rsidP="00C025DA">
            <w:pPr>
              <w:jc w:val="center"/>
              <w:rPr>
                <w:sz w:val="16"/>
                <w:szCs w:val="16"/>
                <w:lang w:val="en-GB"/>
              </w:rPr>
            </w:pPr>
            <w:r w:rsidRPr="00590A21">
              <w:rPr>
                <w:sz w:val="16"/>
                <w:szCs w:val="16"/>
                <w:lang w:val="en-GB"/>
              </w:rPr>
              <w:t>1'</w:t>
            </w:r>
          </w:p>
        </w:tc>
        <w:tc>
          <w:tcPr>
            <w:tcW w:w="1278" w:type="pct"/>
            <w:tcBorders>
              <w:top w:val="single" w:sz="12" w:space="0" w:color="000000"/>
              <w:left w:val="single" w:sz="4" w:space="0" w:color="auto"/>
              <w:bottom w:val="nil"/>
              <w:right w:val="nil"/>
            </w:tcBorders>
            <w:shd w:val="clear" w:color="auto" w:fill="auto"/>
          </w:tcPr>
          <w:p w14:paraId="53FF42BC" w14:textId="77777777" w:rsidR="008764C2" w:rsidRPr="00590A21" w:rsidRDefault="008764C2" w:rsidP="00C025DA">
            <w:pPr>
              <w:jc w:val="center"/>
              <w:rPr>
                <w:sz w:val="16"/>
                <w:szCs w:val="16"/>
                <w:lang w:val="en-GB"/>
              </w:rPr>
            </w:pPr>
            <w:r w:rsidRPr="00590A21">
              <w:rPr>
                <w:sz w:val="16"/>
                <w:szCs w:val="16"/>
                <w:lang w:val="en-GB"/>
              </w:rPr>
              <w:t>1:2</w:t>
            </w:r>
          </w:p>
        </w:tc>
      </w:tr>
      <w:tr w:rsidR="008764C2" w:rsidRPr="00590A21" w14:paraId="253F5D36" w14:textId="77777777" w:rsidTr="00C025DA">
        <w:trPr>
          <w:trHeight w:val="138"/>
          <w:jc w:val="center"/>
        </w:trPr>
        <w:tc>
          <w:tcPr>
            <w:tcW w:w="1167" w:type="pct"/>
            <w:tcBorders>
              <w:top w:val="nil"/>
              <w:left w:val="nil"/>
              <w:bottom w:val="nil"/>
              <w:right w:val="single" w:sz="4" w:space="0" w:color="auto"/>
            </w:tcBorders>
            <w:shd w:val="clear" w:color="auto" w:fill="auto"/>
          </w:tcPr>
          <w:p w14:paraId="349A950B" w14:textId="77777777" w:rsidR="008764C2" w:rsidRPr="00590A21" w:rsidRDefault="008764C2" w:rsidP="00C025DA">
            <w:pPr>
              <w:jc w:val="center"/>
              <w:rPr>
                <w:sz w:val="16"/>
                <w:szCs w:val="16"/>
                <w:lang w:val="en-GB"/>
              </w:rPr>
            </w:pPr>
            <w:r w:rsidRPr="00590A21">
              <w:rPr>
                <w:sz w:val="16"/>
                <w:szCs w:val="16"/>
                <w:lang w:val="en-GB"/>
              </w:rPr>
              <w:t>2,10</w:t>
            </w:r>
          </w:p>
        </w:tc>
        <w:tc>
          <w:tcPr>
            <w:tcW w:w="1278" w:type="pct"/>
            <w:tcBorders>
              <w:top w:val="nil"/>
              <w:left w:val="single" w:sz="4" w:space="0" w:color="auto"/>
              <w:bottom w:val="nil"/>
              <w:right w:val="single" w:sz="4" w:space="0" w:color="auto"/>
            </w:tcBorders>
            <w:shd w:val="clear" w:color="auto" w:fill="auto"/>
          </w:tcPr>
          <w:p w14:paraId="29549B4B" w14:textId="77777777" w:rsidR="008764C2" w:rsidRPr="00590A21" w:rsidRDefault="008764C2" w:rsidP="00C025DA">
            <w:pPr>
              <w:jc w:val="center"/>
              <w:rPr>
                <w:sz w:val="16"/>
                <w:szCs w:val="16"/>
                <w:lang w:val="en-GB"/>
              </w:rPr>
            </w:pPr>
            <w:r w:rsidRPr="00590A21">
              <w:rPr>
                <w:sz w:val="16"/>
                <w:szCs w:val="16"/>
                <w:lang w:val="en-GB"/>
              </w:rPr>
              <w:t>1:5</w:t>
            </w:r>
          </w:p>
        </w:tc>
        <w:tc>
          <w:tcPr>
            <w:tcW w:w="1278" w:type="pct"/>
            <w:tcBorders>
              <w:top w:val="nil"/>
              <w:left w:val="single" w:sz="4" w:space="0" w:color="auto"/>
              <w:bottom w:val="nil"/>
              <w:right w:val="single" w:sz="4" w:space="0" w:color="auto"/>
            </w:tcBorders>
            <w:shd w:val="clear" w:color="auto" w:fill="auto"/>
          </w:tcPr>
          <w:p w14:paraId="2DD663FD" w14:textId="77777777" w:rsidR="008764C2" w:rsidRPr="00590A21" w:rsidRDefault="008764C2" w:rsidP="00C025DA">
            <w:pPr>
              <w:jc w:val="center"/>
              <w:rPr>
                <w:sz w:val="16"/>
                <w:szCs w:val="16"/>
                <w:lang w:val="en-GB"/>
              </w:rPr>
            </w:pPr>
            <w:r w:rsidRPr="00590A21">
              <w:rPr>
                <w:sz w:val="16"/>
                <w:szCs w:val="16"/>
                <w:lang w:val="en-GB"/>
              </w:rPr>
              <w:t>2',3',13',14'</w:t>
            </w:r>
          </w:p>
        </w:tc>
        <w:tc>
          <w:tcPr>
            <w:tcW w:w="1278" w:type="pct"/>
            <w:tcBorders>
              <w:top w:val="nil"/>
              <w:left w:val="single" w:sz="4" w:space="0" w:color="auto"/>
              <w:bottom w:val="nil"/>
              <w:right w:val="nil"/>
            </w:tcBorders>
            <w:shd w:val="clear" w:color="auto" w:fill="auto"/>
          </w:tcPr>
          <w:p w14:paraId="14C6AF4A" w14:textId="77777777" w:rsidR="008764C2" w:rsidRPr="00590A21" w:rsidRDefault="008764C2" w:rsidP="00C025DA">
            <w:pPr>
              <w:jc w:val="center"/>
              <w:rPr>
                <w:sz w:val="16"/>
                <w:szCs w:val="16"/>
                <w:lang w:val="en-GB"/>
              </w:rPr>
            </w:pPr>
            <w:r w:rsidRPr="00590A21">
              <w:rPr>
                <w:sz w:val="16"/>
                <w:szCs w:val="16"/>
                <w:lang w:val="en-GB"/>
              </w:rPr>
              <w:t>1:5</w:t>
            </w:r>
          </w:p>
        </w:tc>
      </w:tr>
      <w:tr w:rsidR="008764C2" w:rsidRPr="00590A21" w14:paraId="21562D1B" w14:textId="77777777" w:rsidTr="00C025DA">
        <w:trPr>
          <w:trHeight w:val="138"/>
          <w:jc w:val="center"/>
        </w:trPr>
        <w:tc>
          <w:tcPr>
            <w:tcW w:w="1167" w:type="pct"/>
            <w:tcBorders>
              <w:top w:val="nil"/>
              <w:left w:val="nil"/>
              <w:bottom w:val="nil"/>
              <w:right w:val="single" w:sz="4" w:space="0" w:color="auto"/>
            </w:tcBorders>
            <w:shd w:val="clear" w:color="auto" w:fill="auto"/>
          </w:tcPr>
          <w:p w14:paraId="0AE7A45B" w14:textId="77777777" w:rsidR="008764C2" w:rsidRPr="00590A21" w:rsidRDefault="008764C2" w:rsidP="00C025DA">
            <w:pPr>
              <w:jc w:val="center"/>
              <w:rPr>
                <w:sz w:val="16"/>
                <w:szCs w:val="16"/>
                <w:lang w:val="en-GB"/>
              </w:rPr>
            </w:pPr>
            <w:r w:rsidRPr="00590A21">
              <w:rPr>
                <w:sz w:val="16"/>
                <w:szCs w:val="16"/>
                <w:lang w:val="en-GB"/>
              </w:rPr>
              <w:t>3,8</w:t>
            </w:r>
          </w:p>
        </w:tc>
        <w:tc>
          <w:tcPr>
            <w:tcW w:w="1278" w:type="pct"/>
            <w:tcBorders>
              <w:top w:val="nil"/>
              <w:left w:val="single" w:sz="4" w:space="0" w:color="auto"/>
              <w:bottom w:val="nil"/>
              <w:right w:val="single" w:sz="4" w:space="0" w:color="auto"/>
            </w:tcBorders>
            <w:shd w:val="clear" w:color="auto" w:fill="auto"/>
          </w:tcPr>
          <w:p w14:paraId="7398F253" w14:textId="77777777" w:rsidR="008764C2" w:rsidRPr="00590A21" w:rsidRDefault="008764C2" w:rsidP="00C025DA">
            <w:pPr>
              <w:jc w:val="center"/>
              <w:rPr>
                <w:sz w:val="16"/>
                <w:szCs w:val="16"/>
                <w:lang w:val="en-GB"/>
              </w:rPr>
            </w:pPr>
            <w:r w:rsidRPr="00590A21">
              <w:rPr>
                <w:sz w:val="16"/>
                <w:szCs w:val="16"/>
                <w:lang w:val="en-GB"/>
              </w:rPr>
              <w:t>1:38.5</w:t>
            </w:r>
          </w:p>
        </w:tc>
        <w:tc>
          <w:tcPr>
            <w:tcW w:w="1278" w:type="pct"/>
            <w:tcBorders>
              <w:top w:val="nil"/>
              <w:left w:val="single" w:sz="4" w:space="0" w:color="auto"/>
              <w:bottom w:val="nil"/>
              <w:right w:val="single" w:sz="4" w:space="0" w:color="auto"/>
            </w:tcBorders>
            <w:shd w:val="clear" w:color="auto" w:fill="auto"/>
          </w:tcPr>
          <w:p w14:paraId="4D954DFE" w14:textId="77777777" w:rsidR="008764C2" w:rsidRPr="00590A21" w:rsidRDefault="008764C2" w:rsidP="00C025DA">
            <w:pPr>
              <w:jc w:val="center"/>
              <w:rPr>
                <w:sz w:val="16"/>
                <w:szCs w:val="16"/>
                <w:lang w:val="en-GB"/>
              </w:rPr>
            </w:pPr>
            <w:r w:rsidRPr="00590A21">
              <w:rPr>
                <w:sz w:val="16"/>
                <w:szCs w:val="16"/>
                <w:lang w:val="en-GB"/>
              </w:rPr>
              <w:t>4',11'</w:t>
            </w:r>
          </w:p>
        </w:tc>
        <w:tc>
          <w:tcPr>
            <w:tcW w:w="1278" w:type="pct"/>
            <w:tcBorders>
              <w:top w:val="nil"/>
              <w:left w:val="single" w:sz="4" w:space="0" w:color="auto"/>
              <w:bottom w:val="nil"/>
              <w:right w:val="nil"/>
            </w:tcBorders>
            <w:shd w:val="clear" w:color="auto" w:fill="auto"/>
          </w:tcPr>
          <w:p w14:paraId="73DDDC37" w14:textId="77777777" w:rsidR="008764C2" w:rsidRPr="00590A21" w:rsidRDefault="008764C2" w:rsidP="00C025DA">
            <w:pPr>
              <w:jc w:val="center"/>
              <w:rPr>
                <w:sz w:val="16"/>
                <w:szCs w:val="16"/>
                <w:lang w:val="en-GB"/>
              </w:rPr>
            </w:pPr>
            <w:r w:rsidRPr="00590A21">
              <w:rPr>
                <w:sz w:val="16"/>
                <w:szCs w:val="16"/>
                <w:lang w:val="en-GB"/>
              </w:rPr>
              <w:t>1:32.5</w:t>
            </w:r>
          </w:p>
        </w:tc>
      </w:tr>
      <w:tr w:rsidR="008764C2" w:rsidRPr="00590A21" w14:paraId="3455DEE7" w14:textId="77777777" w:rsidTr="00C025DA">
        <w:trPr>
          <w:trHeight w:val="138"/>
          <w:jc w:val="center"/>
        </w:trPr>
        <w:tc>
          <w:tcPr>
            <w:tcW w:w="1167" w:type="pct"/>
            <w:tcBorders>
              <w:top w:val="nil"/>
              <w:left w:val="nil"/>
              <w:bottom w:val="nil"/>
              <w:right w:val="single" w:sz="4" w:space="0" w:color="auto"/>
            </w:tcBorders>
            <w:shd w:val="clear" w:color="auto" w:fill="auto"/>
          </w:tcPr>
          <w:p w14:paraId="020D39DB" w14:textId="77777777" w:rsidR="008764C2" w:rsidRPr="00590A21" w:rsidRDefault="008764C2" w:rsidP="00C025DA">
            <w:pPr>
              <w:jc w:val="center"/>
              <w:rPr>
                <w:sz w:val="16"/>
                <w:szCs w:val="16"/>
                <w:lang w:val="en-GB"/>
              </w:rPr>
            </w:pPr>
            <w:r w:rsidRPr="00590A21">
              <w:rPr>
                <w:sz w:val="16"/>
                <w:szCs w:val="16"/>
                <w:lang w:val="en-GB"/>
              </w:rPr>
              <w:t>4,9</w:t>
            </w:r>
          </w:p>
        </w:tc>
        <w:tc>
          <w:tcPr>
            <w:tcW w:w="1278" w:type="pct"/>
            <w:tcBorders>
              <w:top w:val="nil"/>
              <w:left w:val="single" w:sz="4" w:space="0" w:color="auto"/>
              <w:bottom w:val="nil"/>
              <w:right w:val="single" w:sz="4" w:space="0" w:color="auto"/>
            </w:tcBorders>
            <w:shd w:val="clear" w:color="auto" w:fill="auto"/>
          </w:tcPr>
          <w:p w14:paraId="50714041" w14:textId="77777777" w:rsidR="008764C2" w:rsidRPr="00590A21" w:rsidRDefault="008764C2" w:rsidP="00C025DA">
            <w:pPr>
              <w:jc w:val="center"/>
              <w:rPr>
                <w:sz w:val="16"/>
                <w:szCs w:val="16"/>
                <w:lang w:val="en-GB"/>
              </w:rPr>
            </w:pPr>
            <w:r w:rsidRPr="00590A21">
              <w:rPr>
                <w:sz w:val="16"/>
                <w:szCs w:val="16"/>
                <w:lang w:val="en-GB"/>
              </w:rPr>
              <w:t>3:2</w:t>
            </w:r>
          </w:p>
        </w:tc>
        <w:tc>
          <w:tcPr>
            <w:tcW w:w="1278" w:type="pct"/>
            <w:tcBorders>
              <w:top w:val="nil"/>
              <w:left w:val="single" w:sz="4" w:space="0" w:color="auto"/>
              <w:bottom w:val="nil"/>
              <w:right w:val="single" w:sz="4" w:space="0" w:color="auto"/>
            </w:tcBorders>
            <w:shd w:val="clear" w:color="auto" w:fill="auto"/>
          </w:tcPr>
          <w:p w14:paraId="23BAD236" w14:textId="77777777" w:rsidR="008764C2" w:rsidRPr="00590A21" w:rsidRDefault="008764C2" w:rsidP="00C025DA">
            <w:pPr>
              <w:jc w:val="center"/>
              <w:rPr>
                <w:sz w:val="16"/>
                <w:szCs w:val="16"/>
                <w:lang w:val="en-GB"/>
              </w:rPr>
            </w:pPr>
            <w:r w:rsidRPr="00590A21">
              <w:rPr>
                <w:sz w:val="16"/>
                <w:szCs w:val="16"/>
                <w:lang w:val="en-GB"/>
              </w:rPr>
              <w:t>5'12'</w:t>
            </w:r>
          </w:p>
        </w:tc>
        <w:tc>
          <w:tcPr>
            <w:tcW w:w="1278" w:type="pct"/>
            <w:tcBorders>
              <w:top w:val="nil"/>
              <w:left w:val="single" w:sz="4" w:space="0" w:color="auto"/>
              <w:bottom w:val="nil"/>
              <w:right w:val="nil"/>
            </w:tcBorders>
            <w:shd w:val="clear" w:color="auto" w:fill="auto"/>
          </w:tcPr>
          <w:p w14:paraId="511F2EDE" w14:textId="77777777" w:rsidR="008764C2" w:rsidRPr="00590A21" w:rsidRDefault="008764C2" w:rsidP="00C025DA">
            <w:pPr>
              <w:jc w:val="center"/>
              <w:rPr>
                <w:sz w:val="16"/>
                <w:szCs w:val="16"/>
                <w:lang w:val="en-GB"/>
              </w:rPr>
            </w:pPr>
            <w:r w:rsidRPr="00590A21">
              <w:rPr>
                <w:sz w:val="16"/>
                <w:szCs w:val="16"/>
                <w:lang w:val="en-GB"/>
              </w:rPr>
              <w:t>3:2</w:t>
            </w:r>
          </w:p>
        </w:tc>
      </w:tr>
      <w:tr w:rsidR="008764C2" w:rsidRPr="00590A21" w14:paraId="5259CCB9" w14:textId="77777777" w:rsidTr="00C025DA">
        <w:trPr>
          <w:trHeight w:val="138"/>
          <w:jc w:val="center"/>
        </w:trPr>
        <w:tc>
          <w:tcPr>
            <w:tcW w:w="1167" w:type="pct"/>
            <w:tcBorders>
              <w:top w:val="nil"/>
              <w:left w:val="nil"/>
              <w:bottom w:val="nil"/>
              <w:right w:val="single" w:sz="4" w:space="0" w:color="auto"/>
            </w:tcBorders>
            <w:shd w:val="clear" w:color="auto" w:fill="auto"/>
          </w:tcPr>
          <w:p w14:paraId="5D551F1B" w14:textId="77777777" w:rsidR="008764C2" w:rsidRPr="00590A21" w:rsidRDefault="008764C2" w:rsidP="00C025DA">
            <w:pPr>
              <w:jc w:val="center"/>
              <w:rPr>
                <w:sz w:val="16"/>
                <w:szCs w:val="16"/>
                <w:lang w:val="en-GB"/>
              </w:rPr>
            </w:pPr>
            <w:r w:rsidRPr="00590A21">
              <w:rPr>
                <w:sz w:val="16"/>
                <w:szCs w:val="16"/>
                <w:lang w:val="en-GB"/>
              </w:rPr>
              <w:t>5,7</w:t>
            </w:r>
          </w:p>
        </w:tc>
        <w:tc>
          <w:tcPr>
            <w:tcW w:w="1278" w:type="pct"/>
            <w:tcBorders>
              <w:top w:val="nil"/>
              <w:left w:val="single" w:sz="4" w:space="0" w:color="auto"/>
              <w:bottom w:val="nil"/>
              <w:right w:val="single" w:sz="4" w:space="0" w:color="auto"/>
            </w:tcBorders>
            <w:shd w:val="clear" w:color="auto" w:fill="auto"/>
          </w:tcPr>
          <w:p w14:paraId="25972AD3" w14:textId="77777777" w:rsidR="008764C2" w:rsidRPr="00590A21" w:rsidRDefault="008764C2" w:rsidP="00C025DA">
            <w:pPr>
              <w:jc w:val="center"/>
              <w:rPr>
                <w:sz w:val="16"/>
                <w:szCs w:val="16"/>
                <w:lang w:val="en-GB"/>
              </w:rPr>
            </w:pPr>
            <w:r w:rsidRPr="00590A21">
              <w:rPr>
                <w:sz w:val="16"/>
                <w:szCs w:val="16"/>
                <w:lang w:val="en-GB"/>
              </w:rPr>
              <w:t>1:1</w:t>
            </w:r>
          </w:p>
        </w:tc>
        <w:tc>
          <w:tcPr>
            <w:tcW w:w="1278" w:type="pct"/>
            <w:tcBorders>
              <w:top w:val="nil"/>
              <w:left w:val="single" w:sz="4" w:space="0" w:color="auto"/>
              <w:bottom w:val="nil"/>
              <w:right w:val="single" w:sz="4" w:space="0" w:color="auto"/>
            </w:tcBorders>
            <w:shd w:val="clear" w:color="auto" w:fill="auto"/>
          </w:tcPr>
          <w:p w14:paraId="3352963A" w14:textId="77777777" w:rsidR="008764C2" w:rsidRPr="00590A21" w:rsidRDefault="008764C2" w:rsidP="00C025DA">
            <w:pPr>
              <w:jc w:val="center"/>
              <w:rPr>
                <w:sz w:val="16"/>
                <w:szCs w:val="16"/>
                <w:lang w:val="en-GB"/>
              </w:rPr>
            </w:pPr>
            <w:r w:rsidRPr="00590A21">
              <w:rPr>
                <w:sz w:val="16"/>
                <w:szCs w:val="16"/>
                <w:lang w:val="en-GB"/>
              </w:rPr>
              <w:t>6'8'10'</w:t>
            </w:r>
          </w:p>
        </w:tc>
        <w:tc>
          <w:tcPr>
            <w:tcW w:w="1278" w:type="pct"/>
            <w:tcBorders>
              <w:top w:val="nil"/>
              <w:left w:val="single" w:sz="4" w:space="0" w:color="auto"/>
              <w:bottom w:val="nil"/>
              <w:right w:val="nil"/>
            </w:tcBorders>
            <w:shd w:val="clear" w:color="auto" w:fill="auto"/>
          </w:tcPr>
          <w:p w14:paraId="025A040B" w14:textId="77777777" w:rsidR="008764C2" w:rsidRPr="00590A21" w:rsidRDefault="008764C2" w:rsidP="00C025DA">
            <w:pPr>
              <w:jc w:val="center"/>
              <w:rPr>
                <w:sz w:val="16"/>
                <w:szCs w:val="16"/>
                <w:lang w:val="en-GB"/>
              </w:rPr>
            </w:pPr>
            <w:r w:rsidRPr="00590A21">
              <w:rPr>
                <w:sz w:val="16"/>
                <w:szCs w:val="16"/>
                <w:lang w:val="en-GB"/>
              </w:rPr>
              <w:t>1:1</w:t>
            </w:r>
          </w:p>
        </w:tc>
      </w:tr>
      <w:tr w:rsidR="008764C2" w:rsidRPr="00590A21" w14:paraId="0F279B36" w14:textId="77777777" w:rsidTr="00C025DA">
        <w:trPr>
          <w:trHeight w:val="138"/>
          <w:jc w:val="center"/>
        </w:trPr>
        <w:tc>
          <w:tcPr>
            <w:tcW w:w="1167" w:type="pct"/>
            <w:tcBorders>
              <w:top w:val="nil"/>
              <w:left w:val="nil"/>
              <w:bottom w:val="nil"/>
              <w:right w:val="single" w:sz="4" w:space="0" w:color="auto"/>
            </w:tcBorders>
            <w:shd w:val="clear" w:color="auto" w:fill="auto"/>
          </w:tcPr>
          <w:p w14:paraId="5A0FADEC" w14:textId="77777777" w:rsidR="008764C2" w:rsidRPr="00590A21" w:rsidRDefault="008764C2" w:rsidP="00C025DA">
            <w:pPr>
              <w:jc w:val="center"/>
              <w:rPr>
                <w:sz w:val="16"/>
                <w:szCs w:val="16"/>
                <w:lang w:val="en-GB"/>
              </w:rPr>
            </w:pPr>
            <w:r w:rsidRPr="00590A21">
              <w:rPr>
                <w:sz w:val="16"/>
                <w:szCs w:val="16"/>
                <w:lang w:val="en-GB"/>
              </w:rPr>
              <w:t>6</w:t>
            </w:r>
          </w:p>
        </w:tc>
        <w:tc>
          <w:tcPr>
            <w:tcW w:w="1278" w:type="pct"/>
            <w:tcBorders>
              <w:top w:val="nil"/>
              <w:left w:val="single" w:sz="4" w:space="0" w:color="auto"/>
              <w:bottom w:val="nil"/>
              <w:right w:val="single" w:sz="4" w:space="0" w:color="auto"/>
            </w:tcBorders>
            <w:shd w:val="clear" w:color="auto" w:fill="auto"/>
          </w:tcPr>
          <w:p w14:paraId="269029FA" w14:textId="77777777" w:rsidR="008764C2" w:rsidRPr="00590A21" w:rsidRDefault="008764C2" w:rsidP="00C025DA">
            <w:pPr>
              <w:jc w:val="center"/>
              <w:rPr>
                <w:sz w:val="16"/>
                <w:szCs w:val="16"/>
                <w:lang w:val="en-GB"/>
              </w:rPr>
            </w:pPr>
            <w:r w:rsidRPr="00590A21">
              <w:rPr>
                <w:sz w:val="16"/>
                <w:szCs w:val="16"/>
                <w:lang w:val="en-GB"/>
              </w:rPr>
              <w:t>1:3</w:t>
            </w:r>
          </w:p>
        </w:tc>
        <w:tc>
          <w:tcPr>
            <w:tcW w:w="1278" w:type="pct"/>
            <w:tcBorders>
              <w:top w:val="nil"/>
              <w:left w:val="single" w:sz="4" w:space="0" w:color="auto"/>
              <w:bottom w:val="nil"/>
              <w:right w:val="single" w:sz="4" w:space="0" w:color="auto"/>
            </w:tcBorders>
            <w:shd w:val="clear" w:color="auto" w:fill="auto"/>
          </w:tcPr>
          <w:p w14:paraId="03A71D3D" w14:textId="77777777" w:rsidR="008764C2" w:rsidRPr="00590A21" w:rsidRDefault="008764C2" w:rsidP="00C025DA">
            <w:pPr>
              <w:jc w:val="center"/>
              <w:rPr>
                <w:sz w:val="16"/>
                <w:szCs w:val="16"/>
                <w:lang w:val="en-GB"/>
              </w:rPr>
            </w:pPr>
            <w:r w:rsidRPr="00590A21">
              <w:rPr>
                <w:sz w:val="16"/>
                <w:szCs w:val="16"/>
                <w:lang w:val="en-GB"/>
              </w:rPr>
              <w:t>7'9'</w:t>
            </w:r>
          </w:p>
        </w:tc>
        <w:tc>
          <w:tcPr>
            <w:tcW w:w="1278" w:type="pct"/>
            <w:tcBorders>
              <w:top w:val="nil"/>
              <w:left w:val="single" w:sz="4" w:space="0" w:color="auto"/>
              <w:bottom w:val="nil"/>
              <w:right w:val="nil"/>
            </w:tcBorders>
            <w:shd w:val="clear" w:color="auto" w:fill="auto"/>
          </w:tcPr>
          <w:p w14:paraId="3D19503A" w14:textId="77777777" w:rsidR="008764C2" w:rsidRPr="00590A21" w:rsidRDefault="008764C2" w:rsidP="00C025DA">
            <w:pPr>
              <w:jc w:val="center"/>
              <w:rPr>
                <w:sz w:val="16"/>
                <w:szCs w:val="16"/>
                <w:lang w:val="en-GB"/>
              </w:rPr>
            </w:pPr>
            <w:r w:rsidRPr="00590A21">
              <w:rPr>
                <w:sz w:val="16"/>
                <w:szCs w:val="16"/>
                <w:lang w:val="en-GB"/>
              </w:rPr>
              <w:t>1:3</w:t>
            </w:r>
          </w:p>
        </w:tc>
      </w:tr>
      <w:tr w:rsidR="008764C2" w:rsidRPr="00590A21" w14:paraId="7E06F03A" w14:textId="77777777" w:rsidTr="00C025DA">
        <w:trPr>
          <w:trHeight w:val="138"/>
          <w:jc w:val="center"/>
        </w:trPr>
        <w:tc>
          <w:tcPr>
            <w:tcW w:w="1167" w:type="pct"/>
            <w:tcBorders>
              <w:top w:val="nil"/>
              <w:left w:val="nil"/>
              <w:bottom w:val="single" w:sz="12" w:space="0" w:color="000000"/>
              <w:right w:val="single" w:sz="4" w:space="0" w:color="auto"/>
            </w:tcBorders>
            <w:shd w:val="clear" w:color="auto" w:fill="auto"/>
          </w:tcPr>
          <w:p w14:paraId="7D7A2DCC" w14:textId="77777777" w:rsidR="008764C2" w:rsidRPr="00590A21" w:rsidRDefault="008764C2" w:rsidP="00C025DA">
            <w:pPr>
              <w:jc w:val="center"/>
              <w:rPr>
                <w:sz w:val="16"/>
                <w:szCs w:val="16"/>
                <w:lang w:val="en-GB"/>
              </w:rPr>
            </w:pPr>
            <w:r w:rsidRPr="00590A21">
              <w:rPr>
                <w:sz w:val="16"/>
                <w:szCs w:val="16"/>
                <w:lang w:val="en-GB"/>
              </w:rPr>
              <w:t>11</w:t>
            </w:r>
          </w:p>
        </w:tc>
        <w:tc>
          <w:tcPr>
            <w:tcW w:w="1278" w:type="pct"/>
            <w:tcBorders>
              <w:top w:val="nil"/>
              <w:left w:val="single" w:sz="4" w:space="0" w:color="auto"/>
              <w:bottom w:val="single" w:sz="12" w:space="0" w:color="000000"/>
              <w:right w:val="single" w:sz="4" w:space="0" w:color="auto"/>
            </w:tcBorders>
            <w:shd w:val="clear" w:color="auto" w:fill="auto"/>
          </w:tcPr>
          <w:p w14:paraId="533BDA61" w14:textId="77777777" w:rsidR="008764C2" w:rsidRPr="00590A21" w:rsidRDefault="008764C2" w:rsidP="00C025DA">
            <w:pPr>
              <w:jc w:val="center"/>
              <w:rPr>
                <w:sz w:val="16"/>
                <w:szCs w:val="16"/>
                <w:lang w:val="en-GB"/>
              </w:rPr>
            </w:pPr>
            <w:r w:rsidRPr="00590A21">
              <w:rPr>
                <w:sz w:val="16"/>
                <w:szCs w:val="16"/>
                <w:lang w:val="en-GB"/>
              </w:rPr>
              <w:t>1:40.5</w:t>
            </w:r>
          </w:p>
        </w:tc>
        <w:tc>
          <w:tcPr>
            <w:tcW w:w="1278" w:type="pct"/>
            <w:tcBorders>
              <w:top w:val="nil"/>
              <w:left w:val="single" w:sz="4" w:space="0" w:color="auto"/>
              <w:bottom w:val="single" w:sz="12" w:space="0" w:color="000000"/>
              <w:right w:val="single" w:sz="4" w:space="0" w:color="auto"/>
            </w:tcBorders>
            <w:shd w:val="clear" w:color="auto" w:fill="auto"/>
          </w:tcPr>
          <w:p w14:paraId="3A358B0A" w14:textId="77777777" w:rsidR="008764C2" w:rsidRPr="00590A21" w:rsidRDefault="008764C2" w:rsidP="00C025DA">
            <w:pPr>
              <w:jc w:val="center"/>
              <w:rPr>
                <w:sz w:val="16"/>
                <w:szCs w:val="16"/>
                <w:lang w:val="en-GB"/>
              </w:rPr>
            </w:pPr>
            <w:r w:rsidRPr="00590A21">
              <w:rPr>
                <w:sz w:val="16"/>
                <w:szCs w:val="16"/>
                <w:lang w:val="en-GB"/>
              </w:rPr>
              <w:t>15'</w:t>
            </w:r>
          </w:p>
        </w:tc>
        <w:tc>
          <w:tcPr>
            <w:tcW w:w="1278" w:type="pct"/>
            <w:tcBorders>
              <w:top w:val="nil"/>
              <w:left w:val="single" w:sz="4" w:space="0" w:color="auto"/>
              <w:bottom w:val="single" w:sz="12" w:space="0" w:color="000000"/>
              <w:right w:val="nil"/>
            </w:tcBorders>
            <w:shd w:val="clear" w:color="auto" w:fill="auto"/>
          </w:tcPr>
          <w:p w14:paraId="3323C345" w14:textId="77777777" w:rsidR="008764C2" w:rsidRPr="00590A21" w:rsidRDefault="008764C2" w:rsidP="00C025DA">
            <w:pPr>
              <w:jc w:val="center"/>
              <w:rPr>
                <w:sz w:val="16"/>
                <w:szCs w:val="16"/>
                <w:lang w:val="en-GB"/>
              </w:rPr>
            </w:pPr>
            <w:r w:rsidRPr="00590A21">
              <w:rPr>
                <w:sz w:val="16"/>
                <w:szCs w:val="16"/>
                <w:lang w:val="en-GB"/>
              </w:rPr>
              <w:t>1:34.5</w:t>
            </w:r>
          </w:p>
        </w:tc>
      </w:tr>
    </w:tbl>
    <w:p w14:paraId="23BA04B1" w14:textId="77777777" w:rsidR="00213E96" w:rsidRDefault="00213E96" w:rsidP="00207C46">
      <w:pPr>
        <w:ind w:firstLine="142"/>
        <w:jc w:val="both"/>
        <w:rPr>
          <w:lang w:val="en-GB"/>
        </w:rPr>
      </w:pPr>
      <w:bookmarkStart w:id="37" w:name="OLE_LINK201"/>
      <w:bookmarkStart w:id="38" w:name="OLE_LINK69"/>
      <w:bookmarkEnd w:id="36"/>
    </w:p>
    <w:p w14:paraId="6B3AC9D1" w14:textId="440C3780" w:rsidR="008764C2" w:rsidRPr="00590A21" w:rsidRDefault="008764C2" w:rsidP="00207C46">
      <w:pPr>
        <w:ind w:firstLine="142"/>
        <w:jc w:val="both"/>
        <w:rPr>
          <w:lang w:val="en-GB"/>
        </w:rPr>
      </w:pPr>
      <w:r w:rsidRPr="00590A21">
        <w:rPr>
          <w:lang w:val="en-GB"/>
        </w:rPr>
        <w:t xml:space="preserve">Secondly, the interfacial charge density is summarised for the interfacial area for different thickness ratios of the samples. The interfacial charge density versus the different thickness ratios is presented in Table </w:t>
      </w:r>
      <w:r w:rsidR="00AA3DA3" w:rsidRPr="00590A21">
        <w:rPr>
          <w:lang w:val="en-GB"/>
        </w:rPr>
        <w:t>5</w:t>
      </w:r>
      <w:r w:rsidRPr="00590A21">
        <w:rPr>
          <w:lang w:val="en-GB"/>
        </w:rPr>
        <w:t xml:space="preserve">. Figure </w:t>
      </w:r>
      <w:r w:rsidR="00894579" w:rsidRPr="00590A21">
        <w:rPr>
          <w:lang w:val="en-GB"/>
        </w:rPr>
        <w:t>8</w:t>
      </w:r>
      <w:r w:rsidRPr="00590A21">
        <w:rPr>
          <w:lang w:val="en-GB"/>
        </w:rPr>
        <w:t xml:space="preserve"> indicates the relationship between the interfacial charge density versus different thickness ratios varied from 1:0.5 to 1:2.333. </w:t>
      </w:r>
    </w:p>
    <w:tbl>
      <w:tblPr>
        <w:tblW w:w="0" w:type="auto"/>
        <w:tblLook w:val="04A0" w:firstRow="1" w:lastRow="0" w:firstColumn="1" w:lastColumn="0" w:noHBand="0" w:noVBand="1"/>
      </w:tblPr>
      <w:tblGrid>
        <w:gridCol w:w="5030"/>
      </w:tblGrid>
      <w:tr w:rsidR="008764C2" w:rsidRPr="00590A21" w14:paraId="1C8862E0" w14:textId="77777777" w:rsidTr="00246AA8">
        <w:tc>
          <w:tcPr>
            <w:tcW w:w="5030" w:type="dxa"/>
            <w:shd w:val="clear" w:color="auto" w:fill="auto"/>
          </w:tcPr>
          <w:bookmarkEnd w:id="37"/>
          <w:p w14:paraId="495D54BB" w14:textId="34F4C827" w:rsidR="008764C2" w:rsidRPr="00590A21" w:rsidRDefault="00DF08BA" w:rsidP="00D779BA">
            <w:pPr>
              <w:jc w:val="center"/>
              <w:rPr>
                <w:lang w:val="en-GB"/>
              </w:rPr>
            </w:pPr>
            <w:r w:rsidRPr="00DF08BA">
              <w:rPr>
                <w:noProof/>
                <w:lang w:val="en-GB" w:eastAsia="zh-CN"/>
              </w:rPr>
              <w:lastRenderedPageBreak/>
              <w:drawing>
                <wp:inline distT="0" distB="0" distL="0" distR="0" wp14:anchorId="2DAF6134" wp14:editId="394BB52B">
                  <wp:extent cx="2803490" cy="16129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74881" cy="1653973"/>
                          </a:xfrm>
                          <a:prstGeom prst="rect">
                            <a:avLst/>
                          </a:prstGeom>
                        </pic:spPr>
                      </pic:pic>
                    </a:graphicData>
                  </a:graphic>
                </wp:inline>
              </w:drawing>
            </w:r>
          </w:p>
        </w:tc>
      </w:tr>
      <w:tr w:rsidR="008764C2" w:rsidRPr="00590A21" w14:paraId="12011AA6" w14:textId="77777777" w:rsidTr="00246AA8">
        <w:tc>
          <w:tcPr>
            <w:tcW w:w="5030" w:type="dxa"/>
            <w:shd w:val="clear" w:color="auto" w:fill="auto"/>
          </w:tcPr>
          <w:p w14:paraId="3745F627" w14:textId="731705A6" w:rsidR="008764C2" w:rsidRPr="00590A21" w:rsidRDefault="008764C2" w:rsidP="004C1600">
            <w:pPr>
              <w:jc w:val="both"/>
              <w:rPr>
                <w:sz w:val="16"/>
                <w:szCs w:val="16"/>
                <w:lang w:val="en-GB"/>
              </w:rPr>
            </w:pPr>
            <w:r w:rsidRPr="00590A21">
              <w:rPr>
                <w:rFonts w:ascii="Arial" w:hAnsi="Arial" w:cs="Arial"/>
                <w:b/>
                <w:sz w:val="16"/>
                <w:szCs w:val="16"/>
                <w:lang w:val="en-GB"/>
              </w:rPr>
              <w:t xml:space="preserve">Figure </w:t>
            </w:r>
            <w:r w:rsidR="001013EE" w:rsidRPr="00590A21">
              <w:rPr>
                <w:rFonts w:ascii="Arial" w:hAnsi="Arial" w:cs="Arial"/>
                <w:b/>
                <w:sz w:val="16"/>
                <w:szCs w:val="16"/>
                <w:lang w:val="en-GB"/>
              </w:rPr>
              <w:t>8</w:t>
            </w:r>
            <w:r w:rsidR="00013037">
              <w:rPr>
                <w:rFonts w:ascii="Arial" w:hAnsi="Arial" w:cs="Arial"/>
                <w:b/>
                <w:sz w:val="16"/>
                <w:szCs w:val="16"/>
                <w:lang w:val="en-GB"/>
              </w:rPr>
              <w:t>.</w:t>
            </w:r>
            <w:r w:rsidRPr="00590A21">
              <w:rPr>
                <w:b/>
                <w:sz w:val="16"/>
                <w:szCs w:val="16"/>
                <w:lang w:val="en-GB"/>
              </w:rPr>
              <w:t xml:space="preserve"> </w:t>
            </w:r>
            <w:r w:rsidRPr="00590A21">
              <w:rPr>
                <w:sz w:val="16"/>
                <w:szCs w:val="16"/>
                <w:lang w:val="en-GB"/>
              </w:rPr>
              <w:t>The interfacial charge density versus different thickness ratios between the pressboard and oil</w:t>
            </w:r>
            <w:r w:rsidR="00013037">
              <w:rPr>
                <w:sz w:val="16"/>
                <w:szCs w:val="16"/>
                <w:lang w:val="en-GB"/>
              </w:rPr>
              <w:t>.</w:t>
            </w:r>
            <w:r w:rsidRPr="00590A21">
              <w:rPr>
                <w:sz w:val="16"/>
                <w:szCs w:val="16"/>
                <w:lang w:val="en-GB"/>
              </w:rPr>
              <w:t xml:space="preserve"> </w:t>
            </w:r>
          </w:p>
        </w:tc>
      </w:tr>
    </w:tbl>
    <w:p w14:paraId="4F681C09" w14:textId="77777777" w:rsidR="008764C2" w:rsidRPr="00590A21" w:rsidRDefault="008764C2" w:rsidP="008764C2">
      <w:pPr>
        <w:ind w:firstLineChars="100" w:firstLine="200"/>
        <w:rPr>
          <w:lang w:val="en-GB"/>
        </w:rPr>
      </w:pPr>
      <w:bookmarkStart w:id="39" w:name="OLE_LINK202"/>
      <w:bookmarkStart w:id="40" w:name="OLE_LINK70"/>
      <w:bookmarkEnd w:id="38"/>
    </w:p>
    <w:p w14:paraId="680854EB" w14:textId="29FB672F" w:rsidR="008764C2" w:rsidRPr="00590A21" w:rsidRDefault="008764C2" w:rsidP="00207C46">
      <w:pPr>
        <w:ind w:firstLine="142"/>
        <w:jc w:val="both"/>
        <w:rPr>
          <w:lang w:val="en-GB"/>
        </w:rPr>
      </w:pPr>
      <w:r w:rsidRPr="00590A21">
        <w:rPr>
          <w:lang w:val="en-GB"/>
        </w:rPr>
        <w:t xml:space="preserve">Thirdly, the interfacial charge density versus sample thickness can be represented using the curve fitting function in the MATLAB. The space charge density versus the sample thickness ratios is represented using two exponential functions. Based on </w:t>
      </w:r>
      <w:r w:rsidR="00013037">
        <w:rPr>
          <w:lang w:val="en-GB"/>
        </w:rPr>
        <w:t>E</w:t>
      </w:r>
      <w:r w:rsidRPr="00590A21">
        <w:rPr>
          <w:lang w:val="en-GB"/>
        </w:rPr>
        <w:t>quation (</w:t>
      </w:r>
      <w:r w:rsidR="000E33D0" w:rsidRPr="00590A21">
        <w:rPr>
          <w:lang w:val="en-GB"/>
        </w:rPr>
        <w:t>7</w:t>
      </w:r>
      <w:r w:rsidRPr="00590A21">
        <w:rPr>
          <w:lang w:val="en-GB"/>
        </w:rPr>
        <w:t xml:space="preserve">), the different interfacial charge density could be calculated, and the results are shown in Table </w:t>
      </w:r>
      <w:r w:rsidR="00894579" w:rsidRPr="00590A21">
        <w:rPr>
          <w:lang w:val="en-GB"/>
        </w:rPr>
        <w:t>5</w:t>
      </w:r>
      <w:r w:rsidRPr="00590A21">
        <w:rPr>
          <w:lang w:val="en-GB"/>
        </w:rPr>
        <w:t xml:space="preserve">. Moreover, the estimated interfacial charge densities are shown in Figure </w:t>
      </w:r>
      <w:r w:rsidR="00894579" w:rsidRPr="00590A21">
        <w:rPr>
          <w:lang w:val="en-GB"/>
        </w:rPr>
        <w:t>9</w:t>
      </w:r>
      <w:r w:rsidRPr="00590A21">
        <w:rPr>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82"/>
      </w:tblGrid>
      <w:tr w:rsidR="00893CBB" w:rsidRPr="00590A21" w14:paraId="15800272" w14:textId="77777777" w:rsidTr="00806501">
        <w:tc>
          <w:tcPr>
            <w:tcW w:w="4248" w:type="dxa"/>
          </w:tcPr>
          <w:p w14:paraId="5DC22735" w14:textId="28D8AB63" w:rsidR="00893CBB" w:rsidRPr="00B31A57" w:rsidRDefault="00893CBB" w:rsidP="00207C46">
            <w:pPr>
              <w:jc w:val="both"/>
              <w:rPr>
                <w:sz w:val="16"/>
                <w:szCs w:val="16"/>
                <w:lang w:val="en-GB"/>
              </w:rPr>
            </w:pPr>
            <m:oMath>
              <m:r>
                <w:rPr>
                  <w:rFonts w:ascii="Cambria Math" w:hAnsi="Cambria Math"/>
                  <w:sz w:val="18"/>
                  <w:szCs w:val="18"/>
                  <w:lang w:val="en-GB"/>
                </w:rPr>
                <m:t>f</m:t>
              </m:r>
              <m:d>
                <m:dPr>
                  <m:ctrlPr>
                    <w:rPr>
                      <w:rFonts w:ascii="Cambria Math" w:hAnsi="Cambria Math"/>
                      <w:i/>
                      <w:sz w:val="18"/>
                      <w:szCs w:val="18"/>
                      <w:lang w:val="en-GB"/>
                    </w:rPr>
                  </m:ctrlPr>
                </m:dPr>
                <m:e>
                  <m:r>
                    <w:rPr>
                      <w:rFonts w:ascii="Cambria Math" w:hAnsi="Cambria Math"/>
                      <w:sz w:val="18"/>
                      <w:szCs w:val="18"/>
                      <w:lang w:val="en-GB"/>
                    </w:rPr>
                    <m:t>x</m:t>
                  </m:r>
                </m:e>
              </m:d>
              <m:r>
                <w:rPr>
                  <w:rFonts w:ascii="Cambria Math" w:hAnsi="Cambria Math"/>
                  <w:sz w:val="18"/>
                  <w:szCs w:val="18"/>
                  <w:lang w:val="en-GB"/>
                </w:rPr>
                <m:t>=-87.91</m:t>
              </m:r>
              <m:func>
                <m:funcPr>
                  <m:ctrlPr>
                    <w:rPr>
                      <w:rFonts w:ascii="Cambria Math" w:hAnsi="Cambria Math"/>
                      <w:sz w:val="18"/>
                      <w:szCs w:val="18"/>
                      <w:lang w:val="en-GB"/>
                    </w:rPr>
                  </m:ctrlPr>
                </m:funcPr>
                <m:fName>
                  <m:r>
                    <m:rPr>
                      <m:sty m:val="p"/>
                    </m:rPr>
                    <w:rPr>
                      <w:rFonts w:ascii="Cambria Math" w:hAnsi="Cambria Math"/>
                      <w:sz w:val="18"/>
                      <w:szCs w:val="18"/>
                      <w:lang w:val="en-GB"/>
                    </w:rPr>
                    <m:t>exp</m:t>
                  </m:r>
                </m:fName>
                <m:e>
                  <m:d>
                    <m:dPr>
                      <m:ctrlPr>
                        <w:rPr>
                          <w:rFonts w:ascii="Cambria Math" w:hAnsi="Cambria Math"/>
                          <w:i/>
                          <w:sz w:val="18"/>
                          <w:szCs w:val="18"/>
                          <w:lang w:val="en-GB"/>
                        </w:rPr>
                      </m:ctrlPr>
                    </m:dPr>
                    <m:e>
                      <m:r>
                        <w:rPr>
                          <w:rFonts w:ascii="Cambria Math" w:hAnsi="Cambria Math"/>
                          <w:sz w:val="18"/>
                          <w:szCs w:val="18"/>
                          <w:lang w:val="en-GB"/>
                        </w:rPr>
                        <m:t>0.0116x</m:t>
                      </m:r>
                    </m:e>
                  </m:d>
                </m:e>
              </m:func>
              <m:r>
                <w:rPr>
                  <w:rFonts w:ascii="Cambria Math" w:hAnsi="Cambria Math"/>
                  <w:sz w:val="18"/>
                  <w:szCs w:val="18"/>
                  <w:lang w:val="en-GB"/>
                </w:rPr>
                <m:t>+97.1</m:t>
              </m:r>
              <m:r>
                <m:rPr>
                  <m:sty m:val="p"/>
                </m:rPr>
                <w:rPr>
                  <w:rFonts w:ascii="Cambria Math" w:hAnsi="Cambria Math"/>
                  <w:sz w:val="18"/>
                  <w:szCs w:val="18"/>
                  <w:lang w:val="en-GB"/>
                </w:rPr>
                <m:t>exp⁡</m:t>
              </m:r>
              <m:r>
                <w:rPr>
                  <w:rFonts w:ascii="Cambria Math" w:hAnsi="Cambria Math"/>
                  <w:sz w:val="18"/>
                  <w:szCs w:val="18"/>
                  <w:lang w:val="en-GB"/>
                </w:rPr>
                <m:t>(-1.114x</m:t>
              </m:r>
            </m:oMath>
            <w:r w:rsidRPr="00B31A57">
              <w:rPr>
                <w:sz w:val="16"/>
                <w:szCs w:val="16"/>
                <w:lang w:val="en-GB"/>
              </w:rPr>
              <w:t xml:space="preserve">)        </w:t>
            </w:r>
          </w:p>
        </w:tc>
        <w:tc>
          <w:tcPr>
            <w:tcW w:w="782" w:type="dxa"/>
          </w:tcPr>
          <w:p w14:paraId="7C66F989" w14:textId="42C1D4E5" w:rsidR="00893CBB" w:rsidRPr="00B44A94" w:rsidRDefault="00893CBB" w:rsidP="00893CBB">
            <w:pPr>
              <w:ind w:firstLineChars="100" w:firstLine="200"/>
              <w:jc w:val="right"/>
              <w:rPr>
                <w:lang w:val="en-GB"/>
              </w:rPr>
            </w:pPr>
            <w:r w:rsidRPr="00B44A94">
              <w:rPr>
                <w:lang w:val="en-GB"/>
              </w:rPr>
              <w:t>(7)</w:t>
            </w:r>
          </w:p>
        </w:tc>
      </w:tr>
    </w:tbl>
    <w:p w14:paraId="2CB249D8" w14:textId="77777777" w:rsidR="00013037" w:rsidRDefault="00013037" w:rsidP="008764C2">
      <w:pPr>
        <w:ind w:firstLineChars="100" w:firstLine="161"/>
        <w:rPr>
          <w:rFonts w:ascii="Arial" w:hAnsi="Arial" w:cs="Arial"/>
          <w:b/>
          <w:sz w:val="16"/>
          <w:szCs w:val="16"/>
          <w:lang w:val="en-GB"/>
        </w:rPr>
      </w:pPr>
    </w:p>
    <w:p w14:paraId="5C2E5B92" w14:textId="4ED03ABF" w:rsidR="008764C2" w:rsidRPr="00590A21" w:rsidRDefault="008764C2" w:rsidP="008764C2">
      <w:pPr>
        <w:ind w:firstLineChars="100" w:firstLine="161"/>
        <w:rPr>
          <w:sz w:val="16"/>
          <w:szCs w:val="16"/>
          <w:lang w:val="en-GB"/>
        </w:rPr>
      </w:pPr>
      <w:r w:rsidRPr="00590A21">
        <w:rPr>
          <w:rFonts w:ascii="Arial" w:hAnsi="Arial" w:cs="Arial"/>
          <w:b/>
          <w:sz w:val="16"/>
          <w:szCs w:val="16"/>
          <w:lang w:val="en-GB"/>
        </w:rPr>
        <w:t xml:space="preserve">Table </w:t>
      </w:r>
      <w:r w:rsidR="001013EE" w:rsidRPr="00590A21">
        <w:rPr>
          <w:rFonts w:ascii="Arial" w:hAnsi="Arial" w:cs="Arial"/>
          <w:b/>
          <w:sz w:val="16"/>
          <w:szCs w:val="16"/>
          <w:lang w:val="en-GB"/>
        </w:rPr>
        <w:t>5</w:t>
      </w:r>
      <w:r w:rsidR="00013037">
        <w:rPr>
          <w:sz w:val="16"/>
          <w:szCs w:val="16"/>
          <w:lang w:val="en-GB"/>
        </w:rPr>
        <w:t xml:space="preserve">. </w:t>
      </w:r>
      <w:r w:rsidRPr="00590A21">
        <w:rPr>
          <w:sz w:val="16"/>
          <w:szCs w:val="16"/>
          <w:lang w:val="en-GB"/>
        </w:rPr>
        <w:t>The surface charge density versus the different thickness ratios</w:t>
      </w:r>
      <w:r w:rsidR="00013037">
        <w:rPr>
          <w:sz w:val="16"/>
          <w:szCs w:val="16"/>
          <w:lang w:val="en-GB"/>
        </w:rPr>
        <w:t>.</w:t>
      </w:r>
      <w:r w:rsidRPr="00590A21">
        <w:rPr>
          <w:sz w:val="16"/>
          <w:szCs w:val="16"/>
          <w:lang w:val="en-GB"/>
        </w:rPr>
        <w:t xml:space="preserve"> </w:t>
      </w:r>
    </w:p>
    <w:tbl>
      <w:tblPr>
        <w:tblW w:w="5505" w:type="dxa"/>
        <w:jc w:val="center"/>
        <w:tblLook w:val="04A0" w:firstRow="1" w:lastRow="0" w:firstColumn="1" w:lastColumn="0" w:noHBand="0" w:noVBand="1"/>
      </w:tblPr>
      <w:tblGrid>
        <w:gridCol w:w="808"/>
        <w:gridCol w:w="826"/>
        <w:gridCol w:w="478"/>
        <w:gridCol w:w="478"/>
        <w:gridCol w:w="478"/>
        <w:gridCol w:w="478"/>
        <w:gridCol w:w="478"/>
        <w:gridCol w:w="528"/>
        <w:gridCol w:w="478"/>
        <w:gridCol w:w="475"/>
      </w:tblGrid>
      <w:tr w:rsidR="00EA619F" w:rsidRPr="00590A21" w14:paraId="19942E0B" w14:textId="77777777" w:rsidTr="00213E96">
        <w:trPr>
          <w:trHeight w:val="241"/>
          <w:jc w:val="center"/>
        </w:trPr>
        <w:tc>
          <w:tcPr>
            <w:tcW w:w="802" w:type="dxa"/>
            <w:tcBorders>
              <w:top w:val="single" w:sz="4" w:space="0" w:color="auto"/>
              <w:left w:val="nil"/>
              <w:bottom w:val="single" w:sz="4" w:space="0" w:color="auto"/>
              <w:right w:val="single" w:sz="4" w:space="0" w:color="auto"/>
            </w:tcBorders>
          </w:tcPr>
          <w:p w14:paraId="059C19FB" w14:textId="77777777" w:rsidR="00342995" w:rsidRPr="00590A21" w:rsidRDefault="00342995" w:rsidP="004C18BD">
            <w:pPr>
              <w:jc w:val="center"/>
              <w:rPr>
                <w:sz w:val="10"/>
                <w:szCs w:val="10"/>
                <w:lang w:val="en-GB"/>
              </w:rPr>
            </w:pPr>
            <w:r w:rsidRPr="00590A21">
              <w:rPr>
                <w:sz w:val="10"/>
                <w:szCs w:val="10"/>
                <w:lang w:val="en-GB"/>
              </w:rPr>
              <w:t>Ratios</w:t>
            </w:r>
          </w:p>
        </w:tc>
        <w:tc>
          <w:tcPr>
            <w:tcW w:w="820" w:type="dxa"/>
            <w:tcBorders>
              <w:top w:val="single" w:sz="4" w:space="0" w:color="auto"/>
              <w:left w:val="nil"/>
              <w:bottom w:val="single" w:sz="4" w:space="0" w:color="auto"/>
              <w:right w:val="single" w:sz="4" w:space="0" w:color="auto"/>
            </w:tcBorders>
            <w:shd w:val="clear" w:color="auto" w:fill="auto"/>
            <w:noWrap/>
          </w:tcPr>
          <w:p w14:paraId="509D74CB" w14:textId="77777777" w:rsidR="00342995" w:rsidRPr="00590A21" w:rsidRDefault="00342995" w:rsidP="004C18BD">
            <w:pPr>
              <w:jc w:val="center"/>
              <w:rPr>
                <w:sz w:val="10"/>
                <w:szCs w:val="10"/>
                <w:lang w:val="en-GB"/>
              </w:rPr>
            </w:pPr>
            <w:r w:rsidRPr="00590A21">
              <w:rPr>
                <w:sz w:val="10"/>
                <w:szCs w:val="10"/>
                <w:lang w:val="en-GB"/>
              </w:rPr>
              <w:t>1:0.667</w:t>
            </w:r>
          </w:p>
        </w:tc>
        <w:tc>
          <w:tcPr>
            <w:tcW w:w="0" w:type="auto"/>
            <w:tcBorders>
              <w:top w:val="single" w:sz="4" w:space="0" w:color="auto"/>
              <w:left w:val="nil"/>
              <w:bottom w:val="single" w:sz="4" w:space="0" w:color="auto"/>
              <w:right w:val="single" w:sz="4" w:space="0" w:color="auto"/>
            </w:tcBorders>
          </w:tcPr>
          <w:p w14:paraId="43967BF1" w14:textId="77777777" w:rsidR="00342995" w:rsidRPr="00590A21" w:rsidRDefault="00342995" w:rsidP="004C18BD">
            <w:pPr>
              <w:jc w:val="center"/>
              <w:rPr>
                <w:sz w:val="10"/>
                <w:szCs w:val="10"/>
                <w:lang w:val="en-GB"/>
              </w:rPr>
            </w:pPr>
            <w:r w:rsidRPr="00590A21">
              <w:rPr>
                <w:sz w:val="10"/>
                <w:szCs w:val="10"/>
                <w:lang w:val="en-GB"/>
              </w:rPr>
              <w:t>1:1</w:t>
            </w:r>
          </w:p>
        </w:tc>
        <w:tc>
          <w:tcPr>
            <w:tcW w:w="0" w:type="auto"/>
            <w:tcBorders>
              <w:top w:val="single" w:sz="4" w:space="0" w:color="auto"/>
              <w:left w:val="single" w:sz="4" w:space="0" w:color="auto"/>
              <w:bottom w:val="single" w:sz="4" w:space="0" w:color="auto"/>
              <w:right w:val="single" w:sz="4" w:space="0" w:color="auto"/>
            </w:tcBorders>
          </w:tcPr>
          <w:p w14:paraId="7F1DB17A" w14:textId="77777777" w:rsidR="00342995" w:rsidRPr="00590A21" w:rsidRDefault="00342995" w:rsidP="004C18BD">
            <w:pPr>
              <w:jc w:val="center"/>
              <w:rPr>
                <w:sz w:val="10"/>
                <w:szCs w:val="10"/>
                <w:lang w:val="en-GB"/>
              </w:rPr>
            </w:pPr>
            <w:r w:rsidRPr="00590A21">
              <w:rPr>
                <w:sz w:val="10"/>
                <w:szCs w:val="10"/>
                <w:lang w:val="en-GB"/>
              </w:rPr>
              <w:t>1:2</w:t>
            </w:r>
          </w:p>
        </w:tc>
        <w:tc>
          <w:tcPr>
            <w:tcW w:w="0" w:type="auto"/>
            <w:tcBorders>
              <w:top w:val="single" w:sz="4" w:space="0" w:color="auto"/>
              <w:left w:val="single" w:sz="4" w:space="0" w:color="auto"/>
              <w:bottom w:val="single" w:sz="4" w:space="0" w:color="auto"/>
              <w:right w:val="single" w:sz="4" w:space="0" w:color="auto"/>
            </w:tcBorders>
          </w:tcPr>
          <w:p w14:paraId="312E88DC" w14:textId="77777777" w:rsidR="00342995" w:rsidRPr="00590A21" w:rsidRDefault="00342995" w:rsidP="004C18BD">
            <w:pPr>
              <w:jc w:val="center"/>
              <w:rPr>
                <w:sz w:val="10"/>
                <w:szCs w:val="10"/>
                <w:lang w:val="en-GB"/>
              </w:rPr>
            </w:pPr>
            <w:r w:rsidRPr="00590A21">
              <w:rPr>
                <w:sz w:val="10"/>
                <w:szCs w:val="10"/>
                <w:lang w:val="en-GB"/>
              </w:rPr>
              <w:t>1:3</w:t>
            </w:r>
          </w:p>
        </w:tc>
        <w:tc>
          <w:tcPr>
            <w:tcW w:w="0" w:type="auto"/>
            <w:tcBorders>
              <w:top w:val="single" w:sz="4" w:space="0" w:color="auto"/>
              <w:left w:val="single" w:sz="4" w:space="0" w:color="auto"/>
              <w:bottom w:val="single" w:sz="4" w:space="0" w:color="auto"/>
              <w:right w:val="single" w:sz="4" w:space="0" w:color="auto"/>
            </w:tcBorders>
          </w:tcPr>
          <w:p w14:paraId="61453D5B" w14:textId="77777777" w:rsidR="00342995" w:rsidRPr="00590A21" w:rsidRDefault="00342995" w:rsidP="004C18BD">
            <w:pPr>
              <w:jc w:val="center"/>
              <w:rPr>
                <w:sz w:val="10"/>
                <w:szCs w:val="10"/>
                <w:lang w:val="en-GB"/>
              </w:rPr>
            </w:pPr>
            <w:r w:rsidRPr="00590A21">
              <w:rPr>
                <w:sz w:val="10"/>
                <w:szCs w:val="10"/>
                <w:lang w:val="en-GB"/>
              </w:rPr>
              <w:t>1:5</w:t>
            </w:r>
          </w:p>
        </w:tc>
        <w:tc>
          <w:tcPr>
            <w:tcW w:w="0" w:type="auto"/>
            <w:tcBorders>
              <w:top w:val="single" w:sz="4" w:space="0" w:color="auto"/>
              <w:left w:val="single" w:sz="4" w:space="0" w:color="auto"/>
              <w:bottom w:val="single" w:sz="4" w:space="0" w:color="auto"/>
              <w:right w:val="single" w:sz="4" w:space="0" w:color="auto"/>
            </w:tcBorders>
          </w:tcPr>
          <w:p w14:paraId="384FB94E" w14:textId="77777777" w:rsidR="00342995" w:rsidRPr="00590A21" w:rsidRDefault="00342995" w:rsidP="004C18BD">
            <w:pPr>
              <w:jc w:val="center"/>
              <w:rPr>
                <w:sz w:val="10"/>
                <w:szCs w:val="10"/>
                <w:lang w:val="en-GB"/>
              </w:rPr>
            </w:pPr>
            <w:r w:rsidRPr="00590A21">
              <w:rPr>
                <w:sz w:val="10"/>
                <w:szCs w:val="10"/>
                <w:lang w:val="en-GB"/>
              </w:rPr>
              <w:t>1:32.5</w:t>
            </w:r>
          </w:p>
        </w:tc>
        <w:tc>
          <w:tcPr>
            <w:tcW w:w="0" w:type="auto"/>
            <w:tcBorders>
              <w:top w:val="single" w:sz="4" w:space="0" w:color="auto"/>
              <w:left w:val="single" w:sz="4" w:space="0" w:color="auto"/>
              <w:bottom w:val="single" w:sz="4" w:space="0" w:color="auto"/>
              <w:right w:val="single" w:sz="4" w:space="0" w:color="auto"/>
            </w:tcBorders>
          </w:tcPr>
          <w:p w14:paraId="6584B8BB" w14:textId="77777777" w:rsidR="00342995" w:rsidRPr="00590A21" w:rsidRDefault="00342995" w:rsidP="004C18BD">
            <w:pPr>
              <w:jc w:val="center"/>
              <w:rPr>
                <w:sz w:val="10"/>
                <w:szCs w:val="10"/>
                <w:lang w:val="en-GB"/>
              </w:rPr>
            </w:pPr>
            <w:r w:rsidRPr="00590A21">
              <w:rPr>
                <w:sz w:val="10"/>
                <w:szCs w:val="10"/>
                <w:lang w:val="en-GB"/>
              </w:rPr>
              <w:t>1:34.5</w:t>
            </w:r>
          </w:p>
        </w:tc>
        <w:tc>
          <w:tcPr>
            <w:tcW w:w="0" w:type="auto"/>
            <w:tcBorders>
              <w:top w:val="single" w:sz="4" w:space="0" w:color="auto"/>
              <w:left w:val="single" w:sz="4" w:space="0" w:color="auto"/>
              <w:bottom w:val="single" w:sz="4" w:space="0" w:color="auto"/>
              <w:right w:val="single" w:sz="4" w:space="0" w:color="auto"/>
            </w:tcBorders>
          </w:tcPr>
          <w:p w14:paraId="2FAFBE25" w14:textId="77777777" w:rsidR="00342995" w:rsidRPr="00590A21" w:rsidRDefault="00342995" w:rsidP="004C18BD">
            <w:pPr>
              <w:jc w:val="center"/>
              <w:rPr>
                <w:sz w:val="10"/>
                <w:szCs w:val="10"/>
                <w:lang w:val="en-GB"/>
              </w:rPr>
            </w:pPr>
            <w:r w:rsidRPr="00590A21">
              <w:rPr>
                <w:sz w:val="10"/>
                <w:szCs w:val="10"/>
                <w:lang w:val="en-GB"/>
              </w:rPr>
              <w:t>1:38.5</w:t>
            </w:r>
          </w:p>
        </w:tc>
        <w:tc>
          <w:tcPr>
            <w:tcW w:w="0" w:type="auto"/>
            <w:tcBorders>
              <w:top w:val="single" w:sz="4" w:space="0" w:color="auto"/>
              <w:left w:val="single" w:sz="4" w:space="0" w:color="auto"/>
              <w:bottom w:val="single" w:sz="4" w:space="0" w:color="auto"/>
              <w:right w:val="nil"/>
            </w:tcBorders>
          </w:tcPr>
          <w:p w14:paraId="041E4D9D" w14:textId="77777777" w:rsidR="00342995" w:rsidRPr="00590A21" w:rsidRDefault="00342995" w:rsidP="004C18BD">
            <w:pPr>
              <w:jc w:val="center"/>
              <w:rPr>
                <w:sz w:val="10"/>
                <w:szCs w:val="10"/>
                <w:lang w:val="en-GB"/>
              </w:rPr>
            </w:pPr>
            <w:r w:rsidRPr="00590A21">
              <w:rPr>
                <w:sz w:val="10"/>
                <w:szCs w:val="10"/>
                <w:lang w:val="en-GB"/>
              </w:rPr>
              <w:t>1:40.5</w:t>
            </w:r>
          </w:p>
        </w:tc>
      </w:tr>
      <w:tr w:rsidR="00EA619F" w:rsidRPr="00590A21" w14:paraId="6AEC8C72" w14:textId="77777777" w:rsidTr="00213E96">
        <w:trPr>
          <w:trHeight w:val="241"/>
          <w:jc w:val="center"/>
        </w:trPr>
        <w:tc>
          <w:tcPr>
            <w:tcW w:w="802" w:type="dxa"/>
            <w:tcBorders>
              <w:top w:val="single" w:sz="4" w:space="0" w:color="auto"/>
              <w:left w:val="nil"/>
              <w:bottom w:val="single" w:sz="12" w:space="0" w:color="auto"/>
              <w:right w:val="single" w:sz="4" w:space="0" w:color="auto"/>
            </w:tcBorders>
          </w:tcPr>
          <w:p w14:paraId="64B723B3" w14:textId="77777777" w:rsidR="00342995" w:rsidRPr="00590A21" w:rsidRDefault="00342995" w:rsidP="004C18BD">
            <w:pPr>
              <w:jc w:val="center"/>
              <w:rPr>
                <w:sz w:val="10"/>
                <w:szCs w:val="10"/>
                <w:lang w:val="en-GB"/>
              </w:rPr>
            </w:pPr>
            <w:r w:rsidRPr="00590A21">
              <w:rPr>
                <w:sz w:val="10"/>
                <w:szCs w:val="10"/>
                <w:lang w:val="en-GB"/>
              </w:rPr>
              <w:t>Charge density(C/m</w:t>
            </w:r>
            <w:r w:rsidRPr="00590A21">
              <w:rPr>
                <w:sz w:val="10"/>
                <w:szCs w:val="10"/>
                <w:vertAlign w:val="superscript"/>
                <w:lang w:val="en-GB"/>
              </w:rPr>
              <w:t>3</w:t>
            </w:r>
            <w:r w:rsidRPr="00590A21">
              <w:rPr>
                <w:sz w:val="10"/>
                <w:szCs w:val="10"/>
                <w:lang w:val="en-GB"/>
              </w:rPr>
              <w:t>)</w:t>
            </w:r>
          </w:p>
        </w:tc>
        <w:tc>
          <w:tcPr>
            <w:tcW w:w="820" w:type="dxa"/>
            <w:tcBorders>
              <w:top w:val="single" w:sz="4" w:space="0" w:color="auto"/>
              <w:left w:val="nil"/>
              <w:bottom w:val="single" w:sz="12" w:space="0" w:color="auto"/>
              <w:right w:val="single" w:sz="4" w:space="0" w:color="auto"/>
            </w:tcBorders>
            <w:shd w:val="clear" w:color="auto" w:fill="auto"/>
            <w:noWrap/>
            <w:vAlign w:val="bottom"/>
          </w:tcPr>
          <w:p w14:paraId="60E183B6" w14:textId="77777777" w:rsidR="00342995" w:rsidRPr="00590A21" w:rsidRDefault="00342995" w:rsidP="004C18BD">
            <w:pPr>
              <w:jc w:val="center"/>
              <w:rPr>
                <w:sz w:val="10"/>
                <w:szCs w:val="10"/>
                <w:lang w:val="en-GB"/>
              </w:rPr>
            </w:pPr>
            <w:r w:rsidRPr="00590A21">
              <w:rPr>
                <w:sz w:val="10"/>
                <w:szCs w:val="10"/>
                <w:lang w:val="en-GB"/>
              </w:rPr>
              <w:t>-42.41</w:t>
            </w:r>
          </w:p>
        </w:tc>
        <w:tc>
          <w:tcPr>
            <w:tcW w:w="0" w:type="auto"/>
            <w:tcBorders>
              <w:top w:val="single" w:sz="4" w:space="0" w:color="auto"/>
              <w:left w:val="nil"/>
              <w:bottom w:val="single" w:sz="12" w:space="0" w:color="auto"/>
              <w:right w:val="single" w:sz="4" w:space="0" w:color="auto"/>
            </w:tcBorders>
            <w:vAlign w:val="bottom"/>
          </w:tcPr>
          <w:p w14:paraId="4686B65B" w14:textId="77777777" w:rsidR="00342995" w:rsidRPr="00590A21" w:rsidRDefault="00342995" w:rsidP="004C18BD">
            <w:pPr>
              <w:jc w:val="center"/>
              <w:rPr>
                <w:sz w:val="10"/>
                <w:szCs w:val="10"/>
                <w:lang w:val="en-GB"/>
              </w:rPr>
            </w:pPr>
            <w:r w:rsidRPr="00590A21">
              <w:rPr>
                <w:sz w:val="10"/>
                <w:szCs w:val="10"/>
                <w:lang w:val="en-GB"/>
              </w:rPr>
              <w:t>-57.06</w:t>
            </w:r>
          </w:p>
        </w:tc>
        <w:tc>
          <w:tcPr>
            <w:tcW w:w="0" w:type="auto"/>
            <w:tcBorders>
              <w:top w:val="single" w:sz="4" w:space="0" w:color="auto"/>
              <w:left w:val="single" w:sz="4" w:space="0" w:color="auto"/>
              <w:bottom w:val="single" w:sz="12" w:space="0" w:color="auto"/>
              <w:right w:val="single" w:sz="4" w:space="0" w:color="auto"/>
            </w:tcBorders>
            <w:vAlign w:val="bottom"/>
          </w:tcPr>
          <w:p w14:paraId="390EA7B6" w14:textId="77777777" w:rsidR="00342995" w:rsidRPr="00590A21" w:rsidRDefault="00342995" w:rsidP="004C18BD">
            <w:pPr>
              <w:jc w:val="center"/>
              <w:rPr>
                <w:sz w:val="10"/>
                <w:szCs w:val="10"/>
                <w:lang w:val="en-GB"/>
              </w:rPr>
            </w:pPr>
            <w:r w:rsidRPr="00590A21">
              <w:rPr>
                <w:sz w:val="10"/>
                <w:szCs w:val="10"/>
                <w:lang w:val="en-GB"/>
              </w:rPr>
              <w:t>-79.51</w:t>
            </w:r>
          </w:p>
        </w:tc>
        <w:tc>
          <w:tcPr>
            <w:tcW w:w="0" w:type="auto"/>
            <w:tcBorders>
              <w:top w:val="single" w:sz="4" w:space="0" w:color="auto"/>
              <w:left w:val="single" w:sz="4" w:space="0" w:color="auto"/>
              <w:bottom w:val="single" w:sz="12" w:space="0" w:color="auto"/>
              <w:right w:val="single" w:sz="4" w:space="0" w:color="auto"/>
            </w:tcBorders>
            <w:vAlign w:val="bottom"/>
          </w:tcPr>
          <w:p w14:paraId="0244C51E" w14:textId="77777777" w:rsidR="00342995" w:rsidRPr="00590A21" w:rsidRDefault="00342995" w:rsidP="004C18BD">
            <w:pPr>
              <w:jc w:val="center"/>
              <w:rPr>
                <w:sz w:val="10"/>
                <w:szCs w:val="10"/>
                <w:lang w:val="en-GB"/>
              </w:rPr>
            </w:pPr>
            <w:r w:rsidRPr="00590A21">
              <w:rPr>
                <w:sz w:val="10"/>
                <w:szCs w:val="10"/>
                <w:lang w:val="en-GB"/>
              </w:rPr>
              <w:t>-83.07</w:t>
            </w:r>
          </w:p>
        </w:tc>
        <w:tc>
          <w:tcPr>
            <w:tcW w:w="0" w:type="auto"/>
            <w:tcBorders>
              <w:top w:val="single" w:sz="4" w:space="0" w:color="auto"/>
              <w:left w:val="single" w:sz="4" w:space="0" w:color="auto"/>
              <w:bottom w:val="single" w:sz="12" w:space="0" w:color="auto"/>
              <w:right w:val="single" w:sz="4" w:space="0" w:color="auto"/>
            </w:tcBorders>
            <w:vAlign w:val="bottom"/>
          </w:tcPr>
          <w:p w14:paraId="234AB4C4" w14:textId="77777777" w:rsidR="00342995" w:rsidRPr="00590A21" w:rsidRDefault="00342995" w:rsidP="004C18BD">
            <w:pPr>
              <w:jc w:val="center"/>
              <w:rPr>
                <w:sz w:val="10"/>
                <w:szCs w:val="10"/>
                <w:lang w:val="en-GB"/>
              </w:rPr>
            </w:pPr>
            <w:r w:rsidRPr="00590A21">
              <w:rPr>
                <w:sz w:val="10"/>
                <w:szCs w:val="10"/>
                <w:lang w:val="en-GB"/>
              </w:rPr>
              <w:t>-87.59</w:t>
            </w:r>
          </w:p>
        </w:tc>
        <w:tc>
          <w:tcPr>
            <w:tcW w:w="0" w:type="auto"/>
            <w:tcBorders>
              <w:top w:val="single" w:sz="4" w:space="0" w:color="auto"/>
              <w:left w:val="single" w:sz="4" w:space="0" w:color="auto"/>
              <w:bottom w:val="single" w:sz="12" w:space="0" w:color="auto"/>
              <w:right w:val="single" w:sz="4" w:space="0" w:color="auto"/>
            </w:tcBorders>
            <w:vAlign w:val="bottom"/>
          </w:tcPr>
          <w:p w14:paraId="040584C6" w14:textId="77777777" w:rsidR="00342995" w:rsidRPr="00590A21" w:rsidRDefault="00342995" w:rsidP="004C18BD">
            <w:pPr>
              <w:jc w:val="center"/>
              <w:rPr>
                <w:sz w:val="10"/>
                <w:szCs w:val="10"/>
                <w:lang w:val="en-GB"/>
              </w:rPr>
            </w:pPr>
            <w:r w:rsidRPr="00590A21">
              <w:rPr>
                <w:sz w:val="10"/>
                <w:szCs w:val="10"/>
                <w:lang w:val="en-GB"/>
              </w:rPr>
              <w:t>-92.79</w:t>
            </w:r>
          </w:p>
        </w:tc>
        <w:tc>
          <w:tcPr>
            <w:tcW w:w="0" w:type="auto"/>
            <w:tcBorders>
              <w:top w:val="single" w:sz="4" w:space="0" w:color="auto"/>
              <w:left w:val="single" w:sz="4" w:space="0" w:color="auto"/>
              <w:bottom w:val="single" w:sz="12" w:space="0" w:color="auto"/>
              <w:right w:val="single" w:sz="4" w:space="0" w:color="auto"/>
            </w:tcBorders>
            <w:vAlign w:val="bottom"/>
          </w:tcPr>
          <w:p w14:paraId="62C34192" w14:textId="77777777" w:rsidR="00342995" w:rsidRPr="00590A21" w:rsidRDefault="00342995" w:rsidP="004C18BD">
            <w:pPr>
              <w:jc w:val="center"/>
              <w:rPr>
                <w:sz w:val="10"/>
                <w:szCs w:val="10"/>
                <w:lang w:val="en-GB"/>
              </w:rPr>
            </w:pPr>
            <w:r w:rsidRPr="00590A21">
              <w:rPr>
                <w:sz w:val="10"/>
                <w:szCs w:val="10"/>
                <w:lang w:val="en-GB"/>
              </w:rPr>
              <w:t>-131.17</w:t>
            </w:r>
          </w:p>
        </w:tc>
        <w:tc>
          <w:tcPr>
            <w:tcW w:w="0" w:type="auto"/>
            <w:tcBorders>
              <w:top w:val="single" w:sz="4" w:space="0" w:color="auto"/>
              <w:left w:val="single" w:sz="4" w:space="0" w:color="auto"/>
              <w:bottom w:val="single" w:sz="12" w:space="0" w:color="auto"/>
              <w:right w:val="single" w:sz="4" w:space="0" w:color="auto"/>
            </w:tcBorders>
            <w:vAlign w:val="bottom"/>
          </w:tcPr>
          <w:p w14:paraId="77B76D3B" w14:textId="77777777" w:rsidR="00342995" w:rsidRPr="00590A21" w:rsidRDefault="00342995" w:rsidP="004C18BD">
            <w:pPr>
              <w:jc w:val="center"/>
              <w:rPr>
                <w:sz w:val="10"/>
                <w:szCs w:val="10"/>
                <w:lang w:val="en-GB"/>
              </w:rPr>
            </w:pPr>
            <w:r w:rsidRPr="00590A21">
              <w:rPr>
                <w:sz w:val="10"/>
                <w:szCs w:val="10"/>
                <w:lang w:val="en-GB"/>
              </w:rPr>
              <w:t>-137.4</w:t>
            </w:r>
          </w:p>
        </w:tc>
        <w:tc>
          <w:tcPr>
            <w:tcW w:w="0" w:type="auto"/>
            <w:tcBorders>
              <w:top w:val="single" w:sz="4" w:space="0" w:color="auto"/>
              <w:left w:val="single" w:sz="4" w:space="0" w:color="auto"/>
              <w:bottom w:val="single" w:sz="12" w:space="0" w:color="auto"/>
              <w:right w:val="nil"/>
            </w:tcBorders>
            <w:vAlign w:val="bottom"/>
          </w:tcPr>
          <w:p w14:paraId="52E65F8D" w14:textId="77777777" w:rsidR="00342995" w:rsidRPr="00590A21" w:rsidRDefault="00342995" w:rsidP="004C18BD">
            <w:pPr>
              <w:jc w:val="center"/>
              <w:rPr>
                <w:sz w:val="10"/>
                <w:szCs w:val="10"/>
                <w:lang w:val="en-GB"/>
              </w:rPr>
            </w:pPr>
            <w:r w:rsidRPr="00590A21">
              <w:rPr>
                <w:sz w:val="10"/>
                <w:szCs w:val="10"/>
                <w:lang w:val="en-GB"/>
              </w:rPr>
              <w:t>-140.6</w:t>
            </w:r>
          </w:p>
        </w:tc>
      </w:tr>
      <w:tr w:rsidR="00D779BA" w:rsidRPr="00590A21" w14:paraId="3C7AAA8A" w14:textId="77777777" w:rsidTr="00213E96">
        <w:tblPrEx>
          <w:jc w:val="left"/>
        </w:tblPrEx>
        <w:trPr>
          <w:gridAfter w:val="1"/>
          <w:trHeight w:val="2245"/>
        </w:trPr>
        <w:tc>
          <w:tcPr>
            <w:tcW w:w="5030" w:type="dxa"/>
            <w:gridSpan w:val="9"/>
            <w:shd w:val="clear" w:color="auto" w:fill="auto"/>
          </w:tcPr>
          <w:p w14:paraId="4B3503A9" w14:textId="77777777" w:rsidR="00213E96" w:rsidRDefault="00213E96" w:rsidP="00E12F8E">
            <w:pPr>
              <w:jc w:val="center"/>
              <w:rPr>
                <w:sz w:val="16"/>
                <w:szCs w:val="16"/>
                <w:lang w:val="en-GB"/>
              </w:rPr>
            </w:pPr>
          </w:p>
          <w:p w14:paraId="161B9D9F" w14:textId="68A0DC14" w:rsidR="008764C2" w:rsidRPr="00590A21" w:rsidRDefault="00EA619F" w:rsidP="00D779BA">
            <w:pPr>
              <w:jc w:val="center"/>
              <w:rPr>
                <w:sz w:val="16"/>
                <w:szCs w:val="16"/>
                <w:lang w:val="en-GB"/>
              </w:rPr>
            </w:pPr>
            <w:r w:rsidRPr="00EA619F">
              <w:rPr>
                <w:noProof/>
                <w:sz w:val="16"/>
                <w:szCs w:val="16"/>
                <w:lang w:val="en-GB" w:eastAsia="zh-CN"/>
              </w:rPr>
              <w:drawing>
                <wp:inline distT="0" distB="0" distL="0" distR="0" wp14:anchorId="7E27D8E2" wp14:editId="57FDBFBD">
                  <wp:extent cx="2930624" cy="1890263"/>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60547" cy="1909563"/>
                          </a:xfrm>
                          <a:prstGeom prst="rect">
                            <a:avLst/>
                          </a:prstGeom>
                        </pic:spPr>
                      </pic:pic>
                    </a:graphicData>
                  </a:graphic>
                </wp:inline>
              </w:drawing>
            </w:r>
          </w:p>
        </w:tc>
      </w:tr>
      <w:tr w:rsidR="00D779BA" w:rsidRPr="00590A21" w14:paraId="4F9B0564" w14:textId="77777777" w:rsidTr="00213E96">
        <w:tblPrEx>
          <w:jc w:val="left"/>
        </w:tblPrEx>
        <w:trPr>
          <w:gridAfter w:val="1"/>
        </w:trPr>
        <w:tc>
          <w:tcPr>
            <w:tcW w:w="5030" w:type="dxa"/>
            <w:gridSpan w:val="9"/>
            <w:shd w:val="clear" w:color="auto" w:fill="auto"/>
          </w:tcPr>
          <w:p w14:paraId="48ED3870" w14:textId="03D09D38" w:rsidR="008764C2" w:rsidRPr="00590A21" w:rsidRDefault="008764C2" w:rsidP="004C1600">
            <w:pPr>
              <w:jc w:val="both"/>
              <w:rPr>
                <w:sz w:val="16"/>
                <w:szCs w:val="16"/>
                <w:lang w:val="en-GB"/>
              </w:rPr>
            </w:pPr>
            <w:r w:rsidRPr="00590A21">
              <w:rPr>
                <w:rFonts w:ascii="Arial" w:hAnsi="Arial" w:cs="Arial"/>
                <w:b/>
                <w:sz w:val="16"/>
                <w:szCs w:val="16"/>
                <w:lang w:val="en-GB"/>
              </w:rPr>
              <w:t xml:space="preserve">Figure </w:t>
            </w:r>
            <w:r w:rsidR="001013EE" w:rsidRPr="00590A21">
              <w:rPr>
                <w:rFonts w:ascii="Arial" w:hAnsi="Arial" w:cs="Arial"/>
                <w:b/>
                <w:sz w:val="16"/>
                <w:szCs w:val="16"/>
                <w:lang w:val="en-GB"/>
              </w:rPr>
              <w:t>9</w:t>
            </w:r>
            <w:r w:rsidR="00013037">
              <w:rPr>
                <w:rFonts w:ascii="Arial" w:hAnsi="Arial" w:cs="Arial"/>
                <w:b/>
                <w:sz w:val="16"/>
                <w:szCs w:val="16"/>
                <w:lang w:val="en-GB"/>
              </w:rPr>
              <w:t>.</w:t>
            </w:r>
            <w:r w:rsidRPr="00590A21">
              <w:rPr>
                <w:sz w:val="16"/>
                <w:szCs w:val="16"/>
                <w:lang w:val="en-GB"/>
              </w:rPr>
              <w:t xml:space="preserve"> The interfacial charge density versus different thickness ratios between the pressboard and oil for estimation</w:t>
            </w:r>
            <w:r w:rsidR="00013037">
              <w:rPr>
                <w:sz w:val="16"/>
                <w:szCs w:val="16"/>
                <w:lang w:val="en-GB"/>
              </w:rPr>
              <w:t>.</w:t>
            </w:r>
          </w:p>
        </w:tc>
      </w:tr>
    </w:tbl>
    <w:p w14:paraId="29418FFE" w14:textId="77777777" w:rsidR="0005248E" w:rsidRDefault="0005248E" w:rsidP="00207C46">
      <w:pPr>
        <w:ind w:firstLine="142"/>
        <w:jc w:val="both"/>
        <w:rPr>
          <w:lang w:val="en-GB"/>
        </w:rPr>
      </w:pPr>
    </w:p>
    <w:p w14:paraId="4513E604" w14:textId="3A443AD5" w:rsidR="008764C2" w:rsidRPr="00590A21" w:rsidRDefault="008764C2" w:rsidP="00207C46">
      <w:pPr>
        <w:ind w:firstLine="142"/>
        <w:jc w:val="both"/>
        <w:rPr>
          <w:lang w:val="en-GB"/>
        </w:rPr>
      </w:pPr>
      <w:r w:rsidRPr="00590A21">
        <w:rPr>
          <w:lang w:val="en-GB"/>
        </w:rPr>
        <w:t xml:space="preserve">Fourthly, to interpolate the space charge into thick multilayer oil and oil-impregnated PB, the ratio between different interfacial charge density can be calculated using </w:t>
      </w:r>
      <w:r w:rsidR="00013037">
        <w:rPr>
          <w:lang w:val="en-GB"/>
        </w:rPr>
        <w:t>E</w:t>
      </w:r>
      <w:r w:rsidRPr="00590A21">
        <w:rPr>
          <w:lang w:val="en-GB"/>
        </w:rPr>
        <w:t>quation (</w:t>
      </w:r>
      <w:r w:rsidR="00AB4107" w:rsidRPr="00590A21">
        <w:rPr>
          <w:lang w:val="en-GB"/>
        </w:rPr>
        <w:t>8</w:t>
      </w:r>
      <w:r w:rsidRPr="00590A21">
        <w:rPr>
          <w:lang w:val="en-GB"/>
        </w:rPr>
        <w:t xml:space="preserve">): </w:t>
      </w:r>
    </w:p>
    <w:tbl>
      <w:tblPr>
        <w:tblW w:w="0" w:type="auto"/>
        <w:tblLook w:val="04A0" w:firstRow="1" w:lastRow="0" w:firstColumn="1" w:lastColumn="0" w:noHBand="0" w:noVBand="1"/>
      </w:tblPr>
      <w:tblGrid>
        <w:gridCol w:w="1676"/>
        <w:gridCol w:w="1677"/>
        <w:gridCol w:w="1677"/>
      </w:tblGrid>
      <w:tr w:rsidR="008764C2" w:rsidRPr="00590A21" w14:paraId="506705E6" w14:textId="77777777" w:rsidTr="00C025DA">
        <w:tc>
          <w:tcPr>
            <w:tcW w:w="1676" w:type="dxa"/>
            <w:shd w:val="clear" w:color="auto" w:fill="auto"/>
          </w:tcPr>
          <w:p w14:paraId="276C05A4" w14:textId="77777777" w:rsidR="008764C2" w:rsidRPr="00590A21" w:rsidRDefault="008764C2" w:rsidP="00C025DA">
            <w:pPr>
              <w:rPr>
                <w:rFonts w:ascii="Cambria Math" w:hAnsi="Cambria Math"/>
                <w:lang w:val="en-GB"/>
              </w:rPr>
            </w:pPr>
          </w:p>
        </w:tc>
        <w:tc>
          <w:tcPr>
            <w:tcW w:w="1677" w:type="dxa"/>
            <w:shd w:val="clear" w:color="auto" w:fill="auto"/>
          </w:tcPr>
          <w:p w14:paraId="7621246A" w14:textId="77777777" w:rsidR="008764C2" w:rsidRPr="00FB3D31" w:rsidRDefault="008764C2" w:rsidP="00C025DA">
            <w:pPr>
              <w:ind w:firstLineChars="100" w:firstLine="180"/>
              <w:rPr>
                <w:rFonts w:ascii="Cambria Math" w:hAnsi="Cambria Math"/>
                <w:sz w:val="18"/>
                <w:szCs w:val="18"/>
                <w:lang w:val="en-GB"/>
              </w:rPr>
            </w:pPr>
            <m:oMathPara>
              <m:oMath>
                <m:r>
                  <m:rPr>
                    <m:sty m:val="p"/>
                  </m:rPr>
                  <w:rPr>
                    <w:rFonts w:ascii="Cambria Math" w:hAnsi="Cambria Math"/>
                    <w:sz w:val="18"/>
                    <w:szCs w:val="18"/>
                    <w:lang w:val="en-GB"/>
                  </w:rPr>
                  <m:t>Ratio=</m:t>
                </m:r>
                <m:f>
                  <m:fPr>
                    <m:ctrlPr>
                      <w:rPr>
                        <w:rFonts w:ascii="Cambria Math" w:hAnsi="Cambria Math"/>
                        <w:sz w:val="18"/>
                        <w:szCs w:val="18"/>
                        <w:lang w:val="en-GB"/>
                      </w:rPr>
                    </m:ctrlPr>
                  </m:fPr>
                  <m:num>
                    <m:sSub>
                      <m:sSubPr>
                        <m:ctrlPr>
                          <w:rPr>
                            <w:rFonts w:ascii="Cambria Math" w:hAnsi="Cambria Math"/>
                            <w:sz w:val="18"/>
                            <w:szCs w:val="18"/>
                            <w:lang w:val="en-GB"/>
                          </w:rPr>
                        </m:ctrlPr>
                      </m:sSubPr>
                      <m:e>
                        <m:r>
                          <m:rPr>
                            <m:sty m:val="p"/>
                          </m:rPr>
                          <w:rPr>
                            <w:rFonts w:ascii="Cambria Math" w:hAnsi="Cambria Math"/>
                            <w:sz w:val="18"/>
                            <w:szCs w:val="18"/>
                            <w:lang w:val="en-GB"/>
                          </w:rPr>
                          <m:t>q</m:t>
                        </m:r>
                      </m:e>
                      <m:sub>
                        <m:r>
                          <m:rPr>
                            <m:sty m:val="p"/>
                          </m:rPr>
                          <w:rPr>
                            <w:rFonts w:ascii="Cambria Math" w:hAnsi="Cambria Math"/>
                            <w:sz w:val="18"/>
                            <w:szCs w:val="18"/>
                            <w:lang w:val="en-GB"/>
                          </w:rPr>
                          <m:t>1</m:t>
                        </m:r>
                      </m:sub>
                    </m:sSub>
                  </m:num>
                  <m:den>
                    <m:sSub>
                      <m:sSubPr>
                        <m:ctrlPr>
                          <w:rPr>
                            <w:rFonts w:ascii="Cambria Math" w:hAnsi="Cambria Math"/>
                            <w:sz w:val="18"/>
                            <w:szCs w:val="18"/>
                            <w:lang w:val="en-GB"/>
                          </w:rPr>
                        </m:ctrlPr>
                      </m:sSubPr>
                      <m:e>
                        <m:r>
                          <m:rPr>
                            <m:sty m:val="p"/>
                          </m:rPr>
                          <w:rPr>
                            <w:rFonts w:ascii="Cambria Math" w:hAnsi="Cambria Math"/>
                            <w:sz w:val="18"/>
                            <w:szCs w:val="18"/>
                            <w:lang w:val="en-GB"/>
                          </w:rPr>
                          <m:t>q</m:t>
                        </m:r>
                      </m:e>
                      <m:sub>
                        <m:r>
                          <m:rPr>
                            <m:sty m:val="p"/>
                          </m:rPr>
                          <w:rPr>
                            <w:rFonts w:ascii="Cambria Math" w:hAnsi="Cambria Math"/>
                            <w:sz w:val="18"/>
                            <w:szCs w:val="18"/>
                            <w:lang w:val="en-GB"/>
                          </w:rPr>
                          <m:t>2</m:t>
                        </m:r>
                      </m:sub>
                    </m:sSub>
                  </m:den>
                </m:f>
              </m:oMath>
            </m:oMathPara>
          </w:p>
        </w:tc>
        <w:tc>
          <w:tcPr>
            <w:tcW w:w="1677" w:type="dxa"/>
            <w:shd w:val="clear" w:color="auto" w:fill="auto"/>
          </w:tcPr>
          <w:p w14:paraId="707EED6B" w14:textId="16D05F38" w:rsidR="008764C2" w:rsidRPr="00B44A94" w:rsidRDefault="008764C2" w:rsidP="00C025DA">
            <w:pPr>
              <w:jc w:val="right"/>
              <w:rPr>
                <w:lang w:val="en-GB"/>
              </w:rPr>
            </w:pPr>
            <w:r w:rsidRPr="00B44A94">
              <w:rPr>
                <w:lang w:val="en-GB"/>
              </w:rPr>
              <w:t>(</w:t>
            </w:r>
            <w:r w:rsidR="006A0CC3" w:rsidRPr="00B44A94">
              <w:rPr>
                <w:lang w:val="en-GB"/>
              </w:rPr>
              <w:t>8</w:t>
            </w:r>
            <w:r w:rsidRPr="00B44A94">
              <w:rPr>
                <w:lang w:val="en-GB"/>
              </w:rPr>
              <w:t>)</w:t>
            </w:r>
          </w:p>
        </w:tc>
      </w:tr>
    </w:tbl>
    <w:p w14:paraId="1B5A3547" w14:textId="663ECCC8" w:rsidR="008764C2" w:rsidRPr="00590A21" w:rsidRDefault="008764C2" w:rsidP="00570851">
      <w:pPr>
        <w:jc w:val="both"/>
        <w:rPr>
          <w:lang w:val="en-GB"/>
        </w:rPr>
      </w:pPr>
      <w:proofErr w:type="gramStart"/>
      <w:r w:rsidRPr="00590A21">
        <w:rPr>
          <w:lang w:val="en-GB"/>
        </w:rPr>
        <w:t>where</w:t>
      </w:r>
      <w:proofErr w:type="gramEnd"/>
      <w:r w:rsidRPr="00590A21">
        <w:rPr>
          <w:lang w:val="en-GB"/>
        </w:rPr>
        <w:t xml:space="preserve"> </w:t>
      </w:r>
      <m:oMath>
        <m:sSub>
          <m:sSubPr>
            <m:ctrlPr>
              <w:rPr>
                <w:rFonts w:ascii="Cambria Math" w:hAnsi="Cambria Math"/>
                <w:i/>
                <w:lang w:val="en-GB"/>
              </w:rPr>
            </m:ctrlPr>
          </m:sSubPr>
          <m:e>
            <m:r>
              <w:rPr>
                <w:rFonts w:ascii="Cambria Math" w:hAnsi="Cambria Math"/>
                <w:lang w:val="en-GB"/>
              </w:rPr>
              <m:t>q</m:t>
            </m:r>
          </m:e>
          <m:sub>
            <m:r>
              <m:rPr>
                <m:sty m:val="p"/>
              </m:rPr>
              <w:rPr>
                <w:rFonts w:ascii="Cambria Math" w:hAnsi="Cambria Math"/>
                <w:lang w:val="en-GB"/>
              </w:rPr>
              <m:t>1</m:t>
            </m:r>
          </m:sub>
        </m:sSub>
      </m:oMath>
      <w:r w:rsidRPr="00590A21">
        <w:rPr>
          <w:lang w:val="en-GB"/>
        </w:rPr>
        <w:t xml:space="preserve"> represents the estimated interfacial charge and </w:t>
      </w:r>
      <m:oMath>
        <m:sSub>
          <m:sSubPr>
            <m:ctrlPr>
              <w:rPr>
                <w:rFonts w:ascii="Cambria Math" w:hAnsi="Cambria Math"/>
                <w:i/>
                <w:lang w:val="en-GB"/>
              </w:rPr>
            </m:ctrlPr>
          </m:sSubPr>
          <m:e>
            <m:r>
              <w:rPr>
                <w:rFonts w:ascii="Cambria Math" w:hAnsi="Cambria Math"/>
                <w:lang w:val="en-GB"/>
              </w:rPr>
              <m:t>q</m:t>
            </m:r>
          </m:e>
          <m:sub>
            <m:r>
              <m:rPr>
                <m:sty m:val="p"/>
              </m:rPr>
              <w:rPr>
                <w:rFonts w:ascii="Cambria Math" w:hAnsi="Cambria Math"/>
                <w:lang w:val="en-GB"/>
              </w:rPr>
              <m:t>2</m:t>
            </m:r>
          </m:sub>
        </m:sSub>
      </m:oMath>
      <w:r w:rsidRPr="00590A21">
        <w:rPr>
          <w:lang w:val="en-GB"/>
        </w:rPr>
        <w:t xml:space="preserve"> indicates the measured interfacial charge. Then, the ratio should multiply the existing equations representing space charge versus time of each layer, and the space charge is interpolated into the multil</w:t>
      </w:r>
      <w:proofErr w:type="spellStart"/>
      <w:r w:rsidRPr="00590A21">
        <w:rPr>
          <w:lang w:val="en-GB"/>
        </w:rPr>
        <w:t>ayers</w:t>
      </w:r>
      <w:proofErr w:type="spellEnd"/>
      <w:r w:rsidRPr="00590A21">
        <w:rPr>
          <w:lang w:val="en-GB"/>
        </w:rPr>
        <w:t xml:space="preserve"> oil and PB model in COMSOL based on the methodology described in previous </w:t>
      </w:r>
      <w:r w:rsidRPr="002D27C6">
        <w:rPr>
          <w:lang w:val="en-GB"/>
        </w:rPr>
        <w:t xml:space="preserve">work </w:t>
      </w:r>
      <w:r w:rsidR="003A2F47" w:rsidRPr="002D27C6">
        <w:rPr>
          <w:lang w:val="en-GB"/>
        </w:rPr>
        <w:fldChar w:fldCharType="begin" w:fldLock="1"/>
      </w:r>
      <w:r w:rsidR="003A2F47" w:rsidRPr="002D27C6">
        <w:rPr>
          <w:lang w:val="en-GB"/>
        </w:rPr>
        <w:instrText>ADDIN CSL_CITATION {"citationItems":[{"id":"ITEM-1","itemData":{"DOI":"10.1109/TDEI.2015.005413","ISSN":"10709878","author":[{"dropping-particle":"","family":"Huang","given":"Bo","non-dropping-particle":"","parse-names":false,"suffix":""},{"dropping-particle":"","family":"Hao","given":"Miao","non-dropping-particle":"","parse-names":false,"suffix":""},{"dropping-particle":"","family":"Hao","given":"Jian","non-dropping-particle":"","parse-names":false,"suffix":""},{"dropping-particle":"","family":"Fu","given":"Jin","non-dropping-particle":"","parse-names":false,"suffix":""},{"dropping-particle":"","family":"Wang","given":"Qian","non-dropping-particle":"","parse-names":false,"suffix":""},{"dropping-particle":"","family":"Chen","given":"George","non-dropping-particle":"","parse-names":false,"suffix":""}],"container-title":"IEEE Transaction on Dielectrics and Electrical Insulation","id":"ITEM-1","issue":"2","issued":{"date-parts":[["2016"]]},"page":"881-891","title":"Space Charge Characteristics in Oil and Oil-Impregnated Pressboard Insulation and Electric Field Distortion after Polarity Reversal Operation","type":"article-journal","volume":"23"},"uris":["http://www.mendeley.com/documents/?uuid=bed1cf84-be5a-4518-863e-bd57dedd3d81"]}],"mendeley":{"formattedCitation":"[17]","plainTextFormattedCitation":"[17]"},"properties":{"noteIndex":0},"schema":"https://github.com/citation-style-language/schema/raw/master/csl-citation.json"}</w:instrText>
      </w:r>
      <w:r w:rsidR="003A2F47" w:rsidRPr="002D27C6">
        <w:rPr>
          <w:lang w:val="en-GB"/>
        </w:rPr>
        <w:fldChar w:fldCharType="separate"/>
      </w:r>
      <w:r w:rsidR="003A2F47" w:rsidRPr="002D27C6">
        <w:rPr>
          <w:noProof/>
          <w:lang w:val="en-GB"/>
        </w:rPr>
        <w:t>[17]</w:t>
      </w:r>
      <w:r w:rsidR="003A2F47" w:rsidRPr="002D27C6">
        <w:rPr>
          <w:lang w:val="en-GB"/>
        </w:rPr>
        <w:fldChar w:fldCharType="end"/>
      </w:r>
      <w:r w:rsidRPr="002D27C6">
        <w:rPr>
          <w:lang w:val="en-GB"/>
        </w:rPr>
        <w:t>.</w:t>
      </w:r>
      <w:r w:rsidRPr="00590A21">
        <w:rPr>
          <w:lang w:val="en-GB"/>
        </w:rPr>
        <w:t xml:space="preserve"> </w:t>
      </w:r>
    </w:p>
    <w:p w14:paraId="6EBAADC5" w14:textId="775801AD" w:rsidR="008764C2" w:rsidRPr="00590A21" w:rsidRDefault="008764C2" w:rsidP="00207C46">
      <w:pPr>
        <w:ind w:firstLine="142"/>
        <w:jc w:val="both"/>
        <w:rPr>
          <w:lang w:val="en-GB"/>
        </w:rPr>
      </w:pPr>
      <w:r w:rsidRPr="00590A21">
        <w:rPr>
          <w:lang w:val="en-GB"/>
        </w:rPr>
        <w:t>Take the space charge extended from the thickness ratio of 1:2 to 1:5 as an example, based on space charge result of 0.3 mm oil and 0.6 mm PB, the relative interfacial charge is -79.51 C/m</w:t>
      </w:r>
      <w:r w:rsidRPr="00590A21">
        <w:rPr>
          <w:vertAlign w:val="superscript"/>
          <w:lang w:val="en-GB"/>
        </w:rPr>
        <w:t>3</w:t>
      </w:r>
      <w:r w:rsidRPr="00590A21">
        <w:rPr>
          <w:lang w:val="en-GB"/>
        </w:rPr>
        <w:t xml:space="preserve"> (shown in Table </w:t>
      </w:r>
      <w:r w:rsidR="00216B41" w:rsidRPr="00590A21">
        <w:rPr>
          <w:lang w:val="en-GB"/>
        </w:rPr>
        <w:t>5</w:t>
      </w:r>
      <w:r w:rsidRPr="00590A21">
        <w:rPr>
          <w:lang w:val="en-GB"/>
        </w:rPr>
        <w:t>) with the thickness ratio of 1:2. Based on equation (</w:t>
      </w:r>
      <w:r w:rsidR="00AB4107" w:rsidRPr="00590A21">
        <w:rPr>
          <w:lang w:val="en-GB"/>
        </w:rPr>
        <w:t>8</w:t>
      </w:r>
      <w:r w:rsidRPr="00590A21">
        <w:rPr>
          <w:lang w:val="en-GB"/>
        </w:rPr>
        <w:t>), the ratio of 1.1 can be acquired after dividing -87.59 C/m</w:t>
      </w:r>
      <w:r w:rsidRPr="00590A21">
        <w:rPr>
          <w:vertAlign w:val="superscript"/>
          <w:lang w:val="en-GB"/>
        </w:rPr>
        <w:t>3</w:t>
      </w:r>
      <w:r w:rsidRPr="00590A21">
        <w:rPr>
          <w:lang w:val="en-GB"/>
        </w:rPr>
        <w:t xml:space="preserve"> and -79.51 C/m</w:t>
      </w:r>
      <w:r w:rsidRPr="00590A21">
        <w:rPr>
          <w:vertAlign w:val="superscript"/>
          <w:lang w:val="en-GB"/>
        </w:rPr>
        <w:t>3</w:t>
      </w:r>
      <w:r w:rsidRPr="00590A21">
        <w:rPr>
          <w:lang w:val="en-GB"/>
        </w:rPr>
        <w:t xml:space="preserve">. Then, this ratio should be used to </w:t>
      </w:r>
      <w:r w:rsidRPr="00590A21">
        <w:rPr>
          <w:lang w:val="en-GB"/>
        </w:rPr>
        <w:t xml:space="preserve">multiply the equations representing space charge versus time with a ratio of 1:2, and the space charge can therefore be extended from the thickness ratio of 1:2 to 1:5. </w:t>
      </w:r>
    </w:p>
    <w:p w14:paraId="0AA95BA0" w14:textId="5C9647B3" w:rsidR="008764C2" w:rsidRPr="00590A21" w:rsidRDefault="008764C2" w:rsidP="00207C46">
      <w:pPr>
        <w:ind w:firstLine="142"/>
        <w:jc w:val="both"/>
        <w:rPr>
          <w:lang w:val="en-GB"/>
        </w:rPr>
      </w:pPr>
      <w:r w:rsidRPr="00590A21">
        <w:rPr>
          <w:lang w:val="en-GB"/>
        </w:rPr>
        <w:t xml:space="preserve">The </w:t>
      </w:r>
      <w:r w:rsidR="008D7B7D">
        <w:rPr>
          <w:lang w:val="en-GB"/>
        </w:rPr>
        <w:t>four</w:t>
      </w:r>
      <w:r w:rsidRPr="00590A21">
        <w:rPr>
          <w:lang w:val="en-GB"/>
        </w:rPr>
        <w:t xml:space="preserve"> layers section number 9, 10, 11 shown in Figure </w:t>
      </w:r>
      <w:r w:rsidR="00894579" w:rsidRPr="00590A21">
        <w:rPr>
          <w:lang w:val="en-GB"/>
        </w:rPr>
        <w:t>7</w:t>
      </w:r>
      <w:r w:rsidRPr="00590A21">
        <w:rPr>
          <w:lang w:val="en-GB"/>
        </w:rPr>
        <w:t xml:space="preserve"> (a) is selected as an example. After the interpolation of space charge into the model, the space charge distribution is shown in Figure </w:t>
      </w:r>
      <w:r w:rsidR="00894579" w:rsidRPr="00590A21">
        <w:rPr>
          <w:lang w:val="en-GB"/>
        </w:rPr>
        <w:t>10</w:t>
      </w:r>
      <w:r w:rsidR="00013037">
        <w:rPr>
          <w:lang w:val="en-GB"/>
        </w:rPr>
        <w:t>a</w:t>
      </w:r>
      <w:r w:rsidRPr="00590A21">
        <w:rPr>
          <w:lang w:val="en-GB"/>
        </w:rPr>
        <w:t xml:space="preserve">; the thinness below 20000 </w:t>
      </w:r>
      <w:proofErr w:type="spellStart"/>
      <w:r w:rsidRPr="00590A21">
        <w:rPr>
          <w:lang w:val="en-GB"/>
        </w:rPr>
        <w:t>μm</w:t>
      </w:r>
      <w:proofErr w:type="spellEnd"/>
      <w:r w:rsidRPr="00590A21">
        <w:rPr>
          <w:lang w:val="en-GB"/>
        </w:rPr>
        <w:t xml:space="preserve"> of the space charge result in Figure </w:t>
      </w:r>
      <w:r w:rsidR="00894579" w:rsidRPr="00590A21">
        <w:rPr>
          <w:lang w:val="en-GB"/>
        </w:rPr>
        <w:t>10</w:t>
      </w:r>
      <w:r w:rsidR="00013037">
        <w:rPr>
          <w:lang w:val="en-GB"/>
        </w:rPr>
        <w:t>a</w:t>
      </w:r>
      <w:r w:rsidRPr="00590A21">
        <w:rPr>
          <w:lang w:val="en-GB"/>
        </w:rPr>
        <w:t xml:space="preserve"> is enlarged shown in Figure 1</w:t>
      </w:r>
      <w:r w:rsidR="00894579" w:rsidRPr="00590A21">
        <w:rPr>
          <w:lang w:val="en-GB"/>
        </w:rPr>
        <w:t>0</w:t>
      </w:r>
      <w:r w:rsidR="00013037">
        <w:rPr>
          <w:lang w:val="en-GB"/>
        </w:rPr>
        <w:t>b</w:t>
      </w:r>
      <w:r w:rsidRPr="00590A21">
        <w:rPr>
          <w:lang w:val="en-GB"/>
        </w:rPr>
        <w:t xml:space="preserve">. </w:t>
      </w:r>
    </w:p>
    <w:tbl>
      <w:tblPr>
        <w:tblW w:w="0" w:type="auto"/>
        <w:tblLook w:val="04A0" w:firstRow="1" w:lastRow="0" w:firstColumn="1" w:lastColumn="0" w:noHBand="0" w:noVBand="1"/>
      </w:tblPr>
      <w:tblGrid>
        <w:gridCol w:w="2166"/>
        <w:gridCol w:w="2874"/>
      </w:tblGrid>
      <w:tr w:rsidR="008764C2" w:rsidRPr="00590A21" w14:paraId="19A63ED3" w14:textId="77777777" w:rsidTr="00C025DA">
        <w:tc>
          <w:tcPr>
            <w:tcW w:w="2220" w:type="dxa"/>
            <w:shd w:val="clear" w:color="auto" w:fill="auto"/>
          </w:tcPr>
          <w:p w14:paraId="1E2CC2BF" w14:textId="77777777" w:rsidR="008764C2" w:rsidRPr="00590A21" w:rsidRDefault="008764C2" w:rsidP="00C025DA">
            <w:pPr>
              <w:rPr>
                <w:lang w:val="en-GB"/>
              </w:rPr>
            </w:pPr>
            <w:r w:rsidRPr="00590A21">
              <w:rPr>
                <w:noProof/>
                <w:lang w:val="en-GB" w:eastAsia="zh-CN"/>
              </w:rPr>
              <w:drawing>
                <wp:inline distT="0" distB="0" distL="0" distR="0" wp14:anchorId="6A1F9279" wp14:editId="3173DAC5">
                  <wp:extent cx="1306285" cy="1417955"/>
                  <wp:effectExtent l="0" t="0" r="1905" b="4445"/>
                  <wp:docPr id="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4492" cy="1426863"/>
                          </a:xfrm>
                          <a:prstGeom prst="rect">
                            <a:avLst/>
                          </a:prstGeom>
                          <a:noFill/>
                          <a:ln>
                            <a:noFill/>
                          </a:ln>
                        </pic:spPr>
                      </pic:pic>
                    </a:graphicData>
                  </a:graphic>
                </wp:inline>
              </w:drawing>
            </w:r>
          </w:p>
        </w:tc>
        <w:tc>
          <w:tcPr>
            <w:tcW w:w="2820" w:type="dxa"/>
            <w:shd w:val="clear" w:color="auto" w:fill="auto"/>
          </w:tcPr>
          <w:p w14:paraId="3637E703" w14:textId="77777777" w:rsidR="008764C2" w:rsidRPr="00590A21" w:rsidRDefault="008764C2" w:rsidP="00C025DA">
            <w:pPr>
              <w:rPr>
                <w:lang w:val="en-GB"/>
              </w:rPr>
            </w:pPr>
            <w:r w:rsidRPr="00590A21">
              <w:rPr>
                <w:noProof/>
                <w:lang w:val="en-GB" w:eastAsia="zh-CN"/>
              </w:rPr>
              <w:drawing>
                <wp:inline distT="0" distB="0" distL="0" distR="0" wp14:anchorId="2280C3E6" wp14:editId="40E810B7">
                  <wp:extent cx="1782445" cy="1444625"/>
                  <wp:effectExtent l="0" t="0" r="0" b="3175"/>
                  <wp:docPr id="9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2445" cy="1444625"/>
                          </a:xfrm>
                          <a:prstGeom prst="rect">
                            <a:avLst/>
                          </a:prstGeom>
                          <a:noFill/>
                          <a:ln>
                            <a:noFill/>
                          </a:ln>
                        </pic:spPr>
                      </pic:pic>
                    </a:graphicData>
                  </a:graphic>
                </wp:inline>
              </w:drawing>
            </w:r>
          </w:p>
        </w:tc>
      </w:tr>
      <w:tr w:rsidR="008764C2" w:rsidRPr="00590A21" w14:paraId="22B515E8" w14:textId="77777777" w:rsidTr="00C025DA">
        <w:tc>
          <w:tcPr>
            <w:tcW w:w="2220" w:type="dxa"/>
            <w:shd w:val="clear" w:color="auto" w:fill="auto"/>
          </w:tcPr>
          <w:p w14:paraId="19C4EB3D" w14:textId="77777777" w:rsidR="008764C2" w:rsidRPr="00590A21" w:rsidRDefault="008764C2" w:rsidP="00C025DA">
            <w:pPr>
              <w:jc w:val="center"/>
              <w:rPr>
                <w:lang w:val="en-GB"/>
              </w:rPr>
            </w:pPr>
            <w:r w:rsidRPr="00590A21">
              <w:rPr>
                <w:sz w:val="16"/>
                <w:szCs w:val="16"/>
                <w:lang w:val="en-GB"/>
              </w:rPr>
              <w:t>(a) Whole space charge</w:t>
            </w:r>
          </w:p>
        </w:tc>
        <w:tc>
          <w:tcPr>
            <w:tcW w:w="2820" w:type="dxa"/>
            <w:shd w:val="clear" w:color="auto" w:fill="auto"/>
          </w:tcPr>
          <w:p w14:paraId="32813AAF" w14:textId="77777777" w:rsidR="008764C2" w:rsidRPr="00590A21" w:rsidRDefault="008764C2" w:rsidP="00C025DA">
            <w:pPr>
              <w:jc w:val="center"/>
              <w:rPr>
                <w:lang w:val="en-GB"/>
              </w:rPr>
            </w:pPr>
            <w:r w:rsidRPr="00590A21">
              <w:rPr>
                <w:sz w:val="16"/>
                <w:szCs w:val="16"/>
                <w:lang w:val="en-GB"/>
              </w:rPr>
              <w:t>(b) Part of space charge</w:t>
            </w:r>
          </w:p>
        </w:tc>
      </w:tr>
      <w:tr w:rsidR="008764C2" w:rsidRPr="00590A21" w14:paraId="23D48FBC" w14:textId="77777777" w:rsidTr="00C025DA">
        <w:tc>
          <w:tcPr>
            <w:tcW w:w="5040" w:type="dxa"/>
            <w:gridSpan w:val="2"/>
            <w:shd w:val="clear" w:color="auto" w:fill="auto"/>
          </w:tcPr>
          <w:p w14:paraId="18161FF4" w14:textId="7CF509DF" w:rsidR="008764C2" w:rsidRPr="00590A21" w:rsidRDefault="008764C2" w:rsidP="004C1600">
            <w:pPr>
              <w:jc w:val="both"/>
              <w:rPr>
                <w:b/>
                <w:sz w:val="16"/>
                <w:szCs w:val="16"/>
                <w:lang w:val="en-GB"/>
              </w:rPr>
            </w:pPr>
            <w:r w:rsidRPr="00590A21">
              <w:rPr>
                <w:rFonts w:ascii="Arial" w:hAnsi="Arial" w:cs="Arial"/>
                <w:b/>
                <w:sz w:val="16"/>
                <w:szCs w:val="16"/>
                <w:lang w:val="en-GB"/>
              </w:rPr>
              <w:t xml:space="preserve">Figure </w:t>
            </w:r>
            <w:r w:rsidR="001013EE" w:rsidRPr="00590A21">
              <w:rPr>
                <w:rFonts w:ascii="Arial" w:hAnsi="Arial" w:cs="Arial"/>
                <w:b/>
                <w:sz w:val="16"/>
                <w:szCs w:val="16"/>
                <w:lang w:val="en-GB"/>
              </w:rPr>
              <w:t>10</w:t>
            </w:r>
            <w:r w:rsidR="00013037">
              <w:rPr>
                <w:rFonts w:ascii="Arial" w:hAnsi="Arial" w:cs="Arial"/>
                <w:b/>
                <w:sz w:val="16"/>
                <w:szCs w:val="16"/>
                <w:lang w:val="en-GB"/>
              </w:rPr>
              <w:t>.</w:t>
            </w:r>
            <w:r w:rsidRPr="00590A21">
              <w:rPr>
                <w:rFonts w:ascii="Arial" w:hAnsi="Arial" w:cs="Arial"/>
                <w:b/>
                <w:sz w:val="16"/>
                <w:szCs w:val="16"/>
                <w:lang w:val="en-GB"/>
              </w:rPr>
              <w:t xml:space="preserve"> </w:t>
            </w:r>
            <w:r w:rsidRPr="00590A21">
              <w:rPr>
                <w:sz w:val="16"/>
                <w:szCs w:val="16"/>
                <w:lang w:val="en-GB"/>
              </w:rPr>
              <w:t xml:space="preserve">(a) </w:t>
            </w:r>
            <w:proofErr w:type="gramStart"/>
            <w:r w:rsidRPr="00590A21">
              <w:rPr>
                <w:sz w:val="16"/>
                <w:szCs w:val="16"/>
                <w:lang w:val="en-GB"/>
              </w:rPr>
              <w:t>the</w:t>
            </w:r>
            <w:proofErr w:type="gramEnd"/>
            <w:r w:rsidRPr="00590A21">
              <w:rPr>
                <w:sz w:val="16"/>
                <w:szCs w:val="16"/>
                <w:lang w:val="en-GB"/>
              </w:rPr>
              <w:t xml:space="preserve"> whole (b) part of space charge for multilayers oil and pressboard space charge density</w:t>
            </w:r>
            <w:r w:rsidR="00013037">
              <w:rPr>
                <w:sz w:val="16"/>
                <w:szCs w:val="16"/>
                <w:lang w:val="en-GB"/>
              </w:rPr>
              <w:t>.</w:t>
            </w:r>
            <w:r w:rsidRPr="00590A21">
              <w:rPr>
                <w:sz w:val="16"/>
                <w:szCs w:val="16"/>
                <w:lang w:val="en-GB"/>
              </w:rPr>
              <w:t xml:space="preserve"> </w:t>
            </w:r>
          </w:p>
        </w:tc>
      </w:tr>
    </w:tbl>
    <w:p w14:paraId="035F6E66" w14:textId="77777777" w:rsidR="00213E96" w:rsidRDefault="00213E96" w:rsidP="00207C46">
      <w:pPr>
        <w:ind w:firstLine="142"/>
        <w:jc w:val="both"/>
        <w:rPr>
          <w:lang w:val="en-GB"/>
        </w:rPr>
      </w:pPr>
    </w:p>
    <w:p w14:paraId="4E775ADB" w14:textId="7E57A4EF" w:rsidR="008764C2" w:rsidRPr="00590A21" w:rsidRDefault="008764C2" w:rsidP="00207C46">
      <w:pPr>
        <w:ind w:firstLine="142"/>
        <w:jc w:val="both"/>
        <w:rPr>
          <w:lang w:val="en-GB"/>
        </w:rPr>
      </w:pPr>
      <w:r w:rsidRPr="00590A21">
        <w:rPr>
          <w:lang w:val="en-GB"/>
        </w:rPr>
        <w:t xml:space="preserve">Finally, the electrostatic model is selected to calculate the time dependent electric field distribution of four layers oil and PB. The geometry of four layers oil and PB geometry is shown in Figure </w:t>
      </w:r>
      <w:r w:rsidR="00894579" w:rsidRPr="00590A21">
        <w:rPr>
          <w:lang w:val="en-GB"/>
        </w:rPr>
        <w:t>7</w:t>
      </w:r>
      <w:r w:rsidRPr="00590A21">
        <w:rPr>
          <w:lang w:val="en-GB"/>
        </w:rPr>
        <w:t>. The applied electric field is shown in Figure 1</w:t>
      </w:r>
      <w:r w:rsidR="00894579" w:rsidRPr="00590A21">
        <w:rPr>
          <w:lang w:val="en-GB"/>
        </w:rPr>
        <w:t>1</w:t>
      </w:r>
      <w:r w:rsidRPr="00590A21">
        <w:rPr>
          <w:lang w:val="en-GB"/>
        </w:rPr>
        <w:t xml:space="preserve">. As the samples have the thickness of 100 mm, 1000 kV of the PR voltage is applied on the insulation samples. In mesh level setting, the “extremely fine” level of mesh is selected to calculate the electric field and different PR time effect on the electric field will be simulated later. </w:t>
      </w:r>
    </w:p>
    <w:p w14:paraId="53E55681" w14:textId="77777777" w:rsidR="008764C2" w:rsidRPr="00590A21" w:rsidRDefault="008764C2" w:rsidP="00342995">
      <w:pPr>
        <w:ind w:firstLineChars="100" w:firstLine="200"/>
        <w:jc w:val="center"/>
        <w:rPr>
          <w:lang w:val="en-GB"/>
        </w:rPr>
      </w:pPr>
      <w:r w:rsidRPr="00590A21">
        <w:rPr>
          <w:noProof/>
          <w:lang w:val="en-GB" w:eastAsia="zh-CN"/>
        </w:rPr>
        <w:drawing>
          <wp:inline distT="0" distB="0" distL="0" distR="0" wp14:anchorId="21D6253B" wp14:editId="535F3EC6">
            <wp:extent cx="2897060" cy="1317589"/>
            <wp:effectExtent l="0" t="0" r="0" b="3810"/>
            <wp:docPr id="7221" name="Picture 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50074" cy="1341700"/>
                    </a:xfrm>
                    <a:prstGeom prst="rect">
                      <a:avLst/>
                    </a:prstGeom>
                  </pic:spPr>
                </pic:pic>
              </a:graphicData>
            </a:graphic>
          </wp:inline>
        </w:drawing>
      </w:r>
    </w:p>
    <w:p w14:paraId="20346FA0" w14:textId="5F88B8D4" w:rsidR="008764C2" w:rsidRPr="00590A21" w:rsidRDefault="008764C2" w:rsidP="004C1600">
      <w:pPr>
        <w:jc w:val="center"/>
        <w:rPr>
          <w:rFonts w:ascii="Arial" w:hAnsi="Arial" w:cs="Arial"/>
          <w:b/>
          <w:sz w:val="16"/>
          <w:szCs w:val="16"/>
          <w:lang w:val="en-GB"/>
        </w:rPr>
      </w:pPr>
      <w:bookmarkStart w:id="41" w:name="_Toc524421820"/>
      <w:r w:rsidRPr="00590A21">
        <w:rPr>
          <w:rFonts w:ascii="Arial" w:hAnsi="Arial" w:cs="Arial"/>
          <w:b/>
          <w:sz w:val="16"/>
          <w:szCs w:val="16"/>
          <w:lang w:val="en-GB"/>
        </w:rPr>
        <w:t xml:space="preserve">Figure </w:t>
      </w:r>
      <w:r w:rsidR="001013EE" w:rsidRPr="00590A21">
        <w:rPr>
          <w:rFonts w:ascii="Arial" w:hAnsi="Arial" w:cs="Arial"/>
          <w:b/>
          <w:sz w:val="16"/>
          <w:szCs w:val="16"/>
          <w:lang w:val="en-GB"/>
        </w:rPr>
        <w:t>11</w:t>
      </w:r>
      <w:r w:rsidR="00013037">
        <w:rPr>
          <w:rFonts w:ascii="Arial" w:hAnsi="Arial" w:cs="Arial"/>
          <w:b/>
          <w:sz w:val="16"/>
          <w:szCs w:val="16"/>
          <w:lang w:val="en-GB"/>
        </w:rPr>
        <w:t>.</w:t>
      </w:r>
      <w:r w:rsidRPr="00590A21">
        <w:rPr>
          <w:rFonts w:ascii="Arial" w:hAnsi="Arial" w:cs="Arial"/>
          <w:b/>
          <w:sz w:val="16"/>
          <w:szCs w:val="16"/>
          <w:lang w:val="en-GB"/>
        </w:rPr>
        <w:t xml:space="preserve"> </w:t>
      </w:r>
      <w:r w:rsidRPr="00590A21">
        <w:rPr>
          <w:sz w:val="16"/>
          <w:szCs w:val="16"/>
          <w:lang w:val="en-GB"/>
        </w:rPr>
        <w:t>The PR operation voltage waveform.</w:t>
      </w:r>
      <w:bookmarkEnd w:id="41"/>
    </w:p>
    <w:p w14:paraId="16AB2206" w14:textId="48E37F27" w:rsidR="008764C2" w:rsidRPr="00590A21" w:rsidRDefault="008764C2" w:rsidP="00207C46">
      <w:pPr>
        <w:ind w:firstLine="142"/>
        <w:jc w:val="both"/>
        <w:rPr>
          <w:lang w:val="en-GB"/>
        </w:rPr>
      </w:pPr>
      <w:r w:rsidRPr="00590A21">
        <w:rPr>
          <w:lang w:val="en-GB"/>
        </w:rPr>
        <w:t>The electric field distribution of four layers oil and PB are shown in Figure 1</w:t>
      </w:r>
      <w:r w:rsidR="003B1B40" w:rsidRPr="00590A21">
        <w:rPr>
          <w:lang w:val="en-GB"/>
        </w:rPr>
        <w:t>2</w:t>
      </w:r>
      <w:r w:rsidRPr="00590A21">
        <w:rPr>
          <w:lang w:val="en-GB"/>
        </w:rPr>
        <w:t xml:space="preserve">. The electric field of the PB increases from the anode to the cathode while the electric field of the oil decreases from the anode to the cathode. </w:t>
      </w:r>
    </w:p>
    <w:tbl>
      <w:tblPr>
        <w:tblW w:w="0" w:type="auto"/>
        <w:tblLook w:val="04A0" w:firstRow="1" w:lastRow="0" w:firstColumn="1" w:lastColumn="0" w:noHBand="0" w:noVBand="1"/>
      </w:tblPr>
      <w:tblGrid>
        <w:gridCol w:w="5040"/>
      </w:tblGrid>
      <w:tr w:rsidR="008764C2" w:rsidRPr="00590A21" w14:paraId="751C3305" w14:textId="77777777" w:rsidTr="00C025DA">
        <w:tc>
          <w:tcPr>
            <w:tcW w:w="5040" w:type="dxa"/>
            <w:shd w:val="clear" w:color="auto" w:fill="auto"/>
          </w:tcPr>
          <w:p w14:paraId="3E44EBF0" w14:textId="77777777" w:rsidR="008764C2" w:rsidRPr="00590A21" w:rsidRDefault="008764C2" w:rsidP="00C025DA">
            <w:pPr>
              <w:jc w:val="center"/>
              <w:rPr>
                <w:b/>
                <w:sz w:val="16"/>
                <w:szCs w:val="16"/>
                <w:lang w:val="en-GB"/>
              </w:rPr>
            </w:pPr>
            <w:r w:rsidRPr="00590A21">
              <w:rPr>
                <w:noProof/>
                <w:lang w:val="en-GB" w:eastAsia="zh-CN"/>
              </w:rPr>
              <w:drawing>
                <wp:inline distT="0" distB="0" distL="0" distR="0" wp14:anchorId="6F50ED7F" wp14:editId="42935668">
                  <wp:extent cx="2899011" cy="13119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93158" cy="1399827"/>
                          </a:xfrm>
                          <a:prstGeom prst="rect">
                            <a:avLst/>
                          </a:prstGeom>
                        </pic:spPr>
                      </pic:pic>
                    </a:graphicData>
                  </a:graphic>
                </wp:inline>
              </w:drawing>
            </w:r>
          </w:p>
        </w:tc>
      </w:tr>
      <w:tr w:rsidR="008764C2" w:rsidRPr="00590A21" w14:paraId="4BA4F925" w14:textId="77777777" w:rsidTr="00C025DA">
        <w:tc>
          <w:tcPr>
            <w:tcW w:w="5040" w:type="dxa"/>
            <w:shd w:val="clear" w:color="auto" w:fill="auto"/>
          </w:tcPr>
          <w:p w14:paraId="55DE490A" w14:textId="57EFD439" w:rsidR="008764C2" w:rsidRPr="00590A21" w:rsidRDefault="008764C2" w:rsidP="004C1600">
            <w:pPr>
              <w:jc w:val="both"/>
              <w:rPr>
                <w:lang w:val="en-GB"/>
              </w:rPr>
            </w:pPr>
            <w:r w:rsidRPr="00590A21">
              <w:rPr>
                <w:rFonts w:ascii="Arial" w:hAnsi="Arial" w:cs="Arial"/>
                <w:b/>
                <w:sz w:val="16"/>
                <w:szCs w:val="16"/>
                <w:lang w:val="en-GB"/>
              </w:rPr>
              <w:t xml:space="preserve">Figure </w:t>
            </w:r>
            <w:r w:rsidR="001013EE" w:rsidRPr="00590A21">
              <w:rPr>
                <w:rFonts w:ascii="Arial" w:hAnsi="Arial" w:cs="Arial"/>
                <w:b/>
                <w:sz w:val="16"/>
                <w:szCs w:val="16"/>
                <w:lang w:val="en-GB"/>
              </w:rPr>
              <w:t>12</w:t>
            </w:r>
            <w:r w:rsidR="00013037">
              <w:rPr>
                <w:rFonts w:ascii="Arial" w:hAnsi="Arial" w:cs="Arial"/>
                <w:b/>
                <w:sz w:val="16"/>
                <w:szCs w:val="16"/>
                <w:lang w:val="en-GB"/>
              </w:rPr>
              <w:t>.</w:t>
            </w:r>
            <w:r w:rsidRPr="00590A21">
              <w:rPr>
                <w:b/>
                <w:sz w:val="16"/>
                <w:szCs w:val="16"/>
                <w:lang w:val="en-GB"/>
              </w:rPr>
              <w:t xml:space="preserve"> </w:t>
            </w:r>
            <w:r w:rsidRPr="00590A21">
              <w:rPr>
                <w:sz w:val="16"/>
                <w:szCs w:val="16"/>
                <w:lang w:val="en-GB"/>
              </w:rPr>
              <w:t>The electric field simulation of multilayers oil and pressboard caused by the space charge density</w:t>
            </w:r>
            <w:r w:rsidR="00013037">
              <w:rPr>
                <w:sz w:val="16"/>
                <w:szCs w:val="16"/>
                <w:lang w:val="en-GB"/>
              </w:rPr>
              <w:t>.</w:t>
            </w:r>
            <w:r w:rsidRPr="00590A21">
              <w:rPr>
                <w:b/>
                <w:sz w:val="16"/>
                <w:szCs w:val="16"/>
                <w:lang w:val="en-GB"/>
              </w:rPr>
              <w:t xml:space="preserve"> </w:t>
            </w:r>
          </w:p>
        </w:tc>
      </w:tr>
    </w:tbl>
    <w:p w14:paraId="25B8CFF5" w14:textId="6B7DE7F2" w:rsidR="008764C2" w:rsidRPr="00590A21" w:rsidRDefault="008764C2" w:rsidP="00207C46">
      <w:pPr>
        <w:ind w:firstLine="142"/>
        <w:jc w:val="both"/>
        <w:rPr>
          <w:lang w:val="en-GB"/>
        </w:rPr>
      </w:pPr>
      <w:r w:rsidRPr="00590A21">
        <w:rPr>
          <w:lang w:val="en-GB"/>
        </w:rPr>
        <w:t xml:space="preserve">Based on the above discussion, the following electric field simulation is based on the section number 1, 2 and 3 shown in Figure </w:t>
      </w:r>
      <w:r w:rsidR="003B1B40" w:rsidRPr="00590A21">
        <w:rPr>
          <w:lang w:val="en-GB"/>
        </w:rPr>
        <w:t>7</w:t>
      </w:r>
      <w:r w:rsidRPr="00590A21">
        <w:rPr>
          <w:lang w:val="en-GB"/>
        </w:rPr>
        <w:t xml:space="preserve">a and 1’, 2’, 3’ and 4’ shown in Figure </w:t>
      </w:r>
      <w:r w:rsidR="003B1B40" w:rsidRPr="00590A21">
        <w:rPr>
          <w:lang w:val="en-GB"/>
        </w:rPr>
        <w:t>7</w:t>
      </w:r>
      <w:r w:rsidRPr="00590A21">
        <w:rPr>
          <w:lang w:val="en-GB"/>
        </w:rPr>
        <w:t xml:space="preserve">b. This is due to the increased thickness of the oil gap, which leads to the higher interfacial charge density and higher electric field </w:t>
      </w:r>
      <w:r w:rsidRPr="00590A21">
        <w:rPr>
          <w:lang w:val="en-GB"/>
        </w:rPr>
        <w:lastRenderedPageBreak/>
        <w:t xml:space="preserve">enhancement of the oil after the PR operation. It could be verified by the following electric field simulation. </w:t>
      </w:r>
    </w:p>
    <w:bookmarkEnd w:id="39"/>
    <w:bookmarkEnd w:id="40"/>
    <w:p w14:paraId="3E0EA426" w14:textId="03535711" w:rsidR="008764C2" w:rsidRPr="00590A21" w:rsidRDefault="008764C2" w:rsidP="004A2DDE">
      <w:pPr>
        <w:pStyle w:val="Heading1"/>
        <w:numPr>
          <w:ilvl w:val="0"/>
          <w:numId w:val="3"/>
        </w:numPr>
        <w:ind w:left="357" w:hanging="357"/>
        <w:rPr>
          <w:rFonts w:ascii="Arial" w:hAnsi="Arial" w:cs="Arial"/>
          <w:b/>
          <w:caps/>
          <w:sz w:val="24"/>
          <w:lang w:val="en-GB"/>
        </w:rPr>
      </w:pPr>
      <w:r w:rsidRPr="00590A21">
        <w:rPr>
          <w:rFonts w:ascii="Arial" w:hAnsi="Arial" w:cs="Arial"/>
          <w:b/>
          <w:caps/>
          <w:sz w:val="24"/>
          <w:lang w:val="en-GB"/>
        </w:rPr>
        <w:t>Further analysis of the electric field for four and six layers oil and pb</w:t>
      </w:r>
    </w:p>
    <w:p w14:paraId="52BC1DD8" w14:textId="12430EF1" w:rsidR="008764C2" w:rsidRPr="00590A21" w:rsidRDefault="008764C2" w:rsidP="00207C46">
      <w:pPr>
        <w:ind w:firstLine="142"/>
        <w:jc w:val="both"/>
        <w:rPr>
          <w:lang w:val="en-GB"/>
        </w:rPr>
      </w:pPr>
      <w:bookmarkStart w:id="42" w:name="OLE_LINK74"/>
      <w:bookmarkStart w:id="43" w:name="OLE_LINK206"/>
      <w:r w:rsidRPr="00590A21">
        <w:rPr>
          <w:lang w:val="en-GB"/>
        </w:rPr>
        <w:t xml:space="preserve">After the space charge interpolation into the four and six layers model, the electric field based on the space charge can be simulated with the emphasis on the electric field after the PR operation. Moreover, four and six layers electric field based on space charge is compared to the electric field based on the Maxwell-Wagner theory. </w:t>
      </w:r>
    </w:p>
    <w:p w14:paraId="15D1D1B8" w14:textId="3960CE42" w:rsidR="008764C2" w:rsidRPr="00590A21" w:rsidRDefault="008764C2" w:rsidP="00207C46">
      <w:pPr>
        <w:ind w:firstLine="142"/>
        <w:jc w:val="both"/>
        <w:rPr>
          <w:lang w:val="en-GB"/>
        </w:rPr>
      </w:pPr>
      <w:r w:rsidRPr="00590A21">
        <w:rPr>
          <w:lang w:val="en-GB"/>
        </w:rPr>
        <w:t>Figure 1</w:t>
      </w:r>
      <w:r w:rsidR="003B1B40" w:rsidRPr="00590A21">
        <w:rPr>
          <w:lang w:val="en-GB"/>
        </w:rPr>
        <w:t>3</w:t>
      </w:r>
      <w:r w:rsidRPr="00590A21">
        <w:rPr>
          <w:lang w:val="en-GB"/>
        </w:rPr>
        <w:t>a and Figure 1</w:t>
      </w:r>
      <w:r w:rsidR="003B1B40" w:rsidRPr="00590A21">
        <w:rPr>
          <w:lang w:val="en-GB"/>
        </w:rPr>
        <w:t>3</w:t>
      </w:r>
      <w:r w:rsidRPr="00590A21">
        <w:rPr>
          <w:lang w:val="en-GB"/>
        </w:rPr>
        <w:t>b shows four and six layers of steady state electric field based on the Maxwell-Wagner theory. The electric field of the PB is higher compared to that of the oil due to the higher resistivity of PB. Moreover, comparing Figure 1</w:t>
      </w:r>
      <w:r w:rsidR="003B1B40" w:rsidRPr="00590A21">
        <w:rPr>
          <w:lang w:val="en-GB"/>
        </w:rPr>
        <w:t>3</w:t>
      </w:r>
      <w:r w:rsidRPr="00590A21">
        <w:rPr>
          <w:lang w:val="en-GB"/>
        </w:rPr>
        <w:t>a to Figure 1</w:t>
      </w:r>
      <w:r w:rsidR="003B1B40" w:rsidRPr="00590A21">
        <w:rPr>
          <w:lang w:val="en-GB"/>
        </w:rPr>
        <w:t>3</w:t>
      </w:r>
      <w:r w:rsidRPr="00590A21">
        <w:rPr>
          <w:lang w:val="en-GB"/>
        </w:rPr>
        <w:t xml:space="preserve">b, it indicates that the increased layers can decrease the electric field of the PB from 26.5 kV/mm to 25.9 kV/mm in PB and from 9.1 kV/mm to 8.9 kV/mm in the oil. </w:t>
      </w:r>
    </w:p>
    <w:p w14:paraId="2D67490D" w14:textId="690BAC70" w:rsidR="008764C2" w:rsidRPr="00590A21" w:rsidRDefault="008764C2" w:rsidP="00207C46">
      <w:pPr>
        <w:ind w:firstLine="142"/>
        <w:jc w:val="both"/>
        <w:rPr>
          <w:lang w:val="en-GB"/>
        </w:rPr>
      </w:pPr>
      <w:r w:rsidRPr="00590A21">
        <w:rPr>
          <w:lang w:val="en-GB"/>
        </w:rPr>
        <w:t xml:space="preserve">In order to explain this phenomenon, the steady state electric field of oil and PB could be calculated using the following </w:t>
      </w:r>
      <w:r w:rsidR="00013037">
        <w:rPr>
          <w:lang w:val="en-GB"/>
        </w:rPr>
        <w:t>E</w:t>
      </w:r>
      <w:r w:rsidRPr="00590A21">
        <w:rPr>
          <w:lang w:val="en-GB"/>
        </w:rPr>
        <w:t>quation (</w:t>
      </w:r>
      <w:r w:rsidR="00AB4107" w:rsidRPr="00590A21">
        <w:rPr>
          <w:lang w:val="en-GB"/>
        </w:rPr>
        <w:t>9</w:t>
      </w:r>
      <w:r w:rsidRPr="00590A21">
        <w:rPr>
          <w:lang w:val="en-GB"/>
        </w:rPr>
        <w:t>) and (</w:t>
      </w:r>
      <w:r w:rsidR="00AB4107" w:rsidRPr="00590A21">
        <w:rPr>
          <w:lang w:val="en-GB"/>
        </w:rPr>
        <w:t>10</w:t>
      </w:r>
      <w:r w:rsidRPr="00590A21">
        <w:rPr>
          <w:lang w:val="en-GB"/>
        </w:rPr>
        <w:t>), where M represents the finite layer (M</w:t>
      </w:r>
      <m:oMath>
        <m:r>
          <m:rPr>
            <m:sty m:val="p"/>
          </m:rPr>
          <w:rPr>
            <w:rFonts w:ascii="Cambria Math" w:hAnsi="Cambria Math"/>
            <w:lang w:val="en-GB"/>
          </w:rPr>
          <m:t>≥4</m:t>
        </m:r>
      </m:oMath>
      <w:r w:rsidRPr="00590A21">
        <w:rPr>
          <w:lang w:val="en-GB"/>
        </w:rPr>
        <w:t xml:space="preserve">). </w:t>
      </w:r>
    </w:p>
    <w:tbl>
      <w:tblPr>
        <w:tblW w:w="0" w:type="auto"/>
        <w:tblLook w:val="04A0" w:firstRow="1" w:lastRow="0" w:firstColumn="1" w:lastColumn="0" w:noHBand="0" w:noVBand="1"/>
      </w:tblPr>
      <w:tblGrid>
        <w:gridCol w:w="686"/>
        <w:gridCol w:w="3445"/>
        <w:gridCol w:w="909"/>
      </w:tblGrid>
      <w:tr w:rsidR="008764C2" w:rsidRPr="00590A21" w14:paraId="7CB20B98" w14:textId="77777777" w:rsidTr="00C025DA">
        <w:tc>
          <w:tcPr>
            <w:tcW w:w="1676" w:type="dxa"/>
            <w:shd w:val="clear" w:color="auto" w:fill="auto"/>
          </w:tcPr>
          <w:p w14:paraId="6E6A3CF4" w14:textId="77777777" w:rsidR="008764C2" w:rsidRPr="00590A21" w:rsidRDefault="008764C2" w:rsidP="00C025DA">
            <w:pPr>
              <w:rPr>
                <w:lang w:val="en-GB"/>
              </w:rPr>
            </w:pPr>
          </w:p>
        </w:tc>
        <w:tc>
          <w:tcPr>
            <w:tcW w:w="1677" w:type="dxa"/>
            <w:shd w:val="clear" w:color="auto" w:fill="auto"/>
          </w:tcPr>
          <w:p w14:paraId="7CB1568C" w14:textId="330E940B" w:rsidR="008764C2" w:rsidRPr="00FB3D31" w:rsidRDefault="008C0681" w:rsidP="00C025DA">
            <w:pPr>
              <w:ind w:firstLineChars="100" w:firstLine="180"/>
              <w:rPr>
                <w:sz w:val="18"/>
                <w:szCs w:val="18"/>
                <w:lang w:val="en-GB"/>
              </w:rPr>
            </w:pPr>
            <m:oMathPara>
              <m:oMath>
                <m:d>
                  <m:dPr>
                    <m:begChr m:val="{"/>
                    <m:endChr m:val=""/>
                    <m:ctrlPr>
                      <w:rPr>
                        <w:rFonts w:ascii="Cambria Math" w:hAnsi="Cambria Math"/>
                        <w:i/>
                        <w:sz w:val="18"/>
                        <w:szCs w:val="18"/>
                        <w:lang w:val="en-GB"/>
                      </w:rPr>
                    </m:ctrlPr>
                  </m:dPr>
                  <m:e>
                    <m:eqArr>
                      <m:eqArrPr>
                        <m:ctrlPr>
                          <w:rPr>
                            <w:rFonts w:ascii="Cambria Math" w:hAnsi="Cambria Math"/>
                            <w:i/>
                            <w:sz w:val="18"/>
                            <w:szCs w:val="18"/>
                            <w:lang w:val="en-GB"/>
                          </w:rPr>
                        </m:ctrlPr>
                      </m:eqArrPr>
                      <m:e>
                        <m:sSub>
                          <m:sSubPr>
                            <m:ctrlPr>
                              <w:rPr>
                                <w:rFonts w:ascii="Cambria Math" w:hAnsi="Cambria Math"/>
                                <w:i/>
                                <w:sz w:val="18"/>
                                <w:szCs w:val="18"/>
                              </w:rPr>
                            </m:ctrlPr>
                          </m:sSubPr>
                          <m:e>
                            <m:r>
                              <w:rPr>
                                <w:rFonts w:ascii="Cambria Math" w:hAnsi="Cambria Math"/>
                                <w:sz w:val="18"/>
                                <w:szCs w:val="18"/>
                              </w:rPr>
                              <m:t>γ</m:t>
                            </m:r>
                          </m:e>
                          <m:sub>
                            <m:r>
                              <m:rPr>
                                <m:sty m:val="p"/>
                              </m:rPr>
                              <w:rPr>
                                <w:rFonts w:ascii="Cambria Math" w:hAnsi="Cambria Math"/>
                                <w:sz w:val="18"/>
                                <w:szCs w:val="18"/>
                              </w:rPr>
                              <m:t>1</m:t>
                            </m:r>
                          </m:sub>
                        </m:sSub>
                        <m:sSub>
                          <m:sSubPr>
                            <m:ctrlPr>
                              <w:rPr>
                                <w:rFonts w:ascii="Cambria Math" w:hAnsi="Cambria Math"/>
                                <w:i/>
                                <w:sz w:val="18"/>
                                <w:szCs w:val="18"/>
                                <w:lang w:val="en-GB"/>
                              </w:rPr>
                            </m:ctrlPr>
                          </m:sSubPr>
                          <m:e>
                            <m:r>
                              <w:rPr>
                                <w:rFonts w:ascii="Cambria Math" w:hAnsi="Cambria Math"/>
                                <w:sz w:val="18"/>
                                <w:szCs w:val="18"/>
                                <w:lang w:val="en-GB"/>
                              </w:rPr>
                              <m:t>E</m:t>
                            </m:r>
                          </m:e>
                          <m:sub>
                            <m:r>
                              <w:rPr>
                                <w:rFonts w:ascii="Cambria Math" w:hAnsi="Cambria Math"/>
                                <w:sz w:val="18"/>
                                <w:szCs w:val="18"/>
                                <w:lang w:val="en-GB"/>
                              </w:rPr>
                              <m:t>1</m:t>
                            </m:r>
                          </m:sub>
                        </m:sSub>
                        <m:r>
                          <w:rPr>
                            <w:rFonts w:ascii="Cambria Math" w:hAnsi="Cambria Math"/>
                            <w:sz w:val="18"/>
                            <w:szCs w:val="18"/>
                            <w:lang w:val="en-GB"/>
                          </w:rPr>
                          <m:t>=</m:t>
                        </m:r>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2</m:t>
                            </m:r>
                          </m:sub>
                        </m:sSub>
                        <m:sSub>
                          <m:sSubPr>
                            <m:ctrlPr>
                              <w:rPr>
                                <w:rFonts w:ascii="Cambria Math" w:hAnsi="Cambria Math"/>
                                <w:i/>
                                <w:sz w:val="18"/>
                                <w:szCs w:val="18"/>
                                <w:lang w:val="en-GB"/>
                              </w:rPr>
                            </m:ctrlPr>
                          </m:sSubPr>
                          <m:e>
                            <m:r>
                              <w:rPr>
                                <w:rFonts w:ascii="Cambria Math" w:hAnsi="Cambria Math"/>
                                <w:sz w:val="18"/>
                                <w:szCs w:val="18"/>
                                <w:lang w:val="en-GB"/>
                              </w:rPr>
                              <m:t>E</m:t>
                            </m:r>
                          </m:e>
                          <m:sub>
                            <m:r>
                              <w:rPr>
                                <w:rFonts w:ascii="Cambria Math" w:hAnsi="Cambria Math"/>
                                <w:sz w:val="18"/>
                                <w:szCs w:val="18"/>
                                <w:lang w:val="en-GB"/>
                              </w:rPr>
                              <m:t>2</m:t>
                            </m:r>
                          </m:sub>
                        </m:sSub>
                        <m:r>
                          <w:rPr>
                            <w:rFonts w:ascii="Cambria Math" w:hAnsi="Cambria Math"/>
                            <w:sz w:val="18"/>
                            <w:szCs w:val="18"/>
                            <w:lang w:val="en-GB"/>
                          </w:rPr>
                          <m:t>=</m:t>
                        </m:r>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3</m:t>
                            </m:r>
                          </m:sub>
                        </m:sSub>
                        <m:sSub>
                          <m:sSubPr>
                            <m:ctrlPr>
                              <w:rPr>
                                <w:rFonts w:ascii="Cambria Math" w:hAnsi="Cambria Math"/>
                                <w:i/>
                                <w:sz w:val="18"/>
                                <w:szCs w:val="18"/>
                                <w:lang w:val="en-GB"/>
                              </w:rPr>
                            </m:ctrlPr>
                          </m:sSubPr>
                          <m:e>
                            <m:r>
                              <w:rPr>
                                <w:rFonts w:ascii="Cambria Math" w:hAnsi="Cambria Math"/>
                                <w:sz w:val="18"/>
                                <w:szCs w:val="18"/>
                                <w:lang w:val="en-GB"/>
                              </w:rPr>
                              <m:t>E</m:t>
                            </m:r>
                          </m:e>
                          <m:sub>
                            <m:r>
                              <w:rPr>
                                <w:rFonts w:ascii="Cambria Math" w:hAnsi="Cambria Math"/>
                                <w:sz w:val="18"/>
                                <w:szCs w:val="18"/>
                                <w:lang w:val="en-GB"/>
                              </w:rPr>
                              <m:t>3</m:t>
                            </m:r>
                          </m:sub>
                        </m:sSub>
                        <m:r>
                          <w:rPr>
                            <w:rFonts w:ascii="Cambria Math" w:hAnsi="Cambria Math"/>
                            <w:sz w:val="18"/>
                            <w:szCs w:val="18"/>
                            <w:lang w:val="en-GB"/>
                          </w:rPr>
                          <m:t>=</m:t>
                        </m:r>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4</m:t>
                            </m:r>
                          </m:sub>
                        </m:sSub>
                        <m:sSub>
                          <m:sSubPr>
                            <m:ctrlPr>
                              <w:rPr>
                                <w:rFonts w:ascii="Cambria Math" w:hAnsi="Cambria Math"/>
                                <w:i/>
                                <w:sz w:val="18"/>
                                <w:szCs w:val="18"/>
                                <w:lang w:val="en-GB"/>
                              </w:rPr>
                            </m:ctrlPr>
                          </m:sSubPr>
                          <m:e>
                            <m:r>
                              <w:rPr>
                                <w:rFonts w:ascii="Cambria Math" w:hAnsi="Cambria Math"/>
                                <w:sz w:val="18"/>
                                <w:szCs w:val="18"/>
                                <w:lang w:val="en-GB"/>
                              </w:rPr>
                              <m:t>E</m:t>
                            </m:r>
                          </m:e>
                          <m:sub>
                            <m:r>
                              <w:rPr>
                                <w:rFonts w:ascii="Cambria Math" w:hAnsi="Cambria Math"/>
                                <w:sz w:val="18"/>
                                <w:szCs w:val="18"/>
                                <w:lang w:val="en-GB"/>
                              </w:rPr>
                              <m:t>4</m:t>
                            </m:r>
                          </m:sub>
                        </m:sSub>
                        <m:r>
                          <w:rPr>
                            <w:rFonts w:ascii="Cambria Math" w:hAnsi="Cambria Math"/>
                            <w:sz w:val="18"/>
                            <w:szCs w:val="18"/>
                            <w:lang w:val="en-GB"/>
                          </w:rPr>
                          <m:t>=</m:t>
                        </m:r>
                        <m:sSub>
                          <m:sSubPr>
                            <m:ctrlPr>
                              <w:rPr>
                                <w:rFonts w:ascii="Cambria Math" w:hAnsi="Cambria Math"/>
                                <w:i/>
                                <w:sz w:val="18"/>
                                <w:szCs w:val="18"/>
                                <w:lang w:val="en-GB"/>
                              </w:rPr>
                            </m:ctrlPr>
                          </m:sSubPr>
                          <m:e>
                            <m:r>
                              <w:rPr>
                                <w:rFonts w:ascii="Cambria Math" w:hAnsi="Cambria Math"/>
                                <w:sz w:val="18"/>
                                <w:szCs w:val="18"/>
                                <w:lang w:val="en-GB"/>
                              </w:rPr>
                              <m:t>σ</m:t>
                            </m:r>
                          </m:e>
                          <m:sub>
                            <m:r>
                              <w:rPr>
                                <w:rFonts w:ascii="Cambria Math" w:hAnsi="Cambria Math"/>
                                <w:sz w:val="18"/>
                                <w:szCs w:val="18"/>
                                <w:lang w:val="en-GB"/>
                              </w:rPr>
                              <m:t>M</m:t>
                            </m:r>
                          </m:sub>
                        </m:sSub>
                        <m:sSub>
                          <m:sSubPr>
                            <m:ctrlPr>
                              <w:rPr>
                                <w:rFonts w:ascii="Cambria Math" w:hAnsi="Cambria Math"/>
                                <w:i/>
                                <w:sz w:val="18"/>
                                <w:szCs w:val="18"/>
                                <w:lang w:val="en-GB"/>
                              </w:rPr>
                            </m:ctrlPr>
                          </m:sSubPr>
                          <m:e>
                            <m:r>
                              <w:rPr>
                                <w:rFonts w:ascii="Cambria Math" w:hAnsi="Cambria Math"/>
                                <w:sz w:val="18"/>
                                <w:szCs w:val="18"/>
                                <w:lang w:val="en-GB"/>
                              </w:rPr>
                              <m:t>E</m:t>
                            </m:r>
                          </m:e>
                          <m:sub>
                            <m:r>
                              <w:rPr>
                                <w:rFonts w:ascii="Cambria Math" w:hAnsi="Cambria Math"/>
                                <w:sz w:val="18"/>
                                <w:szCs w:val="18"/>
                                <w:lang w:val="en-GB"/>
                              </w:rPr>
                              <m:t>M</m:t>
                            </m:r>
                          </m:sub>
                        </m:sSub>
                      </m:e>
                      <m:e>
                        <m:sSub>
                          <m:sSubPr>
                            <m:ctrlPr>
                              <w:rPr>
                                <w:rFonts w:ascii="Cambria Math" w:hAnsi="Cambria Math"/>
                                <w:i/>
                                <w:sz w:val="18"/>
                                <w:szCs w:val="18"/>
                                <w:lang w:val="en-GB"/>
                              </w:rPr>
                            </m:ctrlPr>
                          </m:sSubPr>
                          <m:e>
                            <m:r>
                              <w:rPr>
                                <w:rFonts w:ascii="Cambria Math" w:hAnsi="Cambria Math"/>
                                <w:sz w:val="18"/>
                                <w:szCs w:val="18"/>
                                <w:lang w:val="en-GB"/>
                              </w:rPr>
                              <m:t>E</m:t>
                            </m:r>
                          </m:e>
                          <m:sub>
                            <m:r>
                              <w:rPr>
                                <w:rFonts w:ascii="Cambria Math" w:hAnsi="Cambria Math"/>
                                <w:sz w:val="18"/>
                                <w:szCs w:val="18"/>
                                <w:lang w:val="en-GB"/>
                              </w:rPr>
                              <m:t>1</m:t>
                            </m:r>
                          </m:sub>
                        </m:sSub>
                        <m:sSub>
                          <m:sSubPr>
                            <m:ctrlPr>
                              <w:rPr>
                                <w:rFonts w:ascii="Cambria Math" w:hAnsi="Cambria Math"/>
                                <w:i/>
                                <w:sz w:val="18"/>
                                <w:szCs w:val="18"/>
                                <w:lang w:val="en-GB"/>
                              </w:rPr>
                            </m:ctrlPr>
                          </m:sSubPr>
                          <m:e>
                            <m:r>
                              <w:rPr>
                                <w:rFonts w:ascii="Cambria Math" w:hAnsi="Cambria Math"/>
                                <w:sz w:val="18"/>
                                <w:szCs w:val="18"/>
                                <w:lang w:val="en-GB"/>
                              </w:rPr>
                              <m:t>d</m:t>
                            </m:r>
                          </m:e>
                          <m:sub>
                            <m:r>
                              <w:rPr>
                                <w:rFonts w:ascii="Cambria Math" w:hAnsi="Cambria Math"/>
                                <w:sz w:val="18"/>
                                <w:szCs w:val="18"/>
                                <w:lang w:val="en-GB"/>
                              </w:rPr>
                              <m:t>1</m:t>
                            </m:r>
                          </m:sub>
                        </m:sSub>
                        <m:r>
                          <w:rPr>
                            <w:rFonts w:ascii="Cambria Math" w:hAnsi="Cambria Math"/>
                            <w:sz w:val="18"/>
                            <w:szCs w:val="18"/>
                            <w:lang w:val="en-GB"/>
                          </w:rPr>
                          <m:t>+</m:t>
                        </m:r>
                        <m:sSub>
                          <m:sSubPr>
                            <m:ctrlPr>
                              <w:rPr>
                                <w:rFonts w:ascii="Cambria Math" w:hAnsi="Cambria Math"/>
                                <w:i/>
                                <w:sz w:val="18"/>
                                <w:szCs w:val="18"/>
                                <w:lang w:val="en-GB"/>
                              </w:rPr>
                            </m:ctrlPr>
                          </m:sSubPr>
                          <m:e>
                            <m:r>
                              <w:rPr>
                                <w:rFonts w:ascii="Cambria Math" w:hAnsi="Cambria Math"/>
                                <w:sz w:val="18"/>
                                <w:szCs w:val="18"/>
                                <w:lang w:val="en-GB"/>
                              </w:rPr>
                              <m:t>E</m:t>
                            </m:r>
                          </m:e>
                          <m:sub>
                            <m:r>
                              <w:rPr>
                                <w:rFonts w:ascii="Cambria Math" w:hAnsi="Cambria Math"/>
                                <w:sz w:val="18"/>
                                <w:szCs w:val="18"/>
                                <w:lang w:val="en-GB"/>
                              </w:rPr>
                              <m:t>2</m:t>
                            </m:r>
                          </m:sub>
                        </m:sSub>
                        <m:sSub>
                          <m:sSubPr>
                            <m:ctrlPr>
                              <w:rPr>
                                <w:rFonts w:ascii="Cambria Math" w:hAnsi="Cambria Math"/>
                                <w:i/>
                                <w:sz w:val="18"/>
                                <w:szCs w:val="18"/>
                                <w:lang w:val="en-GB"/>
                              </w:rPr>
                            </m:ctrlPr>
                          </m:sSubPr>
                          <m:e>
                            <m:r>
                              <w:rPr>
                                <w:rFonts w:ascii="Cambria Math" w:hAnsi="Cambria Math"/>
                                <w:sz w:val="18"/>
                                <w:szCs w:val="18"/>
                                <w:lang w:val="en-GB"/>
                              </w:rPr>
                              <m:t>d</m:t>
                            </m:r>
                          </m:e>
                          <m:sub>
                            <m:r>
                              <w:rPr>
                                <w:rFonts w:ascii="Cambria Math" w:hAnsi="Cambria Math"/>
                                <w:sz w:val="18"/>
                                <w:szCs w:val="18"/>
                                <w:lang w:val="en-GB"/>
                              </w:rPr>
                              <m:t>2</m:t>
                            </m:r>
                          </m:sub>
                        </m:sSub>
                        <m:r>
                          <w:rPr>
                            <w:rFonts w:ascii="Cambria Math" w:hAnsi="Cambria Math"/>
                            <w:sz w:val="18"/>
                            <w:szCs w:val="18"/>
                            <w:lang w:val="en-GB"/>
                          </w:rPr>
                          <m:t>+</m:t>
                        </m:r>
                        <m:sSub>
                          <m:sSubPr>
                            <m:ctrlPr>
                              <w:rPr>
                                <w:rFonts w:ascii="Cambria Math" w:hAnsi="Cambria Math"/>
                                <w:i/>
                                <w:sz w:val="18"/>
                                <w:szCs w:val="18"/>
                                <w:lang w:val="en-GB"/>
                              </w:rPr>
                            </m:ctrlPr>
                          </m:sSubPr>
                          <m:e>
                            <m:r>
                              <w:rPr>
                                <w:rFonts w:ascii="Cambria Math" w:hAnsi="Cambria Math"/>
                                <w:sz w:val="18"/>
                                <w:szCs w:val="18"/>
                                <w:lang w:val="en-GB"/>
                              </w:rPr>
                              <m:t>E</m:t>
                            </m:r>
                          </m:e>
                          <m:sub>
                            <m:r>
                              <w:rPr>
                                <w:rFonts w:ascii="Cambria Math" w:hAnsi="Cambria Math"/>
                                <w:sz w:val="18"/>
                                <w:szCs w:val="18"/>
                                <w:lang w:val="en-GB"/>
                              </w:rPr>
                              <m:t>3</m:t>
                            </m:r>
                          </m:sub>
                        </m:sSub>
                        <m:sSub>
                          <m:sSubPr>
                            <m:ctrlPr>
                              <w:rPr>
                                <w:rFonts w:ascii="Cambria Math" w:hAnsi="Cambria Math"/>
                                <w:i/>
                                <w:sz w:val="18"/>
                                <w:szCs w:val="18"/>
                                <w:lang w:val="en-GB"/>
                              </w:rPr>
                            </m:ctrlPr>
                          </m:sSubPr>
                          <m:e>
                            <m:r>
                              <w:rPr>
                                <w:rFonts w:ascii="Cambria Math" w:hAnsi="Cambria Math"/>
                                <w:sz w:val="18"/>
                                <w:szCs w:val="18"/>
                                <w:lang w:val="en-GB"/>
                              </w:rPr>
                              <m:t>d</m:t>
                            </m:r>
                          </m:e>
                          <m:sub>
                            <m:r>
                              <w:rPr>
                                <w:rFonts w:ascii="Cambria Math" w:hAnsi="Cambria Math"/>
                                <w:sz w:val="18"/>
                                <w:szCs w:val="18"/>
                                <w:lang w:val="en-GB"/>
                              </w:rPr>
                              <m:t>3</m:t>
                            </m:r>
                          </m:sub>
                        </m:sSub>
                        <m:r>
                          <w:rPr>
                            <w:rFonts w:ascii="Cambria Math" w:hAnsi="Cambria Math"/>
                            <w:sz w:val="18"/>
                            <w:szCs w:val="18"/>
                            <w:lang w:val="en-GB"/>
                          </w:rPr>
                          <m:t>+</m:t>
                        </m:r>
                        <m:sSub>
                          <m:sSubPr>
                            <m:ctrlPr>
                              <w:rPr>
                                <w:rFonts w:ascii="Cambria Math" w:hAnsi="Cambria Math"/>
                                <w:i/>
                                <w:sz w:val="18"/>
                                <w:szCs w:val="18"/>
                                <w:lang w:val="en-GB"/>
                              </w:rPr>
                            </m:ctrlPr>
                          </m:sSubPr>
                          <m:e>
                            <m:r>
                              <w:rPr>
                                <w:rFonts w:ascii="Cambria Math" w:hAnsi="Cambria Math"/>
                                <w:sz w:val="18"/>
                                <w:szCs w:val="18"/>
                                <w:lang w:val="en-GB"/>
                              </w:rPr>
                              <m:t>E</m:t>
                            </m:r>
                          </m:e>
                          <m:sub>
                            <m:r>
                              <w:rPr>
                                <w:rFonts w:ascii="Cambria Math" w:hAnsi="Cambria Math"/>
                                <w:sz w:val="18"/>
                                <w:szCs w:val="18"/>
                                <w:lang w:val="en-GB"/>
                              </w:rPr>
                              <m:t>4</m:t>
                            </m:r>
                          </m:sub>
                        </m:sSub>
                        <m:sSub>
                          <m:sSubPr>
                            <m:ctrlPr>
                              <w:rPr>
                                <w:rFonts w:ascii="Cambria Math" w:hAnsi="Cambria Math"/>
                                <w:i/>
                                <w:sz w:val="18"/>
                                <w:szCs w:val="18"/>
                                <w:lang w:val="en-GB"/>
                              </w:rPr>
                            </m:ctrlPr>
                          </m:sSubPr>
                          <m:e>
                            <m:r>
                              <w:rPr>
                                <w:rFonts w:ascii="Cambria Math" w:hAnsi="Cambria Math"/>
                                <w:sz w:val="18"/>
                                <w:szCs w:val="18"/>
                                <w:lang w:val="en-GB"/>
                              </w:rPr>
                              <m:t>d</m:t>
                            </m:r>
                          </m:e>
                          <m:sub>
                            <m:r>
                              <w:rPr>
                                <w:rFonts w:ascii="Cambria Math" w:hAnsi="Cambria Math"/>
                                <w:sz w:val="18"/>
                                <w:szCs w:val="18"/>
                                <w:lang w:val="en-GB"/>
                              </w:rPr>
                              <m:t>4</m:t>
                            </m:r>
                          </m:sub>
                        </m:sSub>
                        <m:r>
                          <w:rPr>
                            <w:rFonts w:ascii="Cambria Math" w:hAnsi="Cambria Math"/>
                            <w:sz w:val="18"/>
                            <w:szCs w:val="18"/>
                            <w:lang w:val="en-GB"/>
                          </w:rPr>
                          <m:t>+</m:t>
                        </m:r>
                        <m:sSub>
                          <m:sSubPr>
                            <m:ctrlPr>
                              <w:rPr>
                                <w:rFonts w:ascii="Cambria Math" w:hAnsi="Cambria Math"/>
                                <w:i/>
                                <w:sz w:val="18"/>
                                <w:szCs w:val="18"/>
                                <w:lang w:val="en-GB"/>
                              </w:rPr>
                            </m:ctrlPr>
                          </m:sSubPr>
                          <m:e>
                            <m:r>
                              <w:rPr>
                                <w:rFonts w:ascii="Cambria Math" w:hAnsi="Cambria Math"/>
                                <w:sz w:val="18"/>
                                <w:szCs w:val="18"/>
                                <w:lang w:val="en-GB"/>
                              </w:rPr>
                              <m:t>E</m:t>
                            </m:r>
                          </m:e>
                          <m:sub>
                            <m:r>
                              <w:rPr>
                                <w:rFonts w:ascii="Cambria Math" w:hAnsi="Cambria Math"/>
                                <w:sz w:val="18"/>
                                <w:szCs w:val="18"/>
                                <w:lang w:val="en-GB"/>
                              </w:rPr>
                              <m:t>M</m:t>
                            </m:r>
                          </m:sub>
                        </m:sSub>
                        <m:sSub>
                          <m:sSubPr>
                            <m:ctrlPr>
                              <w:rPr>
                                <w:rFonts w:ascii="Cambria Math" w:hAnsi="Cambria Math"/>
                                <w:i/>
                                <w:sz w:val="18"/>
                                <w:szCs w:val="18"/>
                                <w:lang w:val="en-GB"/>
                              </w:rPr>
                            </m:ctrlPr>
                          </m:sSubPr>
                          <m:e>
                            <m:r>
                              <w:rPr>
                                <w:rFonts w:ascii="Cambria Math" w:hAnsi="Cambria Math"/>
                                <w:sz w:val="18"/>
                                <w:szCs w:val="18"/>
                                <w:lang w:val="en-GB"/>
                              </w:rPr>
                              <m:t>d</m:t>
                            </m:r>
                          </m:e>
                          <m:sub>
                            <m:r>
                              <w:rPr>
                                <w:rFonts w:ascii="Cambria Math" w:hAnsi="Cambria Math"/>
                                <w:sz w:val="18"/>
                                <w:szCs w:val="18"/>
                                <w:lang w:val="en-GB"/>
                              </w:rPr>
                              <m:t>M</m:t>
                            </m:r>
                          </m:sub>
                        </m:sSub>
                        <m:r>
                          <w:rPr>
                            <w:rFonts w:ascii="Cambria Math" w:hAnsi="Cambria Math"/>
                            <w:sz w:val="18"/>
                            <w:szCs w:val="18"/>
                            <w:lang w:val="en-GB"/>
                          </w:rPr>
                          <m:t>=U</m:t>
                        </m:r>
                      </m:e>
                    </m:eqArr>
                  </m:e>
                </m:d>
              </m:oMath>
            </m:oMathPara>
          </w:p>
        </w:tc>
        <w:tc>
          <w:tcPr>
            <w:tcW w:w="1677" w:type="dxa"/>
            <w:shd w:val="clear" w:color="auto" w:fill="auto"/>
          </w:tcPr>
          <w:p w14:paraId="3A522714" w14:textId="35E0263C" w:rsidR="008764C2" w:rsidRPr="00590A21" w:rsidRDefault="008764C2" w:rsidP="00C025DA">
            <w:pPr>
              <w:jc w:val="right"/>
              <w:rPr>
                <w:lang w:val="en-GB"/>
              </w:rPr>
            </w:pPr>
            <w:r w:rsidRPr="00590A21">
              <w:rPr>
                <w:lang w:val="en-GB"/>
              </w:rPr>
              <w:t>(</w:t>
            </w:r>
            <w:r w:rsidR="006A0CC3" w:rsidRPr="00590A21">
              <w:rPr>
                <w:lang w:val="en-GB"/>
              </w:rPr>
              <w:t>9</w:t>
            </w:r>
            <w:r w:rsidRPr="00590A21">
              <w:rPr>
                <w:lang w:val="en-GB"/>
              </w:rPr>
              <w:t>)</w:t>
            </w:r>
          </w:p>
        </w:tc>
      </w:tr>
      <w:tr w:rsidR="008764C2" w:rsidRPr="00590A21" w14:paraId="19917A6D" w14:textId="77777777" w:rsidTr="00C025DA">
        <w:tc>
          <w:tcPr>
            <w:tcW w:w="1676" w:type="dxa"/>
            <w:shd w:val="clear" w:color="auto" w:fill="auto"/>
          </w:tcPr>
          <w:p w14:paraId="5573C48C" w14:textId="77777777" w:rsidR="008764C2" w:rsidRPr="00590A21" w:rsidRDefault="008764C2" w:rsidP="00C025DA">
            <w:pPr>
              <w:rPr>
                <w:lang w:val="en-GB"/>
              </w:rPr>
            </w:pPr>
          </w:p>
        </w:tc>
        <w:tc>
          <w:tcPr>
            <w:tcW w:w="1677" w:type="dxa"/>
            <w:shd w:val="clear" w:color="auto" w:fill="auto"/>
          </w:tcPr>
          <w:p w14:paraId="5548124A" w14:textId="1124856B" w:rsidR="008764C2" w:rsidRPr="00FB3D31" w:rsidRDefault="008C0681" w:rsidP="00C025DA">
            <w:pPr>
              <w:ind w:firstLineChars="100" w:firstLine="180"/>
              <w:rPr>
                <w:sz w:val="18"/>
                <w:szCs w:val="18"/>
                <w:lang w:val="en-GB"/>
              </w:rPr>
            </w:pPr>
            <m:oMathPara>
              <m:oMath>
                <m:sSub>
                  <m:sSubPr>
                    <m:ctrlPr>
                      <w:rPr>
                        <w:rFonts w:ascii="Cambria Math" w:hAnsi="Cambria Math"/>
                        <w:i/>
                        <w:sz w:val="18"/>
                        <w:szCs w:val="18"/>
                        <w:lang w:val="en-GB"/>
                      </w:rPr>
                    </m:ctrlPr>
                  </m:sSubPr>
                  <m:e>
                    <m:r>
                      <w:rPr>
                        <w:rFonts w:ascii="Cambria Math" w:hAnsi="Cambria Math"/>
                        <w:sz w:val="18"/>
                        <w:szCs w:val="18"/>
                        <w:lang w:val="en-GB"/>
                      </w:rPr>
                      <m:t>E</m:t>
                    </m:r>
                  </m:e>
                  <m:sub>
                    <m:r>
                      <w:rPr>
                        <w:rFonts w:ascii="Cambria Math" w:hAnsi="Cambria Math"/>
                        <w:sz w:val="18"/>
                        <w:szCs w:val="18"/>
                        <w:lang w:val="en-GB"/>
                      </w:rPr>
                      <m:t>M</m:t>
                    </m:r>
                  </m:sub>
                </m:sSub>
                <m:r>
                  <w:rPr>
                    <w:rFonts w:ascii="Cambria Math" w:hAnsi="Cambria Math"/>
                    <w:sz w:val="18"/>
                    <w:szCs w:val="18"/>
                    <w:lang w:val="en-GB"/>
                  </w:rPr>
                  <m:t>=</m:t>
                </m:r>
                <m:f>
                  <m:fPr>
                    <m:ctrlPr>
                      <w:rPr>
                        <w:rFonts w:ascii="Cambria Math" w:hAnsi="Cambria Math"/>
                        <w:i/>
                        <w:sz w:val="18"/>
                        <w:szCs w:val="18"/>
                        <w:lang w:val="en-GB"/>
                      </w:rPr>
                    </m:ctrlPr>
                  </m:fPr>
                  <m:num>
                    <m:r>
                      <w:rPr>
                        <w:rFonts w:ascii="Cambria Math" w:hAnsi="Cambria Math"/>
                        <w:sz w:val="18"/>
                        <w:szCs w:val="18"/>
                        <w:lang w:val="en-GB"/>
                      </w:rPr>
                      <m:t>U</m:t>
                    </m:r>
                  </m:num>
                  <m:den>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M</m:t>
                        </m:r>
                      </m:sub>
                    </m:sSub>
                    <m:r>
                      <w:rPr>
                        <w:rFonts w:ascii="Cambria Math" w:hAnsi="Cambria Math"/>
                        <w:sz w:val="18"/>
                        <w:szCs w:val="18"/>
                        <w:lang w:val="en-GB"/>
                      </w:rPr>
                      <m:t>(</m:t>
                    </m:r>
                    <m:f>
                      <m:fPr>
                        <m:ctrlPr>
                          <w:rPr>
                            <w:rFonts w:ascii="Cambria Math" w:hAnsi="Cambria Math"/>
                            <w:i/>
                            <w:sz w:val="18"/>
                            <w:szCs w:val="18"/>
                            <w:lang w:val="en-GB"/>
                          </w:rPr>
                        </m:ctrlPr>
                      </m:fPr>
                      <m:num>
                        <m:sSub>
                          <m:sSubPr>
                            <m:ctrlPr>
                              <w:rPr>
                                <w:rFonts w:ascii="Cambria Math" w:hAnsi="Cambria Math"/>
                                <w:i/>
                                <w:sz w:val="18"/>
                                <w:szCs w:val="18"/>
                                <w:lang w:val="en-GB"/>
                              </w:rPr>
                            </m:ctrlPr>
                          </m:sSubPr>
                          <m:e>
                            <m:r>
                              <w:rPr>
                                <w:rFonts w:ascii="Cambria Math" w:hAnsi="Cambria Math"/>
                                <w:sz w:val="18"/>
                                <w:szCs w:val="18"/>
                                <w:lang w:val="en-GB"/>
                              </w:rPr>
                              <m:t>d</m:t>
                            </m:r>
                          </m:e>
                          <m:sub>
                            <m:r>
                              <w:rPr>
                                <w:rFonts w:ascii="Cambria Math" w:hAnsi="Cambria Math"/>
                                <w:sz w:val="18"/>
                                <w:szCs w:val="18"/>
                                <w:lang w:val="en-GB"/>
                              </w:rPr>
                              <m:t>1</m:t>
                            </m:r>
                          </m:sub>
                        </m:sSub>
                      </m:num>
                      <m:den>
                        <m:sSub>
                          <m:sSubPr>
                            <m:ctrlPr>
                              <w:rPr>
                                <w:rFonts w:ascii="Cambria Math" w:hAnsi="Cambria Math"/>
                                <w:i/>
                                <w:sz w:val="18"/>
                                <w:szCs w:val="18"/>
                              </w:rPr>
                            </m:ctrlPr>
                          </m:sSubPr>
                          <m:e>
                            <m:r>
                              <w:rPr>
                                <w:rFonts w:ascii="Cambria Math" w:hAnsi="Cambria Math"/>
                                <w:sz w:val="18"/>
                                <w:szCs w:val="18"/>
                              </w:rPr>
                              <m:t>γ</m:t>
                            </m:r>
                          </m:e>
                          <m:sub>
                            <m:r>
                              <m:rPr>
                                <m:sty m:val="p"/>
                              </m:rPr>
                              <w:rPr>
                                <w:rFonts w:ascii="Cambria Math" w:hAnsi="Cambria Math"/>
                                <w:sz w:val="18"/>
                                <w:szCs w:val="18"/>
                              </w:rPr>
                              <m:t>1</m:t>
                            </m:r>
                          </m:sub>
                        </m:sSub>
                      </m:den>
                    </m:f>
                    <m:r>
                      <w:rPr>
                        <w:rFonts w:ascii="Cambria Math" w:hAnsi="Cambria Math"/>
                        <w:sz w:val="18"/>
                        <w:szCs w:val="18"/>
                        <w:lang w:val="en-GB"/>
                      </w:rPr>
                      <m:t>+</m:t>
                    </m:r>
                    <m:f>
                      <m:fPr>
                        <m:ctrlPr>
                          <w:rPr>
                            <w:rFonts w:ascii="Cambria Math" w:hAnsi="Cambria Math"/>
                            <w:i/>
                            <w:sz w:val="18"/>
                            <w:szCs w:val="18"/>
                            <w:lang w:val="en-GB"/>
                          </w:rPr>
                        </m:ctrlPr>
                      </m:fPr>
                      <m:num>
                        <m:sSub>
                          <m:sSubPr>
                            <m:ctrlPr>
                              <w:rPr>
                                <w:rFonts w:ascii="Cambria Math" w:hAnsi="Cambria Math"/>
                                <w:i/>
                                <w:sz w:val="18"/>
                                <w:szCs w:val="18"/>
                                <w:lang w:val="en-GB"/>
                              </w:rPr>
                            </m:ctrlPr>
                          </m:sSubPr>
                          <m:e>
                            <m:r>
                              <w:rPr>
                                <w:rFonts w:ascii="Cambria Math" w:hAnsi="Cambria Math"/>
                                <w:sz w:val="18"/>
                                <w:szCs w:val="18"/>
                                <w:lang w:val="en-GB"/>
                              </w:rPr>
                              <m:t>d</m:t>
                            </m:r>
                          </m:e>
                          <m:sub>
                            <m:r>
                              <w:rPr>
                                <w:rFonts w:ascii="Cambria Math" w:hAnsi="Cambria Math"/>
                                <w:sz w:val="18"/>
                                <w:szCs w:val="18"/>
                                <w:lang w:val="en-GB"/>
                              </w:rPr>
                              <m:t>2</m:t>
                            </m:r>
                          </m:sub>
                        </m:sSub>
                      </m:num>
                      <m:den>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2</m:t>
                            </m:r>
                          </m:sub>
                        </m:sSub>
                      </m:den>
                    </m:f>
                    <m:r>
                      <w:rPr>
                        <w:rFonts w:ascii="Cambria Math" w:hAnsi="Cambria Math"/>
                        <w:sz w:val="18"/>
                        <w:szCs w:val="18"/>
                        <w:lang w:val="en-GB"/>
                      </w:rPr>
                      <m:t>+</m:t>
                    </m:r>
                    <m:f>
                      <m:fPr>
                        <m:ctrlPr>
                          <w:rPr>
                            <w:rFonts w:ascii="Cambria Math" w:hAnsi="Cambria Math"/>
                            <w:i/>
                            <w:sz w:val="18"/>
                            <w:szCs w:val="18"/>
                            <w:lang w:val="en-GB"/>
                          </w:rPr>
                        </m:ctrlPr>
                      </m:fPr>
                      <m:num>
                        <m:sSub>
                          <m:sSubPr>
                            <m:ctrlPr>
                              <w:rPr>
                                <w:rFonts w:ascii="Cambria Math" w:hAnsi="Cambria Math"/>
                                <w:i/>
                                <w:sz w:val="18"/>
                                <w:szCs w:val="18"/>
                                <w:lang w:val="en-GB"/>
                              </w:rPr>
                            </m:ctrlPr>
                          </m:sSubPr>
                          <m:e>
                            <m:r>
                              <w:rPr>
                                <w:rFonts w:ascii="Cambria Math" w:hAnsi="Cambria Math"/>
                                <w:sz w:val="18"/>
                                <w:szCs w:val="18"/>
                                <w:lang w:val="en-GB"/>
                              </w:rPr>
                              <m:t>d</m:t>
                            </m:r>
                          </m:e>
                          <m:sub>
                            <m:r>
                              <w:rPr>
                                <w:rFonts w:ascii="Cambria Math" w:hAnsi="Cambria Math"/>
                                <w:sz w:val="18"/>
                                <w:szCs w:val="18"/>
                                <w:lang w:val="en-GB"/>
                              </w:rPr>
                              <m:t>3</m:t>
                            </m:r>
                          </m:sub>
                        </m:sSub>
                      </m:num>
                      <m:den>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3</m:t>
                            </m:r>
                          </m:sub>
                        </m:sSub>
                      </m:den>
                    </m:f>
                    <m:r>
                      <w:rPr>
                        <w:rFonts w:ascii="Cambria Math" w:hAnsi="Cambria Math"/>
                        <w:sz w:val="18"/>
                        <w:szCs w:val="18"/>
                        <w:lang w:val="en-GB"/>
                      </w:rPr>
                      <m:t>+</m:t>
                    </m:r>
                    <m:f>
                      <m:fPr>
                        <m:ctrlPr>
                          <w:rPr>
                            <w:rFonts w:ascii="Cambria Math" w:hAnsi="Cambria Math"/>
                            <w:i/>
                            <w:sz w:val="18"/>
                            <w:szCs w:val="18"/>
                            <w:lang w:val="en-GB"/>
                          </w:rPr>
                        </m:ctrlPr>
                      </m:fPr>
                      <m:num>
                        <m:sSub>
                          <m:sSubPr>
                            <m:ctrlPr>
                              <w:rPr>
                                <w:rFonts w:ascii="Cambria Math" w:hAnsi="Cambria Math"/>
                                <w:i/>
                                <w:sz w:val="18"/>
                                <w:szCs w:val="18"/>
                                <w:lang w:val="en-GB"/>
                              </w:rPr>
                            </m:ctrlPr>
                          </m:sSubPr>
                          <m:e>
                            <m:r>
                              <w:rPr>
                                <w:rFonts w:ascii="Cambria Math" w:hAnsi="Cambria Math"/>
                                <w:sz w:val="18"/>
                                <w:szCs w:val="18"/>
                                <w:lang w:val="en-GB"/>
                              </w:rPr>
                              <m:t>d</m:t>
                            </m:r>
                          </m:e>
                          <m:sub>
                            <m:r>
                              <w:rPr>
                                <w:rFonts w:ascii="Cambria Math" w:hAnsi="Cambria Math"/>
                                <w:sz w:val="18"/>
                                <w:szCs w:val="18"/>
                                <w:lang w:val="en-GB"/>
                              </w:rPr>
                              <m:t>4</m:t>
                            </m:r>
                          </m:sub>
                        </m:sSub>
                      </m:num>
                      <m:den>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4</m:t>
                            </m:r>
                          </m:sub>
                        </m:sSub>
                      </m:den>
                    </m:f>
                    <m:r>
                      <w:rPr>
                        <w:rFonts w:ascii="Cambria Math" w:hAnsi="Cambria Math"/>
                        <w:sz w:val="18"/>
                        <w:szCs w:val="18"/>
                        <w:lang w:val="en-GB"/>
                      </w:rPr>
                      <m:t>+</m:t>
                    </m:r>
                    <m:f>
                      <m:fPr>
                        <m:ctrlPr>
                          <w:rPr>
                            <w:rFonts w:ascii="Cambria Math" w:hAnsi="Cambria Math"/>
                            <w:i/>
                            <w:sz w:val="18"/>
                            <w:szCs w:val="18"/>
                            <w:lang w:val="en-GB"/>
                          </w:rPr>
                        </m:ctrlPr>
                      </m:fPr>
                      <m:num>
                        <m:sSub>
                          <m:sSubPr>
                            <m:ctrlPr>
                              <w:rPr>
                                <w:rFonts w:ascii="Cambria Math" w:hAnsi="Cambria Math"/>
                                <w:i/>
                                <w:sz w:val="18"/>
                                <w:szCs w:val="18"/>
                                <w:lang w:val="en-GB"/>
                              </w:rPr>
                            </m:ctrlPr>
                          </m:sSubPr>
                          <m:e>
                            <m:r>
                              <w:rPr>
                                <w:rFonts w:ascii="Cambria Math" w:hAnsi="Cambria Math"/>
                                <w:sz w:val="18"/>
                                <w:szCs w:val="18"/>
                                <w:lang w:val="en-GB"/>
                              </w:rPr>
                              <m:t>d</m:t>
                            </m:r>
                          </m:e>
                          <m:sub>
                            <m:r>
                              <w:rPr>
                                <w:rFonts w:ascii="Cambria Math" w:hAnsi="Cambria Math"/>
                                <w:sz w:val="18"/>
                                <w:szCs w:val="18"/>
                                <w:lang w:val="en-GB"/>
                              </w:rPr>
                              <m:t>M</m:t>
                            </m:r>
                          </m:sub>
                        </m:sSub>
                      </m:num>
                      <m:den>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M</m:t>
                            </m:r>
                          </m:sub>
                        </m:sSub>
                      </m:den>
                    </m:f>
                    <m:r>
                      <w:rPr>
                        <w:rFonts w:ascii="Cambria Math" w:hAnsi="Cambria Math"/>
                        <w:sz w:val="18"/>
                        <w:szCs w:val="18"/>
                        <w:lang w:val="en-GB"/>
                      </w:rPr>
                      <m:t>)</m:t>
                    </m:r>
                  </m:den>
                </m:f>
              </m:oMath>
            </m:oMathPara>
          </w:p>
        </w:tc>
        <w:tc>
          <w:tcPr>
            <w:tcW w:w="1677" w:type="dxa"/>
            <w:shd w:val="clear" w:color="auto" w:fill="auto"/>
          </w:tcPr>
          <w:p w14:paraId="48F27C25" w14:textId="5C9B8822" w:rsidR="008764C2" w:rsidRPr="00590A21" w:rsidRDefault="008764C2" w:rsidP="00C025DA">
            <w:pPr>
              <w:jc w:val="right"/>
              <w:rPr>
                <w:lang w:val="en-GB"/>
              </w:rPr>
            </w:pPr>
            <w:r w:rsidRPr="00590A21">
              <w:rPr>
                <w:lang w:val="en-GB"/>
              </w:rPr>
              <w:t>(</w:t>
            </w:r>
            <w:r w:rsidR="006A0CC3" w:rsidRPr="00590A21">
              <w:rPr>
                <w:lang w:val="en-GB"/>
              </w:rPr>
              <w:t>10</w:t>
            </w:r>
            <w:r w:rsidRPr="00590A21">
              <w:rPr>
                <w:lang w:val="en-GB"/>
              </w:rPr>
              <w:t>)</w:t>
            </w:r>
          </w:p>
        </w:tc>
      </w:tr>
    </w:tbl>
    <w:p w14:paraId="7D12590C" w14:textId="2706BB33" w:rsidR="008764C2" w:rsidRPr="00590A21" w:rsidRDefault="008764C2" w:rsidP="00207C46">
      <w:pPr>
        <w:ind w:firstLine="142"/>
        <w:jc w:val="both"/>
        <w:rPr>
          <w:lang w:val="en-GB"/>
        </w:rPr>
      </w:pPr>
      <w:r w:rsidRPr="00590A21">
        <w:rPr>
          <w:lang w:val="en-GB"/>
        </w:rPr>
        <w:t xml:space="preserve">In </w:t>
      </w:r>
      <w:r w:rsidR="00013037">
        <w:rPr>
          <w:lang w:val="en-GB"/>
        </w:rPr>
        <w:t>E</w:t>
      </w:r>
      <w:r w:rsidRPr="00590A21">
        <w:rPr>
          <w:lang w:val="en-GB"/>
        </w:rPr>
        <w:t>quations (</w:t>
      </w:r>
      <w:r w:rsidR="00AB4107" w:rsidRPr="00590A21">
        <w:rPr>
          <w:lang w:val="en-GB"/>
        </w:rPr>
        <w:t>9</w:t>
      </w:r>
      <w:r w:rsidRPr="00590A21">
        <w:rPr>
          <w:lang w:val="en-GB"/>
        </w:rPr>
        <w:t>) and (</w:t>
      </w:r>
      <w:r w:rsidR="00AB4107" w:rsidRPr="00590A21">
        <w:rPr>
          <w:lang w:val="en-GB"/>
        </w:rPr>
        <w:t>10</w:t>
      </w:r>
      <w:r w:rsidRPr="00590A21">
        <w:rPr>
          <w:lang w:val="en-GB"/>
        </w:rPr>
        <w:t>), if it is assumed that there are only two different samples with conductivities</w:t>
      </w:r>
      <m:oMath>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γ</m:t>
            </m:r>
          </m:e>
          <m:sub>
            <m:r>
              <m:rPr>
                <m:sty m:val="p"/>
              </m:rPr>
              <w:rPr>
                <w:rFonts w:ascii="Cambria Math" w:hAnsi="Cambria Math"/>
                <w:lang w:val="en-GB"/>
              </w:rPr>
              <m:t>1</m:t>
            </m:r>
          </m:sub>
        </m:sSub>
      </m:oMath>
      <w:r w:rsidRPr="00590A21">
        <w:rPr>
          <w:lang w:val="en-GB"/>
        </w:rPr>
        <w:t xml:space="preserve"> and </w:t>
      </w:r>
      <m:oMath>
        <m:sSub>
          <m:sSubPr>
            <m:ctrlPr>
              <w:rPr>
                <w:rFonts w:ascii="Cambria Math" w:hAnsi="Cambria Math"/>
                <w:lang w:val="en-GB"/>
              </w:rPr>
            </m:ctrlPr>
          </m:sSubPr>
          <m:e>
            <m:r>
              <w:rPr>
                <w:rFonts w:ascii="Cambria Math" w:hAnsi="Cambria Math"/>
                <w:lang w:val="en-GB"/>
              </w:rPr>
              <m:t>γ</m:t>
            </m:r>
          </m:e>
          <m:sub>
            <m:r>
              <m:rPr>
                <m:sty m:val="p"/>
              </m:rPr>
              <w:rPr>
                <w:rFonts w:ascii="Cambria Math" w:hAnsi="Cambria Math"/>
                <w:lang w:val="en-GB"/>
              </w:rPr>
              <m:t>2</m:t>
            </m:r>
          </m:sub>
        </m:sSub>
      </m:oMath>
      <w:r w:rsidRPr="00590A21">
        <w:rPr>
          <w:lang w:val="en-GB"/>
        </w:rPr>
        <w:t xml:space="preserve"> and samples thickness </w:t>
      </w:r>
      <m:oMath>
        <m:r>
          <w:rPr>
            <w:rFonts w:ascii="Cambria Math" w:hAnsi="Cambria Math"/>
            <w:lang w:val="en-GB"/>
          </w:rPr>
          <m:t>a</m:t>
        </m:r>
      </m:oMath>
      <w:r w:rsidRPr="00590A21">
        <w:rPr>
          <w:lang w:val="en-GB"/>
        </w:rPr>
        <w:t xml:space="preserve"> and </w:t>
      </w:r>
      <m:oMath>
        <m:r>
          <w:rPr>
            <w:rFonts w:ascii="Cambria Math" w:hAnsi="Cambria Math"/>
            <w:lang w:val="en-GB"/>
          </w:rPr>
          <m:t>b</m:t>
        </m:r>
      </m:oMath>
      <w:r w:rsidRPr="00590A21">
        <w:rPr>
          <w:lang w:val="en-GB"/>
        </w:rPr>
        <w:t xml:space="preserve"> respectively, the above </w:t>
      </w:r>
      <w:r w:rsidR="00013037">
        <w:rPr>
          <w:lang w:val="en-GB"/>
        </w:rPr>
        <w:t>E</w:t>
      </w:r>
      <w:r w:rsidRPr="00590A21">
        <w:rPr>
          <w:lang w:val="en-GB"/>
        </w:rPr>
        <w:t>quation (</w:t>
      </w:r>
      <w:r w:rsidR="00AB4107" w:rsidRPr="00590A21">
        <w:rPr>
          <w:lang w:val="en-GB"/>
        </w:rPr>
        <w:t>10</w:t>
      </w:r>
      <w:r w:rsidRPr="00590A21">
        <w:rPr>
          <w:lang w:val="en-GB"/>
        </w:rPr>
        <w:t xml:space="preserve">) can be simplified into </w:t>
      </w:r>
      <w:r w:rsidR="00013037">
        <w:rPr>
          <w:lang w:val="en-GB"/>
        </w:rPr>
        <w:t>E</w:t>
      </w:r>
      <w:r w:rsidRPr="00590A21">
        <w:rPr>
          <w:lang w:val="en-GB"/>
        </w:rPr>
        <w:t>quations (</w:t>
      </w:r>
      <w:r w:rsidR="00AB4107" w:rsidRPr="00590A21">
        <w:rPr>
          <w:lang w:val="en-GB"/>
        </w:rPr>
        <w:t>11</w:t>
      </w:r>
      <w:r w:rsidRPr="00590A21">
        <w:rPr>
          <w:lang w:val="en-GB"/>
        </w:rPr>
        <w:t>) or (</w:t>
      </w:r>
      <w:r w:rsidR="00AB4107" w:rsidRPr="00590A21">
        <w:rPr>
          <w:lang w:val="en-GB"/>
        </w:rPr>
        <w:t>12</w:t>
      </w:r>
      <w:r w:rsidRPr="00590A21">
        <w:rPr>
          <w:lang w:val="en-GB"/>
        </w:rPr>
        <w:t>):</w:t>
      </w:r>
    </w:p>
    <w:tbl>
      <w:tblPr>
        <w:tblW w:w="0" w:type="auto"/>
        <w:tblLook w:val="04A0" w:firstRow="1" w:lastRow="0" w:firstColumn="1" w:lastColumn="0" w:noHBand="0" w:noVBand="1"/>
      </w:tblPr>
      <w:tblGrid>
        <w:gridCol w:w="1129"/>
        <w:gridCol w:w="2694"/>
        <w:gridCol w:w="1207"/>
      </w:tblGrid>
      <w:tr w:rsidR="008764C2" w:rsidRPr="00590A21" w14:paraId="0E250124" w14:textId="77777777" w:rsidTr="00C025DA">
        <w:tc>
          <w:tcPr>
            <w:tcW w:w="1129" w:type="dxa"/>
            <w:shd w:val="clear" w:color="auto" w:fill="auto"/>
          </w:tcPr>
          <w:p w14:paraId="43EF1D11" w14:textId="77777777" w:rsidR="008764C2" w:rsidRPr="00590A21" w:rsidRDefault="008764C2" w:rsidP="00C025DA">
            <w:pPr>
              <w:rPr>
                <w:lang w:val="en-GB"/>
              </w:rPr>
            </w:pPr>
          </w:p>
        </w:tc>
        <w:tc>
          <w:tcPr>
            <w:tcW w:w="2694" w:type="dxa"/>
            <w:shd w:val="clear" w:color="auto" w:fill="auto"/>
          </w:tcPr>
          <w:p w14:paraId="473AEAD2" w14:textId="6F02BCE5" w:rsidR="008764C2" w:rsidRPr="00FB3D31" w:rsidRDefault="008C0681" w:rsidP="00C025DA">
            <w:pPr>
              <w:ind w:firstLineChars="100" w:firstLine="180"/>
              <w:rPr>
                <w:sz w:val="18"/>
                <w:szCs w:val="18"/>
                <w:lang w:val="en-GB"/>
              </w:rPr>
            </w:pPr>
            <m:oMathPara>
              <m:oMathParaPr>
                <m:jc m:val="center"/>
              </m:oMathParaPr>
              <m:oMath>
                <m:sSub>
                  <m:sSubPr>
                    <m:ctrlPr>
                      <w:rPr>
                        <w:rFonts w:ascii="Cambria Math" w:hAnsi="Cambria Math"/>
                        <w:i/>
                        <w:sz w:val="18"/>
                        <w:szCs w:val="18"/>
                        <w:lang w:val="en-GB"/>
                      </w:rPr>
                    </m:ctrlPr>
                  </m:sSubPr>
                  <m:e>
                    <m:r>
                      <w:rPr>
                        <w:rFonts w:ascii="Cambria Math" w:hAnsi="Cambria Math"/>
                        <w:sz w:val="18"/>
                        <w:szCs w:val="18"/>
                        <w:lang w:val="en-GB"/>
                      </w:rPr>
                      <m:t>E</m:t>
                    </m:r>
                  </m:e>
                  <m:sub>
                    <m:r>
                      <w:rPr>
                        <w:rFonts w:ascii="Cambria Math" w:hAnsi="Cambria Math"/>
                        <w:sz w:val="18"/>
                        <w:szCs w:val="18"/>
                        <w:lang w:val="en-GB"/>
                      </w:rPr>
                      <m:t>M</m:t>
                    </m:r>
                  </m:sub>
                </m:sSub>
                <m:r>
                  <w:rPr>
                    <w:rFonts w:ascii="Cambria Math" w:hAnsi="Cambria Math"/>
                    <w:sz w:val="18"/>
                    <w:szCs w:val="18"/>
                    <w:lang w:val="en-GB"/>
                  </w:rPr>
                  <m:t>=</m:t>
                </m:r>
                <m:f>
                  <m:fPr>
                    <m:ctrlPr>
                      <w:rPr>
                        <w:rFonts w:ascii="Cambria Math" w:hAnsi="Cambria Math"/>
                        <w:i/>
                        <w:sz w:val="18"/>
                        <w:szCs w:val="18"/>
                        <w:lang w:val="en-GB"/>
                      </w:rPr>
                    </m:ctrlPr>
                  </m:fPr>
                  <m:num>
                    <m:sSub>
                      <m:sSubPr>
                        <m:ctrlPr>
                          <w:rPr>
                            <w:rFonts w:ascii="Cambria Math" w:hAnsi="Cambria Math"/>
                            <w:i/>
                            <w:sz w:val="18"/>
                            <w:szCs w:val="18"/>
                            <w:lang w:val="en-GB"/>
                          </w:rPr>
                        </m:ctrlPr>
                      </m:sSubPr>
                      <m:e>
                        <m:r>
                          <w:rPr>
                            <w:rFonts w:ascii="Cambria Math" w:hAnsi="Cambria Math"/>
                            <w:sz w:val="18"/>
                            <w:szCs w:val="18"/>
                            <w:lang w:val="en-GB"/>
                          </w:rPr>
                          <m:t>E</m:t>
                        </m:r>
                      </m:e>
                      <m:sub>
                        <m:r>
                          <w:rPr>
                            <w:rFonts w:ascii="Cambria Math" w:hAnsi="Cambria Math"/>
                            <w:sz w:val="18"/>
                            <w:szCs w:val="18"/>
                            <w:lang w:val="en-GB"/>
                          </w:rPr>
                          <m:t>av</m:t>
                        </m:r>
                      </m:sub>
                    </m:sSub>
                    <m:r>
                      <w:rPr>
                        <w:rFonts w:ascii="Cambria Math" w:hAnsi="Cambria Math"/>
                        <w:sz w:val="18"/>
                        <w:szCs w:val="18"/>
                        <w:lang w:val="en-GB"/>
                      </w:rPr>
                      <m:t>d</m:t>
                    </m:r>
                  </m:num>
                  <m:den>
                    <m:f>
                      <m:fPr>
                        <m:ctrlPr>
                          <w:rPr>
                            <w:rFonts w:ascii="Cambria Math" w:hAnsi="Cambria Math"/>
                            <w:i/>
                            <w:sz w:val="18"/>
                            <w:szCs w:val="18"/>
                            <w:lang w:val="en-GB"/>
                          </w:rPr>
                        </m:ctrlPr>
                      </m:fPr>
                      <m:num>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M</m:t>
                            </m:r>
                          </m:sub>
                        </m:sSub>
                      </m:num>
                      <m:den>
                        <m:sSub>
                          <m:sSubPr>
                            <m:ctrlPr>
                              <w:rPr>
                                <w:rFonts w:ascii="Cambria Math" w:hAnsi="Cambria Math"/>
                                <w:i/>
                                <w:sz w:val="18"/>
                                <w:szCs w:val="18"/>
                              </w:rPr>
                            </m:ctrlPr>
                          </m:sSubPr>
                          <m:e>
                            <m:r>
                              <w:rPr>
                                <w:rFonts w:ascii="Cambria Math" w:hAnsi="Cambria Math"/>
                                <w:sz w:val="18"/>
                                <w:szCs w:val="18"/>
                              </w:rPr>
                              <m:t>γ</m:t>
                            </m:r>
                          </m:e>
                          <m:sub>
                            <m:r>
                              <m:rPr>
                                <m:sty m:val="p"/>
                              </m:rP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2</m:t>
                            </m:r>
                          </m:sub>
                        </m:sSub>
                      </m:den>
                    </m:f>
                    <m:r>
                      <w:rPr>
                        <w:rFonts w:ascii="Cambria Math" w:hAnsi="Cambria Math"/>
                        <w:sz w:val="18"/>
                        <w:szCs w:val="18"/>
                        <w:lang w:val="en-GB"/>
                      </w:rPr>
                      <m:t>(</m:t>
                    </m:r>
                    <m:sSub>
                      <m:sSubPr>
                        <m:ctrlPr>
                          <w:rPr>
                            <w:rFonts w:ascii="Cambria Math" w:hAnsi="Cambria Math"/>
                            <w:i/>
                            <w:sz w:val="18"/>
                            <w:szCs w:val="18"/>
                          </w:rPr>
                        </m:ctrlPr>
                      </m:sSubPr>
                      <m:e>
                        <m:r>
                          <w:rPr>
                            <w:rFonts w:ascii="Cambria Math" w:hAnsi="Cambria Math"/>
                            <w:sz w:val="18"/>
                            <w:szCs w:val="18"/>
                          </w:rPr>
                          <m:t>γ</m:t>
                        </m:r>
                      </m:e>
                      <m:sub>
                        <m:r>
                          <m:rPr>
                            <m:sty m:val="p"/>
                          </m:rPr>
                          <w:rPr>
                            <w:rFonts w:ascii="Cambria Math" w:hAnsi="Cambria Math"/>
                            <w:sz w:val="18"/>
                            <w:szCs w:val="18"/>
                          </w:rPr>
                          <m:t>1</m:t>
                        </m:r>
                      </m:sub>
                    </m:sSub>
                    <m:r>
                      <w:rPr>
                        <w:rFonts w:ascii="Cambria Math" w:hAnsi="Cambria Math"/>
                        <w:sz w:val="18"/>
                        <w:szCs w:val="18"/>
                        <w:lang w:val="en-GB"/>
                      </w:rPr>
                      <m:t>d+(</m:t>
                    </m:r>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2</m:t>
                        </m:r>
                      </m:sub>
                    </m:sSub>
                    <m:r>
                      <w:rPr>
                        <w:rFonts w:ascii="Cambria Math" w:hAnsi="Cambria Math"/>
                        <w:sz w:val="18"/>
                        <w:szCs w:val="18"/>
                        <w:lang w:val="en-GB"/>
                      </w:rPr>
                      <m:t>-</m:t>
                    </m:r>
                    <m:sSub>
                      <m:sSubPr>
                        <m:ctrlPr>
                          <w:rPr>
                            <w:rFonts w:ascii="Cambria Math" w:hAnsi="Cambria Math"/>
                            <w:i/>
                            <w:sz w:val="18"/>
                            <w:szCs w:val="18"/>
                          </w:rPr>
                        </m:ctrlPr>
                      </m:sSubPr>
                      <m:e>
                        <m:r>
                          <w:rPr>
                            <w:rFonts w:ascii="Cambria Math" w:hAnsi="Cambria Math"/>
                            <w:sz w:val="18"/>
                            <w:szCs w:val="18"/>
                          </w:rPr>
                          <m:t>γ</m:t>
                        </m:r>
                      </m:e>
                      <m:sub>
                        <m:r>
                          <m:rPr>
                            <m:sty m:val="p"/>
                          </m:rPr>
                          <w:rPr>
                            <w:rFonts w:ascii="Cambria Math" w:hAnsi="Cambria Math"/>
                            <w:sz w:val="18"/>
                            <w:szCs w:val="18"/>
                          </w:rPr>
                          <m:t>1</m:t>
                        </m:r>
                      </m:sub>
                    </m:sSub>
                    <m:r>
                      <w:rPr>
                        <w:rFonts w:ascii="Cambria Math" w:hAnsi="Cambria Math"/>
                        <w:sz w:val="18"/>
                        <w:szCs w:val="18"/>
                        <w:lang w:val="en-GB"/>
                      </w:rPr>
                      <m:t>)a)</m:t>
                    </m:r>
                  </m:den>
                </m:f>
              </m:oMath>
            </m:oMathPara>
          </w:p>
        </w:tc>
        <w:tc>
          <w:tcPr>
            <w:tcW w:w="1207" w:type="dxa"/>
            <w:shd w:val="clear" w:color="auto" w:fill="auto"/>
          </w:tcPr>
          <w:p w14:paraId="3A4F455E" w14:textId="128229B8" w:rsidR="008764C2" w:rsidRPr="00590A21" w:rsidRDefault="008764C2" w:rsidP="00C025DA">
            <w:pPr>
              <w:jc w:val="right"/>
              <w:rPr>
                <w:lang w:val="en-GB"/>
              </w:rPr>
            </w:pPr>
            <w:r w:rsidRPr="00590A21">
              <w:rPr>
                <w:lang w:val="en-GB"/>
              </w:rPr>
              <w:t>(</w:t>
            </w:r>
            <w:r w:rsidR="006A0CC3" w:rsidRPr="00590A21">
              <w:rPr>
                <w:lang w:val="en-GB"/>
              </w:rPr>
              <w:t>11</w:t>
            </w:r>
            <w:r w:rsidRPr="00590A21">
              <w:rPr>
                <w:lang w:val="en-GB"/>
              </w:rPr>
              <w:t>)</w:t>
            </w:r>
          </w:p>
        </w:tc>
      </w:tr>
      <w:tr w:rsidR="008764C2" w:rsidRPr="00590A21" w14:paraId="735196FC" w14:textId="77777777" w:rsidTr="00C025DA">
        <w:tc>
          <w:tcPr>
            <w:tcW w:w="1129" w:type="dxa"/>
            <w:shd w:val="clear" w:color="auto" w:fill="auto"/>
          </w:tcPr>
          <w:p w14:paraId="3CA97B53" w14:textId="77777777" w:rsidR="008764C2" w:rsidRPr="00590A21" w:rsidRDefault="008764C2" w:rsidP="00C025DA">
            <w:pPr>
              <w:rPr>
                <w:lang w:val="en-GB"/>
              </w:rPr>
            </w:pPr>
          </w:p>
        </w:tc>
        <w:tc>
          <w:tcPr>
            <w:tcW w:w="2694" w:type="dxa"/>
            <w:shd w:val="clear" w:color="auto" w:fill="auto"/>
          </w:tcPr>
          <w:p w14:paraId="4CECF04D" w14:textId="3D934C5E" w:rsidR="008764C2" w:rsidRPr="00FB3D31" w:rsidRDefault="008C0681" w:rsidP="00C025DA">
            <w:pPr>
              <w:ind w:firstLineChars="100" w:firstLine="180"/>
              <w:rPr>
                <w:sz w:val="18"/>
                <w:szCs w:val="18"/>
                <w:lang w:val="en-GB"/>
              </w:rPr>
            </w:pPr>
            <m:oMathPara>
              <m:oMath>
                <m:sSub>
                  <m:sSubPr>
                    <m:ctrlPr>
                      <w:rPr>
                        <w:rFonts w:ascii="Cambria Math" w:hAnsi="Cambria Math"/>
                        <w:i/>
                        <w:sz w:val="18"/>
                        <w:szCs w:val="18"/>
                        <w:lang w:val="en-GB"/>
                      </w:rPr>
                    </m:ctrlPr>
                  </m:sSubPr>
                  <m:e>
                    <m:r>
                      <w:rPr>
                        <w:rFonts w:ascii="Cambria Math" w:hAnsi="Cambria Math"/>
                        <w:sz w:val="18"/>
                        <w:szCs w:val="18"/>
                        <w:lang w:val="en-GB"/>
                      </w:rPr>
                      <m:t>E</m:t>
                    </m:r>
                  </m:e>
                  <m:sub>
                    <m:r>
                      <w:rPr>
                        <w:rFonts w:ascii="Cambria Math" w:hAnsi="Cambria Math"/>
                        <w:sz w:val="18"/>
                        <w:szCs w:val="18"/>
                        <w:lang w:val="en-GB"/>
                      </w:rPr>
                      <m:t>M</m:t>
                    </m:r>
                  </m:sub>
                </m:sSub>
                <m:r>
                  <w:rPr>
                    <w:rFonts w:ascii="Cambria Math" w:hAnsi="Cambria Math"/>
                    <w:sz w:val="18"/>
                    <w:szCs w:val="18"/>
                    <w:lang w:val="en-GB"/>
                  </w:rPr>
                  <m:t>=</m:t>
                </m:r>
                <m:f>
                  <m:fPr>
                    <m:ctrlPr>
                      <w:rPr>
                        <w:rFonts w:ascii="Cambria Math" w:hAnsi="Cambria Math"/>
                        <w:i/>
                        <w:sz w:val="18"/>
                        <w:szCs w:val="18"/>
                        <w:lang w:val="en-GB"/>
                      </w:rPr>
                    </m:ctrlPr>
                  </m:fPr>
                  <m:num>
                    <m:sSub>
                      <m:sSubPr>
                        <m:ctrlPr>
                          <w:rPr>
                            <w:rFonts w:ascii="Cambria Math" w:hAnsi="Cambria Math"/>
                            <w:i/>
                            <w:sz w:val="18"/>
                            <w:szCs w:val="18"/>
                            <w:lang w:val="en-GB"/>
                          </w:rPr>
                        </m:ctrlPr>
                      </m:sSubPr>
                      <m:e>
                        <m:r>
                          <w:rPr>
                            <w:rFonts w:ascii="Cambria Math" w:hAnsi="Cambria Math"/>
                            <w:sz w:val="18"/>
                            <w:szCs w:val="18"/>
                            <w:lang w:val="en-GB"/>
                          </w:rPr>
                          <m:t>E</m:t>
                        </m:r>
                      </m:e>
                      <m:sub>
                        <m:r>
                          <w:rPr>
                            <w:rFonts w:ascii="Cambria Math" w:hAnsi="Cambria Math"/>
                            <w:sz w:val="18"/>
                            <w:szCs w:val="18"/>
                            <w:lang w:val="en-GB"/>
                          </w:rPr>
                          <m:t>av</m:t>
                        </m:r>
                      </m:sub>
                    </m:sSub>
                    <m:r>
                      <w:rPr>
                        <w:rFonts w:ascii="Cambria Math" w:hAnsi="Cambria Math"/>
                        <w:sz w:val="18"/>
                        <w:szCs w:val="18"/>
                        <w:lang w:val="en-GB"/>
                      </w:rPr>
                      <m:t>d</m:t>
                    </m:r>
                  </m:num>
                  <m:den>
                    <m:f>
                      <m:fPr>
                        <m:ctrlPr>
                          <w:rPr>
                            <w:rFonts w:ascii="Cambria Math" w:hAnsi="Cambria Math"/>
                            <w:i/>
                            <w:sz w:val="18"/>
                            <w:szCs w:val="18"/>
                            <w:lang w:val="en-GB"/>
                          </w:rPr>
                        </m:ctrlPr>
                      </m:fPr>
                      <m:num>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M</m:t>
                            </m:r>
                          </m:sub>
                        </m:sSub>
                      </m:num>
                      <m:den>
                        <m:sSub>
                          <m:sSubPr>
                            <m:ctrlPr>
                              <w:rPr>
                                <w:rFonts w:ascii="Cambria Math" w:hAnsi="Cambria Math"/>
                                <w:i/>
                                <w:sz w:val="18"/>
                                <w:szCs w:val="18"/>
                              </w:rPr>
                            </m:ctrlPr>
                          </m:sSubPr>
                          <m:e>
                            <m:r>
                              <w:rPr>
                                <w:rFonts w:ascii="Cambria Math" w:hAnsi="Cambria Math"/>
                                <w:sz w:val="18"/>
                                <w:szCs w:val="18"/>
                              </w:rPr>
                              <m:t>γ</m:t>
                            </m:r>
                          </m:e>
                          <m:sub>
                            <m:r>
                              <m:rPr>
                                <m:sty m:val="p"/>
                              </m:rP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2</m:t>
                            </m:r>
                          </m:sub>
                        </m:sSub>
                      </m:den>
                    </m:f>
                    <m:r>
                      <w:rPr>
                        <w:rFonts w:ascii="Cambria Math" w:hAnsi="Cambria Math"/>
                        <w:sz w:val="18"/>
                        <w:szCs w:val="18"/>
                        <w:lang w:val="en-GB"/>
                      </w:rPr>
                      <m:t>(</m:t>
                    </m:r>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2</m:t>
                        </m:r>
                      </m:sub>
                    </m:sSub>
                    <m:r>
                      <w:rPr>
                        <w:rFonts w:ascii="Cambria Math" w:hAnsi="Cambria Math"/>
                        <w:sz w:val="18"/>
                        <w:szCs w:val="18"/>
                        <w:lang w:val="en-GB"/>
                      </w:rPr>
                      <m:t>d+(</m:t>
                    </m:r>
                    <m:sSub>
                      <m:sSubPr>
                        <m:ctrlPr>
                          <w:rPr>
                            <w:rFonts w:ascii="Cambria Math" w:hAnsi="Cambria Math"/>
                            <w:i/>
                            <w:sz w:val="18"/>
                            <w:szCs w:val="18"/>
                          </w:rPr>
                        </m:ctrlPr>
                      </m:sSubPr>
                      <m:e>
                        <m:r>
                          <w:rPr>
                            <w:rFonts w:ascii="Cambria Math" w:hAnsi="Cambria Math"/>
                            <w:sz w:val="18"/>
                            <w:szCs w:val="18"/>
                          </w:rPr>
                          <m:t>γ</m:t>
                        </m:r>
                      </m:e>
                      <m:sub>
                        <m:r>
                          <m:rPr>
                            <m:sty m:val="p"/>
                          </m:rPr>
                          <w:rPr>
                            <w:rFonts w:ascii="Cambria Math" w:hAnsi="Cambria Math"/>
                            <w:sz w:val="18"/>
                            <w:szCs w:val="18"/>
                          </w:rPr>
                          <m:t>1</m:t>
                        </m:r>
                      </m:sub>
                    </m:sSub>
                    <m:r>
                      <w:rPr>
                        <w:rFonts w:ascii="Cambria Math" w:hAnsi="Cambria Math"/>
                        <w:sz w:val="18"/>
                        <w:szCs w:val="18"/>
                        <w:lang w:val="en-GB"/>
                      </w:rPr>
                      <m:t>-</m:t>
                    </m:r>
                    <m:sSub>
                      <m:sSubPr>
                        <m:ctrlPr>
                          <w:rPr>
                            <w:rFonts w:ascii="Cambria Math" w:hAnsi="Cambria Math"/>
                            <w:i/>
                            <w:sz w:val="18"/>
                            <w:szCs w:val="18"/>
                          </w:rPr>
                        </m:ctrlPr>
                      </m:sSubPr>
                      <m:e>
                        <m:r>
                          <w:rPr>
                            <w:rFonts w:ascii="Cambria Math" w:hAnsi="Cambria Math"/>
                            <w:sz w:val="18"/>
                            <w:szCs w:val="18"/>
                          </w:rPr>
                          <m:t>γ</m:t>
                        </m:r>
                      </m:e>
                      <m:sub>
                        <m:r>
                          <m:rPr>
                            <m:sty m:val="p"/>
                          </m:rPr>
                          <w:rPr>
                            <w:rFonts w:ascii="Cambria Math" w:hAnsi="Cambria Math"/>
                            <w:sz w:val="18"/>
                            <w:szCs w:val="18"/>
                          </w:rPr>
                          <m:t>1</m:t>
                        </m:r>
                      </m:sub>
                    </m:sSub>
                    <m:r>
                      <w:rPr>
                        <w:rFonts w:ascii="Cambria Math" w:hAnsi="Cambria Math"/>
                        <w:sz w:val="18"/>
                        <w:szCs w:val="18"/>
                        <w:lang w:val="en-GB"/>
                      </w:rPr>
                      <m:t>)b)</m:t>
                    </m:r>
                  </m:den>
                </m:f>
              </m:oMath>
            </m:oMathPara>
          </w:p>
        </w:tc>
        <w:tc>
          <w:tcPr>
            <w:tcW w:w="1207" w:type="dxa"/>
            <w:shd w:val="clear" w:color="auto" w:fill="auto"/>
          </w:tcPr>
          <w:p w14:paraId="38CB88F3" w14:textId="45838A00" w:rsidR="008764C2" w:rsidRPr="00590A21" w:rsidRDefault="008764C2" w:rsidP="00C025DA">
            <w:pPr>
              <w:jc w:val="right"/>
              <w:rPr>
                <w:lang w:val="en-GB"/>
              </w:rPr>
            </w:pPr>
            <w:r w:rsidRPr="00590A21">
              <w:rPr>
                <w:lang w:val="en-GB"/>
              </w:rPr>
              <w:t>(</w:t>
            </w:r>
            <w:r w:rsidR="006A0CC3" w:rsidRPr="00590A21">
              <w:rPr>
                <w:lang w:val="en-GB"/>
              </w:rPr>
              <w:t>12</w:t>
            </w:r>
            <w:r w:rsidRPr="00590A21">
              <w:rPr>
                <w:lang w:val="en-GB"/>
              </w:rPr>
              <w:t>)</w:t>
            </w:r>
          </w:p>
        </w:tc>
      </w:tr>
    </w:tbl>
    <w:p w14:paraId="1C1A310B" w14:textId="77777777" w:rsidR="008764C2" w:rsidRPr="00590A21" w:rsidRDefault="008764C2" w:rsidP="008047A4">
      <w:pPr>
        <w:jc w:val="both"/>
        <w:rPr>
          <w:lang w:val="en-GB"/>
        </w:rPr>
      </w:pPr>
      <w:proofErr w:type="gramStart"/>
      <w:r w:rsidRPr="00590A21">
        <w:rPr>
          <w:lang w:val="en-GB"/>
        </w:rPr>
        <w:t>where</w:t>
      </w:r>
      <w:proofErr w:type="gramEnd"/>
      <w:r w:rsidRPr="00590A21">
        <w:rPr>
          <w:lang w:val="en-GB"/>
        </w:rPr>
        <w:t xml:space="preserve"> the </w:t>
      </w:r>
      <m:oMath>
        <m:sSub>
          <m:sSubPr>
            <m:ctrlPr>
              <w:rPr>
                <w:rFonts w:ascii="Cambria Math" w:hAnsi="Cambria Math"/>
                <w:lang w:val="en-GB"/>
              </w:rPr>
            </m:ctrlPr>
          </m:sSubPr>
          <m:e>
            <m:r>
              <w:rPr>
                <w:rFonts w:ascii="Cambria Math" w:hAnsi="Cambria Math"/>
                <w:lang w:val="en-GB"/>
              </w:rPr>
              <m:t>γ</m:t>
            </m:r>
          </m:e>
          <m:sub>
            <m:r>
              <m:rPr>
                <m:sty m:val="p"/>
              </m:rPr>
              <w:rPr>
                <w:rFonts w:ascii="Cambria Math" w:hAnsi="Cambria Math"/>
                <w:lang w:val="en-GB"/>
              </w:rPr>
              <m:t>1</m:t>
            </m:r>
          </m:sub>
        </m:sSub>
      </m:oMath>
      <w:r w:rsidRPr="00590A21">
        <w:rPr>
          <w:lang w:val="en-GB"/>
        </w:rPr>
        <w:t xml:space="preserve"> and </w:t>
      </w:r>
      <m:oMath>
        <m:sSub>
          <m:sSubPr>
            <m:ctrlPr>
              <w:rPr>
                <w:rFonts w:ascii="Cambria Math" w:hAnsi="Cambria Math"/>
                <w:lang w:val="en-GB"/>
              </w:rPr>
            </m:ctrlPr>
          </m:sSubPr>
          <m:e>
            <m:r>
              <w:rPr>
                <w:rFonts w:ascii="Cambria Math" w:hAnsi="Cambria Math"/>
                <w:lang w:val="en-GB"/>
              </w:rPr>
              <m:t>γ</m:t>
            </m:r>
          </m:e>
          <m:sub>
            <m:r>
              <m:rPr>
                <m:sty m:val="p"/>
              </m:rPr>
              <w:rPr>
                <w:rFonts w:ascii="Cambria Math" w:hAnsi="Cambria Math"/>
                <w:lang w:val="en-GB"/>
              </w:rPr>
              <m:t>2</m:t>
            </m:r>
          </m:sub>
        </m:sSub>
      </m:oMath>
      <w:r w:rsidRPr="00590A21">
        <w:rPr>
          <w:lang w:val="en-GB"/>
        </w:rPr>
        <w:t xml:space="preserve"> are conductivity of oil and PB, and </w:t>
      </w:r>
      <m:oMath>
        <m:sSub>
          <m:sSubPr>
            <m:ctrlPr>
              <w:rPr>
                <w:rFonts w:ascii="Cambria Math" w:hAnsi="Cambria Math"/>
                <w:lang w:val="en-GB"/>
              </w:rPr>
            </m:ctrlPr>
          </m:sSubPr>
          <m:e>
            <m:r>
              <w:rPr>
                <w:rFonts w:ascii="Cambria Math" w:hAnsi="Cambria Math"/>
                <w:lang w:val="en-GB"/>
              </w:rPr>
              <m:t>γ</m:t>
            </m:r>
          </m:e>
          <m:sub>
            <m:r>
              <m:rPr>
                <m:sty m:val="p"/>
              </m:rPr>
              <w:rPr>
                <w:rFonts w:ascii="Cambria Math" w:hAnsi="Cambria Math"/>
                <w:lang w:val="en-GB"/>
              </w:rPr>
              <m:t>1</m:t>
            </m:r>
          </m:sub>
        </m:sSub>
      </m:oMath>
      <w:r w:rsidRPr="00590A21">
        <w:rPr>
          <w:lang w:val="en-GB"/>
        </w:rPr>
        <w:t xml:space="preserve"> is higher than</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γ</m:t>
            </m:r>
          </m:e>
          <m:sub>
            <m:r>
              <m:rPr>
                <m:sty m:val="p"/>
              </m:rPr>
              <w:rPr>
                <w:rFonts w:ascii="Cambria Math" w:hAnsi="Cambria Math"/>
                <w:lang w:val="en-GB"/>
              </w:rPr>
              <m:t>2</m:t>
            </m:r>
          </m:sub>
        </m:sSub>
      </m:oMath>
      <w:r w:rsidRPr="00590A21">
        <w:rPr>
          <w:lang w:val="en-GB"/>
        </w:rPr>
        <w:t xml:space="preserve">. </w:t>
      </w:r>
      <w:proofErr w:type="gramStart"/>
      <w:r w:rsidRPr="00590A21">
        <w:rPr>
          <w:lang w:val="en-GB"/>
        </w:rPr>
        <w:t>The a</w:t>
      </w:r>
      <w:proofErr w:type="gramEnd"/>
      <w:r w:rsidRPr="00590A21">
        <w:rPr>
          <w:lang w:val="en-GB"/>
        </w:rPr>
        <w:t xml:space="preserve"> and b represents the thickness of oil and PB. Moreover, d is the fixed sample thickness and </w:t>
      </w:r>
      <m:oMath>
        <m:sSub>
          <m:sSubPr>
            <m:ctrlPr>
              <w:rPr>
                <w:rFonts w:ascii="Cambria Math" w:hAnsi="Cambria Math"/>
                <w:lang w:val="en-GB"/>
              </w:rPr>
            </m:ctrlPr>
          </m:sSubPr>
          <m:e>
            <m:r>
              <w:rPr>
                <w:rFonts w:ascii="Cambria Math" w:hAnsi="Cambria Math"/>
                <w:lang w:val="en-GB"/>
              </w:rPr>
              <m:t>E</m:t>
            </m:r>
          </m:e>
          <m:sub>
            <m:r>
              <m:rPr>
                <m:sty m:val="p"/>
              </m:rPr>
              <w:rPr>
                <w:rFonts w:ascii="Cambria Math" w:hAnsi="Cambria Math"/>
                <w:lang w:val="en-GB"/>
              </w:rPr>
              <m:t>av</m:t>
            </m:r>
          </m:sub>
        </m:sSub>
      </m:oMath>
      <w:r w:rsidRPr="00590A21">
        <w:rPr>
          <w:lang w:val="en-GB"/>
        </w:rPr>
        <w:t xml:space="preserve"> is the external electric field. </w:t>
      </w:r>
    </w:p>
    <w:p w14:paraId="33D83143" w14:textId="1D7042A2" w:rsidR="008764C2" w:rsidRPr="00590A21" w:rsidRDefault="008764C2" w:rsidP="000619FE">
      <w:pPr>
        <w:ind w:firstLine="142"/>
        <w:jc w:val="both"/>
        <w:rPr>
          <w:lang w:val="en-GB"/>
        </w:rPr>
      </w:pPr>
      <w:r w:rsidRPr="00590A21">
        <w:rPr>
          <w:lang w:val="en-GB"/>
        </w:rPr>
        <w:t>Equations (</w:t>
      </w:r>
      <w:r w:rsidR="00AB4107" w:rsidRPr="00590A21">
        <w:rPr>
          <w:lang w:val="en-GB"/>
        </w:rPr>
        <w:t>11</w:t>
      </w:r>
      <w:r w:rsidRPr="00590A21">
        <w:rPr>
          <w:lang w:val="en-GB"/>
        </w:rPr>
        <w:t xml:space="preserve">) indicate that </w:t>
      </w:r>
      <w:r w:rsidR="008047A4" w:rsidRPr="00590A21">
        <w:rPr>
          <w:lang w:val="en-GB"/>
        </w:rPr>
        <w:t xml:space="preserve">the increase of </w:t>
      </w:r>
      <m:oMath>
        <m:r>
          <w:rPr>
            <w:rFonts w:ascii="Cambria Math" w:hAnsi="Cambria Math"/>
            <w:lang w:val="en-GB"/>
          </w:rPr>
          <m:t>a</m:t>
        </m:r>
      </m:oMath>
      <w:r w:rsidR="008047A4">
        <w:rPr>
          <w:lang w:val="en-GB"/>
        </w:rPr>
        <w:t xml:space="preserve"> </w:t>
      </w:r>
      <w:r w:rsidR="00FB71BF">
        <w:rPr>
          <w:lang w:val="en-GB"/>
        </w:rPr>
        <w:t>can increase the</w:t>
      </w:r>
      <w:r w:rsidR="000619FE">
        <w:rPr>
          <w:lang w:val="en-GB"/>
        </w:rPr>
        <w:t xml:space="preserve"> electric field of each layer based on equation (11). Moreover, the increase of</w:t>
      </w:r>
      <w:r w:rsidR="00FB71BF">
        <w:rPr>
          <w:lang w:val="en-GB"/>
        </w:rPr>
        <w:t xml:space="preserve"> </w:t>
      </w:r>
      <m:oMath>
        <m:r>
          <w:rPr>
            <w:rFonts w:ascii="Cambria Math" w:hAnsi="Cambria Math"/>
            <w:lang w:val="en-GB"/>
          </w:rPr>
          <m:t>b</m:t>
        </m:r>
      </m:oMath>
      <w:r w:rsidR="000619FE">
        <w:rPr>
          <w:lang w:val="en-GB"/>
        </w:rPr>
        <w:t xml:space="preserve"> can decrease the electric field of the each layer based on </w:t>
      </w:r>
      <w:r w:rsidR="00013037">
        <w:rPr>
          <w:lang w:val="en-GB"/>
        </w:rPr>
        <w:t>E</w:t>
      </w:r>
      <w:r w:rsidR="000619FE">
        <w:rPr>
          <w:lang w:val="en-GB"/>
        </w:rPr>
        <w:t xml:space="preserve">quation (12).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9"/>
        <w:gridCol w:w="2521"/>
      </w:tblGrid>
      <w:tr w:rsidR="008764C2" w:rsidRPr="00590A21" w14:paraId="741CA129" w14:textId="77777777" w:rsidTr="00C025DA">
        <w:trPr>
          <w:trHeight w:val="1486"/>
        </w:trPr>
        <w:tc>
          <w:tcPr>
            <w:tcW w:w="2519" w:type="dxa"/>
          </w:tcPr>
          <w:p w14:paraId="07E6AF02" w14:textId="77777777" w:rsidR="008764C2" w:rsidRPr="00590A21" w:rsidRDefault="008764C2" w:rsidP="00C025DA">
            <w:pPr>
              <w:rPr>
                <w:lang w:val="en-GB"/>
              </w:rPr>
            </w:pPr>
            <w:r w:rsidRPr="00590A21">
              <w:rPr>
                <w:noProof/>
                <w:lang w:val="en-GB" w:eastAsia="zh-CN"/>
              </w:rPr>
              <w:drawing>
                <wp:inline distT="0" distB="0" distL="0" distR="0" wp14:anchorId="2D5EF026" wp14:editId="2E2FB92C">
                  <wp:extent cx="1572260" cy="114998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85790" cy="1159881"/>
                          </a:xfrm>
                          <a:prstGeom prst="rect">
                            <a:avLst/>
                          </a:prstGeom>
                        </pic:spPr>
                      </pic:pic>
                    </a:graphicData>
                  </a:graphic>
                </wp:inline>
              </w:drawing>
            </w:r>
          </w:p>
        </w:tc>
        <w:tc>
          <w:tcPr>
            <w:tcW w:w="2521" w:type="dxa"/>
          </w:tcPr>
          <w:p w14:paraId="37D4A722" w14:textId="77777777" w:rsidR="008764C2" w:rsidRPr="00B8291E" w:rsidRDefault="008764C2" w:rsidP="00C025DA">
            <w:pPr>
              <w:rPr>
                <w:lang w:val="en-GB"/>
              </w:rPr>
            </w:pPr>
            <w:r w:rsidRPr="00B8291E">
              <w:rPr>
                <w:noProof/>
                <w:lang w:val="en-GB" w:eastAsia="zh-CN"/>
              </w:rPr>
              <w:drawing>
                <wp:inline distT="0" distB="0" distL="0" distR="0" wp14:anchorId="77DF9EE1" wp14:editId="58DF0C08">
                  <wp:extent cx="1582616" cy="11512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30963" cy="1186424"/>
                          </a:xfrm>
                          <a:prstGeom prst="rect">
                            <a:avLst/>
                          </a:prstGeom>
                        </pic:spPr>
                      </pic:pic>
                    </a:graphicData>
                  </a:graphic>
                </wp:inline>
              </w:drawing>
            </w:r>
          </w:p>
        </w:tc>
      </w:tr>
      <w:tr w:rsidR="008764C2" w:rsidRPr="00590A21" w14:paraId="7FBD102C" w14:textId="77777777" w:rsidTr="00C025DA">
        <w:trPr>
          <w:trHeight w:val="179"/>
        </w:trPr>
        <w:tc>
          <w:tcPr>
            <w:tcW w:w="2519" w:type="dxa"/>
          </w:tcPr>
          <w:p w14:paraId="095F8B9F" w14:textId="77777777" w:rsidR="008764C2" w:rsidRPr="00590A21" w:rsidRDefault="008764C2" w:rsidP="00C025DA">
            <w:pPr>
              <w:jc w:val="center"/>
              <w:rPr>
                <w:lang w:val="en-GB"/>
              </w:rPr>
            </w:pPr>
            <w:r w:rsidRPr="00590A21">
              <w:rPr>
                <w:sz w:val="16"/>
                <w:szCs w:val="16"/>
                <w:lang w:val="en-GB"/>
              </w:rPr>
              <w:t>(a) Four layers</w:t>
            </w:r>
          </w:p>
        </w:tc>
        <w:tc>
          <w:tcPr>
            <w:tcW w:w="2521" w:type="dxa"/>
          </w:tcPr>
          <w:p w14:paraId="317C11A1" w14:textId="77777777" w:rsidR="008764C2" w:rsidRPr="00590A21" w:rsidRDefault="008764C2" w:rsidP="00C025DA">
            <w:pPr>
              <w:jc w:val="center"/>
              <w:rPr>
                <w:lang w:val="en-GB"/>
              </w:rPr>
            </w:pPr>
            <w:r w:rsidRPr="00590A21">
              <w:rPr>
                <w:sz w:val="16"/>
                <w:szCs w:val="16"/>
                <w:lang w:val="en-GB"/>
              </w:rPr>
              <w:t>(b) Six layers</w:t>
            </w:r>
          </w:p>
        </w:tc>
      </w:tr>
      <w:tr w:rsidR="008764C2" w:rsidRPr="00590A21" w14:paraId="280FA1B0" w14:textId="77777777" w:rsidTr="00C025DA">
        <w:trPr>
          <w:trHeight w:val="366"/>
        </w:trPr>
        <w:tc>
          <w:tcPr>
            <w:tcW w:w="5040" w:type="dxa"/>
            <w:gridSpan w:val="2"/>
          </w:tcPr>
          <w:p w14:paraId="13225B27" w14:textId="33566B99" w:rsidR="008764C2" w:rsidRPr="00590A21" w:rsidRDefault="008764C2" w:rsidP="004C1600">
            <w:pPr>
              <w:jc w:val="both"/>
              <w:rPr>
                <w:lang w:val="en-GB"/>
              </w:rPr>
            </w:pPr>
            <w:r w:rsidRPr="00590A21">
              <w:rPr>
                <w:rFonts w:ascii="Arial" w:hAnsi="Arial" w:cs="Arial"/>
                <w:b/>
                <w:sz w:val="16"/>
                <w:szCs w:val="16"/>
                <w:lang w:val="en-GB"/>
              </w:rPr>
              <w:t xml:space="preserve">Figure </w:t>
            </w:r>
            <w:r w:rsidR="001013EE" w:rsidRPr="00590A21">
              <w:rPr>
                <w:rFonts w:ascii="Arial" w:hAnsi="Arial" w:cs="Arial"/>
                <w:b/>
                <w:sz w:val="16"/>
                <w:szCs w:val="16"/>
                <w:lang w:val="en-GB"/>
              </w:rPr>
              <w:t>13</w:t>
            </w:r>
            <w:r w:rsidR="00013037">
              <w:rPr>
                <w:rFonts w:ascii="Arial" w:hAnsi="Arial" w:cs="Arial"/>
                <w:b/>
                <w:sz w:val="16"/>
                <w:szCs w:val="16"/>
                <w:lang w:val="en-GB"/>
              </w:rPr>
              <w:t xml:space="preserve">. </w:t>
            </w:r>
            <w:r w:rsidRPr="00590A21">
              <w:rPr>
                <w:b/>
                <w:sz w:val="16"/>
                <w:szCs w:val="16"/>
                <w:lang w:val="en-GB"/>
              </w:rPr>
              <w:t xml:space="preserve"> </w:t>
            </w:r>
            <w:r w:rsidRPr="00590A21">
              <w:rPr>
                <w:sz w:val="16"/>
                <w:szCs w:val="16"/>
                <w:lang w:val="en-GB"/>
              </w:rPr>
              <w:t>Electric field of 4 and 6 layers oil and pressboard caused by the Maxwell-Wagner theory for 1st position</w:t>
            </w:r>
            <w:r w:rsidR="00013037">
              <w:rPr>
                <w:sz w:val="16"/>
                <w:szCs w:val="16"/>
                <w:lang w:val="en-GB"/>
              </w:rPr>
              <w:t>.</w:t>
            </w:r>
          </w:p>
        </w:tc>
      </w:tr>
    </w:tbl>
    <w:p w14:paraId="2AF3A607" w14:textId="77777777" w:rsidR="000619FE" w:rsidRDefault="000619FE" w:rsidP="00207C46">
      <w:pPr>
        <w:ind w:firstLine="142"/>
        <w:jc w:val="both"/>
        <w:rPr>
          <w:lang w:val="en-GB"/>
        </w:rPr>
      </w:pPr>
    </w:p>
    <w:p w14:paraId="6736AB25" w14:textId="77E9EA31" w:rsidR="008764C2" w:rsidRPr="00590A21" w:rsidRDefault="008764C2" w:rsidP="00C215D5">
      <w:pPr>
        <w:ind w:firstLine="142"/>
        <w:jc w:val="both"/>
        <w:rPr>
          <w:lang w:val="en-GB"/>
        </w:rPr>
      </w:pPr>
      <w:r w:rsidRPr="00590A21">
        <w:rPr>
          <w:lang w:val="en-GB"/>
        </w:rPr>
        <w:t>Figure 1</w:t>
      </w:r>
      <w:r w:rsidR="003B1B40" w:rsidRPr="00590A21">
        <w:rPr>
          <w:lang w:val="en-GB"/>
        </w:rPr>
        <w:t>4</w:t>
      </w:r>
      <w:r w:rsidRPr="00590A21">
        <w:rPr>
          <w:lang w:val="en-GB"/>
        </w:rPr>
        <w:t>a and Figure 1</w:t>
      </w:r>
      <w:r w:rsidR="003B1B40" w:rsidRPr="00590A21">
        <w:rPr>
          <w:lang w:val="en-GB"/>
        </w:rPr>
        <w:t>4</w:t>
      </w:r>
      <w:r w:rsidRPr="00590A21">
        <w:rPr>
          <w:lang w:val="en-GB"/>
        </w:rPr>
        <w:t xml:space="preserve">b show the four and six layers oil and PB electric field after the PR at the operation time of 10 s </w:t>
      </w:r>
      <w:r w:rsidRPr="00590A21">
        <w:rPr>
          <w:lang w:val="en-GB"/>
        </w:rPr>
        <w:t xml:space="preserve">based on the Maxwell-Wagner theory. The transient electric field of the oil is correlated with the permittivity. The lower permittivity of the oil leads to the higher transient electric field compared to that of the PB. Comparing Figure </w:t>
      </w:r>
      <w:r w:rsidR="007C2876" w:rsidRPr="00590A21">
        <w:rPr>
          <w:lang w:val="en-GB"/>
        </w:rPr>
        <w:t>13</w:t>
      </w:r>
      <w:r w:rsidRPr="00590A21">
        <w:rPr>
          <w:lang w:val="en-GB"/>
        </w:rPr>
        <w:t xml:space="preserve">a and </w:t>
      </w:r>
      <w:r w:rsidR="00BF0C5F">
        <w:rPr>
          <w:lang w:val="en-GB"/>
        </w:rPr>
        <w:t>Figure 13</w:t>
      </w:r>
      <w:r w:rsidRPr="00590A21">
        <w:rPr>
          <w:lang w:val="en-GB"/>
        </w:rPr>
        <w:t>b to Figure 1</w:t>
      </w:r>
      <w:r w:rsidR="003B1B40" w:rsidRPr="00590A21">
        <w:rPr>
          <w:lang w:val="en-GB"/>
        </w:rPr>
        <w:t>4</w:t>
      </w:r>
      <w:r w:rsidRPr="00590A21">
        <w:rPr>
          <w:lang w:val="en-GB"/>
        </w:rPr>
        <w:t xml:space="preserve">a and </w:t>
      </w:r>
      <w:r w:rsidR="00BF0C5F">
        <w:rPr>
          <w:lang w:val="en-GB"/>
        </w:rPr>
        <w:t>Figure 14</w:t>
      </w:r>
      <w:r w:rsidRPr="00590A21">
        <w:rPr>
          <w:lang w:val="en-GB"/>
        </w:rPr>
        <w:t xml:space="preserve">b. It is clear that the transient electric field of oil is higher than that under the steady state. </w:t>
      </w:r>
    </w:p>
    <w:tbl>
      <w:tblPr>
        <w:tblStyle w:val="TableGrid"/>
        <w:tblW w:w="5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2646"/>
      </w:tblGrid>
      <w:tr w:rsidR="00532574" w:rsidRPr="00590A21" w14:paraId="721C67C6" w14:textId="77777777" w:rsidTr="008F2EDD">
        <w:tc>
          <w:tcPr>
            <w:tcW w:w="2646" w:type="dxa"/>
          </w:tcPr>
          <w:p w14:paraId="02D74F43" w14:textId="77777777" w:rsidR="00532574" w:rsidRPr="00590A21" w:rsidRDefault="00532574" w:rsidP="004B0BCF">
            <w:pPr>
              <w:rPr>
                <w:lang w:val="en-GB"/>
              </w:rPr>
            </w:pPr>
            <w:r w:rsidRPr="00590A21">
              <w:rPr>
                <w:noProof/>
                <w:lang w:val="en-GB" w:eastAsia="zh-CN"/>
              </w:rPr>
              <w:drawing>
                <wp:inline distT="0" distB="0" distL="0" distR="0" wp14:anchorId="7906C9D2" wp14:editId="147976D3">
                  <wp:extent cx="1537335" cy="115125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42846" cy="1155382"/>
                          </a:xfrm>
                          <a:prstGeom prst="rect">
                            <a:avLst/>
                          </a:prstGeom>
                        </pic:spPr>
                      </pic:pic>
                    </a:graphicData>
                  </a:graphic>
                </wp:inline>
              </w:drawing>
            </w:r>
          </w:p>
        </w:tc>
        <w:tc>
          <w:tcPr>
            <w:tcW w:w="2646" w:type="dxa"/>
          </w:tcPr>
          <w:p w14:paraId="19086521" w14:textId="77777777" w:rsidR="00532574" w:rsidRPr="00590A21" w:rsidRDefault="00532574" w:rsidP="004B0BCF">
            <w:pPr>
              <w:rPr>
                <w:lang w:val="en-GB"/>
              </w:rPr>
            </w:pPr>
            <w:r w:rsidRPr="00590A21">
              <w:rPr>
                <w:noProof/>
                <w:lang w:val="en-GB" w:eastAsia="zh-CN"/>
              </w:rPr>
              <w:drawing>
                <wp:inline distT="0" distB="0" distL="0" distR="0" wp14:anchorId="12D0481C" wp14:editId="5B6B0A46">
                  <wp:extent cx="1542422" cy="115125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52989" cy="1159142"/>
                          </a:xfrm>
                          <a:prstGeom prst="rect">
                            <a:avLst/>
                          </a:prstGeom>
                        </pic:spPr>
                      </pic:pic>
                    </a:graphicData>
                  </a:graphic>
                </wp:inline>
              </w:drawing>
            </w:r>
          </w:p>
        </w:tc>
      </w:tr>
      <w:tr w:rsidR="00532574" w:rsidRPr="00590A21" w14:paraId="44AA3F32" w14:textId="77777777" w:rsidTr="008F2EDD">
        <w:tc>
          <w:tcPr>
            <w:tcW w:w="2646" w:type="dxa"/>
          </w:tcPr>
          <w:p w14:paraId="46C5FE08" w14:textId="77777777" w:rsidR="00532574" w:rsidRPr="00590A21" w:rsidRDefault="00532574" w:rsidP="004B0BCF">
            <w:pPr>
              <w:jc w:val="center"/>
              <w:rPr>
                <w:sz w:val="16"/>
                <w:szCs w:val="16"/>
                <w:lang w:val="en-GB"/>
              </w:rPr>
            </w:pPr>
            <w:r w:rsidRPr="00590A21">
              <w:rPr>
                <w:sz w:val="16"/>
                <w:szCs w:val="16"/>
                <w:lang w:val="en-GB"/>
              </w:rPr>
              <w:t>(a) Four layers</w:t>
            </w:r>
          </w:p>
        </w:tc>
        <w:tc>
          <w:tcPr>
            <w:tcW w:w="2646" w:type="dxa"/>
          </w:tcPr>
          <w:p w14:paraId="34AF5059" w14:textId="77777777" w:rsidR="00532574" w:rsidRPr="00590A21" w:rsidRDefault="00532574" w:rsidP="004B0BCF">
            <w:pPr>
              <w:jc w:val="center"/>
              <w:rPr>
                <w:sz w:val="16"/>
                <w:szCs w:val="16"/>
                <w:lang w:val="en-GB"/>
              </w:rPr>
            </w:pPr>
            <w:r w:rsidRPr="00590A21">
              <w:rPr>
                <w:sz w:val="16"/>
                <w:szCs w:val="16"/>
                <w:lang w:val="en-GB"/>
              </w:rPr>
              <w:t>(b) Six layers</w:t>
            </w:r>
          </w:p>
        </w:tc>
      </w:tr>
      <w:tr w:rsidR="00532574" w:rsidRPr="00590A21" w14:paraId="14220AD8" w14:textId="77777777" w:rsidTr="008F2EDD">
        <w:tc>
          <w:tcPr>
            <w:tcW w:w="5292" w:type="dxa"/>
            <w:gridSpan w:val="2"/>
          </w:tcPr>
          <w:p w14:paraId="52474B56" w14:textId="370C5415" w:rsidR="00532574" w:rsidRPr="00590A21" w:rsidRDefault="00532574" w:rsidP="004B0BCF">
            <w:pPr>
              <w:jc w:val="both"/>
              <w:rPr>
                <w:lang w:val="en-GB"/>
              </w:rPr>
            </w:pPr>
            <w:r w:rsidRPr="00590A21">
              <w:rPr>
                <w:rFonts w:ascii="Arial" w:hAnsi="Arial" w:cs="Arial"/>
                <w:b/>
                <w:sz w:val="16"/>
                <w:szCs w:val="16"/>
                <w:lang w:val="en-GB"/>
              </w:rPr>
              <w:t>Figure 14</w:t>
            </w:r>
            <w:r w:rsidR="00013037">
              <w:rPr>
                <w:rFonts w:ascii="Arial" w:hAnsi="Arial" w:cs="Arial"/>
                <w:b/>
                <w:sz w:val="16"/>
                <w:szCs w:val="16"/>
                <w:lang w:val="en-GB"/>
              </w:rPr>
              <w:t>.</w:t>
            </w:r>
            <w:r w:rsidRPr="00590A21">
              <w:rPr>
                <w:rFonts w:ascii="Arial" w:hAnsi="Arial" w:cs="Arial"/>
                <w:b/>
                <w:sz w:val="16"/>
                <w:szCs w:val="16"/>
                <w:lang w:val="en-GB"/>
              </w:rPr>
              <w:t xml:space="preserve"> </w:t>
            </w:r>
            <w:r w:rsidRPr="00590A21">
              <w:rPr>
                <w:sz w:val="16"/>
                <w:szCs w:val="16"/>
                <w:lang w:val="en-GB"/>
              </w:rPr>
              <w:t>Electric field of 4 and 6 layers of oil and pressboard caused by the 1st position caused by the Maxwell-Wagner after the polarity reversal operation of 10 s</w:t>
            </w:r>
            <w:r w:rsidR="00013037">
              <w:rPr>
                <w:sz w:val="16"/>
                <w:szCs w:val="16"/>
                <w:lang w:val="en-GB"/>
              </w:rPr>
              <w:t>.</w:t>
            </w:r>
          </w:p>
        </w:tc>
      </w:tr>
    </w:tbl>
    <w:p w14:paraId="25AFE749" w14:textId="73611A94" w:rsidR="00342995" w:rsidRDefault="00C215D5" w:rsidP="00C215D5">
      <w:pPr>
        <w:ind w:firstLine="142"/>
        <w:jc w:val="both"/>
        <w:rPr>
          <w:lang w:val="en-GB"/>
        </w:rPr>
      </w:pPr>
      <w:r w:rsidRPr="00590A21">
        <w:rPr>
          <w:lang w:val="en-GB"/>
        </w:rPr>
        <w:t xml:space="preserve">Comparing Figure 14a and Figure 14b, it can be seen that the transient electric field of the oil decreases with the increased thickness of the oil. It could be explained by the </w:t>
      </w:r>
      <w:r w:rsidR="00013037">
        <w:rPr>
          <w:lang w:val="en-GB"/>
        </w:rPr>
        <w:t>E</w:t>
      </w:r>
      <w:r w:rsidRPr="00590A21">
        <w:rPr>
          <w:lang w:val="en-GB"/>
        </w:rPr>
        <w:t xml:space="preserve">quations (13) and (14), where </w:t>
      </w:r>
      <m:oMath>
        <m:sSub>
          <m:sSubPr>
            <m:ctrlPr>
              <w:rPr>
                <w:rFonts w:ascii="Cambria Math" w:hAnsi="Cambria Math"/>
                <w:lang w:val="en-GB"/>
              </w:rPr>
            </m:ctrlPr>
          </m:sSubPr>
          <m:e>
            <m:r>
              <w:rPr>
                <w:rFonts w:ascii="Cambria Math" w:hAnsi="Cambria Math"/>
                <w:lang w:val="en-GB"/>
              </w:rPr>
              <m:t>ε</m:t>
            </m:r>
          </m:e>
          <m:sub>
            <m:r>
              <m:rPr>
                <m:sty m:val="p"/>
              </m:rPr>
              <w:rPr>
                <w:rFonts w:ascii="Cambria Math" w:hAnsi="Cambria Math"/>
                <w:lang w:val="en-GB"/>
              </w:rPr>
              <m:t>1</m:t>
            </m:r>
          </m:sub>
        </m:sSub>
      </m:oMath>
      <w:r w:rsidRPr="00590A21">
        <w:rPr>
          <w:lang w:val="en-GB"/>
        </w:rPr>
        <w:t xml:space="preserve"> represents permittivity of oil and </w:t>
      </w:r>
      <m:oMath>
        <m:sSub>
          <m:sSubPr>
            <m:ctrlPr>
              <w:rPr>
                <w:rFonts w:ascii="Cambria Math" w:hAnsi="Cambria Math"/>
                <w:lang w:val="en-GB"/>
              </w:rPr>
            </m:ctrlPr>
          </m:sSubPr>
          <m:e>
            <m:r>
              <w:rPr>
                <w:rFonts w:ascii="Cambria Math" w:hAnsi="Cambria Math"/>
                <w:lang w:val="en-GB"/>
              </w:rPr>
              <m:t>ε</m:t>
            </m:r>
          </m:e>
          <m:sub>
            <m:r>
              <m:rPr>
                <m:sty m:val="p"/>
              </m:rPr>
              <w:rPr>
                <w:rFonts w:ascii="Cambria Math" w:hAnsi="Cambria Math"/>
                <w:lang w:val="en-GB"/>
              </w:rPr>
              <m:t>2</m:t>
            </m:r>
          </m:sub>
        </m:sSub>
      </m:oMath>
      <w:r w:rsidRPr="00590A21">
        <w:rPr>
          <w:lang w:val="en-GB"/>
        </w:rPr>
        <w:t xml:space="preserve"> is the PB with </w:t>
      </w:r>
      <m:oMath>
        <m:sSub>
          <m:sSubPr>
            <m:ctrlPr>
              <w:rPr>
                <w:rFonts w:ascii="Cambria Math" w:hAnsi="Cambria Math"/>
                <w:lang w:val="en-GB"/>
              </w:rPr>
            </m:ctrlPr>
          </m:sSubPr>
          <m:e>
            <m:r>
              <w:rPr>
                <w:rFonts w:ascii="Cambria Math" w:hAnsi="Cambria Math"/>
                <w:lang w:val="en-GB"/>
              </w:rPr>
              <m:t>ε</m:t>
            </m:r>
          </m:e>
          <m:sub>
            <m:r>
              <m:rPr>
                <m:sty m:val="p"/>
              </m:rPr>
              <w:rPr>
                <w:rFonts w:ascii="Cambria Math" w:hAnsi="Cambria Math"/>
                <w:lang w:val="en-GB"/>
              </w:rPr>
              <m:t>2</m:t>
            </m:r>
          </m:sub>
        </m:sSub>
      </m:oMath>
      <w:r w:rsidRPr="00590A21">
        <w:rPr>
          <w:lang w:val="en-GB"/>
        </w:rPr>
        <w:t xml:space="preserve"> higher </w:t>
      </w:r>
      <w:proofErr w:type="gramStart"/>
      <w:r w:rsidRPr="00590A21">
        <w:rPr>
          <w:lang w:val="en-GB"/>
        </w:rPr>
        <w:t xml:space="preserve">than </w:t>
      </w:r>
      <w:proofErr w:type="gramEnd"/>
      <m:oMath>
        <m:sSub>
          <m:sSubPr>
            <m:ctrlPr>
              <w:rPr>
                <w:rFonts w:ascii="Cambria Math" w:hAnsi="Cambria Math"/>
                <w:lang w:val="en-GB"/>
              </w:rPr>
            </m:ctrlPr>
          </m:sSubPr>
          <m:e>
            <m:r>
              <w:rPr>
                <w:rFonts w:ascii="Cambria Math" w:hAnsi="Cambria Math"/>
                <w:lang w:val="en-GB"/>
              </w:rPr>
              <m:t>ε</m:t>
            </m:r>
          </m:e>
          <m:sub>
            <m:r>
              <m:rPr>
                <m:sty m:val="p"/>
              </m:rPr>
              <w:rPr>
                <w:rFonts w:ascii="Cambria Math" w:hAnsi="Cambria Math"/>
                <w:lang w:val="en-GB"/>
              </w:rPr>
              <m:t>1</m:t>
            </m:r>
          </m:sub>
        </m:sSub>
      </m:oMath>
      <w:r w:rsidRPr="00590A21">
        <w:rPr>
          <w:lang w:val="en-GB"/>
        </w:rPr>
        <w:t xml:space="preserve">. It shows that the transient electric field of each layer decreases with increased oil thickness based on </w:t>
      </w:r>
      <w:r w:rsidR="00013037">
        <w:rPr>
          <w:lang w:val="en-GB"/>
        </w:rPr>
        <w:t>E</w:t>
      </w:r>
      <w:r w:rsidRPr="00590A21">
        <w:rPr>
          <w:lang w:val="en-GB"/>
        </w:rPr>
        <w:t xml:space="preserve">quation (13). Moreover, the transient electric field of each layer increases with the increased thickness of PB based on </w:t>
      </w:r>
      <w:r w:rsidR="00013037">
        <w:rPr>
          <w:lang w:val="en-GB"/>
        </w:rPr>
        <w:t>E</w:t>
      </w:r>
      <w:r w:rsidRPr="00590A21">
        <w:rPr>
          <w:lang w:val="en-GB"/>
        </w:rPr>
        <w:t>quation (14).</w:t>
      </w:r>
    </w:p>
    <w:tbl>
      <w:tblPr>
        <w:tblStyle w:val="TableGrid"/>
        <w:tblW w:w="52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8"/>
        <w:gridCol w:w="966"/>
      </w:tblGrid>
      <w:tr w:rsidR="00342995" w:rsidRPr="00590A21" w14:paraId="5720F860" w14:textId="77777777" w:rsidTr="008F2EDD">
        <w:trPr>
          <w:trHeight w:val="497"/>
        </w:trPr>
        <w:tc>
          <w:tcPr>
            <w:tcW w:w="0" w:type="auto"/>
          </w:tcPr>
          <w:p w14:paraId="47B78DDE" w14:textId="77777777" w:rsidR="00342995" w:rsidRPr="00590A21" w:rsidRDefault="008C0681" w:rsidP="004C18BD">
            <w:pPr>
              <w:jc w:val="both"/>
              <w:rPr>
                <w:sz w:val="18"/>
                <w:szCs w:val="18"/>
                <w:lang w:val="en-GB"/>
              </w:rPr>
            </w:pPr>
            <m:oMathPara>
              <m:oMath>
                <m:sSub>
                  <m:sSubPr>
                    <m:ctrlPr>
                      <w:rPr>
                        <w:rFonts w:ascii="Cambria Math" w:hAnsi="Cambria Math"/>
                        <w:i/>
                        <w:sz w:val="18"/>
                        <w:szCs w:val="18"/>
                        <w:lang w:val="en-GB"/>
                      </w:rPr>
                    </m:ctrlPr>
                  </m:sSubPr>
                  <m:e>
                    <m:r>
                      <w:rPr>
                        <w:rFonts w:ascii="Cambria Math" w:hAnsi="Cambria Math"/>
                        <w:sz w:val="18"/>
                        <w:szCs w:val="18"/>
                        <w:lang w:val="en-GB"/>
                      </w:rPr>
                      <m:t>E</m:t>
                    </m:r>
                  </m:e>
                  <m:sub>
                    <m:r>
                      <w:rPr>
                        <w:rFonts w:ascii="Cambria Math" w:hAnsi="Cambria Math"/>
                        <w:sz w:val="18"/>
                        <w:szCs w:val="18"/>
                        <w:lang w:val="en-GB"/>
                      </w:rPr>
                      <m:t>M</m:t>
                    </m:r>
                  </m:sub>
                </m:sSub>
                <m:r>
                  <w:rPr>
                    <w:rFonts w:ascii="Cambria Math" w:hAnsi="Cambria Math"/>
                    <w:sz w:val="18"/>
                    <w:szCs w:val="18"/>
                    <w:lang w:val="en-GB"/>
                  </w:rPr>
                  <m:t>=</m:t>
                </m:r>
                <m:f>
                  <m:fPr>
                    <m:ctrlPr>
                      <w:rPr>
                        <w:rFonts w:ascii="Cambria Math" w:hAnsi="Cambria Math"/>
                        <w:i/>
                        <w:sz w:val="18"/>
                        <w:szCs w:val="18"/>
                        <w:lang w:val="en-GB"/>
                      </w:rPr>
                    </m:ctrlPr>
                  </m:fPr>
                  <m:num>
                    <m:sSub>
                      <m:sSubPr>
                        <m:ctrlPr>
                          <w:rPr>
                            <w:rFonts w:ascii="Cambria Math" w:hAnsi="Cambria Math"/>
                            <w:i/>
                            <w:sz w:val="18"/>
                            <w:szCs w:val="18"/>
                            <w:lang w:val="en-GB"/>
                          </w:rPr>
                        </m:ctrlPr>
                      </m:sSubPr>
                      <m:e>
                        <m:r>
                          <w:rPr>
                            <w:rFonts w:ascii="Cambria Math" w:hAnsi="Cambria Math"/>
                            <w:sz w:val="18"/>
                            <w:szCs w:val="18"/>
                            <w:lang w:val="en-GB"/>
                          </w:rPr>
                          <m:t>E</m:t>
                        </m:r>
                      </m:e>
                      <m:sub>
                        <m:r>
                          <w:rPr>
                            <w:rFonts w:ascii="Cambria Math" w:hAnsi="Cambria Math"/>
                            <w:sz w:val="18"/>
                            <w:szCs w:val="18"/>
                            <w:lang w:val="en-GB"/>
                          </w:rPr>
                          <m:t>av</m:t>
                        </m:r>
                      </m:sub>
                    </m:sSub>
                    <m:r>
                      <w:rPr>
                        <w:rFonts w:ascii="Cambria Math" w:hAnsi="Cambria Math"/>
                        <w:sz w:val="18"/>
                        <w:szCs w:val="18"/>
                        <w:lang w:val="en-GB"/>
                      </w:rPr>
                      <m:t>d</m:t>
                    </m:r>
                  </m:num>
                  <m:den>
                    <m:f>
                      <m:fPr>
                        <m:ctrlPr>
                          <w:rPr>
                            <w:rFonts w:ascii="Cambria Math" w:hAnsi="Cambria Math"/>
                            <w:i/>
                            <w:sz w:val="18"/>
                            <w:szCs w:val="18"/>
                            <w:lang w:val="en-GB"/>
                          </w:rPr>
                        </m:ctrlPr>
                      </m:fPr>
                      <m:num>
                        <m:sSub>
                          <m:sSubPr>
                            <m:ctrlPr>
                              <w:rPr>
                                <w:rFonts w:ascii="Cambria Math" w:hAnsi="Cambria Math"/>
                                <w:i/>
                                <w:sz w:val="18"/>
                                <w:szCs w:val="18"/>
                                <w:lang w:val="en-GB"/>
                              </w:rPr>
                            </m:ctrlPr>
                          </m:sSubPr>
                          <m:e>
                            <m:r>
                              <w:rPr>
                                <w:rFonts w:ascii="Cambria Math" w:hAnsi="Cambria Math"/>
                                <w:sz w:val="18"/>
                                <w:szCs w:val="18"/>
                                <w:lang w:val="en-GB"/>
                              </w:rPr>
                              <m:t>ε</m:t>
                            </m:r>
                          </m:e>
                          <m:sub>
                            <m:r>
                              <w:rPr>
                                <w:rFonts w:ascii="Cambria Math" w:hAnsi="Cambria Math"/>
                                <w:sz w:val="18"/>
                                <w:szCs w:val="18"/>
                                <w:lang w:val="en-GB"/>
                              </w:rPr>
                              <m:t>M</m:t>
                            </m:r>
                          </m:sub>
                        </m:sSub>
                      </m:num>
                      <m:den>
                        <m:sSub>
                          <m:sSubPr>
                            <m:ctrlPr>
                              <w:rPr>
                                <w:rFonts w:ascii="Cambria Math" w:hAnsi="Cambria Math"/>
                                <w:i/>
                                <w:sz w:val="18"/>
                                <w:szCs w:val="18"/>
                                <w:lang w:val="en-GB"/>
                              </w:rPr>
                            </m:ctrlPr>
                          </m:sSubPr>
                          <m:e>
                            <m:r>
                              <w:rPr>
                                <w:rFonts w:ascii="Cambria Math" w:hAnsi="Cambria Math"/>
                                <w:sz w:val="18"/>
                                <w:szCs w:val="18"/>
                                <w:lang w:val="en-GB"/>
                              </w:rPr>
                              <m:t>ε</m:t>
                            </m:r>
                          </m:e>
                          <m:sub>
                            <m:r>
                              <w:rPr>
                                <w:rFonts w:ascii="Cambria Math" w:hAnsi="Cambria Math"/>
                                <w:sz w:val="18"/>
                                <w:szCs w:val="18"/>
                                <w:lang w:val="en-GB"/>
                              </w:rPr>
                              <m:t>1</m:t>
                            </m:r>
                          </m:sub>
                        </m:sSub>
                        <m:sSub>
                          <m:sSubPr>
                            <m:ctrlPr>
                              <w:rPr>
                                <w:rFonts w:ascii="Cambria Math" w:hAnsi="Cambria Math"/>
                                <w:i/>
                                <w:sz w:val="18"/>
                                <w:szCs w:val="18"/>
                                <w:lang w:val="en-GB"/>
                              </w:rPr>
                            </m:ctrlPr>
                          </m:sSubPr>
                          <m:e>
                            <m:r>
                              <w:rPr>
                                <w:rFonts w:ascii="Cambria Math" w:hAnsi="Cambria Math"/>
                                <w:sz w:val="18"/>
                                <w:szCs w:val="18"/>
                                <w:lang w:val="en-GB"/>
                              </w:rPr>
                              <m:t>ε</m:t>
                            </m:r>
                          </m:e>
                          <m:sub>
                            <m:r>
                              <w:rPr>
                                <w:rFonts w:ascii="Cambria Math" w:hAnsi="Cambria Math"/>
                                <w:sz w:val="18"/>
                                <w:szCs w:val="18"/>
                                <w:lang w:val="en-GB"/>
                              </w:rPr>
                              <m:t>2</m:t>
                            </m:r>
                          </m:sub>
                        </m:sSub>
                      </m:den>
                    </m:f>
                    <m:r>
                      <w:rPr>
                        <w:rFonts w:ascii="Cambria Math" w:hAnsi="Cambria Math"/>
                        <w:sz w:val="18"/>
                        <w:szCs w:val="18"/>
                        <w:lang w:val="en-GB"/>
                      </w:rPr>
                      <m:t>(</m:t>
                    </m:r>
                    <m:sSub>
                      <m:sSubPr>
                        <m:ctrlPr>
                          <w:rPr>
                            <w:rFonts w:ascii="Cambria Math" w:hAnsi="Cambria Math"/>
                            <w:i/>
                            <w:sz w:val="18"/>
                            <w:szCs w:val="18"/>
                            <w:lang w:val="en-GB"/>
                          </w:rPr>
                        </m:ctrlPr>
                      </m:sSubPr>
                      <m:e>
                        <m:r>
                          <w:rPr>
                            <w:rFonts w:ascii="Cambria Math" w:hAnsi="Cambria Math"/>
                            <w:sz w:val="18"/>
                            <w:szCs w:val="18"/>
                            <w:lang w:val="en-GB"/>
                          </w:rPr>
                          <m:t>ε</m:t>
                        </m:r>
                      </m:e>
                      <m:sub>
                        <m:r>
                          <w:rPr>
                            <w:rFonts w:ascii="Cambria Math" w:hAnsi="Cambria Math"/>
                            <w:sz w:val="18"/>
                            <w:szCs w:val="18"/>
                            <w:lang w:val="en-GB"/>
                          </w:rPr>
                          <m:t>1</m:t>
                        </m:r>
                      </m:sub>
                    </m:sSub>
                    <m:r>
                      <w:rPr>
                        <w:rFonts w:ascii="Cambria Math" w:hAnsi="Cambria Math"/>
                        <w:sz w:val="18"/>
                        <w:szCs w:val="18"/>
                        <w:lang w:val="en-GB"/>
                      </w:rPr>
                      <m:t>d+(</m:t>
                    </m:r>
                    <m:sSub>
                      <m:sSubPr>
                        <m:ctrlPr>
                          <w:rPr>
                            <w:rFonts w:ascii="Cambria Math" w:hAnsi="Cambria Math"/>
                            <w:i/>
                            <w:sz w:val="18"/>
                            <w:szCs w:val="18"/>
                            <w:lang w:val="en-GB"/>
                          </w:rPr>
                        </m:ctrlPr>
                      </m:sSubPr>
                      <m:e>
                        <m:r>
                          <w:rPr>
                            <w:rFonts w:ascii="Cambria Math" w:hAnsi="Cambria Math"/>
                            <w:sz w:val="18"/>
                            <w:szCs w:val="18"/>
                            <w:lang w:val="en-GB"/>
                          </w:rPr>
                          <m:t>ε</m:t>
                        </m:r>
                      </m:e>
                      <m:sub>
                        <m:r>
                          <w:rPr>
                            <w:rFonts w:ascii="Cambria Math" w:hAnsi="Cambria Math"/>
                            <w:sz w:val="18"/>
                            <w:szCs w:val="18"/>
                            <w:lang w:val="en-GB"/>
                          </w:rPr>
                          <m:t>2</m:t>
                        </m:r>
                      </m:sub>
                    </m:sSub>
                    <m:r>
                      <w:rPr>
                        <w:rFonts w:ascii="Cambria Math" w:hAnsi="Cambria Math"/>
                        <w:sz w:val="18"/>
                        <w:szCs w:val="18"/>
                        <w:lang w:val="en-GB"/>
                      </w:rPr>
                      <m:t>-</m:t>
                    </m:r>
                    <m:sSub>
                      <m:sSubPr>
                        <m:ctrlPr>
                          <w:rPr>
                            <w:rFonts w:ascii="Cambria Math" w:hAnsi="Cambria Math"/>
                            <w:i/>
                            <w:sz w:val="18"/>
                            <w:szCs w:val="18"/>
                            <w:lang w:val="en-GB"/>
                          </w:rPr>
                        </m:ctrlPr>
                      </m:sSubPr>
                      <m:e>
                        <m:r>
                          <w:rPr>
                            <w:rFonts w:ascii="Cambria Math" w:hAnsi="Cambria Math"/>
                            <w:sz w:val="18"/>
                            <w:szCs w:val="18"/>
                            <w:lang w:val="en-GB"/>
                          </w:rPr>
                          <m:t>ε</m:t>
                        </m:r>
                      </m:e>
                      <m:sub>
                        <m:r>
                          <w:rPr>
                            <w:rFonts w:ascii="Cambria Math" w:hAnsi="Cambria Math"/>
                            <w:sz w:val="18"/>
                            <w:szCs w:val="18"/>
                            <w:lang w:val="en-GB"/>
                          </w:rPr>
                          <m:t>1</m:t>
                        </m:r>
                      </m:sub>
                    </m:sSub>
                    <m:r>
                      <w:rPr>
                        <w:rFonts w:ascii="Cambria Math" w:hAnsi="Cambria Math"/>
                        <w:sz w:val="18"/>
                        <w:szCs w:val="18"/>
                        <w:lang w:val="en-GB"/>
                      </w:rPr>
                      <m:t>)a)</m:t>
                    </m:r>
                  </m:den>
                </m:f>
              </m:oMath>
            </m:oMathPara>
          </w:p>
        </w:tc>
        <w:tc>
          <w:tcPr>
            <w:tcW w:w="0" w:type="auto"/>
          </w:tcPr>
          <w:p w14:paraId="67CA4E0B" w14:textId="77777777" w:rsidR="00342995" w:rsidRPr="00590A21" w:rsidRDefault="00342995" w:rsidP="004C18BD">
            <w:pPr>
              <w:jc w:val="right"/>
              <w:rPr>
                <w:lang w:val="en-GB"/>
              </w:rPr>
            </w:pPr>
            <w:r w:rsidRPr="00590A21">
              <w:rPr>
                <w:lang w:val="en-GB"/>
              </w:rPr>
              <w:t>(13)</w:t>
            </w:r>
          </w:p>
        </w:tc>
      </w:tr>
      <w:tr w:rsidR="00342995" w:rsidRPr="00590A21" w14:paraId="68AF0641" w14:textId="77777777" w:rsidTr="008F2EDD">
        <w:trPr>
          <w:trHeight w:val="497"/>
        </w:trPr>
        <w:tc>
          <w:tcPr>
            <w:tcW w:w="0" w:type="auto"/>
          </w:tcPr>
          <w:p w14:paraId="26E568CC" w14:textId="77777777" w:rsidR="00342995" w:rsidRPr="00590A21" w:rsidRDefault="008C0681" w:rsidP="004C18BD">
            <w:pPr>
              <w:jc w:val="both"/>
              <w:rPr>
                <w:sz w:val="18"/>
                <w:szCs w:val="18"/>
                <w:lang w:val="en-GB"/>
              </w:rPr>
            </w:pPr>
            <m:oMathPara>
              <m:oMath>
                <m:sSub>
                  <m:sSubPr>
                    <m:ctrlPr>
                      <w:rPr>
                        <w:rFonts w:ascii="Cambria Math" w:hAnsi="Cambria Math"/>
                        <w:i/>
                        <w:sz w:val="18"/>
                        <w:szCs w:val="18"/>
                        <w:lang w:val="en-GB"/>
                      </w:rPr>
                    </m:ctrlPr>
                  </m:sSubPr>
                  <m:e>
                    <m:r>
                      <w:rPr>
                        <w:rFonts w:ascii="Cambria Math" w:hAnsi="Cambria Math"/>
                        <w:sz w:val="18"/>
                        <w:szCs w:val="18"/>
                        <w:lang w:val="en-GB"/>
                      </w:rPr>
                      <m:t>E</m:t>
                    </m:r>
                  </m:e>
                  <m:sub>
                    <m:r>
                      <w:rPr>
                        <w:rFonts w:ascii="Cambria Math" w:hAnsi="Cambria Math"/>
                        <w:sz w:val="18"/>
                        <w:szCs w:val="18"/>
                        <w:lang w:val="en-GB"/>
                      </w:rPr>
                      <m:t>M</m:t>
                    </m:r>
                  </m:sub>
                </m:sSub>
                <m:r>
                  <w:rPr>
                    <w:rFonts w:ascii="Cambria Math" w:hAnsi="Cambria Math"/>
                    <w:sz w:val="18"/>
                    <w:szCs w:val="18"/>
                    <w:lang w:val="en-GB"/>
                  </w:rPr>
                  <m:t>=</m:t>
                </m:r>
                <m:f>
                  <m:fPr>
                    <m:ctrlPr>
                      <w:rPr>
                        <w:rFonts w:ascii="Cambria Math" w:hAnsi="Cambria Math"/>
                        <w:i/>
                        <w:sz w:val="18"/>
                        <w:szCs w:val="18"/>
                        <w:lang w:val="en-GB"/>
                      </w:rPr>
                    </m:ctrlPr>
                  </m:fPr>
                  <m:num>
                    <m:sSub>
                      <m:sSubPr>
                        <m:ctrlPr>
                          <w:rPr>
                            <w:rFonts w:ascii="Cambria Math" w:hAnsi="Cambria Math"/>
                            <w:i/>
                            <w:sz w:val="18"/>
                            <w:szCs w:val="18"/>
                            <w:lang w:val="en-GB"/>
                          </w:rPr>
                        </m:ctrlPr>
                      </m:sSubPr>
                      <m:e>
                        <m:r>
                          <w:rPr>
                            <w:rFonts w:ascii="Cambria Math" w:hAnsi="Cambria Math"/>
                            <w:sz w:val="18"/>
                            <w:szCs w:val="18"/>
                            <w:lang w:val="en-GB"/>
                          </w:rPr>
                          <m:t>E</m:t>
                        </m:r>
                      </m:e>
                      <m:sub>
                        <m:r>
                          <w:rPr>
                            <w:rFonts w:ascii="Cambria Math" w:hAnsi="Cambria Math"/>
                            <w:sz w:val="18"/>
                            <w:szCs w:val="18"/>
                            <w:lang w:val="en-GB"/>
                          </w:rPr>
                          <m:t>av</m:t>
                        </m:r>
                      </m:sub>
                    </m:sSub>
                    <m:r>
                      <w:rPr>
                        <w:rFonts w:ascii="Cambria Math" w:hAnsi="Cambria Math"/>
                        <w:sz w:val="18"/>
                        <w:szCs w:val="18"/>
                        <w:lang w:val="en-GB"/>
                      </w:rPr>
                      <m:t>d</m:t>
                    </m:r>
                  </m:num>
                  <m:den>
                    <m:f>
                      <m:fPr>
                        <m:ctrlPr>
                          <w:rPr>
                            <w:rFonts w:ascii="Cambria Math" w:hAnsi="Cambria Math"/>
                            <w:i/>
                            <w:sz w:val="18"/>
                            <w:szCs w:val="18"/>
                            <w:lang w:val="en-GB"/>
                          </w:rPr>
                        </m:ctrlPr>
                      </m:fPr>
                      <m:num>
                        <m:sSub>
                          <m:sSubPr>
                            <m:ctrlPr>
                              <w:rPr>
                                <w:rFonts w:ascii="Cambria Math" w:hAnsi="Cambria Math"/>
                                <w:i/>
                                <w:sz w:val="18"/>
                                <w:szCs w:val="18"/>
                                <w:lang w:val="en-GB"/>
                              </w:rPr>
                            </m:ctrlPr>
                          </m:sSubPr>
                          <m:e>
                            <m:r>
                              <w:rPr>
                                <w:rFonts w:ascii="Cambria Math" w:hAnsi="Cambria Math"/>
                                <w:sz w:val="18"/>
                                <w:szCs w:val="18"/>
                                <w:lang w:val="en-GB"/>
                              </w:rPr>
                              <m:t>ε</m:t>
                            </m:r>
                          </m:e>
                          <m:sub>
                            <m:r>
                              <w:rPr>
                                <w:rFonts w:ascii="Cambria Math" w:hAnsi="Cambria Math"/>
                                <w:sz w:val="18"/>
                                <w:szCs w:val="18"/>
                                <w:lang w:val="en-GB"/>
                              </w:rPr>
                              <m:t>M</m:t>
                            </m:r>
                          </m:sub>
                        </m:sSub>
                      </m:num>
                      <m:den>
                        <m:sSub>
                          <m:sSubPr>
                            <m:ctrlPr>
                              <w:rPr>
                                <w:rFonts w:ascii="Cambria Math" w:hAnsi="Cambria Math"/>
                                <w:i/>
                                <w:sz w:val="18"/>
                                <w:szCs w:val="18"/>
                                <w:lang w:val="en-GB"/>
                              </w:rPr>
                            </m:ctrlPr>
                          </m:sSubPr>
                          <m:e>
                            <m:r>
                              <w:rPr>
                                <w:rFonts w:ascii="Cambria Math" w:hAnsi="Cambria Math"/>
                                <w:sz w:val="18"/>
                                <w:szCs w:val="18"/>
                                <w:lang w:val="en-GB"/>
                              </w:rPr>
                              <m:t>ε</m:t>
                            </m:r>
                          </m:e>
                          <m:sub>
                            <m:r>
                              <w:rPr>
                                <w:rFonts w:ascii="Cambria Math" w:hAnsi="Cambria Math"/>
                                <w:sz w:val="18"/>
                                <w:szCs w:val="18"/>
                                <w:lang w:val="en-GB"/>
                              </w:rPr>
                              <m:t>1</m:t>
                            </m:r>
                          </m:sub>
                        </m:sSub>
                        <m:sSub>
                          <m:sSubPr>
                            <m:ctrlPr>
                              <w:rPr>
                                <w:rFonts w:ascii="Cambria Math" w:hAnsi="Cambria Math"/>
                                <w:i/>
                                <w:sz w:val="18"/>
                                <w:szCs w:val="18"/>
                                <w:lang w:val="en-GB"/>
                              </w:rPr>
                            </m:ctrlPr>
                          </m:sSubPr>
                          <m:e>
                            <m:r>
                              <w:rPr>
                                <w:rFonts w:ascii="Cambria Math" w:hAnsi="Cambria Math"/>
                                <w:sz w:val="18"/>
                                <w:szCs w:val="18"/>
                                <w:lang w:val="en-GB"/>
                              </w:rPr>
                              <m:t>ε</m:t>
                            </m:r>
                          </m:e>
                          <m:sub>
                            <m:r>
                              <w:rPr>
                                <w:rFonts w:ascii="Cambria Math" w:hAnsi="Cambria Math"/>
                                <w:sz w:val="18"/>
                                <w:szCs w:val="18"/>
                                <w:lang w:val="en-GB"/>
                              </w:rPr>
                              <m:t>2</m:t>
                            </m:r>
                          </m:sub>
                        </m:sSub>
                      </m:den>
                    </m:f>
                    <m:r>
                      <w:rPr>
                        <w:rFonts w:ascii="Cambria Math" w:hAnsi="Cambria Math"/>
                        <w:sz w:val="18"/>
                        <w:szCs w:val="18"/>
                        <w:lang w:val="en-GB"/>
                      </w:rPr>
                      <m:t>(</m:t>
                    </m:r>
                    <m:sSub>
                      <m:sSubPr>
                        <m:ctrlPr>
                          <w:rPr>
                            <w:rFonts w:ascii="Cambria Math" w:hAnsi="Cambria Math"/>
                            <w:i/>
                            <w:sz w:val="18"/>
                            <w:szCs w:val="18"/>
                            <w:lang w:val="en-GB"/>
                          </w:rPr>
                        </m:ctrlPr>
                      </m:sSubPr>
                      <m:e>
                        <m:r>
                          <w:rPr>
                            <w:rFonts w:ascii="Cambria Math" w:hAnsi="Cambria Math"/>
                            <w:sz w:val="18"/>
                            <w:szCs w:val="18"/>
                            <w:lang w:val="en-GB"/>
                          </w:rPr>
                          <m:t>ε</m:t>
                        </m:r>
                      </m:e>
                      <m:sub>
                        <m:r>
                          <w:rPr>
                            <w:rFonts w:ascii="Cambria Math" w:hAnsi="Cambria Math"/>
                            <w:sz w:val="18"/>
                            <w:szCs w:val="18"/>
                            <w:lang w:val="en-GB"/>
                          </w:rPr>
                          <m:t>2</m:t>
                        </m:r>
                      </m:sub>
                    </m:sSub>
                    <m:r>
                      <w:rPr>
                        <w:rFonts w:ascii="Cambria Math" w:hAnsi="Cambria Math"/>
                        <w:sz w:val="18"/>
                        <w:szCs w:val="18"/>
                        <w:lang w:val="en-GB"/>
                      </w:rPr>
                      <m:t>d+(</m:t>
                    </m:r>
                    <m:sSub>
                      <m:sSubPr>
                        <m:ctrlPr>
                          <w:rPr>
                            <w:rFonts w:ascii="Cambria Math" w:hAnsi="Cambria Math"/>
                            <w:i/>
                            <w:sz w:val="18"/>
                            <w:szCs w:val="18"/>
                            <w:lang w:val="en-GB"/>
                          </w:rPr>
                        </m:ctrlPr>
                      </m:sSubPr>
                      <m:e>
                        <m:r>
                          <w:rPr>
                            <w:rFonts w:ascii="Cambria Math" w:hAnsi="Cambria Math"/>
                            <w:sz w:val="18"/>
                            <w:szCs w:val="18"/>
                            <w:lang w:val="en-GB"/>
                          </w:rPr>
                          <m:t>ε</m:t>
                        </m:r>
                      </m:e>
                      <m:sub>
                        <m:r>
                          <w:rPr>
                            <w:rFonts w:ascii="Cambria Math" w:hAnsi="Cambria Math"/>
                            <w:sz w:val="18"/>
                            <w:szCs w:val="18"/>
                            <w:lang w:val="en-GB"/>
                          </w:rPr>
                          <m:t>1</m:t>
                        </m:r>
                      </m:sub>
                    </m:sSub>
                    <m:r>
                      <w:rPr>
                        <w:rFonts w:ascii="Cambria Math" w:hAnsi="Cambria Math"/>
                        <w:sz w:val="18"/>
                        <w:szCs w:val="18"/>
                        <w:lang w:val="en-GB"/>
                      </w:rPr>
                      <m:t>-</m:t>
                    </m:r>
                    <m:sSub>
                      <m:sSubPr>
                        <m:ctrlPr>
                          <w:rPr>
                            <w:rFonts w:ascii="Cambria Math" w:hAnsi="Cambria Math"/>
                            <w:i/>
                            <w:sz w:val="18"/>
                            <w:szCs w:val="18"/>
                            <w:lang w:val="en-GB"/>
                          </w:rPr>
                        </m:ctrlPr>
                      </m:sSubPr>
                      <m:e>
                        <m:r>
                          <w:rPr>
                            <w:rFonts w:ascii="Cambria Math" w:hAnsi="Cambria Math"/>
                            <w:sz w:val="18"/>
                            <w:szCs w:val="18"/>
                            <w:lang w:val="en-GB"/>
                          </w:rPr>
                          <m:t>ε</m:t>
                        </m:r>
                      </m:e>
                      <m:sub>
                        <m:r>
                          <w:rPr>
                            <w:rFonts w:ascii="Cambria Math" w:hAnsi="Cambria Math"/>
                            <w:sz w:val="18"/>
                            <w:szCs w:val="18"/>
                            <w:lang w:val="en-GB"/>
                          </w:rPr>
                          <m:t>2</m:t>
                        </m:r>
                      </m:sub>
                    </m:sSub>
                    <m:r>
                      <w:rPr>
                        <w:rFonts w:ascii="Cambria Math" w:hAnsi="Cambria Math"/>
                        <w:sz w:val="18"/>
                        <w:szCs w:val="18"/>
                        <w:lang w:val="en-GB"/>
                      </w:rPr>
                      <m:t>)b)</m:t>
                    </m:r>
                  </m:den>
                </m:f>
              </m:oMath>
            </m:oMathPara>
          </w:p>
        </w:tc>
        <w:tc>
          <w:tcPr>
            <w:tcW w:w="0" w:type="auto"/>
          </w:tcPr>
          <w:p w14:paraId="49F21F7E" w14:textId="77777777" w:rsidR="00342995" w:rsidRPr="00590A21" w:rsidRDefault="00342995" w:rsidP="004C18BD">
            <w:pPr>
              <w:jc w:val="right"/>
              <w:rPr>
                <w:lang w:val="en-GB"/>
              </w:rPr>
            </w:pPr>
            <w:r w:rsidRPr="00590A21">
              <w:rPr>
                <w:lang w:val="en-GB"/>
              </w:rPr>
              <w:t>(14)</w:t>
            </w:r>
          </w:p>
        </w:tc>
      </w:tr>
    </w:tbl>
    <w:p w14:paraId="6EFE5DD1" w14:textId="06540C73" w:rsidR="008764C2" w:rsidRPr="00590A21" w:rsidRDefault="008764C2" w:rsidP="00207C46">
      <w:pPr>
        <w:ind w:firstLine="142"/>
        <w:jc w:val="both"/>
        <w:rPr>
          <w:lang w:val="en-GB"/>
        </w:rPr>
      </w:pPr>
      <w:r w:rsidRPr="00CB7E91">
        <w:rPr>
          <w:lang w:val="en-GB"/>
        </w:rPr>
        <w:t>Figure 1</w:t>
      </w:r>
      <w:r w:rsidR="00AC390C" w:rsidRPr="00CB7E91">
        <w:rPr>
          <w:lang w:val="en-GB"/>
        </w:rPr>
        <w:t>5</w:t>
      </w:r>
      <w:r w:rsidRPr="00CB7E91">
        <w:rPr>
          <w:lang w:val="en-GB"/>
        </w:rPr>
        <w:t xml:space="preserve">a and </w:t>
      </w:r>
      <w:r w:rsidR="00BF0C5F">
        <w:rPr>
          <w:lang w:val="en-GB"/>
        </w:rPr>
        <w:t>Figure 15</w:t>
      </w:r>
      <w:r w:rsidRPr="00CB7E91">
        <w:rPr>
          <w:lang w:val="en-GB"/>
        </w:rPr>
        <w:t>b show a steady state electric field based on the space charge. It shows that the electric field of the PB is enhanced while the electric field of the oil is decreased compared to the external average electric field. This is due to the charge in the PB, which creates the electric field in the same direction as the external electric field. However, the charge in the oil can generate the electric in the opposite direction to the external electric field, leading to the decrease of the electric field in the oil.</w:t>
      </w:r>
      <w:r w:rsidRPr="00590A21">
        <w:rPr>
          <w:lang w:val="en-GB"/>
        </w:rPr>
        <w:t xml:space="preserve"> </w:t>
      </w:r>
    </w:p>
    <w:p w14:paraId="2F621210" w14:textId="20AF630C" w:rsidR="008764C2" w:rsidRPr="00590A21" w:rsidRDefault="008764C2" w:rsidP="00207C46">
      <w:pPr>
        <w:ind w:firstLine="142"/>
        <w:jc w:val="both"/>
        <w:rPr>
          <w:lang w:val="en-GB"/>
        </w:rPr>
      </w:pPr>
      <w:r w:rsidRPr="00590A21">
        <w:rPr>
          <w:lang w:val="en-GB"/>
        </w:rPr>
        <w:t>Moreover, there is the electric field gradient in four and six layers oil and PB based on the space charge. In Figure 1</w:t>
      </w:r>
      <w:r w:rsidR="00AC390C" w:rsidRPr="00590A21">
        <w:rPr>
          <w:lang w:val="en-GB"/>
        </w:rPr>
        <w:t>5</w:t>
      </w:r>
      <w:r w:rsidRPr="00590A21">
        <w:rPr>
          <w:lang w:val="en-GB"/>
        </w:rPr>
        <w:t xml:space="preserve">a and </w:t>
      </w:r>
      <w:r w:rsidR="00E92FCF">
        <w:rPr>
          <w:lang w:val="en-GB"/>
        </w:rPr>
        <w:t>Figure 15</w:t>
      </w:r>
      <w:r w:rsidRPr="00590A21">
        <w:rPr>
          <w:lang w:val="en-GB"/>
        </w:rPr>
        <w:t>b, the electric field of the PB increases and the oil decreases from the anode to the cathode. This could be explained using the schematic diagram in Figure 1</w:t>
      </w:r>
      <w:r w:rsidR="00AC390C" w:rsidRPr="00590A21">
        <w:rPr>
          <w:lang w:val="en-GB"/>
        </w:rPr>
        <w:t>6</w:t>
      </w:r>
      <w:r w:rsidRPr="00590A21">
        <w:rPr>
          <w:lang w:val="en-GB"/>
        </w:rPr>
        <w:t xml:space="preserve">. Due to the different thickness ratios of the oil and PB, a large amount of space charge in PB near the cathode increases the electric field in the PB and decreases the electric field in the oil. Therefore, the electric field gradient exists in the thick multilayers oil and PB samples. </w:t>
      </w:r>
    </w:p>
    <w:p w14:paraId="605BC275" w14:textId="324C8AD3" w:rsidR="008764C2" w:rsidRPr="00590A21" w:rsidRDefault="008764C2" w:rsidP="00207C46">
      <w:pPr>
        <w:ind w:firstLine="142"/>
        <w:jc w:val="both"/>
        <w:rPr>
          <w:lang w:val="en-GB"/>
        </w:rPr>
      </w:pPr>
      <w:r w:rsidRPr="00590A21">
        <w:rPr>
          <w:lang w:val="en-GB"/>
        </w:rPr>
        <w:t>When comparing the electric field for four and six layers caused by space charge shown in Figure 1</w:t>
      </w:r>
      <w:r w:rsidR="00C45BD4">
        <w:rPr>
          <w:lang w:val="en-GB"/>
        </w:rPr>
        <w:t>5</w:t>
      </w:r>
      <w:r w:rsidRPr="00590A21">
        <w:rPr>
          <w:lang w:val="en-GB"/>
        </w:rPr>
        <w:t>a and</w:t>
      </w:r>
      <w:r w:rsidR="00E92FCF">
        <w:rPr>
          <w:lang w:val="en-GB"/>
        </w:rPr>
        <w:t xml:space="preserve"> Figure 1</w:t>
      </w:r>
      <w:r w:rsidR="00C45BD4">
        <w:rPr>
          <w:lang w:val="en-GB"/>
        </w:rPr>
        <w:t>5</w:t>
      </w:r>
      <w:r w:rsidRPr="00590A21">
        <w:rPr>
          <w:rFonts w:hint="eastAsia"/>
          <w:lang w:val="en-GB" w:eastAsia="zh-CN"/>
        </w:rPr>
        <w:t>b</w:t>
      </w:r>
      <w:r w:rsidRPr="00590A21">
        <w:rPr>
          <w:lang w:val="en-GB"/>
        </w:rPr>
        <w:t xml:space="preserve">, there is no significant electric field decrease with the increase of the layers caused by the space charge. </w:t>
      </w:r>
    </w:p>
    <w:p w14:paraId="3B3FE9C1" w14:textId="2BFFA9B0" w:rsidR="008764C2" w:rsidRPr="00590A21" w:rsidRDefault="00112750" w:rsidP="00112750">
      <w:pPr>
        <w:ind w:firstLine="142"/>
        <w:jc w:val="both"/>
        <w:rPr>
          <w:lang w:val="en-GB"/>
        </w:rPr>
      </w:pPr>
      <w:r w:rsidRPr="00590A21">
        <w:rPr>
          <w:lang w:val="en-GB"/>
        </w:rPr>
        <w:t>A comparison of Figure 1</w:t>
      </w:r>
      <w:r>
        <w:rPr>
          <w:lang w:val="en-GB"/>
        </w:rPr>
        <w:t>5</w:t>
      </w:r>
      <w:r w:rsidRPr="00590A21">
        <w:rPr>
          <w:lang w:val="en-GB"/>
        </w:rPr>
        <w:t xml:space="preserve">a and Figure 12 indicates the minimum electric field of the oil gap is lower </w:t>
      </w:r>
      <w:r>
        <w:rPr>
          <w:lang w:val="en-GB"/>
        </w:rPr>
        <w:t>in</w:t>
      </w:r>
      <w:r w:rsidRPr="00590A21">
        <w:rPr>
          <w:lang w:val="en-GB"/>
        </w:rPr>
        <w:t xml:space="preserve"> Figure 1</w:t>
      </w:r>
      <w:r>
        <w:rPr>
          <w:lang w:val="en-GB"/>
        </w:rPr>
        <w:t>5</w:t>
      </w:r>
      <w:r w:rsidRPr="00590A21">
        <w:rPr>
          <w:lang w:val="en-GB"/>
        </w:rPr>
        <w:t xml:space="preserve">a. This </w:t>
      </w:r>
      <w:r>
        <w:rPr>
          <w:lang w:val="en-GB"/>
        </w:rPr>
        <w:t xml:space="preserve">is </w:t>
      </w:r>
      <w:r w:rsidRPr="00590A21">
        <w:rPr>
          <w:lang w:val="en-GB"/>
        </w:rPr>
        <w:t>result</w:t>
      </w:r>
      <w:r>
        <w:rPr>
          <w:lang w:val="en-GB"/>
        </w:rPr>
        <w:t>ed</w:t>
      </w:r>
      <w:r w:rsidRPr="00590A21">
        <w:rPr>
          <w:lang w:val="en-GB"/>
        </w:rPr>
        <w:t xml:space="preserve"> from the higher interfacial charge density due to higher oil to PB thickness ratios, seen when comparing section 1 and section 9 in Figure 7a.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0"/>
      </w:tblGrid>
      <w:tr w:rsidR="008764C2" w:rsidRPr="00590A21" w14:paraId="6D755D9D" w14:textId="77777777" w:rsidTr="00C025DA">
        <w:tc>
          <w:tcPr>
            <w:tcW w:w="2520" w:type="dxa"/>
          </w:tcPr>
          <w:p w14:paraId="1DF7767E" w14:textId="77777777" w:rsidR="008764C2" w:rsidRPr="00590A21" w:rsidRDefault="008764C2" w:rsidP="00C025DA">
            <w:pPr>
              <w:rPr>
                <w:lang w:val="en-GB"/>
              </w:rPr>
            </w:pPr>
            <w:r w:rsidRPr="00590A21">
              <w:rPr>
                <w:noProof/>
                <w:lang w:val="en-GB" w:eastAsia="zh-CN"/>
              </w:rPr>
              <w:lastRenderedPageBreak/>
              <w:drawing>
                <wp:inline distT="0" distB="0" distL="0" distR="0" wp14:anchorId="4DCCE621" wp14:editId="48A56A29">
                  <wp:extent cx="1542415" cy="115125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48137" cy="1155526"/>
                          </a:xfrm>
                          <a:prstGeom prst="rect">
                            <a:avLst/>
                          </a:prstGeom>
                        </pic:spPr>
                      </pic:pic>
                    </a:graphicData>
                  </a:graphic>
                </wp:inline>
              </w:drawing>
            </w:r>
          </w:p>
        </w:tc>
        <w:tc>
          <w:tcPr>
            <w:tcW w:w="2520" w:type="dxa"/>
          </w:tcPr>
          <w:p w14:paraId="39899066" w14:textId="77777777" w:rsidR="008764C2" w:rsidRPr="00590A21" w:rsidRDefault="008764C2" w:rsidP="00C025DA">
            <w:pPr>
              <w:rPr>
                <w:lang w:val="en-GB"/>
              </w:rPr>
            </w:pPr>
            <w:r w:rsidRPr="00590A21">
              <w:rPr>
                <w:noProof/>
                <w:lang w:val="en-GB" w:eastAsia="zh-CN"/>
              </w:rPr>
              <w:drawing>
                <wp:inline distT="0" distB="0" distL="0" distR="0" wp14:anchorId="0CE68F7F" wp14:editId="041BC47F">
                  <wp:extent cx="1537398" cy="1151677"/>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46909" cy="1158802"/>
                          </a:xfrm>
                          <a:prstGeom prst="rect">
                            <a:avLst/>
                          </a:prstGeom>
                        </pic:spPr>
                      </pic:pic>
                    </a:graphicData>
                  </a:graphic>
                </wp:inline>
              </w:drawing>
            </w:r>
          </w:p>
        </w:tc>
      </w:tr>
      <w:tr w:rsidR="008764C2" w:rsidRPr="00590A21" w14:paraId="0157283C" w14:textId="77777777" w:rsidTr="00C025DA">
        <w:tc>
          <w:tcPr>
            <w:tcW w:w="2520" w:type="dxa"/>
          </w:tcPr>
          <w:p w14:paraId="4A953197" w14:textId="77777777" w:rsidR="008764C2" w:rsidRPr="00590A21" w:rsidRDefault="008764C2" w:rsidP="00C025DA">
            <w:pPr>
              <w:jc w:val="center"/>
              <w:rPr>
                <w:lang w:val="en-GB"/>
              </w:rPr>
            </w:pPr>
            <w:r w:rsidRPr="00590A21">
              <w:rPr>
                <w:sz w:val="16"/>
                <w:szCs w:val="16"/>
                <w:lang w:val="en-GB"/>
              </w:rPr>
              <w:t>(a) Four layers</w:t>
            </w:r>
          </w:p>
        </w:tc>
        <w:tc>
          <w:tcPr>
            <w:tcW w:w="2520" w:type="dxa"/>
          </w:tcPr>
          <w:p w14:paraId="589C5AE0" w14:textId="77777777" w:rsidR="008764C2" w:rsidRPr="00590A21" w:rsidRDefault="008764C2" w:rsidP="00C025DA">
            <w:pPr>
              <w:jc w:val="center"/>
              <w:rPr>
                <w:lang w:val="en-GB"/>
              </w:rPr>
            </w:pPr>
            <w:r w:rsidRPr="00590A21">
              <w:rPr>
                <w:sz w:val="16"/>
                <w:szCs w:val="16"/>
                <w:lang w:val="en-GB"/>
              </w:rPr>
              <w:t>(b) Six layers</w:t>
            </w:r>
          </w:p>
        </w:tc>
      </w:tr>
      <w:tr w:rsidR="008764C2" w:rsidRPr="00590A21" w14:paraId="78DADEFB" w14:textId="77777777" w:rsidTr="00C025DA">
        <w:tc>
          <w:tcPr>
            <w:tcW w:w="5040" w:type="dxa"/>
            <w:gridSpan w:val="2"/>
          </w:tcPr>
          <w:p w14:paraId="07AF25A5" w14:textId="5F4DC464" w:rsidR="008764C2" w:rsidRPr="00590A21" w:rsidRDefault="008764C2" w:rsidP="004C1600">
            <w:pPr>
              <w:jc w:val="both"/>
              <w:rPr>
                <w:sz w:val="16"/>
                <w:szCs w:val="16"/>
                <w:lang w:val="en-GB"/>
              </w:rPr>
            </w:pPr>
            <w:r w:rsidRPr="00590A21">
              <w:rPr>
                <w:rFonts w:ascii="Arial" w:hAnsi="Arial" w:cs="Arial"/>
                <w:b/>
                <w:sz w:val="16"/>
                <w:szCs w:val="16"/>
                <w:lang w:val="en-GB"/>
              </w:rPr>
              <w:t>Figure 1</w:t>
            </w:r>
            <w:r w:rsidR="001013EE" w:rsidRPr="00590A21">
              <w:rPr>
                <w:rFonts w:ascii="Arial" w:hAnsi="Arial" w:cs="Arial"/>
                <w:b/>
                <w:sz w:val="16"/>
                <w:szCs w:val="16"/>
                <w:lang w:val="en-GB"/>
              </w:rPr>
              <w:t>5</w:t>
            </w:r>
            <w:r w:rsidR="00013037">
              <w:rPr>
                <w:rFonts w:ascii="Arial" w:hAnsi="Arial" w:cs="Arial"/>
                <w:b/>
                <w:sz w:val="16"/>
                <w:szCs w:val="16"/>
                <w:lang w:val="en-GB"/>
              </w:rPr>
              <w:t>.</w:t>
            </w:r>
            <w:r w:rsidRPr="00590A21">
              <w:rPr>
                <w:rFonts w:ascii="Arial" w:hAnsi="Arial" w:cs="Arial"/>
                <w:b/>
                <w:sz w:val="16"/>
                <w:szCs w:val="16"/>
                <w:lang w:val="en-GB"/>
              </w:rPr>
              <w:t xml:space="preserve"> </w:t>
            </w:r>
            <w:r w:rsidRPr="00590A21">
              <w:rPr>
                <w:sz w:val="16"/>
                <w:szCs w:val="16"/>
                <w:lang w:val="en-GB"/>
              </w:rPr>
              <w:t>Electric field of 4 and 6 layers of oil and pressboard caused by the 1st position caused by the space charge</w:t>
            </w:r>
            <w:r w:rsidR="00013037">
              <w:rPr>
                <w:sz w:val="16"/>
                <w:szCs w:val="16"/>
                <w:lang w:val="en-GB"/>
              </w:rPr>
              <w:t>.</w:t>
            </w:r>
          </w:p>
          <w:p w14:paraId="6543E5FC" w14:textId="14517046" w:rsidR="008764C2" w:rsidRPr="00590A21" w:rsidRDefault="00F90A00" w:rsidP="004C1600">
            <w:pPr>
              <w:jc w:val="both"/>
              <w:rPr>
                <w:sz w:val="16"/>
                <w:szCs w:val="16"/>
                <w:lang w:val="en-GB"/>
              </w:rPr>
            </w:pPr>
            <w:r w:rsidRPr="00782F24">
              <w:rPr>
                <w:noProof/>
                <w:lang w:val="en-GB"/>
              </w:rPr>
              <w:object w:dxaOrig="26505" w:dyaOrig="11040" w14:anchorId="7F58A038">
                <v:shape id="_x0000_i1026" type="#_x0000_t75" alt="" style="width:249pt;height:114pt;mso-width-percent:0;mso-height-percent:0;mso-width-percent:0;mso-height-percent:0" o:ole="">
                  <v:imagedata r:id="rId32" o:title=""/>
                </v:shape>
                <o:OLEObject Type="Embed" ProgID="Visio.Drawing.15" ShapeID="_x0000_i1026" DrawAspect="Content" ObjectID="_1608362594" r:id="rId33"/>
              </w:object>
            </w:r>
            <w:r w:rsidR="008764C2" w:rsidRPr="00590A21">
              <w:rPr>
                <w:b/>
                <w:sz w:val="16"/>
                <w:szCs w:val="16"/>
                <w:lang w:val="en-GB"/>
              </w:rPr>
              <w:t xml:space="preserve"> </w:t>
            </w:r>
            <w:r w:rsidR="008764C2" w:rsidRPr="00590A21">
              <w:rPr>
                <w:rFonts w:ascii="Arial" w:hAnsi="Arial" w:cs="Arial"/>
                <w:b/>
                <w:sz w:val="16"/>
                <w:szCs w:val="16"/>
                <w:lang w:val="en-GB"/>
              </w:rPr>
              <w:t>Figure 1</w:t>
            </w:r>
            <w:r w:rsidR="001013EE" w:rsidRPr="00590A21">
              <w:rPr>
                <w:rFonts w:ascii="Arial" w:hAnsi="Arial" w:cs="Arial"/>
                <w:b/>
                <w:sz w:val="16"/>
                <w:szCs w:val="16"/>
                <w:lang w:val="en-GB"/>
              </w:rPr>
              <w:t>6</w:t>
            </w:r>
            <w:r w:rsidR="00013037">
              <w:rPr>
                <w:rFonts w:ascii="Arial" w:hAnsi="Arial" w:cs="Arial"/>
                <w:b/>
                <w:sz w:val="16"/>
                <w:szCs w:val="16"/>
                <w:lang w:val="en-GB"/>
              </w:rPr>
              <w:t>.</w:t>
            </w:r>
            <w:r w:rsidR="008764C2" w:rsidRPr="00590A21">
              <w:rPr>
                <w:b/>
                <w:sz w:val="16"/>
                <w:szCs w:val="16"/>
                <w:lang w:val="en-GB"/>
              </w:rPr>
              <w:t xml:space="preserve"> </w:t>
            </w:r>
            <w:r w:rsidR="008764C2" w:rsidRPr="00590A21">
              <w:rPr>
                <w:sz w:val="16"/>
                <w:szCs w:val="16"/>
                <w:lang w:val="en-GB"/>
              </w:rPr>
              <w:t>Schematic diagram indicating the multilayers oil and pressboard space charge distribution</w:t>
            </w:r>
            <w:r w:rsidR="00013037">
              <w:rPr>
                <w:sz w:val="16"/>
                <w:szCs w:val="16"/>
                <w:lang w:val="en-GB"/>
              </w:rPr>
              <w:t>.</w:t>
            </w:r>
          </w:p>
        </w:tc>
      </w:tr>
    </w:tbl>
    <w:p w14:paraId="57392855" w14:textId="77777777" w:rsidR="00583F64" w:rsidRDefault="00583F64" w:rsidP="00207C46">
      <w:pPr>
        <w:ind w:firstLine="142"/>
        <w:jc w:val="both"/>
        <w:rPr>
          <w:lang w:val="en-GB"/>
        </w:rPr>
      </w:pPr>
    </w:p>
    <w:p w14:paraId="7FA93106" w14:textId="0EE3E0F1" w:rsidR="008764C2" w:rsidRPr="00590A21" w:rsidRDefault="008764C2" w:rsidP="00207C46">
      <w:pPr>
        <w:ind w:firstLine="142"/>
        <w:jc w:val="both"/>
        <w:rPr>
          <w:lang w:val="en-GB"/>
        </w:rPr>
      </w:pPr>
      <w:r w:rsidRPr="00590A21">
        <w:rPr>
          <w:lang w:val="en-GB"/>
        </w:rPr>
        <w:t xml:space="preserve">Figure </w:t>
      </w:r>
      <w:r w:rsidR="000159DE" w:rsidRPr="00590A21">
        <w:rPr>
          <w:lang w:val="en-GB"/>
        </w:rPr>
        <w:t>1</w:t>
      </w:r>
      <w:r w:rsidR="00E80A36">
        <w:rPr>
          <w:lang w:val="en-GB"/>
        </w:rPr>
        <w:t>7</w:t>
      </w:r>
      <w:r w:rsidRPr="00590A21">
        <w:rPr>
          <w:lang w:val="en-GB"/>
        </w:rPr>
        <w:t xml:space="preserve">a and </w:t>
      </w:r>
      <w:r w:rsidR="00BA6FBC">
        <w:rPr>
          <w:lang w:val="en-GB"/>
        </w:rPr>
        <w:t>Figure 17</w:t>
      </w:r>
      <w:r w:rsidRPr="00590A21">
        <w:rPr>
          <w:lang w:val="en-GB"/>
        </w:rPr>
        <w:t>b show the electric field of multilayers for oil and PB after the PR operation time of 10 s caused by the space charge. It shows that the electric field of the oil is enhanced while the electric field in the PB is decreased after the PR operation. The overall electric field consists of the electric field caused by both external applied voltage and space charge, shown in equation (</w:t>
      </w:r>
      <w:r w:rsidR="00AB4107" w:rsidRPr="00590A21">
        <w:rPr>
          <w:lang w:val="en-GB"/>
        </w:rPr>
        <w:t>1</w:t>
      </w:r>
      <w:r w:rsidR="00C45BD4">
        <w:rPr>
          <w:lang w:val="en-GB"/>
        </w:rPr>
        <w:t>5</w:t>
      </w:r>
      <w:r w:rsidRPr="00590A21">
        <w:rPr>
          <w:lang w:val="en-GB"/>
        </w:rPr>
        <w:t xml:space="preserve">). The </w:t>
      </w:r>
      <w:proofErr w:type="spellStart"/>
      <w:r w:rsidRPr="00590A21">
        <w:rPr>
          <w:lang w:val="en-GB"/>
        </w:rPr>
        <w:t>heterocharges</w:t>
      </w:r>
      <w:proofErr w:type="spellEnd"/>
      <w:r w:rsidRPr="00590A21">
        <w:rPr>
          <w:lang w:val="en-GB"/>
        </w:rPr>
        <w:t xml:space="preserve"> within the oil could be converted to the </w:t>
      </w:r>
      <w:proofErr w:type="spellStart"/>
      <w:r w:rsidRPr="00590A21">
        <w:rPr>
          <w:lang w:val="en-GB"/>
        </w:rPr>
        <w:t>homocharges</w:t>
      </w:r>
      <w:proofErr w:type="spellEnd"/>
      <w:r w:rsidRPr="00590A21">
        <w:rPr>
          <w:lang w:val="en-GB"/>
        </w:rPr>
        <w:t xml:space="preserve"> after the PR, which could lead to the electric field enhancement within the oil. However, the </w:t>
      </w:r>
      <w:proofErr w:type="spellStart"/>
      <w:r w:rsidRPr="00590A21">
        <w:rPr>
          <w:lang w:val="en-GB"/>
        </w:rPr>
        <w:t>homocharges</w:t>
      </w:r>
      <w:proofErr w:type="spellEnd"/>
      <w:r w:rsidRPr="00590A21">
        <w:rPr>
          <w:lang w:val="en-GB"/>
        </w:rPr>
        <w:t xml:space="preserve"> in the previous stage of voltage application within the PB could be viewed as the </w:t>
      </w:r>
      <w:proofErr w:type="spellStart"/>
      <w:r w:rsidRPr="00590A21">
        <w:rPr>
          <w:lang w:val="en-GB"/>
        </w:rPr>
        <w:t>heterocharges</w:t>
      </w:r>
      <w:proofErr w:type="spellEnd"/>
      <w:r w:rsidRPr="00590A21">
        <w:rPr>
          <w:lang w:val="en-GB"/>
        </w:rPr>
        <w:t xml:space="preserve"> after PR operation, leading to the electric field decrease within the PB. </w:t>
      </w:r>
    </w:p>
    <w:tbl>
      <w:tblPr>
        <w:tblW w:w="0" w:type="auto"/>
        <w:tblLook w:val="04A0" w:firstRow="1" w:lastRow="0" w:firstColumn="1" w:lastColumn="0" w:noHBand="0" w:noVBand="1"/>
      </w:tblPr>
      <w:tblGrid>
        <w:gridCol w:w="988"/>
        <w:gridCol w:w="3260"/>
        <w:gridCol w:w="782"/>
      </w:tblGrid>
      <w:tr w:rsidR="008764C2" w:rsidRPr="00590A21" w14:paraId="76721469" w14:textId="77777777" w:rsidTr="00C025DA">
        <w:tc>
          <w:tcPr>
            <w:tcW w:w="988" w:type="dxa"/>
            <w:shd w:val="clear" w:color="auto" w:fill="auto"/>
          </w:tcPr>
          <w:p w14:paraId="18CABE79" w14:textId="77777777" w:rsidR="008764C2" w:rsidRPr="00590A21" w:rsidRDefault="008764C2" w:rsidP="00C025DA">
            <w:pPr>
              <w:spacing w:before="80" w:after="200"/>
              <w:rPr>
                <w:sz w:val="16"/>
                <w:szCs w:val="16"/>
                <w:lang w:val="en-GB"/>
              </w:rPr>
            </w:pPr>
          </w:p>
        </w:tc>
        <w:tc>
          <w:tcPr>
            <w:tcW w:w="3260" w:type="dxa"/>
            <w:shd w:val="clear" w:color="auto" w:fill="auto"/>
          </w:tcPr>
          <w:p w14:paraId="34F9F536" w14:textId="77777777" w:rsidR="008764C2" w:rsidRPr="00FB3D31" w:rsidRDefault="008C0681" w:rsidP="00C025DA">
            <w:pPr>
              <w:spacing w:before="80" w:after="200"/>
              <w:jc w:val="center"/>
              <w:rPr>
                <w:sz w:val="18"/>
                <w:szCs w:val="18"/>
                <w:lang w:val="en-GB"/>
              </w:rPr>
            </w:pPr>
            <m:oMathPara>
              <m:oMath>
                <m:sSub>
                  <m:sSubPr>
                    <m:ctrlPr>
                      <w:rPr>
                        <w:rFonts w:ascii="Cambria Math" w:hAnsi="Cambria Math"/>
                        <w:i/>
                        <w:sz w:val="18"/>
                        <w:szCs w:val="18"/>
                        <w:lang w:val="en-GB"/>
                      </w:rPr>
                    </m:ctrlPr>
                  </m:sSubPr>
                  <m:e>
                    <m:r>
                      <w:rPr>
                        <w:rFonts w:ascii="Cambria Math" w:hAnsi="Cambria Math"/>
                        <w:sz w:val="18"/>
                        <w:szCs w:val="18"/>
                        <w:lang w:val="en-GB"/>
                      </w:rPr>
                      <m:t>E</m:t>
                    </m:r>
                  </m:e>
                  <m:sub>
                    <m:r>
                      <w:rPr>
                        <w:rFonts w:ascii="Cambria Math" w:hAnsi="Cambria Math"/>
                        <w:sz w:val="18"/>
                        <w:szCs w:val="18"/>
                        <w:lang w:val="en-GB"/>
                      </w:rPr>
                      <m:t>Total</m:t>
                    </m:r>
                  </m:sub>
                </m:sSub>
                <m:r>
                  <w:rPr>
                    <w:rFonts w:ascii="Cambria Math" w:hAnsi="Cambria Math"/>
                    <w:sz w:val="18"/>
                    <w:szCs w:val="18"/>
                    <w:lang w:val="en-GB"/>
                  </w:rPr>
                  <m:t>=</m:t>
                </m:r>
                <m:sSub>
                  <m:sSubPr>
                    <m:ctrlPr>
                      <w:rPr>
                        <w:rFonts w:ascii="Cambria Math" w:hAnsi="Cambria Math"/>
                        <w:i/>
                        <w:sz w:val="18"/>
                        <w:szCs w:val="18"/>
                        <w:lang w:val="en-GB"/>
                      </w:rPr>
                    </m:ctrlPr>
                  </m:sSubPr>
                  <m:e>
                    <m:r>
                      <w:rPr>
                        <w:rFonts w:ascii="Cambria Math" w:hAnsi="Cambria Math"/>
                        <w:sz w:val="18"/>
                        <w:szCs w:val="18"/>
                        <w:lang w:val="en-GB"/>
                      </w:rPr>
                      <m:t>E</m:t>
                    </m:r>
                  </m:e>
                  <m:sub>
                    <m:r>
                      <w:rPr>
                        <w:rFonts w:ascii="Cambria Math" w:hAnsi="Cambria Math"/>
                        <w:sz w:val="18"/>
                        <w:szCs w:val="18"/>
                        <w:lang w:val="en-GB"/>
                      </w:rPr>
                      <m:t>applied</m:t>
                    </m:r>
                  </m:sub>
                </m:sSub>
                <m:r>
                  <w:rPr>
                    <w:rFonts w:ascii="Cambria Math" w:hAnsi="Cambria Math"/>
                    <w:sz w:val="18"/>
                    <w:szCs w:val="18"/>
                    <w:lang w:val="en-GB"/>
                  </w:rPr>
                  <m:t>+</m:t>
                </m:r>
                <m:sSub>
                  <m:sSubPr>
                    <m:ctrlPr>
                      <w:rPr>
                        <w:rFonts w:ascii="Cambria Math" w:hAnsi="Cambria Math"/>
                        <w:i/>
                        <w:sz w:val="18"/>
                        <w:szCs w:val="18"/>
                        <w:lang w:val="en-GB"/>
                      </w:rPr>
                    </m:ctrlPr>
                  </m:sSubPr>
                  <m:e>
                    <m:r>
                      <w:rPr>
                        <w:rFonts w:ascii="Cambria Math" w:hAnsi="Cambria Math"/>
                        <w:sz w:val="18"/>
                        <w:szCs w:val="18"/>
                        <w:lang w:val="en-GB"/>
                      </w:rPr>
                      <m:t>E</m:t>
                    </m:r>
                  </m:e>
                  <m:sub>
                    <m:r>
                      <w:rPr>
                        <w:rFonts w:ascii="Cambria Math" w:hAnsi="Cambria Math"/>
                        <w:sz w:val="18"/>
                        <w:szCs w:val="18"/>
                        <w:lang w:val="en-GB"/>
                      </w:rPr>
                      <m:t>Sc</m:t>
                    </m:r>
                  </m:sub>
                </m:sSub>
              </m:oMath>
            </m:oMathPara>
          </w:p>
        </w:tc>
        <w:tc>
          <w:tcPr>
            <w:tcW w:w="782" w:type="dxa"/>
            <w:shd w:val="clear" w:color="auto" w:fill="auto"/>
          </w:tcPr>
          <w:p w14:paraId="7440D681" w14:textId="078AE28C" w:rsidR="008764C2" w:rsidRPr="00590A21" w:rsidRDefault="008764C2" w:rsidP="00C025DA">
            <w:pPr>
              <w:spacing w:before="80" w:after="200"/>
              <w:jc w:val="right"/>
              <w:rPr>
                <w:lang w:val="en-GB"/>
              </w:rPr>
            </w:pPr>
            <w:r w:rsidRPr="00590A21">
              <w:rPr>
                <w:lang w:val="en-GB"/>
              </w:rPr>
              <w:t>(</w:t>
            </w:r>
            <w:r w:rsidR="006A0CC3" w:rsidRPr="00590A21">
              <w:rPr>
                <w:lang w:val="en-GB"/>
              </w:rPr>
              <w:t>1</w:t>
            </w:r>
            <w:r w:rsidR="00C45BD4">
              <w:rPr>
                <w:lang w:val="en-GB"/>
              </w:rPr>
              <w:t>5</w:t>
            </w:r>
            <w:r w:rsidRPr="00590A21">
              <w:rPr>
                <w:lang w:val="en-GB"/>
              </w:rPr>
              <w:t>)</w:t>
            </w:r>
          </w:p>
        </w:tc>
      </w:tr>
    </w:tbl>
    <w:tbl>
      <w:tblPr>
        <w:tblStyle w:val="TableGrid"/>
        <w:tblpPr w:leftFromText="180" w:rightFromText="180" w:vertAnchor="text" w:horzAnchor="margin" w:tblpY="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0"/>
      </w:tblGrid>
      <w:tr w:rsidR="00E80A36" w:rsidRPr="00590A21" w14:paraId="67804661" w14:textId="77777777" w:rsidTr="00E80A36">
        <w:tc>
          <w:tcPr>
            <w:tcW w:w="2520" w:type="dxa"/>
          </w:tcPr>
          <w:p w14:paraId="06FF742A" w14:textId="77777777" w:rsidR="00E80A36" w:rsidRPr="00590A21" w:rsidRDefault="00E80A36" w:rsidP="00E80A36">
            <w:pPr>
              <w:rPr>
                <w:lang w:val="en-GB"/>
              </w:rPr>
            </w:pPr>
            <w:r w:rsidRPr="00590A21">
              <w:rPr>
                <w:noProof/>
                <w:lang w:val="en-GB" w:eastAsia="zh-CN"/>
              </w:rPr>
              <w:drawing>
                <wp:inline distT="0" distB="0" distL="0" distR="0" wp14:anchorId="0DF6E860" wp14:editId="543D512A">
                  <wp:extent cx="1542422" cy="1148715"/>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01637" cy="1192815"/>
                          </a:xfrm>
                          <a:prstGeom prst="rect">
                            <a:avLst/>
                          </a:prstGeom>
                        </pic:spPr>
                      </pic:pic>
                    </a:graphicData>
                  </a:graphic>
                </wp:inline>
              </w:drawing>
            </w:r>
          </w:p>
        </w:tc>
        <w:tc>
          <w:tcPr>
            <w:tcW w:w="2520" w:type="dxa"/>
          </w:tcPr>
          <w:p w14:paraId="11182CED" w14:textId="77777777" w:rsidR="00E80A36" w:rsidRPr="00590A21" w:rsidRDefault="00E80A36" w:rsidP="00E80A36">
            <w:pPr>
              <w:rPr>
                <w:lang w:val="en-GB"/>
              </w:rPr>
            </w:pPr>
            <w:r w:rsidRPr="00590A21">
              <w:rPr>
                <w:noProof/>
                <w:lang w:val="en-GB" w:eastAsia="zh-CN"/>
              </w:rPr>
              <w:drawing>
                <wp:inline distT="0" distB="0" distL="0" distR="0" wp14:anchorId="4F5F8B21" wp14:editId="1F6946C9">
                  <wp:extent cx="1539708" cy="1147403"/>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87307" cy="1182874"/>
                          </a:xfrm>
                          <a:prstGeom prst="rect">
                            <a:avLst/>
                          </a:prstGeom>
                        </pic:spPr>
                      </pic:pic>
                    </a:graphicData>
                  </a:graphic>
                </wp:inline>
              </w:drawing>
            </w:r>
          </w:p>
        </w:tc>
      </w:tr>
      <w:tr w:rsidR="00E80A36" w:rsidRPr="00590A21" w14:paraId="25F4B85E" w14:textId="77777777" w:rsidTr="00E80A36">
        <w:tc>
          <w:tcPr>
            <w:tcW w:w="2520" w:type="dxa"/>
          </w:tcPr>
          <w:p w14:paraId="3F18DF9D" w14:textId="77777777" w:rsidR="00E80A36" w:rsidRPr="00590A21" w:rsidRDefault="00E80A36" w:rsidP="00E80A36">
            <w:pPr>
              <w:jc w:val="center"/>
              <w:rPr>
                <w:lang w:val="en-GB"/>
              </w:rPr>
            </w:pPr>
            <w:r w:rsidRPr="00590A21">
              <w:rPr>
                <w:sz w:val="16"/>
                <w:szCs w:val="16"/>
                <w:lang w:val="en-GB"/>
              </w:rPr>
              <w:t>(a) Four layers</w:t>
            </w:r>
          </w:p>
        </w:tc>
        <w:tc>
          <w:tcPr>
            <w:tcW w:w="2520" w:type="dxa"/>
          </w:tcPr>
          <w:p w14:paraId="384764D9" w14:textId="77777777" w:rsidR="00E80A36" w:rsidRPr="00590A21" w:rsidRDefault="00E80A36" w:rsidP="00E80A36">
            <w:pPr>
              <w:jc w:val="center"/>
              <w:rPr>
                <w:lang w:val="en-GB"/>
              </w:rPr>
            </w:pPr>
            <w:r w:rsidRPr="00590A21">
              <w:rPr>
                <w:sz w:val="16"/>
                <w:szCs w:val="16"/>
                <w:lang w:val="en-GB"/>
              </w:rPr>
              <w:t>(b) Six layers</w:t>
            </w:r>
          </w:p>
        </w:tc>
      </w:tr>
      <w:tr w:rsidR="00E80A36" w:rsidRPr="00590A21" w14:paraId="3219419D" w14:textId="77777777" w:rsidTr="00E80A36">
        <w:tc>
          <w:tcPr>
            <w:tcW w:w="5040" w:type="dxa"/>
            <w:gridSpan w:val="2"/>
          </w:tcPr>
          <w:p w14:paraId="3851B854" w14:textId="070C7994" w:rsidR="00E80A36" w:rsidRPr="00590A21" w:rsidRDefault="00E80A36" w:rsidP="00E80A36">
            <w:pPr>
              <w:jc w:val="both"/>
              <w:rPr>
                <w:lang w:val="en-GB"/>
              </w:rPr>
            </w:pPr>
            <w:r w:rsidRPr="00590A21">
              <w:rPr>
                <w:rFonts w:ascii="Arial" w:hAnsi="Arial" w:cs="Arial"/>
                <w:b/>
                <w:sz w:val="16"/>
                <w:szCs w:val="16"/>
                <w:lang w:val="en-GB"/>
              </w:rPr>
              <w:t>Figure 17</w:t>
            </w:r>
            <w:r w:rsidR="00013037">
              <w:rPr>
                <w:rFonts w:ascii="Arial" w:hAnsi="Arial" w:cs="Arial"/>
                <w:b/>
                <w:sz w:val="16"/>
                <w:szCs w:val="16"/>
                <w:lang w:val="en-GB"/>
              </w:rPr>
              <w:t>.</w:t>
            </w:r>
            <w:r w:rsidRPr="00590A21">
              <w:rPr>
                <w:b/>
                <w:sz w:val="16"/>
                <w:szCs w:val="16"/>
                <w:lang w:val="en-GB"/>
              </w:rPr>
              <w:t xml:space="preserve"> </w:t>
            </w:r>
            <w:r w:rsidRPr="00590A21">
              <w:rPr>
                <w:sz w:val="16"/>
                <w:szCs w:val="16"/>
                <w:lang w:val="en-GB"/>
              </w:rPr>
              <w:t>The 4 and 6 layers electric field of multilayers oil and pressboard after the polarity reversal operation time of 10 s</w:t>
            </w:r>
            <w:r w:rsidR="00013037">
              <w:rPr>
                <w:sz w:val="16"/>
                <w:szCs w:val="16"/>
                <w:lang w:val="en-GB"/>
              </w:rPr>
              <w:t>.</w:t>
            </w:r>
          </w:p>
        </w:tc>
      </w:tr>
    </w:tbl>
    <w:p w14:paraId="272B72E5" w14:textId="77777777" w:rsidR="00EF02A5" w:rsidRDefault="00EF02A5" w:rsidP="00BA6FBC">
      <w:pPr>
        <w:ind w:firstLine="142"/>
        <w:jc w:val="both"/>
        <w:rPr>
          <w:lang w:val="en-GB"/>
        </w:rPr>
      </w:pPr>
    </w:p>
    <w:p w14:paraId="162086A0" w14:textId="6FBC5590" w:rsidR="008764C2" w:rsidRPr="00590A21" w:rsidRDefault="008764C2" w:rsidP="00BA6FBC">
      <w:pPr>
        <w:ind w:firstLine="142"/>
        <w:jc w:val="both"/>
        <w:rPr>
          <w:lang w:val="en-GB"/>
        </w:rPr>
      </w:pPr>
      <w:r w:rsidRPr="00590A21">
        <w:rPr>
          <w:lang w:val="en-GB"/>
        </w:rPr>
        <w:t xml:space="preserve">From </w:t>
      </w:r>
      <w:r w:rsidR="00BA6FBC">
        <w:rPr>
          <w:lang w:val="en-GB"/>
        </w:rPr>
        <w:t>Figure 17a and Figure 17b</w:t>
      </w:r>
      <w:r w:rsidRPr="00590A21">
        <w:rPr>
          <w:lang w:val="en-GB"/>
        </w:rPr>
        <w:t xml:space="preserve">, there is the electric field gradient within multilayers oil and PB after the PR operation. After the PR operation, the electric field of the oil decreases from the cathode to the anode. However, the electric field of the PB increases from the cathode to the anode. This could be explained using the schematic diagram in Figure </w:t>
      </w:r>
      <w:r w:rsidR="000159DE" w:rsidRPr="00590A21">
        <w:rPr>
          <w:lang w:val="en-GB"/>
        </w:rPr>
        <w:t>18</w:t>
      </w:r>
      <w:r w:rsidRPr="00590A21">
        <w:rPr>
          <w:lang w:val="en-GB"/>
        </w:rPr>
        <w:t xml:space="preserve">. Considering different thickness ratios of the oil and PB, a significant amount of residual space charge within the PB creates the electric field with the opposite direction compared to the external electric field. This leads to the electric field of </w:t>
      </w:r>
      <w:r w:rsidRPr="00590A21">
        <w:rPr>
          <w:lang w:val="en-GB"/>
        </w:rPr>
        <w:t xml:space="preserve">the PB increase from cathode to anode, resulting the electric field gradient across the multilayers samples. </w:t>
      </w:r>
    </w:p>
    <w:tbl>
      <w:tblPr>
        <w:tblW w:w="0" w:type="auto"/>
        <w:tblLook w:val="04A0" w:firstRow="1" w:lastRow="0" w:firstColumn="1" w:lastColumn="0" w:noHBand="0" w:noVBand="1"/>
      </w:tblPr>
      <w:tblGrid>
        <w:gridCol w:w="5040"/>
      </w:tblGrid>
      <w:tr w:rsidR="008764C2" w:rsidRPr="00590A21" w14:paraId="49BAE528" w14:textId="77777777" w:rsidTr="004C1600">
        <w:trPr>
          <w:trHeight w:val="1516"/>
        </w:trPr>
        <w:tc>
          <w:tcPr>
            <w:tcW w:w="5030" w:type="dxa"/>
            <w:shd w:val="clear" w:color="auto" w:fill="auto"/>
          </w:tcPr>
          <w:p w14:paraId="78D97719" w14:textId="77777777" w:rsidR="008764C2" w:rsidRPr="00590A21" w:rsidRDefault="00F90A00" w:rsidP="00C025DA">
            <w:pPr>
              <w:jc w:val="center"/>
              <w:rPr>
                <w:sz w:val="16"/>
                <w:szCs w:val="16"/>
                <w:lang w:val="en-GB"/>
              </w:rPr>
            </w:pPr>
            <w:r w:rsidRPr="00782F24">
              <w:rPr>
                <w:noProof/>
                <w:lang w:val="en-GB"/>
              </w:rPr>
              <w:object w:dxaOrig="26505" w:dyaOrig="11040" w14:anchorId="2D3F2F4E">
                <v:shape id="_x0000_i1027" type="#_x0000_t75" alt="" style="width:242.25pt;height:114pt;mso-width-percent:0;mso-height-percent:0;mso-width-percent:0;mso-height-percent:0" o:ole="">
                  <v:imagedata r:id="rId36" o:title=""/>
                </v:shape>
                <o:OLEObject Type="Embed" ProgID="Visio.Drawing.15" ShapeID="_x0000_i1027" DrawAspect="Content" ObjectID="_1608362595" r:id="rId37"/>
              </w:object>
            </w:r>
          </w:p>
        </w:tc>
      </w:tr>
      <w:tr w:rsidR="008764C2" w:rsidRPr="00590A21" w14:paraId="74542FE4" w14:textId="77777777" w:rsidTr="00C025DA">
        <w:tc>
          <w:tcPr>
            <w:tcW w:w="5030" w:type="dxa"/>
            <w:shd w:val="clear" w:color="auto" w:fill="auto"/>
          </w:tcPr>
          <w:p w14:paraId="21F5F8BD" w14:textId="29421A75" w:rsidR="008764C2" w:rsidRPr="00590A21" w:rsidRDefault="008764C2" w:rsidP="004C1600">
            <w:pPr>
              <w:jc w:val="both"/>
              <w:rPr>
                <w:sz w:val="16"/>
                <w:szCs w:val="16"/>
                <w:lang w:val="en-GB"/>
              </w:rPr>
            </w:pPr>
            <w:r w:rsidRPr="00590A21">
              <w:rPr>
                <w:rFonts w:ascii="Arial" w:hAnsi="Arial" w:cs="Arial"/>
                <w:b/>
                <w:sz w:val="16"/>
                <w:szCs w:val="16"/>
                <w:lang w:val="en-GB"/>
              </w:rPr>
              <w:t xml:space="preserve">Figure </w:t>
            </w:r>
            <w:r w:rsidR="001013EE" w:rsidRPr="00590A21">
              <w:rPr>
                <w:rFonts w:ascii="Arial" w:hAnsi="Arial" w:cs="Arial"/>
                <w:b/>
                <w:sz w:val="16"/>
                <w:szCs w:val="16"/>
                <w:lang w:val="en-GB"/>
              </w:rPr>
              <w:t>18</w:t>
            </w:r>
            <w:r w:rsidR="00013037">
              <w:rPr>
                <w:rFonts w:ascii="Arial" w:hAnsi="Arial" w:cs="Arial"/>
                <w:b/>
                <w:sz w:val="16"/>
                <w:szCs w:val="16"/>
                <w:lang w:val="en-GB"/>
              </w:rPr>
              <w:t>.</w:t>
            </w:r>
            <w:r w:rsidRPr="00590A21">
              <w:rPr>
                <w:rFonts w:ascii="Arial" w:hAnsi="Arial" w:cs="Arial"/>
                <w:b/>
                <w:sz w:val="16"/>
                <w:szCs w:val="16"/>
                <w:lang w:val="en-GB"/>
              </w:rPr>
              <w:t xml:space="preserve"> </w:t>
            </w:r>
            <w:r w:rsidRPr="00590A21">
              <w:rPr>
                <w:sz w:val="16"/>
                <w:szCs w:val="16"/>
                <w:lang w:val="en-GB"/>
              </w:rPr>
              <w:t>Schematic diagram indicates multilayers oil and pressboard space charge distribution after the polarity reversal operation</w:t>
            </w:r>
            <w:r w:rsidR="00013037">
              <w:rPr>
                <w:sz w:val="16"/>
                <w:szCs w:val="16"/>
                <w:lang w:val="en-GB"/>
              </w:rPr>
              <w:t>.</w:t>
            </w:r>
            <w:r w:rsidRPr="00590A21">
              <w:rPr>
                <w:sz w:val="16"/>
                <w:szCs w:val="16"/>
                <w:lang w:val="en-GB"/>
              </w:rPr>
              <w:t xml:space="preserve"> </w:t>
            </w:r>
          </w:p>
        </w:tc>
      </w:tr>
    </w:tbl>
    <w:p w14:paraId="5CBE37BC" w14:textId="77777777" w:rsidR="008764C2" w:rsidRPr="00590A21" w:rsidRDefault="008764C2" w:rsidP="008764C2">
      <w:pPr>
        <w:ind w:firstLineChars="100" w:firstLine="200"/>
        <w:rPr>
          <w:lang w:val="en-GB"/>
        </w:rPr>
      </w:pPr>
    </w:p>
    <w:p w14:paraId="086D1585" w14:textId="797804C6" w:rsidR="008764C2" w:rsidRPr="00590A21" w:rsidRDefault="008764C2" w:rsidP="00207C46">
      <w:pPr>
        <w:ind w:firstLine="142"/>
        <w:jc w:val="both"/>
        <w:rPr>
          <w:lang w:val="en-GB"/>
        </w:rPr>
      </w:pPr>
      <w:r w:rsidRPr="00590A21">
        <w:rPr>
          <w:lang w:val="en-GB"/>
        </w:rPr>
        <w:t xml:space="preserve">Figure </w:t>
      </w:r>
      <w:r w:rsidR="000159DE" w:rsidRPr="00590A21">
        <w:rPr>
          <w:lang w:val="en-GB"/>
        </w:rPr>
        <w:t>19</w:t>
      </w:r>
      <w:r w:rsidRPr="00590A21">
        <w:rPr>
          <w:lang w:val="en-GB"/>
        </w:rPr>
        <w:t xml:space="preserve"> shows the summary of the electric field calculated by either space charge or the Maxwell-Wagner theory for both four and six layers of the oil layer after different PR operation time. The simulation results show that the electric field of oil caused by the space charge is higher compared to that from the Maxwell-Wagner theory. Moreover, after the PR operation, for the 1</w:t>
      </w:r>
      <w:r w:rsidRPr="00D10AC1">
        <w:rPr>
          <w:vertAlign w:val="superscript"/>
          <w:lang w:val="en-GB"/>
        </w:rPr>
        <w:t>st</w:t>
      </w:r>
      <w:r w:rsidRPr="00590A21">
        <w:rPr>
          <w:lang w:val="en-GB"/>
        </w:rPr>
        <w:t xml:space="preserve"> line in four and six layers of oil and </w:t>
      </w:r>
      <w:r w:rsidR="00941433" w:rsidRPr="00941433">
        <w:rPr>
          <w:highlight w:val="yellow"/>
          <w:lang w:val="en-GB"/>
        </w:rPr>
        <w:t>PB</w:t>
      </w:r>
      <w:r w:rsidRPr="00590A21">
        <w:rPr>
          <w:lang w:val="en-GB"/>
        </w:rPr>
        <w:t xml:space="preserve"> shown in Figure </w:t>
      </w:r>
      <w:r w:rsidR="000159DE" w:rsidRPr="00590A21">
        <w:rPr>
          <w:lang w:val="en-GB"/>
        </w:rPr>
        <w:t>7</w:t>
      </w:r>
      <w:r w:rsidRPr="00590A21">
        <w:rPr>
          <w:lang w:val="en-GB"/>
        </w:rPr>
        <w:t xml:space="preserve">a and Figure </w:t>
      </w:r>
      <w:r w:rsidR="000159DE" w:rsidRPr="00590A21">
        <w:rPr>
          <w:lang w:val="en-GB"/>
        </w:rPr>
        <w:t>7</w:t>
      </w:r>
      <w:r w:rsidR="00C45BD4">
        <w:rPr>
          <w:lang w:val="en-GB"/>
        </w:rPr>
        <w:t>b</w:t>
      </w:r>
      <w:r w:rsidRPr="00590A21">
        <w:rPr>
          <w:lang w:val="en-GB"/>
        </w:rPr>
        <w:t xml:space="preserve">, the electric field of the oil for six layers is higher compared to four layers calculated by from both space charge and the Maxwell-Wagner theory.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0"/>
      </w:tblGrid>
      <w:tr w:rsidR="008764C2" w:rsidRPr="00590A21" w14:paraId="202ECA9E" w14:textId="77777777" w:rsidTr="00C025DA">
        <w:tc>
          <w:tcPr>
            <w:tcW w:w="5030" w:type="dxa"/>
          </w:tcPr>
          <w:p w14:paraId="5BDF4A35" w14:textId="77777777" w:rsidR="008764C2" w:rsidRPr="00590A21" w:rsidRDefault="008764C2" w:rsidP="00C025DA">
            <w:pPr>
              <w:jc w:val="center"/>
              <w:rPr>
                <w:lang w:val="en-GB"/>
              </w:rPr>
            </w:pPr>
            <w:r w:rsidRPr="00590A21">
              <w:rPr>
                <w:noProof/>
                <w:lang w:val="en-GB" w:eastAsia="zh-CN"/>
              </w:rPr>
              <w:drawing>
                <wp:inline distT="0" distB="0" distL="0" distR="0" wp14:anchorId="71840A27" wp14:editId="24FD487E">
                  <wp:extent cx="2551003" cy="152400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24886" cy="1687621"/>
                          </a:xfrm>
                          <a:prstGeom prst="rect">
                            <a:avLst/>
                          </a:prstGeom>
                        </pic:spPr>
                      </pic:pic>
                    </a:graphicData>
                  </a:graphic>
                </wp:inline>
              </w:drawing>
            </w:r>
          </w:p>
        </w:tc>
      </w:tr>
      <w:tr w:rsidR="008764C2" w:rsidRPr="00590A21" w14:paraId="4C8CCCF5" w14:textId="77777777" w:rsidTr="00C025DA">
        <w:tc>
          <w:tcPr>
            <w:tcW w:w="5030" w:type="dxa"/>
          </w:tcPr>
          <w:p w14:paraId="3E1FD070" w14:textId="0B333A69" w:rsidR="008764C2" w:rsidRPr="00590A21" w:rsidRDefault="008764C2" w:rsidP="004C1600">
            <w:pPr>
              <w:jc w:val="both"/>
              <w:rPr>
                <w:rFonts w:ascii="Arial" w:hAnsi="Arial" w:cs="Arial"/>
                <w:b/>
                <w:sz w:val="16"/>
                <w:szCs w:val="16"/>
                <w:lang w:val="en-GB"/>
              </w:rPr>
            </w:pPr>
            <w:r w:rsidRPr="00590A21">
              <w:rPr>
                <w:rFonts w:ascii="Arial" w:hAnsi="Arial" w:cs="Arial"/>
                <w:b/>
                <w:sz w:val="16"/>
                <w:szCs w:val="16"/>
                <w:lang w:val="en-GB"/>
              </w:rPr>
              <w:t xml:space="preserve">Figure </w:t>
            </w:r>
            <w:r w:rsidR="001013EE" w:rsidRPr="00590A21">
              <w:rPr>
                <w:rFonts w:ascii="Arial" w:hAnsi="Arial" w:cs="Arial"/>
                <w:b/>
                <w:sz w:val="16"/>
                <w:szCs w:val="16"/>
                <w:lang w:val="en-GB"/>
              </w:rPr>
              <w:t>19</w:t>
            </w:r>
            <w:r w:rsidR="00013037">
              <w:rPr>
                <w:rFonts w:ascii="Arial" w:hAnsi="Arial" w:cs="Arial"/>
                <w:b/>
                <w:sz w:val="16"/>
                <w:szCs w:val="16"/>
                <w:lang w:val="en-GB"/>
              </w:rPr>
              <w:t>.</w:t>
            </w:r>
            <w:r w:rsidR="001013EE" w:rsidRPr="00590A21">
              <w:rPr>
                <w:rFonts w:ascii="Arial" w:hAnsi="Arial" w:cs="Arial"/>
                <w:b/>
                <w:sz w:val="16"/>
                <w:szCs w:val="16"/>
                <w:lang w:val="en-GB"/>
              </w:rPr>
              <w:t xml:space="preserve"> </w:t>
            </w:r>
            <w:r w:rsidRPr="00590A21">
              <w:rPr>
                <w:sz w:val="16"/>
                <w:szCs w:val="16"/>
                <w:lang w:val="en-GB"/>
              </w:rPr>
              <w:t>Summary of the electric field of the oil for 4 and 6 layers caused by the space charge and Maxwell-Wagner theory for different polarity reversal operation time</w:t>
            </w:r>
            <w:r w:rsidR="00013037">
              <w:rPr>
                <w:sz w:val="16"/>
                <w:szCs w:val="16"/>
                <w:lang w:val="en-GB"/>
              </w:rPr>
              <w:t>.</w:t>
            </w:r>
          </w:p>
          <w:p w14:paraId="658C25A3" w14:textId="77777777" w:rsidR="008764C2" w:rsidRPr="00590A21" w:rsidRDefault="008764C2" w:rsidP="00C025DA">
            <w:pPr>
              <w:rPr>
                <w:rFonts w:ascii="Arial" w:hAnsi="Arial" w:cs="Arial"/>
                <w:b/>
                <w:sz w:val="16"/>
                <w:szCs w:val="16"/>
                <w:lang w:val="en-GB"/>
              </w:rPr>
            </w:pPr>
          </w:p>
        </w:tc>
      </w:tr>
    </w:tbl>
    <w:p w14:paraId="509FBEAD" w14:textId="0FB7794A" w:rsidR="008764C2" w:rsidRPr="00590A21" w:rsidRDefault="008764C2" w:rsidP="00207C46">
      <w:pPr>
        <w:ind w:firstLine="142"/>
        <w:jc w:val="both"/>
        <w:rPr>
          <w:lang w:val="en-GB"/>
        </w:rPr>
      </w:pPr>
      <w:r w:rsidRPr="00590A21">
        <w:rPr>
          <w:lang w:val="en-GB"/>
        </w:rPr>
        <w:t xml:space="preserve">The current standard PR operation time is </w:t>
      </w:r>
      <w:r w:rsidR="002D7BE9">
        <w:rPr>
          <w:lang w:val="en-GB"/>
        </w:rPr>
        <w:t>two</w:t>
      </w:r>
      <w:r w:rsidRPr="00590A21">
        <w:rPr>
          <w:lang w:val="en-GB"/>
        </w:rPr>
        <w:t xml:space="preserve"> minutes </w:t>
      </w:r>
      <w:r w:rsidRPr="00590A21">
        <w:rPr>
          <w:lang w:val="en-GB"/>
        </w:rPr>
        <w:fldChar w:fldCharType="begin" w:fldLock="1"/>
      </w:r>
      <w:r w:rsidR="003A2F47">
        <w:rPr>
          <w:lang w:val="en-GB"/>
        </w:rPr>
        <w:instrText>ADDIN CSL_CITATION {"citationItems":[{"id":"ITEM-1","itemData":{"id":"ITEM-1","issued":{"date-parts":[["2001"]]},"title":"IEC, BS EN 61378-2:2001, Convertor Transformers — Part 2: Transformers for HVDC applications","type":"report"},"uris":["http://www.mendeley.com/documents/?uuid=8d11f04d-3b0d-4892-9866-0287b86ea4f3"]}],"mendeley":{"formattedCitation":"[20]","plainTextFormattedCitation":"[20]","previouslyFormattedCitation":"[20]"},"properties":{"noteIndex":0},"schema":"https://github.com/citation-style-language/schema/raw/master/csl-citation.json"}</w:instrText>
      </w:r>
      <w:r w:rsidRPr="00590A21">
        <w:rPr>
          <w:lang w:val="en-GB"/>
        </w:rPr>
        <w:fldChar w:fldCharType="separate"/>
      </w:r>
      <w:r w:rsidR="00533BF7" w:rsidRPr="00533BF7">
        <w:rPr>
          <w:noProof/>
          <w:lang w:val="en-GB"/>
        </w:rPr>
        <w:t>[20]</w:t>
      </w:r>
      <w:r w:rsidRPr="00590A21">
        <w:rPr>
          <w:lang w:val="en-GB"/>
        </w:rPr>
        <w:fldChar w:fldCharType="end"/>
      </w:r>
      <w:r w:rsidRPr="00590A21">
        <w:rPr>
          <w:lang w:val="en-GB"/>
        </w:rPr>
        <w:t xml:space="preserve">. The transient electric field of oil after PR is lower than its steady state electric field. The transient electric field of oil is -14.4 and -15.8 kV/mm for four and six layers after the PR operation time of 10 s. The steady state electric field of oil in four and six layers is 15.4 and 16.2 kV/mm, respectively. Moreover, in Figure </w:t>
      </w:r>
      <w:r w:rsidR="002D7BE9">
        <w:rPr>
          <w:lang w:val="en-GB"/>
        </w:rPr>
        <w:t>19</w:t>
      </w:r>
      <w:r w:rsidRPr="00590A21">
        <w:rPr>
          <w:lang w:val="en-GB"/>
        </w:rPr>
        <w:t xml:space="preserve">, it shows that after the PR time of 60 s, the electric field caused by the space charge does not have the obvious decrease. These two factors show that the current 2 minutes PR operation time may be safely reduced for multilayers oil and </w:t>
      </w:r>
      <w:r w:rsidR="00941433" w:rsidRPr="00941433">
        <w:rPr>
          <w:highlight w:val="yellow"/>
          <w:lang w:val="en-GB"/>
        </w:rPr>
        <w:t>PB</w:t>
      </w:r>
      <w:r w:rsidRPr="00590A21">
        <w:rPr>
          <w:lang w:val="en-GB"/>
        </w:rPr>
        <w:t xml:space="preserve"> under 10 kV/mm.</w:t>
      </w:r>
    </w:p>
    <w:p w14:paraId="1B62CD5D" w14:textId="77777777" w:rsidR="008764C2" w:rsidRPr="00590A21" w:rsidRDefault="008764C2" w:rsidP="004A2DDE">
      <w:pPr>
        <w:pStyle w:val="Heading1"/>
        <w:numPr>
          <w:ilvl w:val="0"/>
          <w:numId w:val="3"/>
        </w:numPr>
        <w:ind w:left="357" w:hanging="357"/>
        <w:rPr>
          <w:rFonts w:ascii="Arial" w:hAnsi="Arial" w:cs="Arial"/>
          <w:b/>
          <w:caps/>
          <w:sz w:val="24"/>
          <w:lang w:val="en-GB"/>
        </w:rPr>
      </w:pPr>
      <w:bookmarkStart w:id="44" w:name="OLE_LINK90"/>
      <w:bookmarkEnd w:id="42"/>
      <w:bookmarkEnd w:id="43"/>
      <w:r w:rsidRPr="00590A21">
        <w:rPr>
          <w:rFonts w:ascii="Arial" w:hAnsi="Arial" w:cs="Arial"/>
          <w:b/>
          <w:caps/>
          <w:sz w:val="24"/>
          <w:lang w:val="en-GB"/>
        </w:rPr>
        <w:t>Conclusion</w:t>
      </w:r>
      <w:bookmarkStart w:id="45" w:name="OLE_LINK87"/>
      <w:bookmarkStart w:id="46" w:name="OLE_LINK215"/>
      <w:bookmarkEnd w:id="44"/>
      <w:r w:rsidRPr="00590A21">
        <w:rPr>
          <w:rFonts w:ascii="Arial" w:hAnsi="Arial" w:cs="Arial"/>
          <w:b/>
          <w:caps/>
          <w:sz w:val="24"/>
          <w:lang w:val="en-GB"/>
        </w:rPr>
        <w:t>s</w:t>
      </w:r>
    </w:p>
    <w:p w14:paraId="386D2C72" w14:textId="11AEDE8C" w:rsidR="008764C2" w:rsidRPr="00590A21" w:rsidRDefault="008764C2" w:rsidP="00207C46">
      <w:pPr>
        <w:ind w:firstLine="142"/>
        <w:jc w:val="both"/>
        <w:rPr>
          <w:lang w:val="en-GB"/>
        </w:rPr>
      </w:pPr>
      <w:r w:rsidRPr="00590A21">
        <w:rPr>
          <w:lang w:val="en-GB"/>
        </w:rPr>
        <w:t xml:space="preserve">The space charge </w:t>
      </w:r>
      <w:proofErr w:type="spellStart"/>
      <w:r w:rsidRPr="00590A21">
        <w:rPr>
          <w:lang w:val="en-GB"/>
        </w:rPr>
        <w:t>behavior</w:t>
      </w:r>
      <w:proofErr w:type="spellEnd"/>
      <w:r w:rsidRPr="00590A21">
        <w:rPr>
          <w:lang w:val="en-GB"/>
        </w:rPr>
        <w:t xml:space="preserve"> of oil and PB under a DC electric field is investigated via PEA technique. The influence of the multilayer and thickness on the space charge </w:t>
      </w:r>
      <w:proofErr w:type="spellStart"/>
      <w:r w:rsidRPr="00590A21">
        <w:rPr>
          <w:lang w:val="en-GB"/>
        </w:rPr>
        <w:t>behavior</w:t>
      </w:r>
      <w:proofErr w:type="spellEnd"/>
      <w:r w:rsidRPr="00590A21">
        <w:rPr>
          <w:lang w:val="en-GB"/>
        </w:rPr>
        <w:t xml:space="preserve"> in oil and PB is investigated using an experimental approach. The space charge results are further interpolated into the COMSOL software for the electric field simulation, with the comparison on the electric field calculated by the Maxwell-Wagner theory. The following conclusions can be drawn as follows. </w:t>
      </w:r>
    </w:p>
    <w:p w14:paraId="4F4EEC14" w14:textId="77777777" w:rsidR="008764C2" w:rsidRPr="00590A21" w:rsidRDefault="008764C2" w:rsidP="00E37133">
      <w:pPr>
        <w:pStyle w:val="ListParagraph"/>
        <w:numPr>
          <w:ilvl w:val="0"/>
          <w:numId w:val="6"/>
        </w:numPr>
        <w:pBdr>
          <w:top w:val="nil"/>
          <w:left w:val="nil"/>
          <w:bottom w:val="nil"/>
          <w:right w:val="nil"/>
          <w:between w:val="nil"/>
          <w:bar w:val="nil"/>
        </w:pBdr>
        <w:contextualSpacing w:val="0"/>
        <w:jc w:val="both"/>
        <w:rPr>
          <w:lang w:val="en-GB"/>
        </w:rPr>
      </w:pPr>
      <w:r w:rsidRPr="00590A21">
        <w:rPr>
          <w:lang w:val="en-GB"/>
        </w:rPr>
        <w:lastRenderedPageBreak/>
        <w:t xml:space="preserve">The increased PB thickness results in a decrease of the interfacial charge and an increased oil thickness leads to an increase of the interfacial charge density. </w:t>
      </w:r>
    </w:p>
    <w:p w14:paraId="21C38CDD" w14:textId="2334E270" w:rsidR="008764C2" w:rsidRPr="00590A21" w:rsidRDefault="008764C2" w:rsidP="00E37133">
      <w:pPr>
        <w:pStyle w:val="ListParagraph"/>
        <w:numPr>
          <w:ilvl w:val="0"/>
          <w:numId w:val="6"/>
        </w:numPr>
        <w:pBdr>
          <w:top w:val="nil"/>
          <w:left w:val="nil"/>
          <w:bottom w:val="nil"/>
          <w:right w:val="nil"/>
          <w:between w:val="nil"/>
          <w:bar w:val="nil"/>
        </w:pBdr>
        <w:contextualSpacing w:val="0"/>
        <w:jc w:val="both"/>
        <w:rPr>
          <w:lang w:val="en-GB"/>
        </w:rPr>
      </w:pPr>
      <w:r w:rsidRPr="00590A21">
        <w:rPr>
          <w:lang w:val="en-GB"/>
        </w:rPr>
        <w:t xml:space="preserve">The same thickness ratio of the PB and oil </w:t>
      </w:r>
      <w:r w:rsidRPr="005C3CD2">
        <w:rPr>
          <w:highlight w:val="yellow"/>
          <w:lang w:val="en-GB"/>
        </w:rPr>
        <w:t>show</w:t>
      </w:r>
      <w:r w:rsidR="0091439F">
        <w:rPr>
          <w:highlight w:val="yellow"/>
          <w:lang w:val="en-GB"/>
        </w:rPr>
        <w:t>s</w:t>
      </w:r>
      <w:r w:rsidRPr="00590A21">
        <w:rPr>
          <w:lang w:val="en-GB"/>
        </w:rPr>
        <w:t xml:space="preserve"> an approximately similar space charge distribution under the same external electric field. This could allow one to extend the space charge from thinner samples to thicker samples</w:t>
      </w:r>
      <w:r w:rsidR="005D0A72">
        <w:rPr>
          <w:lang w:val="en-GB"/>
        </w:rPr>
        <w:t xml:space="preserve">, </w:t>
      </w:r>
      <w:r w:rsidR="005D0A72" w:rsidRPr="005D0A72">
        <w:rPr>
          <w:highlight w:val="yellow"/>
          <w:lang w:val="en-GB"/>
        </w:rPr>
        <w:t xml:space="preserve">which could be beneficial to </w:t>
      </w:r>
      <w:r w:rsidR="000F7121">
        <w:rPr>
          <w:highlight w:val="yellow"/>
          <w:lang w:val="en-GB"/>
        </w:rPr>
        <w:t>calculate</w:t>
      </w:r>
      <w:r w:rsidR="005D0A72" w:rsidRPr="005D0A72">
        <w:rPr>
          <w:highlight w:val="yellow"/>
          <w:lang w:val="en-GB"/>
        </w:rPr>
        <w:t xml:space="preserve"> the electric field distribution of the converter transformer</w:t>
      </w:r>
      <w:r w:rsidR="0091439F">
        <w:rPr>
          <w:highlight w:val="yellow"/>
          <w:lang w:val="en-GB"/>
        </w:rPr>
        <w:t xml:space="preserve"> and improve </w:t>
      </w:r>
      <w:r w:rsidR="001948E9">
        <w:rPr>
          <w:highlight w:val="yellow"/>
          <w:lang w:val="en-GB"/>
        </w:rPr>
        <w:t>its</w:t>
      </w:r>
      <w:r w:rsidR="0091439F">
        <w:rPr>
          <w:highlight w:val="yellow"/>
          <w:lang w:val="en-GB"/>
        </w:rPr>
        <w:t xml:space="preserve"> design</w:t>
      </w:r>
      <w:r w:rsidR="005D0A72" w:rsidRPr="005D0A72">
        <w:rPr>
          <w:highlight w:val="yellow"/>
          <w:lang w:val="en-GB"/>
        </w:rPr>
        <w:t>.</w:t>
      </w:r>
      <w:r w:rsidR="005D0A72">
        <w:rPr>
          <w:lang w:val="en-GB"/>
        </w:rPr>
        <w:t xml:space="preserve"> </w:t>
      </w:r>
    </w:p>
    <w:p w14:paraId="65FFCCB4" w14:textId="08FD55BF" w:rsidR="008764C2" w:rsidRPr="00590A21" w:rsidRDefault="008764C2" w:rsidP="00E37133">
      <w:pPr>
        <w:pStyle w:val="ListParagraph"/>
        <w:numPr>
          <w:ilvl w:val="0"/>
          <w:numId w:val="6"/>
        </w:numPr>
        <w:pBdr>
          <w:top w:val="nil"/>
          <w:left w:val="nil"/>
          <w:bottom w:val="nil"/>
          <w:right w:val="nil"/>
          <w:between w:val="nil"/>
          <w:bar w:val="nil"/>
        </w:pBdr>
        <w:contextualSpacing w:val="0"/>
        <w:jc w:val="both"/>
        <w:rPr>
          <w:lang w:val="en-GB"/>
        </w:rPr>
      </w:pPr>
      <w:r w:rsidRPr="00590A21">
        <w:rPr>
          <w:lang w:val="en-GB"/>
        </w:rPr>
        <w:t xml:space="preserve">There is the electric field gradient for the electric field distribution within the oil and PB caused by space charge. The electric field of the PB increases from the anode to the cathode, and the electric field of the oil decrease from the anode to the cathode. Moreover, after the PR, the electric field of the oil decreases from the cathode to the anode, and the electric field of the PB increases from the cathode to the anode. </w:t>
      </w:r>
    </w:p>
    <w:p w14:paraId="215D0E1A" w14:textId="3F4C2472" w:rsidR="008764C2" w:rsidRPr="00590A21" w:rsidRDefault="008764C2" w:rsidP="00E37133">
      <w:pPr>
        <w:pStyle w:val="ListParagraph"/>
        <w:numPr>
          <w:ilvl w:val="0"/>
          <w:numId w:val="6"/>
        </w:numPr>
        <w:pBdr>
          <w:top w:val="nil"/>
          <w:left w:val="nil"/>
          <w:bottom w:val="nil"/>
          <w:right w:val="nil"/>
          <w:between w:val="nil"/>
          <w:bar w:val="nil"/>
        </w:pBdr>
        <w:contextualSpacing w:val="0"/>
        <w:jc w:val="both"/>
        <w:rPr>
          <w:lang w:val="en-GB"/>
        </w:rPr>
      </w:pPr>
      <w:r w:rsidRPr="00590A21">
        <w:rPr>
          <w:lang w:val="en-GB"/>
        </w:rPr>
        <w:t>After PR, with the comparison of the electric field caused by the Maxwell-Wagner theory and the space charge, it indicates that the electric field in the oil caused by the space charge is higher than that based on the Maxwell-Wagner theory. Moreover, it also shows that the PR operation time may be reduced from the current two minutes for multilayers oil and PB under the electric field of 10 kV/mm.</w:t>
      </w:r>
      <w:bookmarkStart w:id="47" w:name="OLE_LINK89"/>
      <w:bookmarkEnd w:id="45"/>
      <w:r w:rsidRPr="00590A21">
        <w:rPr>
          <w:lang w:val="en-GB"/>
        </w:rPr>
        <w:t xml:space="preserve"> </w:t>
      </w:r>
    </w:p>
    <w:bookmarkEnd w:id="47"/>
    <w:p w14:paraId="09F2C6D4" w14:textId="592B72D7" w:rsidR="008764C2" w:rsidRPr="00590A21" w:rsidRDefault="008764C2" w:rsidP="004A2DDE">
      <w:pPr>
        <w:pStyle w:val="Heading1"/>
        <w:numPr>
          <w:ilvl w:val="0"/>
          <w:numId w:val="3"/>
        </w:numPr>
        <w:ind w:left="357" w:hanging="357"/>
        <w:rPr>
          <w:rFonts w:ascii="Arial" w:hAnsi="Arial" w:cs="Arial"/>
          <w:b/>
          <w:caps/>
          <w:sz w:val="24"/>
          <w:lang w:val="en-GB"/>
        </w:rPr>
      </w:pPr>
      <w:r w:rsidRPr="00590A21">
        <w:rPr>
          <w:rFonts w:ascii="Arial" w:hAnsi="Arial" w:cs="Arial"/>
          <w:b/>
          <w:caps/>
          <w:sz w:val="24"/>
          <w:lang w:val="en-GB"/>
        </w:rPr>
        <w:t>Acknowledgment</w:t>
      </w:r>
    </w:p>
    <w:p w14:paraId="5856134B" w14:textId="743E7530" w:rsidR="008764C2" w:rsidRPr="00590A21" w:rsidRDefault="008764C2" w:rsidP="00B05CCC">
      <w:pPr>
        <w:ind w:firstLine="142"/>
        <w:jc w:val="both"/>
        <w:rPr>
          <w:lang w:val="en-GB"/>
        </w:rPr>
      </w:pPr>
      <w:r w:rsidRPr="00590A21">
        <w:rPr>
          <w:lang w:val="en-GB"/>
        </w:rPr>
        <w:t>The authors are grateful to the financial support received from UK Engineering and Physical Sciences Research Council (EP/L021560/1 - Towards Enhanced HVDC Cable Systems).</w:t>
      </w:r>
      <w:bookmarkEnd w:id="46"/>
    </w:p>
    <w:p w14:paraId="522365CC" w14:textId="10927EB1" w:rsidR="00B05CCC" w:rsidRPr="00590A21" w:rsidRDefault="00B05CCC" w:rsidP="004A2DDE">
      <w:pPr>
        <w:pStyle w:val="ReferenceHead"/>
        <w:keepLines/>
        <w:rPr>
          <w:rFonts w:ascii="Arial" w:hAnsi="Arial" w:cs="Arial"/>
          <w:b/>
          <w:caps/>
          <w:smallCaps w:val="0"/>
          <w:sz w:val="24"/>
          <w:lang w:val="en-GB"/>
        </w:rPr>
      </w:pPr>
      <w:r w:rsidRPr="00590A21">
        <w:rPr>
          <w:rFonts w:ascii="Arial" w:hAnsi="Arial" w:cs="Arial"/>
          <w:b/>
          <w:caps/>
          <w:smallCaps w:val="0"/>
          <w:sz w:val="24"/>
          <w:lang w:val="en-GB"/>
        </w:rPr>
        <w:t>References</w:t>
      </w:r>
    </w:p>
    <w:p w14:paraId="1577E767" w14:textId="52805D48" w:rsidR="00AA6BC5" w:rsidRPr="00AA6BC5" w:rsidRDefault="00AA6BC5" w:rsidP="002A15E0">
      <w:pPr>
        <w:ind w:left="426" w:hanging="426"/>
        <w:jc w:val="both"/>
        <w:rPr>
          <w:sz w:val="16"/>
          <w:szCs w:val="16"/>
        </w:rPr>
      </w:pPr>
      <w:r w:rsidRPr="00AA6BC5">
        <w:rPr>
          <w:rFonts w:hint="eastAsia"/>
          <w:sz w:val="16"/>
          <w:szCs w:val="16"/>
          <w:lang w:eastAsia="zh-CN"/>
        </w:rPr>
        <w:t>[</w:t>
      </w:r>
      <w:r w:rsidRPr="00AA6BC5">
        <w:rPr>
          <w:sz w:val="16"/>
          <w:szCs w:val="16"/>
        </w:rPr>
        <w:t>1]</w:t>
      </w:r>
      <w:r w:rsidRPr="00AA6BC5">
        <w:rPr>
          <w:sz w:val="16"/>
          <w:szCs w:val="16"/>
        </w:rPr>
        <w:tab/>
        <w:t xml:space="preserve">G. Chen and Z. Xu, “Charge Trapping and </w:t>
      </w:r>
      <w:proofErr w:type="spellStart"/>
      <w:r w:rsidRPr="00AA6BC5">
        <w:rPr>
          <w:sz w:val="16"/>
          <w:szCs w:val="16"/>
        </w:rPr>
        <w:t>Detrapping</w:t>
      </w:r>
      <w:proofErr w:type="spellEnd"/>
      <w:r w:rsidRPr="00AA6BC5">
        <w:rPr>
          <w:sz w:val="16"/>
          <w:szCs w:val="16"/>
        </w:rPr>
        <w:t xml:space="preserve"> in Polymeric Materials,” J. Appl. Phys., vol. 106, no. 12, pp. 1–5, 2009.</w:t>
      </w:r>
    </w:p>
    <w:p w14:paraId="33F515FD" w14:textId="260BB5C1" w:rsidR="00AA6BC5" w:rsidRPr="00AA6BC5" w:rsidRDefault="00AA6BC5" w:rsidP="002A15E0">
      <w:pPr>
        <w:ind w:left="426" w:hanging="426"/>
        <w:jc w:val="both"/>
        <w:rPr>
          <w:sz w:val="16"/>
          <w:szCs w:val="16"/>
        </w:rPr>
      </w:pPr>
      <w:r w:rsidRPr="00AA6BC5">
        <w:rPr>
          <w:sz w:val="16"/>
          <w:szCs w:val="16"/>
        </w:rPr>
        <w:t>[2]</w:t>
      </w:r>
      <w:r w:rsidRPr="00AA6BC5">
        <w:rPr>
          <w:sz w:val="16"/>
          <w:szCs w:val="16"/>
        </w:rPr>
        <w:tab/>
        <w:t>C. Tang, B. Huang, M. Hao, Z. Xu, J. Hao, and G. Chen, “Progress of Space Charge Research on Oil-Paper Insulation Using Pulsed Electroacoustic Techniques,” Energies, vol. 9, no. 1, p. 53, 2016.</w:t>
      </w:r>
    </w:p>
    <w:p w14:paraId="5C594DE5" w14:textId="730B687C" w:rsidR="00AA6BC5" w:rsidRPr="00AA6BC5" w:rsidRDefault="00AA6BC5" w:rsidP="002A15E0">
      <w:pPr>
        <w:ind w:left="426" w:hanging="426"/>
        <w:jc w:val="both"/>
        <w:rPr>
          <w:sz w:val="16"/>
          <w:szCs w:val="16"/>
        </w:rPr>
      </w:pPr>
      <w:r w:rsidRPr="00AA6BC5">
        <w:rPr>
          <w:sz w:val="16"/>
          <w:szCs w:val="16"/>
        </w:rPr>
        <w:t>[3]</w:t>
      </w:r>
      <w:r w:rsidRPr="00AA6BC5">
        <w:rPr>
          <w:sz w:val="16"/>
          <w:szCs w:val="16"/>
        </w:rPr>
        <w:tab/>
        <w:t xml:space="preserve">J. Hao, G. Chen, R. Liao, L. Yang, and C. Tang, “Influence of Moisture on Space Charge Dynamics in Multilayer Oil-Paper Insulation,” IEEE Trans. </w:t>
      </w:r>
      <w:proofErr w:type="spellStart"/>
      <w:r w:rsidRPr="00AA6BC5">
        <w:rPr>
          <w:sz w:val="16"/>
          <w:szCs w:val="16"/>
        </w:rPr>
        <w:t>Dielectr</w:t>
      </w:r>
      <w:proofErr w:type="spellEnd"/>
      <w:r w:rsidRPr="00AA6BC5">
        <w:rPr>
          <w:sz w:val="16"/>
          <w:szCs w:val="16"/>
        </w:rPr>
        <w:t xml:space="preserve">. </w:t>
      </w:r>
      <w:proofErr w:type="spellStart"/>
      <w:r w:rsidRPr="00AA6BC5">
        <w:rPr>
          <w:sz w:val="16"/>
          <w:szCs w:val="16"/>
        </w:rPr>
        <w:t>Electr</w:t>
      </w:r>
      <w:proofErr w:type="spellEnd"/>
      <w:r w:rsidRPr="00AA6BC5">
        <w:rPr>
          <w:sz w:val="16"/>
          <w:szCs w:val="16"/>
        </w:rPr>
        <w:t xml:space="preserve">. </w:t>
      </w:r>
      <w:proofErr w:type="spellStart"/>
      <w:proofErr w:type="gramStart"/>
      <w:r w:rsidRPr="00AA6BC5">
        <w:rPr>
          <w:sz w:val="16"/>
          <w:szCs w:val="16"/>
        </w:rPr>
        <w:t>Insul</w:t>
      </w:r>
      <w:proofErr w:type="spellEnd"/>
      <w:r w:rsidRPr="00AA6BC5">
        <w:rPr>
          <w:sz w:val="16"/>
          <w:szCs w:val="16"/>
        </w:rPr>
        <w:t>.,</w:t>
      </w:r>
      <w:proofErr w:type="gramEnd"/>
      <w:r w:rsidRPr="00AA6BC5">
        <w:rPr>
          <w:sz w:val="16"/>
          <w:szCs w:val="16"/>
        </w:rPr>
        <w:t xml:space="preserve"> vol. 19, no. 4, pp. 1456–1464, 2012.</w:t>
      </w:r>
    </w:p>
    <w:p w14:paraId="690E32DD" w14:textId="44DD2705" w:rsidR="00AA6BC5" w:rsidRPr="00AA6BC5" w:rsidRDefault="00AA6BC5" w:rsidP="002A15E0">
      <w:pPr>
        <w:ind w:left="426" w:hanging="426"/>
        <w:jc w:val="both"/>
        <w:rPr>
          <w:sz w:val="16"/>
          <w:szCs w:val="16"/>
        </w:rPr>
      </w:pPr>
      <w:r w:rsidRPr="00AA6BC5">
        <w:rPr>
          <w:sz w:val="16"/>
          <w:szCs w:val="16"/>
        </w:rPr>
        <w:t>[4]</w:t>
      </w:r>
      <w:r w:rsidRPr="00AA6BC5">
        <w:rPr>
          <w:sz w:val="16"/>
          <w:szCs w:val="16"/>
        </w:rPr>
        <w:tab/>
        <w:t xml:space="preserve">K. Wu and C. Cheng, “Interface Charges between Insulating Materials,” IEEE Trans. </w:t>
      </w:r>
      <w:proofErr w:type="spellStart"/>
      <w:r w:rsidRPr="00AA6BC5">
        <w:rPr>
          <w:sz w:val="16"/>
          <w:szCs w:val="16"/>
        </w:rPr>
        <w:t>Dielectr</w:t>
      </w:r>
      <w:proofErr w:type="spellEnd"/>
      <w:r w:rsidRPr="00AA6BC5">
        <w:rPr>
          <w:sz w:val="16"/>
          <w:szCs w:val="16"/>
        </w:rPr>
        <w:t xml:space="preserve">. </w:t>
      </w:r>
      <w:proofErr w:type="spellStart"/>
      <w:r w:rsidRPr="00AA6BC5">
        <w:rPr>
          <w:sz w:val="16"/>
          <w:szCs w:val="16"/>
        </w:rPr>
        <w:t>Electr</w:t>
      </w:r>
      <w:proofErr w:type="spellEnd"/>
      <w:r w:rsidRPr="00AA6BC5">
        <w:rPr>
          <w:sz w:val="16"/>
          <w:szCs w:val="16"/>
        </w:rPr>
        <w:t xml:space="preserve">. </w:t>
      </w:r>
      <w:proofErr w:type="spellStart"/>
      <w:proofErr w:type="gramStart"/>
      <w:r w:rsidRPr="00AA6BC5">
        <w:rPr>
          <w:sz w:val="16"/>
          <w:szCs w:val="16"/>
        </w:rPr>
        <w:t>Insul</w:t>
      </w:r>
      <w:proofErr w:type="spellEnd"/>
      <w:r w:rsidRPr="00AA6BC5">
        <w:rPr>
          <w:sz w:val="16"/>
          <w:szCs w:val="16"/>
        </w:rPr>
        <w:t>.,</w:t>
      </w:r>
      <w:proofErr w:type="gramEnd"/>
      <w:r w:rsidRPr="00AA6BC5">
        <w:rPr>
          <w:sz w:val="16"/>
          <w:szCs w:val="16"/>
        </w:rPr>
        <w:t xml:space="preserve"> vol. 24, no. 4, pp. 2633–2642, 2017.</w:t>
      </w:r>
    </w:p>
    <w:p w14:paraId="60C23EF8" w14:textId="06B7EF10" w:rsidR="00AA6BC5" w:rsidRPr="00AA6BC5" w:rsidRDefault="00AA6BC5" w:rsidP="002A15E0">
      <w:pPr>
        <w:ind w:left="426" w:hanging="426"/>
        <w:jc w:val="both"/>
        <w:rPr>
          <w:sz w:val="16"/>
          <w:szCs w:val="16"/>
        </w:rPr>
      </w:pPr>
      <w:r w:rsidRPr="00AA6BC5">
        <w:rPr>
          <w:sz w:val="16"/>
          <w:szCs w:val="16"/>
        </w:rPr>
        <w:t>[5]</w:t>
      </w:r>
      <w:r w:rsidRPr="00AA6BC5">
        <w:rPr>
          <w:sz w:val="16"/>
          <w:szCs w:val="16"/>
        </w:rPr>
        <w:tab/>
        <w:t>C. Tang</w:t>
      </w:r>
      <w:r w:rsidR="00013037">
        <w:rPr>
          <w:sz w:val="16"/>
          <w:szCs w:val="16"/>
        </w:rPr>
        <w:t xml:space="preserve"> </w:t>
      </w:r>
      <w:r w:rsidR="00013037" w:rsidRPr="00013037">
        <w:rPr>
          <w:i/>
          <w:sz w:val="16"/>
          <w:szCs w:val="16"/>
        </w:rPr>
        <w:t>et a</w:t>
      </w:r>
      <w:r w:rsidR="00013037">
        <w:rPr>
          <w:sz w:val="16"/>
          <w:szCs w:val="16"/>
        </w:rPr>
        <w:t xml:space="preserve">l, </w:t>
      </w:r>
      <w:r w:rsidRPr="00AA6BC5">
        <w:rPr>
          <w:sz w:val="16"/>
          <w:szCs w:val="16"/>
        </w:rPr>
        <w:t xml:space="preserve"> “The Space Charge Behaviors of Insulation Paper immersed by Mineral Oil and MID</w:t>
      </w:r>
      <w:r w:rsidR="002A15E0">
        <w:rPr>
          <w:sz w:val="16"/>
          <w:szCs w:val="16"/>
        </w:rPr>
        <w:t xml:space="preserve">EL 7131 after Thermal Ageing,” </w:t>
      </w:r>
      <w:r w:rsidR="002A15E0" w:rsidRPr="002A15E0">
        <w:rPr>
          <w:i/>
          <w:sz w:val="16"/>
          <w:szCs w:val="16"/>
        </w:rPr>
        <w:t>IEEE Int. Conf. Cond</w:t>
      </w:r>
      <w:r w:rsidRPr="002A15E0">
        <w:rPr>
          <w:i/>
          <w:sz w:val="16"/>
          <w:szCs w:val="16"/>
        </w:rPr>
        <w:t>ition Monitoring and Diagnosis (CMD),</w:t>
      </w:r>
      <w:r w:rsidRPr="00AA6BC5">
        <w:rPr>
          <w:sz w:val="16"/>
          <w:szCs w:val="16"/>
        </w:rPr>
        <w:t xml:space="preserve"> 2016, pp. 44–47.</w:t>
      </w:r>
    </w:p>
    <w:p w14:paraId="16F6A582" w14:textId="62EDE995" w:rsidR="00AA6BC5" w:rsidRPr="00AA6BC5" w:rsidRDefault="00AA6BC5" w:rsidP="002A15E0">
      <w:pPr>
        <w:ind w:left="426" w:hanging="426"/>
        <w:jc w:val="both"/>
        <w:rPr>
          <w:sz w:val="16"/>
          <w:szCs w:val="16"/>
        </w:rPr>
      </w:pPr>
      <w:r w:rsidRPr="00AA6BC5">
        <w:rPr>
          <w:sz w:val="16"/>
          <w:szCs w:val="16"/>
        </w:rPr>
        <w:t>[6]</w:t>
      </w:r>
      <w:r w:rsidRPr="00AA6BC5">
        <w:rPr>
          <w:sz w:val="16"/>
          <w:szCs w:val="16"/>
        </w:rPr>
        <w:tab/>
        <w:t xml:space="preserve">C. Tang, G. Chen, M. Fu, and R. J. Liao, “Space Charge Behavior in Multi-layer Oil-paper Insulation under Different DC Voltages and Temperatures,” IEEE Trans. </w:t>
      </w:r>
      <w:proofErr w:type="spellStart"/>
      <w:r w:rsidRPr="00AA6BC5">
        <w:rPr>
          <w:sz w:val="16"/>
          <w:szCs w:val="16"/>
        </w:rPr>
        <w:t>Dielectr</w:t>
      </w:r>
      <w:proofErr w:type="spellEnd"/>
      <w:r w:rsidRPr="00AA6BC5">
        <w:rPr>
          <w:sz w:val="16"/>
          <w:szCs w:val="16"/>
        </w:rPr>
        <w:t xml:space="preserve">. </w:t>
      </w:r>
      <w:proofErr w:type="spellStart"/>
      <w:r w:rsidRPr="00AA6BC5">
        <w:rPr>
          <w:sz w:val="16"/>
          <w:szCs w:val="16"/>
        </w:rPr>
        <w:t>Electr</w:t>
      </w:r>
      <w:proofErr w:type="spellEnd"/>
      <w:r w:rsidRPr="00AA6BC5">
        <w:rPr>
          <w:sz w:val="16"/>
          <w:szCs w:val="16"/>
        </w:rPr>
        <w:t xml:space="preserve">. </w:t>
      </w:r>
      <w:proofErr w:type="spellStart"/>
      <w:proofErr w:type="gramStart"/>
      <w:r w:rsidRPr="00AA6BC5">
        <w:rPr>
          <w:sz w:val="16"/>
          <w:szCs w:val="16"/>
        </w:rPr>
        <w:t>Insul</w:t>
      </w:r>
      <w:proofErr w:type="spellEnd"/>
      <w:r w:rsidRPr="00AA6BC5">
        <w:rPr>
          <w:sz w:val="16"/>
          <w:szCs w:val="16"/>
        </w:rPr>
        <w:t>.,</w:t>
      </w:r>
      <w:proofErr w:type="gramEnd"/>
      <w:r w:rsidRPr="00AA6BC5">
        <w:rPr>
          <w:sz w:val="16"/>
          <w:szCs w:val="16"/>
        </w:rPr>
        <w:t xml:space="preserve"> vol. 17, no. 3, pp. 775–784, 2010.</w:t>
      </w:r>
    </w:p>
    <w:p w14:paraId="0F3837E8" w14:textId="3C2C59E7" w:rsidR="00AA6BC5" w:rsidRPr="00AA6BC5" w:rsidRDefault="00AA6BC5" w:rsidP="002A15E0">
      <w:pPr>
        <w:ind w:left="426" w:hanging="426"/>
        <w:jc w:val="both"/>
        <w:rPr>
          <w:sz w:val="16"/>
          <w:szCs w:val="16"/>
        </w:rPr>
      </w:pPr>
      <w:r w:rsidRPr="00AA6BC5">
        <w:rPr>
          <w:sz w:val="16"/>
          <w:szCs w:val="16"/>
        </w:rPr>
        <w:t>[7]</w:t>
      </w:r>
      <w:r w:rsidRPr="00AA6BC5">
        <w:rPr>
          <w:sz w:val="16"/>
          <w:szCs w:val="16"/>
        </w:rPr>
        <w:tab/>
        <w:t xml:space="preserve">G. Chen, Y. Tanaka, T. Takada, and L. </w:t>
      </w:r>
      <w:proofErr w:type="spellStart"/>
      <w:r w:rsidRPr="00AA6BC5">
        <w:rPr>
          <w:sz w:val="16"/>
          <w:szCs w:val="16"/>
        </w:rPr>
        <w:t>Zhong</w:t>
      </w:r>
      <w:proofErr w:type="spellEnd"/>
      <w:r w:rsidRPr="00AA6BC5">
        <w:rPr>
          <w:sz w:val="16"/>
          <w:szCs w:val="16"/>
        </w:rPr>
        <w:t xml:space="preserve">, “Effect of Polyethylene Interface on Space Charge Formation,” IEEE Trans. </w:t>
      </w:r>
      <w:proofErr w:type="spellStart"/>
      <w:r w:rsidRPr="00AA6BC5">
        <w:rPr>
          <w:sz w:val="16"/>
          <w:szCs w:val="16"/>
        </w:rPr>
        <w:t>Dielectr</w:t>
      </w:r>
      <w:proofErr w:type="spellEnd"/>
      <w:r w:rsidRPr="00AA6BC5">
        <w:rPr>
          <w:sz w:val="16"/>
          <w:szCs w:val="16"/>
        </w:rPr>
        <w:t xml:space="preserve">. </w:t>
      </w:r>
      <w:proofErr w:type="spellStart"/>
      <w:r w:rsidRPr="00AA6BC5">
        <w:rPr>
          <w:sz w:val="16"/>
          <w:szCs w:val="16"/>
        </w:rPr>
        <w:t>Electr</w:t>
      </w:r>
      <w:proofErr w:type="spellEnd"/>
      <w:r w:rsidRPr="00AA6BC5">
        <w:rPr>
          <w:sz w:val="16"/>
          <w:szCs w:val="16"/>
        </w:rPr>
        <w:t xml:space="preserve">. </w:t>
      </w:r>
      <w:proofErr w:type="spellStart"/>
      <w:proofErr w:type="gramStart"/>
      <w:r w:rsidRPr="00AA6BC5">
        <w:rPr>
          <w:sz w:val="16"/>
          <w:szCs w:val="16"/>
        </w:rPr>
        <w:t>Insul</w:t>
      </w:r>
      <w:proofErr w:type="spellEnd"/>
      <w:r w:rsidRPr="00AA6BC5">
        <w:rPr>
          <w:sz w:val="16"/>
          <w:szCs w:val="16"/>
        </w:rPr>
        <w:t>.,</w:t>
      </w:r>
      <w:proofErr w:type="gramEnd"/>
      <w:r w:rsidRPr="00AA6BC5">
        <w:rPr>
          <w:sz w:val="16"/>
          <w:szCs w:val="16"/>
        </w:rPr>
        <w:t xml:space="preserve"> vol. 11, no. 1, pp. 113–121, 2004.</w:t>
      </w:r>
    </w:p>
    <w:p w14:paraId="7AC58449" w14:textId="1992B40A" w:rsidR="00AA6BC5" w:rsidRPr="00AA6BC5" w:rsidRDefault="00AA6BC5" w:rsidP="002A15E0">
      <w:pPr>
        <w:ind w:left="426" w:hanging="426"/>
        <w:jc w:val="both"/>
        <w:rPr>
          <w:sz w:val="16"/>
          <w:szCs w:val="16"/>
        </w:rPr>
      </w:pPr>
      <w:r w:rsidRPr="00AA6BC5">
        <w:rPr>
          <w:sz w:val="16"/>
          <w:szCs w:val="16"/>
        </w:rPr>
        <w:t>[8]</w:t>
      </w:r>
      <w:r w:rsidRPr="00AA6BC5">
        <w:rPr>
          <w:sz w:val="16"/>
          <w:szCs w:val="16"/>
        </w:rPr>
        <w:tab/>
        <w:t xml:space="preserve">L. </w:t>
      </w:r>
      <w:proofErr w:type="gramStart"/>
      <w:r w:rsidRPr="00AA6BC5">
        <w:rPr>
          <w:sz w:val="16"/>
          <w:szCs w:val="16"/>
        </w:rPr>
        <w:t>Lan</w:t>
      </w:r>
      <w:proofErr w:type="gramEnd"/>
      <w:r w:rsidRPr="00AA6BC5">
        <w:rPr>
          <w:sz w:val="16"/>
          <w:szCs w:val="16"/>
        </w:rPr>
        <w:t xml:space="preserve">, Q. </w:t>
      </w:r>
      <w:proofErr w:type="spellStart"/>
      <w:r w:rsidRPr="00AA6BC5">
        <w:rPr>
          <w:sz w:val="16"/>
          <w:szCs w:val="16"/>
        </w:rPr>
        <w:t>Zhong</w:t>
      </w:r>
      <w:proofErr w:type="spellEnd"/>
      <w:r w:rsidRPr="00AA6BC5">
        <w:rPr>
          <w:sz w:val="16"/>
          <w:szCs w:val="16"/>
        </w:rPr>
        <w:t xml:space="preserve">, Y. Yin, and X. Li, “Effect of Surface Fluorination on Space Charge Behavior at LDPE/EPDM Interface,” </w:t>
      </w:r>
      <w:r w:rsidRPr="002A15E0">
        <w:rPr>
          <w:i/>
          <w:sz w:val="16"/>
          <w:szCs w:val="16"/>
        </w:rPr>
        <w:t xml:space="preserve">IEEE Int. Conf. on Solid </w:t>
      </w:r>
      <w:proofErr w:type="spellStart"/>
      <w:r w:rsidRPr="002A15E0">
        <w:rPr>
          <w:i/>
          <w:sz w:val="16"/>
          <w:szCs w:val="16"/>
        </w:rPr>
        <w:t>Dielectr</w:t>
      </w:r>
      <w:proofErr w:type="spellEnd"/>
      <w:r w:rsidRPr="002A15E0">
        <w:rPr>
          <w:i/>
          <w:sz w:val="16"/>
          <w:szCs w:val="16"/>
        </w:rPr>
        <w:t>. (ICSD)</w:t>
      </w:r>
      <w:r w:rsidRPr="00AA6BC5">
        <w:rPr>
          <w:sz w:val="16"/>
          <w:szCs w:val="16"/>
        </w:rPr>
        <w:t>, 2013, pp. 444–447.</w:t>
      </w:r>
    </w:p>
    <w:p w14:paraId="0670EFE4" w14:textId="35A07243" w:rsidR="00AA6BC5" w:rsidRPr="00AA6BC5" w:rsidRDefault="00AA6BC5" w:rsidP="002A15E0">
      <w:pPr>
        <w:ind w:left="426" w:hanging="426"/>
        <w:jc w:val="both"/>
        <w:rPr>
          <w:sz w:val="16"/>
          <w:szCs w:val="16"/>
        </w:rPr>
      </w:pPr>
      <w:r w:rsidRPr="00AA6BC5">
        <w:rPr>
          <w:sz w:val="16"/>
          <w:szCs w:val="16"/>
        </w:rPr>
        <w:t xml:space="preserve"> [9]</w:t>
      </w:r>
      <w:r w:rsidRPr="00AA6BC5">
        <w:rPr>
          <w:sz w:val="16"/>
          <w:szCs w:val="16"/>
        </w:rPr>
        <w:tab/>
        <w:t xml:space="preserve">P. H. F. </w:t>
      </w:r>
      <w:proofErr w:type="spellStart"/>
      <w:r w:rsidRPr="00AA6BC5">
        <w:rPr>
          <w:sz w:val="16"/>
          <w:szCs w:val="16"/>
        </w:rPr>
        <w:t>Morshuis</w:t>
      </w:r>
      <w:proofErr w:type="spellEnd"/>
      <w:r w:rsidRPr="00AA6BC5">
        <w:rPr>
          <w:sz w:val="16"/>
          <w:szCs w:val="16"/>
        </w:rPr>
        <w:t xml:space="preserve">, R. Bodega, D. </w:t>
      </w:r>
      <w:proofErr w:type="spellStart"/>
      <w:r w:rsidRPr="00AA6BC5">
        <w:rPr>
          <w:sz w:val="16"/>
          <w:szCs w:val="16"/>
        </w:rPr>
        <w:t>Fabiani</w:t>
      </w:r>
      <w:proofErr w:type="spellEnd"/>
      <w:r w:rsidRPr="00AA6BC5">
        <w:rPr>
          <w:sz w:val="16"/>
          <w:szCs w:val="16"/>
        </w:rPr>
        <w:t xml:space="preserve">, G. C. </w:t>
      </w:r>
      <w:proofErr w:type="spellStart"/>
      <w:r w:rsidRPr="00AA6BC5">
        <w:rPr>
          <w:sz w:val="16"/>
          <w:szCs w:val="16"/>
        </w:rPr>
        <w:t>Montanari</w:t>
      </w:r>
      <w:proofErr w:type="spellEnd"/>
      <w:r w:rsidRPr="00AA6BC5">
        <w:rPr>
          <w:sz w:val="16"/>
          <w:szCs w:val="16"/>
        </w:rPr>
        <w:t xml:space="preserve">, L. A. </w:t>
      </w:r>
      <w:proofErr w:type="spellStart"/>
      <w:r w:rsidRPr="00AA6BC5">
        <w:rPr>
          <w:sz w:val="16"/>
          <w:szCs w:val="16"/>
        </w:rPr>
        <w:t>Dissado</w:t>
      </w:r>
      <w:proofErr w:type="spellEnd"/>
      <w:r w:rsidRPr="00AA6BC5">
        <w:rPr>
          <w:sz w:val="16"/>
          <w:szCs w:val="16"/>
        </w:rPr>
        <w:t xml:space="preserve">, and J. J. Smit, “Dielectric Interfaces in DC Constructions: Space Charge and Polarization Phenomena,” </w:t>
      </w:r>
      <w:r w:rsidRPr="002A15E0">
        <w:rPr>
          <w:i/>
          <w:sz w:val="16"/>
          <w:szCs w:val="16"/>
        </w:rPr>
        <w:t xml:space="preserve">IEEE Int. Conf. on Solid </w:t>
      </w:r>
      <w:proofErr w:type="spellStart"/>
      <w:r w:rsidRPr="002A15E0">
        <w:rPr>
          <w:i/>
          <w:sz w:val="16"/>
          <w:szCs w:val="16"/>
        </w:rPr>
        <w:t>Dielectr</w:t>
      </w:r>
      <w:proofErr w:type="spellEnd"/>
      <w:r w:rsidRPr="002A15E0">
        <w:rPr>
          <w:i/>
          <w:sz w:val="16"/>
          <w:szCs w:val="16"/>
        </w:rPr>
        <w:t>. (ICSD)</w:t>
      </w:r>
      <w:r w:rsidRPr="00AA6BC5">
        <w:rPr>
          <w:sz w:val="16"/>
          <w:szCs w:val="16"/>
        </w:rPr>
        <w:t>, 2007, pp. 450–453.</w:t>
      </w:r>
    </w:p>
    <w:p w14:paraId="2F5758D6" w14:textId="3CC77D1C" w:rsidR="00AA6BC5" w:rsidRPr="00AA6BC5" w:rsidRDefault="00AA6BC5" w:rsidP="002A15E0">
      <w:pPr>
        <w:ind w:left="426" w:hanging="426"/>
        <w:jc w:val="both"/>
        <w:rPr>
          <w:sz w:val="16"/>
          <w:szCs w:val="16"/>
        </w:rPr>
      </w:pPr>
      <w:r w:rsidRPr="00AA6BC5">
        <w:rPr>
          <w:sz w:val="16"/>
          <w:szCs w:val="16"/>
        </w:rPr>
        <w:t>[10]</w:t>
      </w:r>
      <w:r w:rsidRPr="00AA6BC5">
        <w:rPr>
          <w:sz w:val="16"/>
          <w:szCs w:val="16"/>
        </w:rPr>
        <w:tab/>
        <w:t xml:space="preserve">R. Bodega, P. H. F. </w:t>
      </w:r>
      <w:proofErr w:type="spellStart"/>
      <w:r w:rsidRPr="00AA6BC5">
        <w:rPr>
          <w:sz w:val="16"/>
          <w:szCs w:val="16"/>
        </w:rPr>
        <w:t>Morshuis</w:t>
      </w:r>
      <w:proofErr w:type="spellEnd"/>
      <w:r w:rsidRPr="00AA6BC5">
        <w:rPr>
          <w:sz w:val="16"/>
          <w:szCs w:val="16"/>
        </w:rPr>
        <w:t xml:space="preserve">, U. H. Nilsson, G. </w:t>
      </w:r>
      <w:proofErr w:type="spellStart"/>
      <w:r w:rsidRPr="00AA6BC5">
        <w:rPr>
          <w:sz w:val="16"/>
          <w:szCs w:val="16"/>
        </w:rPr>
        <w:t>Perego</w:t>
      </w:r>
      <w:proofErr w:type="spellEnd"/>
      <w:r w:rsidRPr="00AA6BC5">
        <w:rPr>
          <w:sz w:val="16"/>
          <w:szCs w:val="16"/>
        </w:rPr>
        <w:t xml:space="preserve">, and J. J. Smit, “Charging and Polarization Phenomena in XLPE-EPR Coaxial Interfaces,” </w:t>
      </w:r>
      <w:r w:rsidR="002A15E0" w:rsidRPr="002A15E0">
        <w:rPr>
          <w:i/>
          <w:sz w:val="16"/>
          <w:szCs w:val="16"/>
        </w:rPr>
        <w:t xml:space="preserve">Int. </w:t>
      </w:r>
      <w:proofErr w:type="spellStart"/>
      <w:r w:rsidR="002A15E0" w:rsidRPr="002A15E0">
        <w:rPr>
          <w:i/>
          <w:sz w:val="16"/>
          <w:szCs w:val="16"/>
        </w:rPr>
        <w:t>Symp</w:t>
      </w:r>
      <w:proofErr w:type="spellEnd"/>
      <w:r w:rsidR="002A15E0" w:rsidRPr="002A15E0">
        <w:rPr>
          <w:i/>
          <w:sz w:val="16"/>
          <w:szCs w:val="16"/>
        </w:rPr>
        <w:t xml:space="preserve">. </w:t>
      </w:r>
      <w:proofErr w:type="spellStart"/>
      <w:r w:rsidR="002A15E0" w:rsidRPr="002A15E0">
        <w:rPr>
          <w:i/>
          <w:sz w:val="16"/>
          <w:szCs w:val="16"/>
        </w:rPr>
        <w:t>Electr</w:t>
      </w:r>
      <w:proofErr w:type="spellEnd"/>
      <w:r w:rsidR="002A15E0" w:rsidRPr="002A15E0">
        <w:rPr>
          <w:i/>
          <w:sz w:val="16"/>
          <w:szCs w:val="16"/>
        </w:rPr>
        <w:t xml:space="preserve">. </w:t>
      </w:r>
      <w:proofErr w:type="spellStart"/>
      <w:r w:rsidR="002A15E0" w:rsidRPr="002A15E0">
        <w:rPr>
          <w:i/>
          <w:sz w:val="16"/>
          <w:szCs w:val="16"/>
        </w:rPr>
        <w:t>Insul</w:t>
      </w:r>
      <w:proofErr w:type="spellEnd"/>
      <w:r w:rsidR="002A15E0" w:rsidRPr="002A15E0">
        <w:rPr>
          <w:i/>
          <w:sz w:val="16"/>
          <w:szCs w:val="16"/>
        </w:rPr>
        <w:t xml:space="preserve">. Mat. </w:t>
      </w:r>
      <w:r w:rsidRPr="002A15E0">
        <w:rPr>
          <w:i/>
          <w:sz w:val="16"/>
          <w:szCs w:val="16"/>
        </w:rPr>
        <w:t xml:space="preserve">(ISEIM), </w:t>
      </w:r>
      <w:r w:rsidRPr="00AA6BC5">
        <w:rPr>
          <w:sz w:val="16"/>
          <w:szCs w:val="16"/>
        </w:rPr>
        <w:t>2005, pp. 107–110.</w:t>
      </w:r>
    </w:p>
    <w:p w14:paraId="44F7E96D" w14:textId="561196E4" w:rsidR="00AA6BC5" w:rsidRPr="00AA6BC5" w:rsidRDefault="00AA6BC5" w:rsidP="002A15E0">
      <w:pPr>
        <w:ind w:left="426" w:hanging="426"/>
        <w:jc w:val="both"/>
        <w:rPr>
          <w:sz w:val="16"/>
          <w:szCs w:val="16"/>
        </w:rPr>
      </w:pPr>
      <w:r w:rsidRPr="00AA6BC5">
        <w:rPr>
          <w:sz w:val="16"/>
          <w:szCs w:val="16"/>
        </w:rPr>
        <w:t>[11]</w:t>
      </w:r>
      <w:r w:rsidRPr="00AA6BC5">
        <w:rPr>
          <w:sz w:val="16"/>
          <w:szCs w:val="16"/>
        </w:rPr>
        <w:tab/>
        <w:t xml:space="preserve">T. T. N. Vu, G. </w:t>
      </w:r>
      <w:proofErr w:type="spellStart"/>
      <w:r w:rsidRPr="00AA6BC5">
        <w:rPr>
          <w:sz w:val="16"/>
          <w:szCs w:val="16"/>
        </w:rPr>
        <w:t>Teyssedre</w:t>
      </w:r>
      <w:proofErr w:type="spellEnd"/>
      <w:r w:rsidRPr="00AA6BC5">
        <w:rPr>
          <w:sz w:val="16"/>
          <w:szCs w:val="16"/>
        </w:rPr>
        <w:t xml:space="preserve">, B. </w:t>
      </w:r>
      <w:proofErr w:type="spellStart"/>
      <w:r w:rsidRPr="00AA6BC5">
        <w:rPr>
          <w:sz w:val="16"/>
          <w:szCs w:val="16"/>
        </w:rPr>
        <w:t>Vissouvanadin</w:t>
      </w:r>
      <w:proofErr w:type="spellEnd"/>
      <w:r w:rsidRPr="00AA6BC5">
        <w:rPr>
          <w:sz w:val="16"/>
          <w:szCs w:val="16"/>
        </w:rPr>
        <w:t xml:space="preserve">, S. L. Roy, and C. Laurent, “Correlating Conductivity and Space Charge Measurements in Multi-dielectrics under Various Electrical and Thermal Stresses,” IEEE Trans. </w:t>
      </w:r>
      <w:proofErr w:type="spellStart"/>
      <w:r w:rsidRPr="00AA6BC5">
        <w:rPr>
          <w:sz w:val="16"/>
          <w:szCs w:val="16"/>
        </w:rPr>
        <w:t>Dielectr</w:t>
      </w:r>
      <w:proofErr w:type="spellEnd"/>
      <w:r w:rsidRPr="00AA6BC5">
        <w:rPr>
          <w:sz w:val="16"/>
          <w:szCs w:val="16"/>
        </w:rPr>
        <w:t xml:space="preserve">. </w:t>
      </w:r>
      <w:proofErr w:type="spellStart"/>
      <w:r w:rsidRPr="00AA6BC5">
        <w:rPr>
          <w:sz w:val="16"/>
          <w:szCs w:val="16"/>
        </w:rPr>
        <w:t>Electr</w:t>
      </w:r>
      <w:proofErr w:type="spellEnd"/>
      <w:r w:rsidRPr="00AA6BC5">
        <w:rPr>
          <w:sz w:val="16"/>
          <w:szCs w:val="16"/>
        </w:rPr>
        <w:t xml:space="preserve">. </w:t>
      </w:r>
      <w:proofErr w:type="spellStart"/>
      <w:proofErr w:type="gramStart"/>
      <w:r w:rsidRPr="00AA6BC5">
        <w:rPr>
          <w:sz w:val="16"/>
          <w:szCs w:val="16"/>
        </w:rPr>
        <w:t>Insul</w:t>
      </w:r>
      <w:proofErr w:type="spellEnd"/>
      <w:r w:rsidRPr="00AA6BC5">
        <w:rPr>
          <w:sz w:val="16"/>
          <w:szCs w:val="16"/>
        </w:rPr>
        <w:t>.,</w:t>
      </w:r>
      <w:proofErr w:type="gramEnd"/>
      <w:r w:rsidRPr="00AA6BC5">
        <w:rPr>
          <w:sz w:val="16"/>
          <w:szCs w:val="16"/>
        </w:rPr>
        <w:t xml:space="preserve"> vol. 22, no. 1, pp. 117–127, 2015.</w:t>
      </w:r>
    </w:p>
    <w:p w14:paraId="75C2D2B6" w14:textId="457B310D" w:rsidR="00AA6BC5" w:rsidRPr="00AA6BC5" w:rsidRDefault="00AA6BC5" w:rsidP="002A15E0">
      <w:pPr>
        <w:ind w:left="426" w:hanging="426"/>
        <w:jc w:val="both"/>
        <w:rPr>
          <w:sz w:val="16"/>
          <w:szCs w:val="16"/>
        </w:rPr>
      </w:pPr>
      <w:r w:rsidRPr="00AA6BC5">
        <w:rPr>
          <w:sz w:val="16"/>
          <w:szCs w:val="16"/>
        </w:rPr>
        <w:t>[12]</w:t>
      </w:r>
      <w:r w:rsidRPr="00AA6BC5">
        <w:rPr>
          <w:sz w:val="16"/>
          <w:szCs w:val="16"/>
        </w:rPr>
        <w:tab/>
        <w:t xml:space="preserve">R. Bodega, P. H. F. </w:t>
      </w:r>
      <w:proofErr w:type="spellStart"/>
      <w:r w:rsidRPr="00AA6BC5">
        <w:rPr>
          <w:sz w:val="16"/>
          <w:szCs w:val="16"/>
        </w:rPr>
        <w:t>Morshuis</w:t>
      </w:r>
      <w:proofErr w:type="spellEnd"/>
      <w:r w:rsidRPr="00AA6BC5">
        <w:rPr>
          <w:sz w:val="16"/>
          <w:szCs w:val="16"/>
        </w:rPr>
        <w:t xml:space="preserve">, U. H. Nilsson, G. </w:t>
      </w:r>
      <w:proofErr w:type="spellStart"/>
      <w:r w:rsidRPr="00AA6BC5">
        <w:rPr>
          <w:sz w:val="16"/>
          <w:szCs w:val="16"/>
        </w:rPr>
        <w:t>Perego</w:t>
      </w:r>
      <w:proofErr w:type="spellEnd"/>
      <w:r w:rsidRPr="00AA6BC5">
        <w:rPr>
          <w:sz w:val="16"/>
          <w:szCs w:val="16"/>
        </w:rPr>
        <w:t xml:space="preserve">, and J. J. Smit, “Polarization Mechanisms of Flat XLPE-EPR Interfaces,” </w:t>
      </w:r>
      <w:r w:rsidRPr="002A15E0">
        <w:rPr>
          <w:i/>
          <w:sz w:val="16"/>
          <w:szCs w:val="16"/>
        </w:rPr>
        <w:t>Nordic Insulation Symposium,</w:t>
      </w:r>
      <w:r w:rsidRPr="00AA6BC5">
        <w:rPr>
          <w:sz w:val="16"/>
          <w:szCs w:val="16"/>
        </w:rPr>
        <w:t xml:space="preserve"> 2005, pp. 224–227.</w:t>
      </w:r>
    </w:p>
    <w:p w14:paraId="4E1A8155" w14:textId="0A69854E" w:rsidR="00AA6BC5" w:rsidRPr="00AA6BC5" w:rsidRDefault="00AA6BC5" w:rsidP="002A15E0">
      <w:pPr>
        <w:ind w:left="426" w:hanging="426"/>
        <w:jc w:val="both"/>
        <w:rPr>
          <w:sz w:val="16"/>
          <w:szCs w:val="16"/>
        </w:rPr>
      </w:pPr>
      <w:r w:rsidRPr="00AA6BC5">
        <w:rPr>
          <w:sz w:val="16"/>
          <w:szCs w:val="16"/>
        </w:rPr>
        <w:t>[13]</w:t>
      </w:r>
      <w:r w:rsidRPr="00AA6BC5">
        <w:rPr>
          <w:sz w:val="16"/>
          <w:szCs w:val="16"/>
        </w:rPr>
        <w:tab/>
        <w:t xml:space="preserve">R. Bodega, G. </w:t>
      </w:r>
      <w:proofErr w:type="spellStart"/>
      <w:r w:rsidRPr="00AA6BC5">
        <w:rPr>
          <w:sz w:val="16"/>
          <w:szCs w:val="16"/>
        </w:rPr>
        <w:t>Perego</w:t>
      </w:r>
      <w:proofErr w:type="spellEnd"/>
      <w:r w:rsidRPr="00AA6BC5">
        <w:rPr>
          <w:sz w:val="16"/>
          <w:szCs w:val="16"/>
        </w:rPr>
        <w:t xml:space="preserve">, P. H. F. </w:t>
      </w:r>
      <w:proofErr w:type="spellStart"/>
      <w:r w:rsidRPr="00AA6BC5">
        <w:rPr>
          <w:sz w:val="16"/>
          <w:szCs w:val="16"/>
        </w:rPr>
        <w:t>Morshuis</w:t>
      </w:r>
      <w:proofErr w:type="spellEnd"/>
      <w:r w:rsidRPr="00AA6BC5">
        <w:rPr>
          <w:sz w:val="16"/>
          <w:szCs w:val="16"/>
        </w:rPr>
        <w:t xml:space="preserve">, U. H. Nilsson, and J. J. Smit, “Space Charge and Electric Field Characteristics of Polymeric-type MV-size DC Cable Joint Models,” </w:t>
      </w:r>
      <w:r w:rsidRPr="002A15E0">
        <w:rPr>
          <w:i/>
          <w:sz w:val="16"/>
          <w:szCs w:val="16"/>
        </w:rPr>
        <w:t xml:space="preserve">IEEE </w:t>
      </w:r>
      <w:proofErr w:type="spellStart"/>
      <w:r w:rsidRPr="002A15E0">
        <w:rPr>
          <w:i/>
          <w:sz w:val="16"/>
          <w:szCs w:val="16"/>
        </w:rPr>
        <w:t>Annu</w:t>
      </w:r>
      <w:proofErr w:type="spellEnd"/>
      <w:r w:rsidRPr="002A15E0">
        <w:rPr>
          <w:i/>
          <w:sz w:val="16"/>
          <w:szCs w:val="16"/>
        </w:rPr>
        <w:t xml:space="preserve">. Rep. Conf. </w:t>
      </w:r>
      <w:proofErr w:type="spellStart"/>
      <w:r w:rsidRPr="002A15E0">
        <w:rPr>
          <w:i/>
          <w:sz w:val="16"/>
          <w:szCs w:val="16"/>
        </w:rPr>
        <w:t>Electr</w:t>
      </w:r>
      <w:proofErr w:type="spellEnd"/>
      <w:r w:rsidRPr="002A15E0">
        <w:rPr>
          <w:i/>
          <w:sz w:val="16"/>
          <w:szCs w:val="16"/>
        </w:rPr>
        <w:t xml:space="preserve">. </w:t>
      </w:r>
      <w:proofErr w:type="spellStart"/>
      <w:r w:rsidRPr="002A15E0">
        <w:rPr>
          <w:i/>
          <w:sz w:val="16"/>
          <w:szCs w:val="16"/>
        </w:rPr>
        <w:t>Insul</w:t>
      </w:r>
      <w:proofErr w:type="spellEnd"/>
      <w:r w:rsidRPr="002A15E0">
        <w:rPr>
          <w:i/>
          <w:sz w:val="16"/>
          <w:szCs w:val="16"/>
        </w:rPr>
        <w:t xml:space="preserve">. </w:t>
      </w:r>
      <w:proofErr w:type="spellStart"/>
      <w:r w:rsidRPr="002A15E0">
        <w:rPr>
          <w:i/>
          <w:sz w:val="16"/>
          <w:szCs w:val="16"/>
        </w:rPr>
        <w:t>Dielect</w:t>
      </w:r>
      <w:proofErr w:type="spellEnd"/>
      <w:r w:rsidRPr="002A15E0">
        <w:rPr>
          <w:i/>
          <w:sz w:val="16"/>
          <w:szCs w:val="16"/>
        </w:rPr>
        <w:t>. Phenom. (CEIDP),</w:t>
      </w:r>
      <w:r w:rsidRPr="00AA6BC5">
        <w:rPr>
          <w:sz w:val="16"/>
          <w:szCs w:val="16"/>
        </w:rPr>
        <w:t xml:space="preserve"> 2005, pp. 507–510.</w:t>
      </w:r>
    </w:p>
    <w:p w14:paraId="69E08566" w14:textId="0F855ACB" w:rsidR="00AA6BC5" w:rsidRPr="00AA6BC5" w:rsidRDefault="00AA6BC5" w:rsidP="002A15E0">
      <w:pPr>
        <w:ind w:left="426" w:hanging="426"/>
        <w:jc w:val="both"/>
        <w:rPr>
          <w:sz w:val="16"/>
          <w:szCs w:val="16"/>
        </w:rPr>
      </w:pPr>
      <w:r w:rsidRPr="00AA6BC5">
        <w:rPr>
          <w:sz w:val="16"/>
          <w:szCs w:val="16"/>
        </w:rPr>
        <w:t xml:space="preserve"> [14]</w:t>
      </w:r>
      <w:r w:rsidRPr="00AA6BC5">
        <w:rPr>
          <w:sz w:val="16"/>
          <w:szCs w:val="16"/>
        </w:rPr>
        <w:tab/>
        <w:t>CIGRE Technical Brochure No. 646: HVDC Transformer Insulation: Oil Conductivity, CIGRE, 2016</w:t>
      </w:r>
    </w:p>
    <w:p w14:paraId="656A8CFE" w14:textId="0EA4C86C" w:rsidR="00AA6BC5" w:rsidRPr="00AA6BC5" w:rsidRDefault="00AA6BC5" w:rsidP="002A15E0">
      <w:pPr>
        <w:ind w:left="426" w:hanging="426"/>
        <w:jc w:val="both"/>
        <w:rPr>
          <w:sz w:val="16"/>
          <w:szCs w:val="16"/>
        </w:rPr>
      </w:pPr>
      <w:r w:rsidRPr="00AA6BC5">
        <w:rPr>
          <w:sz w:val="16"/>
          <w:szCs w:val="16"/>
        </w:rPr>
        <w:t>[15]</w:t>
      </w:r>
      <w:r w:rsidRPr="00AA6BC5">
        <w:rPr>
          <w:sz w:val="16"/>
          <w:szCs w:val="16"/>
        </w:rPr>
        <w:tab/>
        <w:t xml:space="preserve">B. Huang, “Space Charge </w:t>
      </w:r>
      <w:proofErr w:type="spellStart"/>
      <w:r w:rsidRPr="00AA6BC5">
        <w:rPr>
          <w:sz w:val="16"/>
          <w:szCs w:val="16"/>
        </w:rPr>
        <w:t>Behaviour</w:t>
      </w:r>
      <w:proofErr w:type="spellEnd"/>
      <w:r w:rsidRPr="00AA6BC5">
        <w:rPr>
          <w:sz w:val="16"/>
          <w:szCs w:val="16"/>
        </w:rPr>
        <w:t xml:space="preserve"> of Thick Oil and Pressboard in a HVDC Converter Transformer”, PhD dissertation, University of Southampton, 2018.</w:t>
      </w:r>
    </w:p>
    <w:p w14:paraId="43AFDE8A" w14:textId="7EF1126B" w:rsidR="00AA6BC5" w:rsidRPr="00AA6BC5" w:rsidRDefault="00AA6BC5" w:rsidP="002A15E0">
      <w:pPr>
        <w:ind w:left="426" w:hanging="426"/>
        <w:jc w:val="both"/>
        <w:rPr>
          <w:sz w:val="16"/>
          <w:szCs w:val="16"/>
        </w:rPr>
      </w:pPr>
      <w:r w:rsidRPr="00AA6BC5">
        <w:rPr>
          <w:sz w:val="16"/>
          <w:szCs w:val="16"/>
        </w:rPr>
        <w:t>[16]</w:t>
      </w:r>
      <w:r w:rsidRPr="00AA6BC5">
        <w:rPr>
          <w:sz w:val="16"/>
          <w:szCs w:val="16"/>
        </w:rPr>
        <w:tab/>
        <w:t xml:space="preserve">M. Hao, Y. Zhou, G. Chen, G. Wilson, and P. </w:t>
      </w:r>
      <w:proofErr w:type="spellStart"/>
      <w:r w:rsidRPr="00AA6BC5">
        <w:rPr>
          <w:sz w:val="16"/>
          <w:szCs w:val="16"/>
        </w:rPr>
        <w:t>Jarman</w:t>
      </w:r>
      <w:proofErr w:type="spellEnd"/>
      <w:r w:rsidRPr="00AA6BC5">
        <w:rPr>
          <w:sz w:val="16"/>
          <w:szCs w:val="16"/>
        </w:rPr>
        <w:t xml:space="preserve">, “Space Charge </w:t>
      </w:r>
      <w:proofErr w:type="spellStart"/>
      <w:r w:rsidRPr="00AA6BC5">
        <w:rPr>
          <w:sz w:val="16"/>
          <w:szCs w:val="16"/>
        </w:rPr>
        <w:t>Behaviour</w:t>
      </w:r>
      <w:proofErr w:type="spellEnd"/>
      <w:r w:rsidRPr="00AA6BC5">
        <w:rPr>
          <w:sz w:val="16"/>
          <w:szCs w:val="16"/>
        </w:rPr>
        <w:t xml:space="preserve"> in Oil and Impregnated Pressboard Combined Insulation System,” </w:t>
      </w:r>
      <w:r w:rsidRPr="002A15E0">
        <w:rPr>
          <w:i/>
          <w:sz w:val="16"/>
          <w:szCs w:val="16"/>
        </w:rPr>
        <w:t>IEEE Int</w:t>
      </w:r>
      <w:r w:rsidR="002A15E0" w:rsidRPr="002A15E0">
        <w:rPr>
          <w:i/>
          <w:sz w:val="16"/>
          <w:szCs w:val="16"/>
        </w:rPr>
        <w:t xml:space="preserve">. Conf. </w:t>
      </w:r>
      <w:proofErr w:type="spellStart"/>
      <w:r w:rsidR="002A15E0" w:rsidRPr="002A15E0">
        <w:rPr>
          <w:i/>
          <w:sz w:val="16"/>
          <w:szCs w:val="16"/>
        </w:rPr>
        <w:t>Dilectr</w:t>
      </w:r>
      <w:proofErr w:type="spellEnd"/>
      <w:r w:rsidR="002A15E0" w:rsidRPr="002A15E0">
        <w:rPr>
          <w:i/>
          <w:sz w:val="16"/>
          <w:szCs w:val="16"/>
        </w:rPr>
        <w:t xml:space="preserve">. </w:t>
      </w:r>
      <w:r w:rsidRPr="002A15E0">
        <w:rPr>
          <w:i/>
          <w:sz w:val="16"/>
          <w:szCs w:val="16"/>
        </w:rPr>
        <w:t>Liquids (ICDL)</w:t>
      </w:r>
      <w:r w:rsidRPr="00AA6BC5">
        <w:rPr>
          <w:sz w:val="16"/>
          <w:szCs w:val="16"/>
        </w:rPr>
        <w:t>, 2014, pp. 1–4.</w:t>
      </w:r>
    </w:p>
    <w:p w14:paraId="4CF92E0C" w14:textId="017A8AC3" w:rsidR="00AA6BC5" w:rsidRPr="00AA6BC5" w:rsidRDefault="00AA6BC5" w:rsidP="002A15E0">
      <w:pPr>
        <w:ind w:left="426" w:hanging="426"/>
        <w:jc w:val="both"/>
        <w:rPr>
          <w:sz w:val="16"/>
          <w:szCs w:val="16"/>
        </w:rPr>
      </w:pPr>
      <w:r w:rsidRPr="00AA6BC5">
        <w:rPr>
          <w:sz w:val="16"/>
          <w:szCs w:val="16"/>
        </w:rPr>
        <w:t>[17]</w:t>
      </w:r>
      <w:r w:rsidRPr="00AA6BC5">
        <w:rPr>
          <w:sz w:val="16"/>
          <w:szCs w:val="16"/>
        </w:rPr>
        <w:tab/>
        <w:t xml:space="preserve">B. Huang, M. Hao, J. Hao, J. Fu, Q. Wang, and G. Chen, “Space Charge Characteristics in Oil and Oil-Impregnated Pressboard Insulation and Electric Field Distortion after Polarity Reversal Operation,” IEEE Trans. </w:t>
      </w:r>
      <w:proofErr w:type="spellStart"/>
      <w:r w:rsidRPr="00AA6BC5">
        <w:rPr>
          <w:sz w:val="16"/>
          <w:szCs w:val="16"/>
        </w:rPr>
        <w:t>Dielectr</w:t>
      </w:r>
      <w:proofErr w:type="spellEnd"/>
      <w:r w:rsidRPr="00AA6BC5">
        <w:rPr>
          <w:sz w:val="16"/>
          <w:szCs w:val="16"/>
        </w:rPr>
        <w:t xml:space="preserve">. </w:t>
      </w:r>
      <w:proofErr w:type="spellStart"/>
      <w:r w:rsidRPr="00AA6BC5">
        <w:rPr>
          <w:sz w:val="16"/>
          <w:szCs w:val="16"/>
        </w:rPr>
        <w:t>Electr</w:t>
      </w:r>
      <w:proofErr w:type="spellEnd"/>
      <w:r w:rsidRPr="00AA6BC5">
        <w:rPr>
          <w:sz w:val="16"/>
          <w:szCs w:val="16"/>
        </w:rPr>
        <w:t xml:space="preserve">. </w:t>
      </w:r>
      <w:proofErr w:type="spellStart"/>
      <w:proofErr w:type="gramStart"/>
      <w:r w:rsidRPr="00AA6BC5">
        <w:rPr>
          <w:sz w:val="16"/>
          <w:szCs w:val="16"/>
        </w:rPr>
        <w:t>Insul</w:t>
      </w:r>
      <w:proofErr w:type="spellEnd"/>
      <w:r w:rsidRPr="00AA6BC5">
        <w:rPr>
          <w:sz w:val="16"/>
          <w:szCs w:val="16"/>
        </w:rPr>
        <w:t>.,</w:t>
      </w:r>
      <w:proofErr w:type="gramEnd"/>
      <w:r w:rsidRPr="00AA6BC5">
        <w:rPr>
          <w:sz w:val="16"/>
          <w:szCs w:val="16"/>
        </w:rPr>
        <w:t xml:space="preserve"> vol. 23, no. 2, pp. 881–891, 2016.</w:t>
      </w:r>
    </w:p>
    <w:p w14:paraId="0E685B01" w14:textId="44A8D184" w:rsidR="00AA6BC5" w:rsidRPr="00AA6BC5" w:rsidRDefault="00AA6BC5" w:rsidP="002A15E0">
      <w:pPr>
        <w:ind w:left="426" w:hanging="426"/>
        <w:jc w:val="both"/>
        <w:rPr>
          <w:sz w:val="16"/>
          <w:szCs w:val="16"/>
        </w:rPr>
      </w:pPr>
      <w:r w:rsidRPr="00AA6BC5">
        <w:rPr>
          <w:sz w:val="16"/>
          <w:szCs w:val="16"/>
        </w:rPr>
        <w:t>[18]</w:t>
      </w:r>
      <w:r w:rsidRPr="00AA6BC5">
        <w:rPr>
          <w:sz w:val="16"/>
          <w:szCs w:val="16"/>
        </w:rPr>
        <w:tab/>
        <w:t xml:space="preserve">K. Wu, Q. Zhu, H. Wang, X. Wang, and S. Li, “Space Charge Behavior in the Sample with Two Layers of Oil-Immersed-Paper and Oil,” IEEE Trans. </w:t>
      </w:r>
      <w:proofErr w:type="spellStart"/>
      <w:r w:rsidRPr="00AA6BC5">
        <w:rPr>
          <w:sz w:val="16"/>
          <w:szCs w:val="16"/>
        </w:rPr>
        <w:t>Dielectr</w:t>
      </w:r>
      <w:proofErr w:type="spellEnd"/>
      <w:r w:rsidRPr="00AA6BC5">
        <w:rPr>
          <w:sz w:val="16"/>
          <w:szCs w:val="16"/>
        </w:rPr>
        <w:t xml:space="preserve">. </w:t>
      </w:r>
      <w:proofErr w:type="spellStart"/>
      <w:r w:rsidRPr="00AA6BC5">
        <w:rPr>
          <w:sz w:val="16"/>
          <w:szCs w:val="16"/>
        </w:rPr>
        <w:t>Electr</w:t>
      </w:r>
      <w:proofErr w:type="spellEnd"/>
      <w:r w:rsidRPr="00AA6BC5">
        <w:rPr>
          <w:sz w:val="16"/>
          <w:szCs w:val="16"/>
        </w:rPr>
        <w:t xml:space="preserve">. </w:t>
      </w:r>
      <w:proofErr w:type="spellStart"/>
      <w:proofErr w:type="gramStart"/>
      <w:r w:rsidRPr="00AA6BC5">
        <w:rPr>
          <w:sz w:val="16"/>
          <w:szCs w:val="16"/>
        </w:rPr>
        <w:t>Insul</w:t>
      </w:r>
      <w:proofErr w:type="spellEnd"/>
      <w:r w:rsidRPr="00AA6BC5">
        <w:rPr>
          <w:sz w:val="16"/>
          <w:szCs w:val="16"/>
        </w:rPr>
        <w:t>.,</w:t>
      </w:r>
      <w:proofErr w:type="gramEnd"/>
      <w:r w:rsidRPr="00AA6BC5">
        <w:rPr>
          <w:sz w:val="16"/>
          <w:szCs w:val="16"/>
        </w:rPr>
        <w:t xml:space="preserve"> vol. 21, no. 4, pp. 1857–1865, 2014.</w:t>
      </w:r>
    </w:p>
    <w:p w14:paraId="5477E444" w14:textId="3CC6D388" w:rsidR="00AA6BC5" w:rsidRPr="00AA6BC5" w:rsidRDefault="00AA6BC5" w:rsidP="002A15E0">
      <w:pPr>
        <w:ind w:left="426" w:hanging="426"/>
        <w:jc w:val="both"/>
        <w:rPr>
          <w:sz w:val="16"/>
          <w:szCs w:val="16"/>
        </w:rPr>
      </w:pPr>
      <w:r w:rsidRPr="00AA6BC5">
        <w:rPr>
          <w:sz w:val="16"/>
          <w:szCs w:val="16"/>
        </w:rPr>
        <w:t>[19]</w:t>
      </w:r>
      <w:r w:rsidRPr="00AA6BC5">
        <w:rPr>
          <w:sz w:val="16"/>
          <w:szCs w:val="16"/>
        </w:rPr>
        <w:tab/>
        <w:t xml:space="preserve">C. Zhou and G. Chen, “Space Charge and AC Electrical Breakdown Strength in Polyethylene,” IEEE Trans. </w:t>
      </w:r>
      <w:proofErr w:type="spellStart"/>
      <w:r w:rsidRPr="00AA6BC5">
        <w:rPr>
          <w:sz w:val="16"/>
          <w:szCs w:val="16"/>
        </w:rPr>
        <w:t>Dielectr</w:t>
      </w:r>
      <w:proofErr w:type="spellEnd"/>
      <w:r w:rsidRPr="00AA6BC5">
        <w:rPr>
          <w:sz w:val="16"/>
          <w:szCs w:val="16"/>
        </w:rPr>
        <w:t xml:space="preserve">. </w:t>
      </w:r>
      <w:proofErr w:type="spellStart"/>
      <w:r w:rsidRPr="00AA6BC5">
        <w:rPr>
          <w:sz w:val="16"/>
          <w:szCs w:val="16"/>
        </w:rPr>
        <w:t>Electr</w:t>
      </w:r>
      <w:proofErr w:type="spellEnd"/>
      <w:r w:rsidRPr="00AA6BC5">
        <w:rPr>
          <w:sz w:val="16"/>
          <w:szCs w:val="16"/>
        </w:rPr>
        <w:t xml:space="preserve">. </w:t>
      </w:r>
      <w:proofErr w:type="spellStart"/>
      <w:proofErr w:type="gramStart"/>
      <w:r w:rsidRPr="00AA6BC5">
        <w:rPr>
          <w:sz w:val="16"/>
          <w:szCs w:val="16"/>
        </w:rPr>
        <w:t>Insul</w:t>
      </w:r>
      <w:proofErr w:type="spellEnd"/>
      <w:r w:rsidRPr="00AA6BC5">
        <w:rPr>
          <w:sz w:val="16"/>
          <w:szCs w:val="16"/>
        </w:rPr>
        <w:t>.,</w:t>
      </w:r>
      <w:proofErr w:type="gramEnd"/>
      <w:r w:rsidRPr="00AA6BC5">
        <w:rPr>
          <w:sz w:val="16"/>
          <w:szCs w:val="16"/>
        </w:rPr>
        <w:t xml:space="preserve"> vol. 24, no. 1, pp. 559–566, 2017.</w:t>
      </w:r>
    </w:p>
    <w:p w14:paraId="167CF9AB" w14:textId="71101BA8" w:rsidR="00AA6BC5" w:rsidRPr="00AA6BC5" w:rsidRDefault="00AA6BC5" w:rsidP="002A15E0">
      <w:pPr>
        <w:ind w:left="426" w:hanging="426"/>
        <w:jc w:val="both"/>
        <w:rPr>
          <w:sz w:val="16"/>
          <w:szCs w:val="16"/>
        </w:rPr>
      </w:pPr>
      <w:r w:rsidRPr="00AA6BC5">
        <w:rPr>
          <w:sz w:val="16"/>
          <w:szCs w:val="16"/>
        </w:rPr>
        <w:t>[20]</w:t>
      </w:r>
      <w:r w:rsidRPr="00AA6BC5">
        <w:rPr>
          <w:sz w:val="16"/>
          <w:szCs w:val="16"/>
        </w:rPr>
        <w:tab/>
        <w:t>Convertor Transformers — Part 2: Transformers for HVDC applications, IEC Standard 61378-2, 2001.</w:t>
      </w:r>
    </w:p>
    <w:p w14:paraId="1722D611" w14:textId="3EBFC87E" w:rsidR="00B85780" w:rsidRPr="00E51BD2" w:rsidRDefault="00B85780" w:rsidP="00E51BD2">
      <w:pPr>
        <w:widowControl w:val="0"/>
        <w:autoSpaceDE w:val="0"/>
        <w:autoSpaceDN w:val="0"/>
        <w:adjustRightInd w:val="0"/>
        <w:jc w:val="both"/>
        <w:rPr>
          <w:sz w:val="16"/>
          <w:szCs w:val="16"/>
          <w:lang w:val="en-GB"/>
        </w:rPr>
      </w:pPr>
    </w:p>
    <w:p w14:paraId="29F79A44" w14:textId="1A417D9D" w:rsidR="002A15E0" w:rsidRDefault="00112750" w:rsidP="0063662B">
      <w:pPr>
        <w:widowControl w:val="0"/>
        <w:autoSpaceDE w:val="0"/>
        <w:autoSpaceDN w:val="0"/>
        <w:adjustRightInd w:val="0"/>
        <w:ind w:left="640" w:hanging="640"/>
        <w:jc w:val="both"/>
        <w:rPr>
          <w:rFonts w:ascii="Times New Roman Bold"/>
          <w:b/>
          <w:sz w:val="16"/>
          <w:szCs w:val="16"/>
          <w:lang w:val="en-GB"/>
        </w:rPr>
      </w:pPr>
      <w:r w:rsidRPr="004B506E">
        <w:rPr>
          <w:noProof/>
          <w:lang w:val="en-GB" w:eastAsia="zh-CN"/>
        </w:rPr>
        <w:drawing>
          <wp:anchor distT="46990" distB="46990" distL="114935" distR="114935" simplePos="0" relativeHeight="251672576" behindDoc="0" locked="0" layoutInCell="1" allowOverlap="1" wp14:anchorId="7BB0534E" wp14:editId="325CF047">
            <wp:simplePos x="0" y="0"/>
            <wp:positionH relativeFrom="page">
              <wp:posOffset>4003675</wp:posOffset>
            </wp:positionH>
            <wp:positionV relativeFrom="margin">
              <wp:posOffset>3846599</wp:posOffset>
            </wp:positionV>
            <wp:extent cx="863600" cy="10795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3600" cy="1079500"/>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49CA7EEC" w14:textId="533B0527" w:rsidR="008764C2" w:rsidRDefault="008764C2" w:rsidP="0063662B">
      <w:pPr>
        <w:widowControl w:val="0"/>
        <w:autoSpaceDE w:val="0"/>
        <w:autoSpaceDN w:val="0"/>
        <w:adjustRightInd w:val="0"/>
        <w:ind w:left="640" w:hanging="640"/>
        <w:jc w:val="both"/>
        <w:rPr>
          <w:sz w:val="16"/>
          <w:szCs w:val="16"/>
          <w:lang w:val="en-GB"/>
        </w:rPr>
      </w:pPr>
      <w:r w:rsidRPr="003A2300">
        <w:rPr>
          <w:rFonts w:ascii="Times New Roman Bold"/>
          <w:b/>
          <w:sz w:val="16"/>
          <w:szCs w:val="16"/>
          <w:lang w:val="en-GB"/>
        </w:rPr>
        <w:t>B</w:t>
      </w:r>
      <w:r w:rsidRPr="004B506E">
        <w:rPr>
          <w:b/>
          <w:sz w:val="16"/>
          <w:szCs w:val="16"/>
          <w:lang w:val="en-GB"/>
        </w:rPr>
        <w:t>o Huang</w:t>
      </w:r>
      <w:r w:rsidRPr="004B506E">
        <w:rPr>
          <w:sz w:val="16"/>
          <w:szCs w:val="16"/>
          <w:lang w:val="en-GB"/>
        </w:rPr>
        <w:t xml:space="preserve"> was born in Xi’an, China in 1990. He received the B.Sc. degree from Xi’an University of technology, Shanxi Province, China in 2013, the M.Sc. Degree from the University of Southampton in 2014. He is a postgraduate researcher pursing the Ph.D. degree in the University of Southampton. His research area is the space charge behaviour within the converter transformer under HVDC system. </w:t>
      </w:r>
    </w:p>
    <w:p w14:paraId="159E464D" w14:textId="73F6A86D" w:rsidR="00013037" w:rsidRDefault="00013037" w:rsidP="0063662B">
      <w:pPr>
        <w:widowControl w:val="0"/>
        <w:autoSpaceDE w:val="0"/>
        <w:autoSpaceDN w:val="0"/>
        <w:adjustRightInd w:val="0"/>
        <w:ind w:left="640" w:hanging="640"/>
        <w:jc w:val="both"/>
        <w:rPr>
          <w:sz w:val="16"/>
          <w:szCs w:val="16"/>
          <w:lang w:val="en-GB"/>
        </w:rPr>
      </w:pPr>
    </w:p>
    <w:p w14:paraId="1294DBF1" w14:textId="6B117E05" w:rsidR="008764C2" w:rsidRDefault="00013037" w:rsidP="002D27C6">
      <w:pPr>
        <w:autoSpaceDE w:val="0"/>
        <w:autoSpaceDN w:val="0"/>
        <w:adjustRightInd w:val="0"/>
        <w:jc w:val="both"/>
        <w:rPr>
          <w:sz w:val="16"/>
          <w:szCs w:val="16"/>
          <w:lang w:val="en-GB"/>
        </w:rPr>
      </w:pPr>
      <w:r w:rsidRPr="004B506E">
        <w:rPr>
          <w:noProof/>
          <w:lang w:val="en-GB" w:eastAsia="zh-CN"/>
        </w:rPr>
        <w:drawing>
          <wp:anchor distT="46990" distB="46990" distL="114935" distR="114935" simplePos="0" relativeHeight="251669504" behindDoc="0" locked="0" layoutInCell="1" allowOverlap="1" wp14:anchorId="366E50C7" wp14:editId="02516AEC">
            <wp:simplePos x="0" y="0"/>
            <wp:positionH relativeFrom="column">
              <wp:posOffset>29210</wp:posOffset>
            </wp:positionH>
            <wp:positionV relativeFrom="paragraph">
              <wp:posOffset>15875</wp:posOffset>
            </wp:positionV>
            <wp:extent cx="863600" cy="1079500"/>
            <wp:effectExtent l="0" t="0" r="0" b="0"/>
            <wp:wrapSquare wrapText="bothSides"/>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36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8764C2" w:rsidRPr="003A2300">
        <w:rPr>
          <w:rFonts w:ascii="Times New Roman Bold"/>
          <w:b/>
          <w:sz w:val="16"/>
          <w:szCs w:val="16"/>
          <w:lang w:val="en-GB"/>
        </w:rPr>
        <w:t>Z</w:t>
      </w:r>
      <w:r w:rsidR="008764C2" w:rsidRPr="004B506E">
        <w:rPr>
          <w:b/>
          <w:sz w:val="16"/>
          <w:szCs w:val="16"/>
          <w:lang w:val="en-GB"/>
        </w:rPr>
        <w:t>hiqiang</w:t>
      </w:r>
      <w:proofErr w:type="spellEnd"/>
      <w:r w:rsidR="008764C2" w:rsidRPr="004B506E">
        <w:rPr>
          <w:b/>
          <w:sz w:val="16"/>
          <w:szCs w:val="16"/>
          <w:lang w:val="en-GB"/>
        </w:rPr>
        <w:t xml:space="preserve"> Xu</w:t>
      </w:r>
      <w:r w:rsidR="008764C2" w:rsidRPr="004B506E">
        <w:rPr>
          <w:sz w:val="16"/>
          <w:szCs w:val="16"/>
          <w:lang w:val="en-GB"/>
        </w:rPr>
        <w:t xml:space="preserve"> was born in Liaoning, China, in 1977. She received the M.Sc. (2004) degree in automation of electric power system from the Northeast Electric Power University, China. She received the Ph.D. degree in electrical engineering from University of Southampton in 2009. She has been a Research Fellow at the University of Southampton since 2009. Her research interests are in space charge, insulation materials and HVDC cables. </w:t>
      </w:r>
    </w:p>
    <w:p w14:paraId="750B90B6" w14:textId="1E3EB7FB" w:rsidR="00013037" w:rsidRPr="004B506E" w:rsidRDefault="00013037" w:rsidP="002D27C6">
      <w:pPr>
        <w:autoSpaceDE w:val="0"/>
        <w:autoSpaceDN w:val="0"/>
        <w:adjustRightInd w:val="0"/>
        <w:jc w:val="both"/>
        <w:rPr>
          <w:sz w:val="16"/>
          <w:szCs w:val="16"/>
          <w:lang w:val="en-GB"/>
        </w:rPr>
      </w:pPr>
    </w:p>
    <w:p w14:paraId="1F1C1EA9" w14:textId="7B686EF5" w:rsidR="008764C2" w:rsidRDefault="00C367F2" w:rsidP="002D27C6">
      <w:pPr>
        <w:autoSpaceDE w:val="0"/>
        <w:autoSpaceDN w:val="0"/>
        <w:adjustRightInd w:val="0"/>
        <w:jc w:val="both"/>
        <w:rPr>
          <w:sz w:val="16"/>
          <w:szCs w:val="16"/>
          <w:lang w:val="en-GB"/>
        </w:rPr>
      </w:pPr>
      <w:r w:rsidRPr="004B506E">
        <w:rPr>
          <w:noProof/>
          <w:lang w:val="en-GB" w:eastAsia="zh-CN"/>
        </w:rPr>
        <w:drawing>
          <wp:anchor distT="46990" distB="46990" distL="114935" distR="114935" simplePos="0" relativeHeight="251671552" behindDoc="0" locked="0" layoutInCell="1" allowOverlap="1" wp14:anchorId="5A0606CA" wp14:editId="5A468E66">
            <wp:simplePos x="0" y="0"/>
            <wp:positionH relativeFrom="column">
              <wp:posOffset>29496</wp:posOffset>
            </wp:positionH>
            <wp:positionV relativeFrom="paragraph">
              <wp:posOffset>11430</wp:posOffset>
            </wp:positionV>
            <wp:extent cx="863600" cy="1079500"/>
            <wp:effectExtent l="0" t="0" r="0" b="0"/>
            <wp:wrapSquare wrapText="bothSides"/>
            <wp:docPr id="3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1" cstate="print">
                      <a:extLst>
                        <a:ext uri="{28A0092B-C50C-407E-A947-70E740481C1C}">
                          <a14:useLocalDpi xmlns:a14="http://schemas.microsoft.com/office/drawing/2010/main" val="0"/>
                        </a:ext>
                      </a:extLst>
                    </a:blip>
                    <a:srcRect t="2794" b="2795"/>
                    <a:stretch>
                      <a:fillRect/>
                    </a:stretch>
                  </pic:blipFill>
                  <pic:spPr bwMode="auto">
                    <a:xfrm>
                      <a:off x="0" y="0"/>
                      <a:ext cx="8636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4C2" w:rsidRPr="003A2300">
        <w:rPr>
          <w:rFonts w:ascii="Times New Roman Bold"/>
          <w:b/>
          <w:sz w:val="16"/>
          <w:szCs w:val="16"/>
          <w:lang w:val="en-GB"/>
        </w:rPr>
        <w:t>M</w:t>
      </w:r>
      <w:r w:rsidR="008764C2" w:rsidRPr="004B506E">
        <w:rPr>
          <w:b/>
          <w:sz w:val="16"/>
          <w:szCs w:val="16"/>
          <w:lang w:val="en-GB"/>
        </w:rPr>
        <w:t>iao Hao</w:t>
      </w:r>
      <w:r w:rsidR="008764C2" w:rsidRPr="004B506E">
        <w:rPr>
          <w:lang w:val="en-GB"/>
        </w:rPr>
        <w:t xml:space="preserve"> </w:t>
      </w:r>
      <w:r w:rsidR="008764C2" w:rsidRPr="004B506E">
        <w:rPr>
          <w:sz w:val="16"/>
          <w:szCs w:val="16"/>
          <w:lang w:val="en-GB"/>
        </w:rPr>
        <w:t xml:space="preserve">was born in China in 1987. He received his B.Eng. degree (2009) from Xi’an </w:t>
      </w:r>
      <w:proofErr w:type="spellStart"/>
      <w:r w:rsidR="008764C2" w:rsidRPr="004B506E">
        <w:rPr>
          <w:sz w:val="16"/>
          <w:szCs w:val="16"/>
          <w:lang w:val="en-GB"/>
        </w:rPr>
        <w:t>Jiaotong</w:t>
      </w:r>
      <w:proofErr w:type="spellEnd"/>
      <w:r w:rsidR="008764C2" w:rsidRPr="004B506E">
        <w:rPr>
          <w:sz w:val="16"/>
          <w:szCs w:val="16"/>
          <w:lang w:val="en-GB"/>
        </w:rPr>
        <w:t xml:space="preserve"> University, China and the M.Sc. degree (2011) from the University </w:t>
      </w:r>
      <w:proofErr w:type="gramStart"/>
      <w:r w:rsidR="008764C2" w:rsidRPr="004B506E">
        <w:rPr>
          <w:sz w:val="16"/>
          <w:szCs w:val="16"/>
          <w:lang w:val="en-GB"/>
        </w:rPr>
        <w:t>of</w:t>
      </w:r>
      <w:proofErr w:type="gramEnd"/>
      <w:r w:rsidR="008764C2" w:rsidRPr="004B506E">
        <w:rPr>
          <w:sz w:val="16"/>
          <w:szCs w:val="16"/>
          <w:lang w:val="en-GB"/>
        </w:rPr>
        <w:t xml:space="preserve"> Southampton, UK. Since 2011, he received the Ph.D. degree in electrical engineering from University of Southampton in 2014. His main research interests include space charge and ageing mechanism in the oil impregnated pressboard insulation system for HVDC converter transformer.</w:t>
      </w:r>
    </w:p>
    <w:p w14:paraId="57BB8143" w14:textId="428A3D67" w:rsidR="00013037" w:rsidRPr="004B506E" w:rsidRDefault="00013037" w:rsidP="002D27C6">
      <w:pPr>
        <w:autoSpaceDE w:val="0"/>
        <w:autoSpaceDN w:val="0"/>
        <w:adjustRightInd w:val="0"/>
        <w:jc w:val="both"/>
        <w:rPr>
          <w:sz w:val="16"/>
          <w:szCs w:val="16"/>
          <w:lang w:val="en-GB"/>
        </w:rPr>
      </w:pPr>
    </w:p>
    <w:p w14:paraId="79F18C06" w14:textId="4C626FC9" w:rsidR="004B506E" w:rsidRDefault="00112750" w:rsidP="002D27C6">
      <w:pPr>
        <w:pStyle w:val="References"/>
        <w:numPr>
          <w:ilvl w:val="0"/>
          <w:numId w:val="0"/>
        </w:numPr>
        <w:rPr>
          <w:lang w:val="en-GB"/>
        </w:rPr>
      </w:pPr>
      <w:r w:rsidRPr="00361EBF">
        <w:rPr>
          <w:noProof/>
          <w:lang w:val="en-GB" w:eastAsia="zh-CN"/>
        </w:rPr>
        <w:drawing>
          <wp:anchor distT="46990" distB="46990" distL="114935" distR="114935" simplePos="0" relativeHeight="251674624" behindDoc="0" locked="0" layoutInCell="1" allowOverlap="1" wp14:anchorId="490ED406" wp14:editId="70F507A7">
            <wp:simplePos x="0" y="0"/>
            <wp:positionH relativeFrom="margin">
              <wp:posOffset>3412490</wp:posOffset>
            </wp:positionH>
            <wp:positionV relativeFrom="margin">
              <wp:posOffset>7294072</wp:posOffset>
            </wp:positionV>
            <wp:extent cx="863600" cy="1079500"/>
            <wp:effectExtent l="0" t="0" r="0" b="0"/>
            <wp:wrapSquare wrapText="bothSides"/>
            <wp:docPr id="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36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4C2" w:rsidRPr="003A2300">
        <w:rPr>
          <w:rFonts w:ascii="Times New Roman Bold"/>
          <w:b/>
          <w:lang w:val="en-GB"/>
        </w:rPr>
        <w:t>G</w:t>
      </w:r>
      <w:r w:rsidR="008764C2" w:rsidRPr="004B506E">
        <w:rPr>
          <w:b/>
          <w:lang w:val="en-GB"/>
        </w:rPr>
        <w:t xml:space="preserve">eorge Chen </w:t>
      </w:r>
      <w:r w:rsidR="008764C2" w:rsidRPr="004B506E">
        <w:rPr>
          <w:lang w:val="en-GB"/>
        </w:rPr>
        <w:t>was born in China in 1961. He received the B.Eng. (1983) and M.Sc. (1986) degrees in electrical engineering from Xi’an Jiao tong University, China. He obtained the Ph.D. degree (1990) from the University of Strathclyde, UK. He is now the professor of high voltage engineering at the University of Southampton and a visiting professor of Xi’an Jiao tong University. Over the years, he has developed a wide range of interests in high voltage engineering and published over 500 papers.</w:t>
      </w:r>
    </w:p>
    <w:sectPr w:rsidR="004B506E" w:rsidSect="00E8034B">
      <w:type w:val="continuous"/>
      <w:pgSz w:w="12240" w:h="15840" w:code="1"/>
      <w:pgMar w:top="1080" w:right="936" w:bottom="1008" w:left="936" w:header="720" w:footer="720"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B3E80B" w14:textId="77777777" w:rsidR="008C0681" w:rsidRDefault="008C0681">
      <w:r>
        <w:separator/>
      </w:r>
    </w:p>
  </w:endnote>
  <w:endnote w:type="continuationSeparator" w:id="0">
    <w:p w14:paraId="3888C3D0" w14:textId="77777777" w:rsidR="008C0681" w:rsidRDefault="008C0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96ED17" w14:textId="77777777" w:rsidR="008C0681" w:rsidRDefault="008C0681"/>
  </w:footnote>
  <w:footnote w:type="continuationSeparator" w:id="0">
    <w:p w14:paraId="0696BC54" w14:textId="77777777" w:rsidR="008C0681" w:rsidRDefault="008C06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7E081" w14:textId="77777777" w:rsidR="00EA619F" w:rsidRDefault="00EA619F">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 w15:restartNumberingAfterBreak="0">
    <w:nsid w:val="19760A4D"/>
    <w:multiLevelType w:val="hybridMultilevel"/>
    <w:tmpl w:val="5EDA6AE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2ED5FCB"/>
    <w:multiLevelType w:val="multilevel"/>
    <w:tmpl w:val="BC8A72FE"/>
    <w:lvl w:ilvl="0">
      <w:start w:val="1"/>
      <w:numFmt w:val="decimal"/>
      <w:lvlText w:val="%1"/>
      <w:lvlJc w:val="left"/>
      <w:pPr>
        <w:tabs>
          <w:tab w:val="num" w:pos="502"/>
        </w:tabs>
        <w:ind w:left="502" w:hanging="360"/>
      </w:pPr>
      <w:rPr>
        <w:rFonts w:hint="default"/>
      </w:rPr>
    </w:lvl>
    <w:lvl w:ilvl="1">
      <w:start w:val="1"/>
      <w:numFmt w:val="decimal"/>
      <w:lvlText w:val="%1.%2"/>
      <w:lvlJc w:val="left"/>
      <w:pPr>
        <w:tabs>
          <w:tab w:val="num" w:pos="-1058"/>
        </w:tabs>
        <w:ind w:left="-1058" w:hanging="360"/>
      </w:pPr>
      <w:rPr>
        <w:rFonts w:hint="default"/>
      </w:rPr>
    </w:lvl>
    <w:lvl w:ilvl="2">
      <w:start w:val="1"/>
      <w:numFmt w:val="decimal"/>
      <w:lvlText w:val="%1.%2.%3"/>
      <w:lvlJc w:val="left"/>
      <w:pPr>
        <w:tabs>
          <w:tab w:val="num" w:pos="-698"/>
        </w:tabs>
        <w:ind w:left="-698" w:hanging="720"/>
      </w:pPr>
      <w:rPr>
        <w:rFonts w:hint="default"/>
      </w:rPr>
    </w:lvl>
    <w:lvl w:ilvl="3">
      <w:start w:val="1"/>
      <w:numFmt w:val="decimal"/>
      <w:lvlText w:val="%1.%2.%3.%4"/>
      <w:lvlJc w:val="left"/>
      <w:pPr>
        <w:tabs>
          <w:tab w:val="num" w:pos="-698"/>
        </w:tabs>
        <w:ind w:left="-698" w:hanging="720"/>
      </w:pPr>
      <w:rPr>
        <w:rFonts w:hint="default"/>
      </w:rPr>
    </w:lvl>
    <w:lvl w:ilvl="4">
      <w:start w:val="1"/>
      <w:numFmt w:val="decimal"/>
      <w:lvlText w:val="%1.%2.%3.%4.%5"/>
      <w:lvlJc w:val="left"/>
      <w:pPr>
        <w:tabs>
          <w:tab w:val="num" w:pos="-698"/>
        </w:tabs>
        <w:ind w:left="-698" w:hanging="720"/>
      </w:pPr>
      <w:rPr>
        <w:rFonts w:hint="default"/>
      </w:rPr>
    </w:lvl>
    <w:lvl w:ilvl="5">
      <w:start w:val="1"/>
      <w:numFmt w:val="decimal"/>
      <w:lvlText w:val="%1.%2.%3.%4.%5.%6"/>
      <w:lvlJc w:val="left"/>
      <w:pPr>
        <w:tabs>
          <w:tab w:val="num" w:pos="-338"/>
        </w:tabs>
        <w:ind w:left="-338" w:hanging="1080"/>
      </w:pPr>
      <w:rPr>
        <w:rFonts w:hint="default"/>
      </w:rPr>
    </w:lvl>
    <w:lvl w:ilvl="6">
      <w:start w:val="1"/>
      <w:numFmt w:val="decimal"/>
      <w:lvlText w:val="%1.%2.%3.%4.%5.%6.%7"/>
      <w:lvlJc w:val="left"/>
      <w:pPr>
        <w:tabs>
          <w:tab w:val="num" w:pos="-338"/>
        </w:tabs>
        <w:ind w:left="-338" w:hanging="1080"/>
      </w:pPr>
      <w:rPr>
        <w:rFonts w:hint="default"/>
      </w:rPr>
    </w:lvl>
    <w:lvl w:ilvl="7">
      <w:start w:val="1"/>
      <w:numFmt w:val="decimal"/>
      <w:lvlText w:val="%1.%2.%3.%4.%5.%6.%7.%8"/>
      <w:lvlJc w:val="left"/>
      <w:pPr>
        <w:tabs>
          <w:tab w:val="num" w:pos="22"/>
        </w:tabs>
        <w:ind w:left="22" w:hanging="1440"/>
      </w:pPr>
      <w:rPr>
        <w:rFonts w:hint="default"/>
      </w:rPr>
    </w:lvl>
    <w:lvl w:ilvl="8">
      <w:start w:val="1"/>
      <w:numFmt w:val="decimal"/>
      <w:lvlText w:val="%1.%2.%3.%4.%5.%6.%7.%8.%9"/>
      <w:lvlJc w:val="left"/>
      <w:pPr>
        <w:tabs>
          <w:tab w:val="num" w:pos="22"/>
        </w:tabs>
        <w:ind w:left="22" w:hanging="1440"/>
      </w:pPr>
      <w:rPr>
        <w:rFonts w:hint="default"/>
      </w:rPr>
    </w:lvl>
  </w:abstractNum>
  <w:abstractNum w:abstractNumId="3"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4" w15:restartNumberingAfterBreak="0">
    <w:nsid w:val="6A411D53"/>
    <w:multiLevelType w:val="hybridMultilevel"/>
    <w:tmpl w:val="698ED7DE"/>
    <w:lvl w:ilvl="0" w:tplc="CD76AA50">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DC31466"/>
    <w:multiLevelType w:val="multilevel"/>
    <w:tmpl w:val="A25E76AC"/>
    <w:styleLink w:val="List0"/>
    <w:lvl w:ilvl="0">
      <w:start w:val="1"/>
      <w:numFmt w:val="decimal"/>
      <w:lvlText w:val="%1."/>
      <w:lvlJc w:val="left"/>
      <w:rPr>
        <w:rFonts w:ascii="Arial Bold" w:eastAsia="Arial Bold" w:hAnsi="Arial Bold" w:cs="Arial Bold"/>
        <w:caps/>
        <w:position w:val="0"/>
      </w:rPr>
    </w:lvl>
    <w:lvl w:ilvl="1">
      <w:start w:val="1"/>
      <w:numFmt w:val="decimal"/>
      <w:lvlText w:val="%1.%2."/>
      <w:lvlJc w:val="left"/>
      <w:rPr>
        <w:rFonts w:ascii="Arial Bold" w:eastAsia="Arial Bold" w:hAnsi="Arial Bold" w:cs="Arial Bold"/>
        <w:caps/>
        <w:position w:val="0"/>
      </w:rPr>
    </w:lvl>
    <w:lvl w:ilvl="2">
      <w:start w:val="1"/>
      <w:numFmt w:val="decimal"/>
      <w:lvlText w:val="%1.%2.%3."/>
      <w:lvlJc w:val="left"/>
      <w:rPr>
        <w:rFonts w:ascii="Arial Bold" w:eastAsia="Arial Bold" w:hAnsi="Arial Bold" w:cs="Arial Bold"/>
        <w:caps/>
        <w:position w:val="0"/>
      </w:rPr>
    </w:lvl>
    <w:lvl w:ilvl="3">
      <w:start w:val="1"/>
      <w:numFmt w:val="decimal"/>
      <w:lvlText w:val="%1.%2.%3.%4."/>
      <w:lvlJc w:val="left"/>
      <w:rPr>
        <w:rFonts w:ascii="Arial Bold" w:eastAsia="Arial Bold" w:hAnsi="Arial Bold" w:cs="Arial Bold"/>
        <w:caps/>
        <w:position w:val="0"/>
      </w:rPr>
    </w:lvl>
    <w:lvl w:ilvl="4">
      <w:start w:val="1"/>
      <w:numFmt w:val="decimal"/>
      <w:lvlText w:val="%1.%2.%3.%4.%5."/>
      <w:lvlJc w:val="left"/>
      <w:rPr>
        <w:rFonts w:ascii="Arial Bold" w:eastAsia="Arial Bold" w:hAnsi="Arial Bold" w:cs="Arial Bold"/>
        <w:caps/>
        <w:position w:val="0"/>
      </w:rPr>
    </w:lvl>
    <w:lvl w:ilvl="5">
      <w:start w:val="1"/>
      <w:numFmt w:val="decimal"/>
      <w:lvlText w:val="%1.%2.%3.%4.%5.%6."/>
      <w:lvlJc w:val="left"/>
      <w:rPr>
        <w:rFonts w:ascii="Arial Bold" w:eastAsia="Arial Bold" w:hAnsi="Arial Bold" w:cs="Arial Bold"/>
        <w:caps/>
        <w:position w:val="0"/>
      </w:rPr>
    </w:lvl>
    <w:lvl w:ilvl="6">
      <w:start w:val="1"/>
      <w:numFmt w:val="decimal"/>
      <w:lvlText w:val="%1.%2.%3.%4.%5.%6.%7."/>
      <w:lvlJc w:val="left"/>
      <w:rPr>
        <w:rFonts w:ascii="Arial Bold" w:eastAsia="Arial Bold" w:hAnsi="Arial Bold" w:cs="Arial Bold"/>
        <w:caps/>
        <w:position w:val="0"/>
      </w:rPr>
    </w:lvl>
    <w:lvl w:ilvl="7">
      <w:start w:val="1"/>
      <w:numFmt w:val="decimal"/>
      <w:lvlText w:val="%1.%2.%3.%4.%5.%6.%7.%8."/>
      <w:lvlJc w:val="left"/>
      <w:rPr>
        <w:rFonts w:ascii="Arial Bold" w:eastAsia="Arial Bold" w:hAnsi="Arial Bold" w:cs="Arial Bold"/>
        <w:caps/>
        <w:position w:val="0"/>
      </w:rPr>
    </w:lvl>
    <w:lvl w:ilvl="8">
      <w:start w:val="1"/>
      <w:numFmt w:val="decimal"/>
      <w:lvlText w:val="%1.%2.%3.%4.%5.%6.%7.%8.%9."/>
      <w:lvlJc w:val="left"/>
      <w:rPr>
        <w:rFonts w:ascii="Arial Bold" w:eastAsia="Arial Bold" w:hAnsi="Arial Bold" w:cs="Arial Bold"/>
        <w:caps/>
        <w:position w:val="0"/>
      </w:rPr>
    </w:lvl>
  </w:abstractNum>
  <w:num w:numId="1">
    <w:abstractNumId w:val="0"/>
  </w:num>
  <w:num w:numId="2">
    <w:abstractNumId w:val="3"/>
  </w:num>
  <w:num w:numId="3">
    <w:abstractNumId w:val="2"/>
  </w:num>
  <w:num w:numId="4">
    <w:abstractNumId w:val="5"/>
  </w:num>
  <w:num w:numId="5">
    <w:abstractNumId w:val="4"/>
  </w:num>
  <w:num w:numId="6">
    <w:abstractNumId w:val="1"/>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6" w:nlCheck="1" w:checkStyle="1"/>
  <w:activeWritingStyle w:appName="MSWord" w:lang="de-DE" w:vendorID="64" w:dllVersion="6" w:nlCheck="1" w:checkStyle="0"/>
  <w:activeWritingStyle w:appName="MSWord" w:lang="en-GB" w:vendorID="64" w:dllVersion="6" w:nlCheck="1" w:checkStyle="1"/>
  <w:activeWritingStyle w:appName="MSWord" w:lang="en-CA" w:vendorID="64" w:dllVersion="6" w:nlCheck="1" w:checkStyle="1"/>
  <w:activeWritingStyle w:appName="MSWord" w:lang="es-E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4E4"/>
    <w:rsid w:val="00001F70"/>
    <w:rsid w:val="00004781"/>
    <w:rsid w:val="0000593F"/>
    <w:rsid w:val="00007D53"/>
    <w:rsid w:val="00011300"/>
    <w:rsid w:val="00012856"/>
    <w:rsid w:val="00013037"/>
    <w:rsid w:val="000150B0"/>
    <w:rsid w:val="000159DE"/>
    <w:rsid w:val="00016370"/>
    <w:rsid w:val="000166D3"/>
    <w:rsid w:val="00021000"/>
    <w:rsid w:val="000233A9"/>
    <w:rsid w:val="00023F9D"/>
    <w:rsid w:val="00024DA2"/>
    <w:rsid w:val="00025E1A"/>
    <w:rsid w:val="00032B0A"/>
    <w:rsid w:val="00034476"/>
    <w:rsid w:val="00040672"/>
    <w:rsid w:val="00045E33"/>
    <w:rsid w:val="0005248E"/>
    <w:rsid w:val="00053698"/>
    <w:rsid w:val="00056962"/>
    <w:rsid w:val="00060ACE"/>
    <w:rsid w:val="000619FE"/>
    <w:rsid w:val="00064071"/>
    <w:rsid w:val="00064B8A"/>
    <w:rsid w:val="00065067"/>
    <w:rsid w:val="000704FC"/>
    <w:rsid w:val="0007294F"/>
    <w:rsid w:val="00075A06"/>
    <w:rsid w:val="000766DE"/>
    <w:rsid w:val="00081D72"/>
    <w:rsid w:val="0008694F"/>
    <w:rsid w:val="000921C3"/>
    <w:rsid w:val="000923BF"/>
    <w:rsid w:val="00093FDE"/>
    <w:rsid w:val="00094DB5"/>
    <w:rsid w:val="000961F1"/>
    <w:rsid w:val="000A04E1"/>
    <w:rsid w:val="000A5567"/>
    <w:rsid w:val="000A7FE6"/>
    <w:rsid w:val="000B1E07"/>
    <w:rsid w:val="000B3AB8"/>
    <w:rsid w:val="000B776F"/>
    <w:rsid w:val="000B7F24"/>
    <w:rsid w:val="000C05BD"/>
    <w:rsid w:val="000C3499"/>
    <w:rsid w:val="000D0562"/>
    <w:rsid w:val="000D41E9"/>
    <w:rsid w:val="000E08F1"/>
    <w:rsid w:val="000E0E2D"/>
    <w:rsid w:val="000E33D0"/>
    <w:rsid w:val="000E3610"/>
    <w:rsid w:val="000E5C49"/>
    <w:rsid w:val="000E7D38"/>
    <w:rsid w:val="000F038B"/>
    <w:rsid w:val="000F2DF0"/>
    <w:rsid w:val="000F5057"/>
    <w:rsid w:val="000F7121"/>
    <w:rsid w:val="000F7915"/>
    <w:rsid w:val="000F792E"/>
    <w:rsid w:val="001013EE"/>
    <w:rsid w:val="001031B8"/>
    <w:rsid w:val="0010373C"/>
    <w:rsid w:val="0010390F"/>
    <w:rsid w:val="00104D11"/>
    <w:rsid w:val="00105D66"/>
    <w:rsid w:val="00105D85"/>
    <w:rsid w:val="00112588"/>
    <w:rsid w:val="00112750"/>
    <w:rsid w:val="001130C8"/>
    <w:rsid w:val="00113DD7"/>
    <w:rsid w:val="0011485F"/>
    <w:rsid w:val="001148FC"/>
    <w:rsid w:val="00123A11"/>
    <w:rsid w:val="00126577"/>
    <w:rsid w:val="001266C7"/>
    <w:rsid w:val="00127681"/>
    <w:rsid w:val="00134360"/>
    <w:rsid w:val="00144792"/>
    <w:rsid w:val="00147B00"/>
    <w:rsid w:val="00152D0F"/>
    <w:rsid w:val="00152DF2"/>
    <w:rsid w:val="00162ABE"/>
    <w:rsid w:val="00164D8B"/>
    <w:rsid w:val="00166996"/>
    <w:rsid w:val="0017086D"/>
    <w:rsid w:val="00172379"/>
    <w:rsid w:val="001726B0"/>
    <w:rsid w:val="00173AC4"/>
    <w:rsid w:val="00175CBE"/>
    <w:rsid w:val="00180192"/>
    <w:rsid w:val="001804F5"/>
    <w:rsid w:val="001812E8"/>
    <w:rsid w:val="00181D53"/>
    <w:rsid w:val="00182477"/>
    <w:rsid w:val="001826E8"/>
    <w:rsid w:val="00182ADB"/>
    <w:rsid w:val="001871E6"/>
    <w:rsid w:val="001876D7"/>
    <w:rsid w:val="00190FD7"/>
    <w:rsid w:val="001912ED"/>
    <w:rsid w:val="001948E9"/>
    <w:rsid w:val="00195A0F"/>
    <w:rsid w:val="001968DE"/>
    <w:rsid w:val="001A101A"/>
    <w:rsid w:val="001A25AF"/>
    <w:rsid w:val="001A5878"/>
    <w:rsid w:val="001B0737"/>
    <w:rsid w:val="001B10EA"/>
    <w:rsid w:val="001B2D8D"/>
    <w:rsid w:val="001B30F8"/>
    <w:rsid w:val="001B58E8"/>
    <w:rsid w:val="001B76BD"/>
    <w:rsid w:val="001C04D3"/>
    <w:rsid w:val="001C355F"/>
    <w:rsid w:val="001C58CB"/>
    <w:rsid w:val="001D1C83"/>
    <w:rsid w:val="001D331F"/>
    <w:rsid w:val="001D599F"/>
    <w:rsid w:val="001E08E0"/>
    <w:rsid w:val="001E0C7A"/>
    <w:rsid w:val="001E2AF8"/>
    <w:rsid w:val="001E3F29"/>
    <w:rsid w:val="001F2086"/>
    <w:rsid w:val="001F3698"/>
    <w:rsid w:val="001F4CC0"/>
    <w:rsid w:val="001F7F19"/>
    <w:rsid w:val="002002B7"/>
    <w:rsid w:val="00200CAF"/>
    <w:rsid w:val="00201E93"/>
    <w:rsid w:val="0020387E"/>
    <w:rsid w:val="002044F7"/>
    <w:rsid w:val="002055A8"/>
    <w:rsid w:val="00206F61"/>
    <w:rsid w:val="0020705C"/>
    <w:rsid w:val="002075EA"/>
    <w:rsid w:val="00207C46"/>
    <w:rsid w:val="00207E09"/>
    <w:rsid w:val="00210010"/>
    <w:rsid w:val="00212898"/>
    <w:rsid w:val="00213811"/>
    <w:rsid w:val="00213E96"/>
    <w:rsid w:val="00216B41"/>
    <w:rsid w:val="00217B76"/>
    <w:rsid w:val="00222043"/>
    <w:rsid w:val="002279AD"/>
    <w:rsid w:val="00227F04"/>
    <w:rsid w:val="0023548C"/>
    <w:rsid w:val="00237236"/>
    <w:rsid w:val="002413E4"/>
    <w:rsid w:val="00241897"/>
    <w:rsid w:val="002422AD"/>
    <w:rsid w:val="00243DC7"/>
    <w:rsid w:val="00244234"/>
    <w:rsid w:val="002455F0"/>
    <w:rsid w:val="00245DE5"/>
    <w:rsid w:val="00246AA8"/>
    <w:rsid w:val="00251EA2"/>
    <w:rsid w:val="002619E2"/>
    <w:rsid w:val="00264018"/>
    <w:rsid w:val="0027027C"/>
    <w:rsid w:val="00271F7C"/>
    <w:rsid w:val="0027264B"/>
    <w:rsid w:val="002731B9"/>
    <w:rsid w:val="0027456C"/>
    <w:rsid w:val="0027536A"/>
    <w:rsid w:val="00275BE5"/>
    <w:rsid w:val="002760AB"/>
    <w:rsid w:val="00280381"/>
    <w:rsid w:val="00282B24"/>
    <w:rsid w:val="002845B1"/>
    <w:rsid w:val="002852EC"/>
    <w:rsid w:val="00286413"/>
    <w:rsid w:val="00286B3B"/>
    <w:rsid w:val="002876AE"/>
    <w:rsid w:val="00290F75"/>
    <w:rsid w:val="002933D9"/>
    <w:rsid w:val="002942BA"/>
    <w:rsid w:val="002945ED"/>
    <w:rsid w:val="00296B74"/>
    <w:rsid w:val="00296D65"/>
    <w:rsid w:val="00297EA4"/>
    <w:rsid w:val="002A15E0"/>
    <w:rsid w:val="002B5176"/>
    <w:rsid w:val="002B5E90"/>
    <w:rsid w:val="002B70A6"/>
    <w:rsid w:val="002B75FB"/>
    <w:rsid w:val="002C0D29"/>
    <w:rsid w:val="002C1FC5"/>
    <w:rsid w:val="002C651C"/>
    <w:rsid w:val="002C7C4F"/>
    <w:rsid w:val="002D0AFC"/>
    <w:rsid w:val="002D1A8B"/>
    <w:rsid w:val="002D2340"/>
    <w:rsid w:val="002D27C6"/>
    <w:rsid w:val="002D38E7"/>
    <w:rsid w:val="002D6C97"/>
    <w:rsid w:val="002D7BE9"/>
    <w:rsid w:val="002D7E8B"/>
    <w:rsid w:val="002E0375"/>
    <w:rsid w:val="002E1631"/>
    <w:rsid w:val="002E2AFA"/>
    <w:rsid w:val="002E31E3"/>
    <w:rsid w:val="002E370A"/>
    <w:rsid w:val="002E446E"/>
    <w:rsid w:val="002E67D9"/>
    <w:rsid w:val="002F00A3"/>
    <w:rsid w:val="002F7F65"/>
    <w:rsid w:val="00301891"/>
    <w:rsid w:val="00302DCE"/>
    <w:rsid w:val="00303A78"/>
    <w:rsid w:val="00303DBF"/>
    <w:rsid w:val="00307467"/>
    <w:rsid w:val="00315B96"/>
    <w:rsid w:val="00320A63"/>
    <w:rsid w:val="00321E67"/>
    <w:rsid w:val="00322190"/>
    <w:rsid w:val="00326D5B"/>
    <w:rsid w:val="003274A7"/>
    <w:rsid w:val="00332266"/>
    <w:rsid w:val="003329C2"/>
    <w:rsid w:val="00335E87"/>
    <w:rsid w:val="00336BF1"/>
    <w:rsid w:val="00336E66"/>
    <w:rsid w:val="003371D2"/>
    <w:rsid w:val="00341658"/>
    <w:rsid w:val="003420FE"/>
    <w:rsid w:val="00342995"/>
    <w:rsid w:val="00344A27"/>
    <w:rsid w:val="0034599F"/>
    <w:rsid w:val="00346FB2"/>
    <w:rsid w:val="0034773B"/>
    <w:rsid w:val="0035173E"/>
    <w:rsid w:val="00355E9D"/>
    <w:rsid w:val="0035745E"/>
    <w:rsid w:val="00360397"/>
    <w:rsid w:val="0036161E"/>
    <w:rsid w:val="00362E5C"/>
    <w:rsid w:val="00372F17"/>
    <w:rsid w:val="00373EA6"/>
    <w:rsid w:val="003802E2"/>
    <w:rsid w:val="0038454D"/>
    <w:rsid w:val="003871A2"/>
    <w:rsid w:val="00387DE3"/>
    <w:rsid w:val="0039295E"/>
    <w:rsid w:val="00395701"/>
    <w:rsid w:val="003A2300"/>
    <w:rsid w:val="003A2F47"/>
    <w:rsid w:val="003A4E62"/>
    <w:rsid w:val="003A63B0"/>
    <w:rsid w:val="003A6D88"/>
    <w:rsid w:val="003A75CA"/>
    <w:rsid w:val="003B1280"/>
    <w:rsid w:val="003B1B40"/>
    <w:rsid w:val="003C4454"/>
    <w:rsid w:val="003C70BE"/>
    <w:rsid w:val="003D07B6"/>
    <w:rsid w:val="003D3C9D"/>
    <w:rsid w:val="003D5253"/>
    <w:rsid w:val="003E1AF8"/>
    <w:rsid w:val="003E40B6"/>
    <w:rsid w:val="003E6F2C"/>
    <w:rsid w:val="003F0A16"/>
    <w:rsid w:val="003F7532"/>
    <w:rsid w:val="003F7672"/>
    <w:rsid w:val="00404799"/>
    <w:rsid w:val="0040762F"/>
    <w:rsid w:val="0041035A"/>
    <w:rsid w:val="00410C98"/>
    <w:rsid w:val="00412619"/>
    <w:rsid w:val="00416F5D"/>
    <w:rsid w:val="004234FF"/>
    <w:rsid w:val="00423A50"/>
    <w:rsid w:val="00424115"/>
    <w:rsid w:val="00425F6E"/>
    <w:rsid w:val="00431688"/>
    <w:rsid w:val="0043314B"/>
    <w:rsid w:val="00435476"/>
    <w:rsid w:val="0043552A"/>
    <w:rsid w:val="0044228C"/>
    <w:rsid w:val="0044246A"/>
    <w:rsid w:val="00447942"/>
    <w:rsid w:val="00450E3F"/>
    <w:rsid w:val="00455090"/>
    <w:rsid w:val="00461612"/>
    <w:rsid w:val="0046648D"/>
    <w:rsid w:val="00467756"/>
    <w:rsid w:val="0047213E"/>
    <w:rsid w:val="00475247"/>
    <w:rsid w:val="004760A0"/>
    <w:rsid w:val="00476A90"/>
    <w:rsid w:val="0048113E"/>
    <w:rsid w:val="004839C9"/>
    <w:rsid w:val="00491B55"/>
    <w:rsid w:val="00491F90"/>
    <w:rsid w:val="00492716"/>
    <w:rsid w:val="00492B0E"/>
    <w:rsid w:val="0049340C"/>
    <w:rsid w:val="00494487"/>
    <w:rsid w:val="0049489E"/>
    <w:rsid w:val="004A2DDE"/>
    <w:rsid w:val="004A39DF"/>
    <w:rsid w:val="004B0BCF"/>
    <w:rsid w:val="004B38DC"/>
    <w:rsid w:val="004B4851"/>
    <w:rsid w:val="004B506E"/>
    <w:rsid w:val="004B523E"/>
    <w:rsid w:val="004C1086"/>
    <w:rsid w:val="004C1600"/>
    <w:rsid w:val="004C18BD"/>
    <w:rsid w:val="004C2F08"/>
    <w:rsid w:val="004C4B0E"/>
    <w:rsid w:val="004C578C"/>
    <w:rsid w:val="004C5B14"/>
    <w:rsid w:val="004D0D28"/>
    <w:rsid w:val="004D0FC6"/>
    <w:rsid w:val="004D42DC"/>
    <w:rsid w:val="004D5151"/>
    <w:rsid w:val="004E415F"/>
    <w:rsid w:val="004E6934"/>
    <w:rsid w:val="004E7215"/>
    <w:rsid w:val="004E7299"/>
    <w:rsid w:val="004F78AB"/>
    <w:rsid w:val="00514DC3"/>
    <w:rsid w:val="00516DE0"/>
    <w:rsid w:val="00517C4C"/>
    <w:rsid w:val="00520BA7"/>
    <w:rsid w:val="00521051"/>
    <w:rsid w:val="00522907"/>
    <w:rsid w:val="00524181"/>
    <w:rsid w:val="00526475"/>
    <w:rsid w:val="00532574"/>
    <w:rsid w:val="005332C7"/>
    <w:rsid w:val="00533BF7"/>
    <w:rsid w:val="0053587E"/>
    <w:rsid w:val="00535C1D"/>
    <w:rsid w:val="00541CE5"/>
    <w:rsid w:val="00542A88"/>
    <w:rsid w:val="00543862"/>
    <w:rsid w:val="00543C61"/>
    <w:rsid w:val="00544064"/>
    <w:rsid w:val="00544088"/>
    <w:rsid w:val="005440AD"/>
    <w:rsid w:val="00545E18"/>
    <w:rsid w:val="005461A1"/>
    <w:rsid w:val="00546279"/>
    <w:rsid w:val="00547789"/>
    <w:rsid w:val="00551A36"/>
    <w:rsid w:val="00551B58"/>
    <w:rsid w:val="00553D95"/>
    <w:rsid w:val="00554279"/>
    <w:rsid w:val="005545D0"/>
    <w:rsid w:val="00556AF2"/>
    <w:rsid w:val="00556FD4"/>
    <w:rsid w:val="0056364D"/>
    <w:rsid w:val="00566953"/>
    <w:rsid w:val="00566A3A"/>
    <w:rsid w:val="00570052"/>
    <w:rsid w:val="0057005E"/>
    <w:rsid w:val="005705F5"/>
    <w:rsid w:val="00570851"/>
    <w:rsid w:val="00570F44"/>
    <w:rsid w:val="00571FA1"/>
    <w:rsid w:val="005723BC"/>
    <w:rsid w:val="00572A8C"/>
    <w:rsid w:val="00572C9A"/>
    <w:rsid w:val="00572D31"/>
    <w:rsid w:val="00574CE9"/>
    <w:rsid w:val="00576AD0"/>
    <w:rsid w:val="00577C61"/>
    <w:rsid w:val="00583A88"/>
    <w:rsid w:val="00583F64"/>
    <w:rsid w:val="005842AD"/>
    <w:rsid w:val="00585880"/>
    <w:rsid w:val="0058710D"/>
    <w:rsid w:val="00587CE7"/>
    <w:rsid w:val="00590A21"/>
    <w:rsid w:val="005925AD"/>
    <w:rsid w:val="00596002"/>
    <w:rsid w:val="005B07C9"/>
    <w:rsid w:val="005B2015"/>
    <w:rsid w:val="005B46B6"/>
    <w:rsid w:val="005B473D"/>
    <w:rsid w:val="005B4B54"/>
    <w:rsid w:val="005C1497"/>
    <w:rsid w:val="005C3CD2"/>
    <w:rsid w:val="005C3E5B"/>
    <w:rsid w:val="005D0A72"/>
    <w:rsid w:val="005E3044"/>
    <w:rsid w:val="005E6F33"/>
    <w:rsid w:val="005F3383"/>
    <w:rsid w:val="00602A42"/>
    <w:rsid w:val="00602B86"/>
    <w:rsid w:val="00606063"/>
    <w:rsid w:val="006061D7"/>
    <w:rsid w:val="00606768"/>
    <w:rsid w:val="006078C5"/>
    <w:rsid w:val="00607E44"/>
    <w:rsid w:val="006109B8"/>
    <w:rsid w:val="0061183B"/>
    <w:rsid w:val="00615972"/>
    <w:rsid w:val="00617638"/>
    <w:rsid w:val="00622CC6"/>
    <w:rsid w:val="006317AB"/>
    <w:rsid w:val="0063662B"/>
    <w:rsid w:val="00636BEC"/>
    <w:rsid w:val="00637C63"/>
    <w:rsid w:val="006426DD"/>
    <w:rsid w:val="006438CA"/>
    <w:rsid w:val="00645C48"/>
    <w:rsid w:val="00650766"/>
    <w:rsid w:val="006507EA"/>
    <w:rsid w:val="006510C3"/>
    <w:rsid w:val="0065172B"/>
    <w:rsid w:val="00651BEE"/>
    <w:rsid w:val="00651F34"/>
    <w:rsid w:val="00652409"/>
    <w:rsid w:val="006524E4"/>
    <w:rsid w:val="006602D7"/>
    <w:rsid w:val="006629F7"/>
    <w:rsid w:val="0066604F"/>
    <w:rsid w:val="00667780"/>
    <w:rsid w:val="00672013"/>
    <w:rsid w:val="00674F96"/>
    <w:rsid w:val="00675E1F"/>
    <w:rsid w:val="00687416"/>
    <w:rsid w:val="00691EF9"/>
    <w:rsid w:val="006971DA"/>
    <w:rsid w:val="006A0CC3"/>
    <w:rsid w:val="006A554C"/>
    <w:rsid w:val="006B4E37"/>
    <w:rsid w:val="006B5BA2"/>
    <w:rsid w:val="006C22FC"/>
    <w:rsid w:val="006C2CD3"/>
    <w:rsid w:val="006C465D"/>
    <w:rsid w:val="006C7A95"/>
    <w:rsid w:val="006F3DD7"/>
    <w:rsid w:val="006F4B7D"/>
    <w:rsid w:val="006F4CB6"/>
    <w:rsid w:val="006F5E26"/>
    <w:rsid w:val="00700C75"/>
    <w:rsid w:val="007015A0"/>
    <w:rsid w:val="00702DAF"/>
    <w:rsid w:val="0070751C"/>
    <w:rsid w:val="00711F9B"/>
    <w:rsid w:val="00713ADC"/>
    <w:rsid w:val="00713DA8"/>
    <w:rsid w:val="00714941"/>
    <w:rsid w:val="00716296"/>
    <w:rsid w:val="0071696D"/>
    <w:rsid w:val="00717503"/>
    <w:rsid w:val="00725DB6"/>
    <w:rsid w:val="0072603B"/>
    <w:rsid w:val="00730C85"/>
    <w:rsid w:val="00740179"/>
    <w:rsid w:val="00740926"/>
    <w:rsid w:val="0074151E"/>
    <w:rsid w:val="0074393A"/>
    <w:rsid w:val="00744A17"/>
    <w:rsid w:val="00745F24"/>
    <w:rsid w:val="007504A5"/>
    <w:rsid w:val="00751CB7"/>
    <w:rsid w:val="007526C6"/>
    <w:rsid w:val="00753298"/>
    <w:rsid w:val="00753815"/>
    <w:rsid w:val="0076091C"/>
    <w:rsid w:val="00764F40"/>
    <w:rsid w:val="00767D85"/>
    <w:rsid w:val="007711C7"/>
    <w:rsid w:val="0077185D"/>
    <w:rsid w:val="00774641"/>
    <w:rsid w:val="00774ED0"/>
    <w:rsid w:val="00775FCC"/>
    <w:rsid w:val="00780E2A"/>
    <w:rsid w:val="00782F24"/>
    <w:rsid w:val="007833E4"/>
    <w:rsid w:val="00783BBF"/>
    <w:rsid w:val="00785873"/>
    <w:rsid w:val="007868C6"/>
    <w:rsid w:val="00791871"/>
    <w:rsid w:val="0079564D"/>
    <w:rsid w:val="007959D0"/>
    <w:rsid w:val="00795F62"/>
    <w:rsid w:val="00796DE1"/>
    <w:rsid w:val="007A2125"/>
    <w:rsid w:val="007A6A2B"/>
    <w:rsid w:val="007A6AC6"/>
    <w:rsid w:val="007B3C68"/>
    <w:rsid w:val="007B6F07"/>
    <w:rsid w:val="007B7EEB"/>
    <w:rsid w:val="007C110F"/>
    <w:rsid w:val="007C2876"/>
    <w:rsid w:val="007C4FF2"/>
    <w:rsid w:val="007C63C6"/>
    <w:rsid w:val="007C6407"/>
    <w:rsid w:val="007D18FA"/>
    <w:rsid w:val="007D1F32"/>
    <w:rsid w:val="007D4621"/>
    <w:rsid w:val="007D5019"/>
    <w:rsid w:val="007E14D3"/>
    <w:rsid w:val="007E1F7D"/>
    <w:rsid w:val="007E32BF"/>
    <w:rsid w:val="007E3BF3"/>
    <w:rsid w:val="007E5B03"/>
    <w:rsid w:val="007F03C5"/>
    <w:rsid w:val="007F14B0"/>
    <w:rsid w:val="007F22FE"/>
    <w:rsid w:val="0080197A"/>
    <w:rsid w:val="008047A4"/>
    <w:rsid w:val="00806501"/>
    <w:rsid w:val="0080683A"/>
    <w:rsid w:val="008074A6"/>
    <w:rsid w:val="00810494"/>
    <w:rsid w:val="00811065"/>
    <w:rsid w:val="00813323"/>
    <w:rsid w:val="008165D3"/>
    <w:rsid w:val="00816D7A"/>
    <w:rsid w:val="00817EC9"/>
    <w:rsid w:val="0083190D"/>
    <w:rsid w:val="00831B48"/>
    <w:rsid w:val="008354E6"/>
    <w:rsid w:val="00837098"/>
    <w:rsid w:val="00840173"/>
    <w:rsid w:val="0084019D"/>
    <w:rsid w:val="0084276A"/>
    <w:rsid w:val="008429BC"/>
    <w:rsid w:val="00843BBD"/>
    <w:rsid w:val="00844E58"/>
    <w:rsid w:val="0084665B"/>
    <w:rsid w:val="00846FA9"/>
    <w:rsid w:val="0085143D"/>
    <w:rsid w:val="00851536"/>
    <w:rsid w:val="0086389E"/>
    <w:rsid w:val="00863C70"/>
    <w:rsid w:val="008649E9"/>
    <w:rsid w:val="008661D5"/>
    <w:rsid w:val="00870FE7"/>
    <w:rsid w:val="00873024"/>
    <w:rsid w:val="0087338B"/>
    <w:rsid w:val="008764C2"/>
    <w:rsid w:val="00881A97"/>
    <w:rsid w:val="00887760"/>
    <w:rsid w:val="00890F77"/>
    <w:rsid w:val="00893CBB"/>
    <w:rsid w:val="00894579"/>
    <w:rsid w:val="008945F6"/>
    <w:rsid w:val="00895C66"/>
    <w:rsid w:val="008A07FD"/>
    <w:rsid w:val="008A0945"/>
    <w:rsid w:val="008A15D3"/>
    <w:rsid w:val="008A319C"/>
    <w:rsid w:val="008A343D"/>
    <w:rsid w:val="008A4F66"/>
    <w:rsid w:val="008A6809"/>
    <w:rsid w:val="008B0C19"/>
    <w:rsid w:val="008B651E"/>
    <w:rsid w:val="008B6798"/>
    <w:rsid w:val="008C0681"/>
    <w:rsid w:val="008C1626"/>
    <w:rsid w:val="008D0144"/>
    <w:rsid w:val="008D7B7D"/>
    <w:rsid w:val="008E026A"/>
    <w:rsid w:val="008E0343"/>
    <w:rsid w:val="008E0446"/>
    <w:rsid w:val="008E1442"/>
    <w:rsid w:val="008E21A8"/>
    <w:rsid w:val="008E51E4"/>
    <w:rsid w:val="008E78C5"/>
    <w:rsid w:val="008E797E"/>
    <w:rsid w:val="008F1794"/>
    <w:rsid w:val="008F2EDD"/>
    <w:rsid w:val="00902831"/>
    <w:rsid w:val="00906ADE"/>
    <w:rsid w:val="0090725F"/>
    <w:rsid w:val="009130D8"/>
    <w:rsid w:val="0091439F"/>
    <w:rsid w:val="009153E0"/>
    <w:rsid w:val="00916657"/>
    <w:rsid w:val="00916786"/>
    <w:rsid w:val="00923C12"/>
    <w:rsid w:val="00924A57"/>
    <w:rsid w:val="00930A96"/>
    <w:rsid w:val="00931595"/>
    <w:rsid w:val="00932CB5"/>
    <w:rsid w:val="00936086"/>
    <w:rsid w:val="00941433"/>
    <w:rsid w:val="009420F7"/>
    <w:rsid w:val="009458B2"/>
    <w:rsid w:val="009478AB"/>
    <w:rsid w:val="00947FCD"/>
    <w:rsid w:val="00956ADE"/>
    <w:rsid w:val="00957387"/>
    <w:rsid w:val="00957EF5"/>
    <w:rsid w:val="00960EB0"/>
    <w:rsid w:val="00960FF0"/>
    <w:rsid w:val="00964AEC"/>
    <w:rsid w:val="00967145"/>
    <w:rsid w:val="0097214B"/>
    <w:rsid w:val="0097427B"/>
    <w:rsid w:val="00975356"/>
    <w:rsid w:val="00976A9F"/>
    <w:rsid w:val="00977E2C"/>
    <w:rsid w:val="009831B3"/>
    <w:rsid w:val="00983E39"/>
    <w:rsid w:val="0098720F"/>
    <w:rsid w:val="00991539"/>
    <w:rsid w:val="009935CA"/>
    <w:rsid w:val="00993CD2"/>
    <w:rsid w:val="00996B19"/>
    <w:rsid w:val="00996B94"/>
    <w:rsid w:val="00996DF2"/>
    <w:rsid w:val="009A2B17"/>
    <w:rsid w:val="009A4982"/>
    <w:rsid w:val="009A682B"/>
    <w:rsid w:val="009B4EFF"/>
    <w:rsid w:val="009C0ACC"/>
    <w:rsid w:val="009C1177"/>
    <w:rsid w:val="009D5194"/>
    <w:rsid w:val="009D699B"/>
    <w:rsid w:val="009D757F"/>
    <w:rsid w:val="009D7687"/>
    <w:rsid w:val="009D7881"/>
    <w:rsid w:val="009E796E"/>
    <w:rsid w:val="009F367A"/>
    <w:rsid w:val="009F54B1"/>
    <w:rsid w:val="009F6205"/>
    <w:rsid w:val="00A016EF"/>
    <w:rsid w:val="00A020FD"/>
    <w:rsid w:val="00A03F3B"/>
    <w:rsid w:val="00A048B7"/>
    <w:rsid w:val="00A05993"/>
    <w:rsid w:val="00A1413B"/>
    <w:rsid w:val="00A14A6E"/>
    <w:rsid w:val="00A25F3D"/>
    <w:rsid w:val="00A272E4"/>
    <w:rsid w:val="00A307BA"/>
    <w:rsid w:val="00A311A9"/>
    <w:rsid w:val="00A315B7"/>
    <w:rsid w:val="00A32F2A"/>
    <w:rsid w:val="00A34300"/>
    <w:rsid w:val="00A34C3B"/>
    <w:rsid w:val="00A40A31"/>
    <w:rsid w:val="00A43103"/>
    <w:rsid w:val="00A4449D"/>
    <w:rsid w:val="00A45D38"/>
    <w:rsid w:val="00A4782A"/>
    <w:rsid w:val="00A51F73"/>
    <w:rsid w:val="00A654C2"/>
    <w:rsid w:val="00A65835"/>
    <w:rsid w:val="00A70DFF"/>
    <w:rsid w:val="00A72C42"/>
    <w:rsid w:val="00A80BE2"/>
    <w:rsid w:val="00A81A4B"/>
    <w:rsid w:val="00A874E3"/>
    <w:rsid w:val="00A91216"/>
    <w:rsid w:val="00A93C12"/>
    <w:rsid w:val="00A946F3"/>
    <w:rsid w:val="00A97067"/>
    <w:rsid w:val="00A972CC"/>
    <w:rsid w:val="00A977E8"/>
    <w:rsid w:val="00AA2B76"/>
    <w:rsid w:val="00AA329F"/>
    <w:rsid w:val="00AA34E6"/>
    <w:rsid w:val="00AA389F"/>
    <w:rsid w:val="00AA3DA3"/>
    <w:rsid w:val="00AA4BF9"/>
    <w:rsid w:val="00AA6BC5"/>
    <w:rsid w:val="00AA7529"/>
    <w:rsid w:val="00AA7A09"/>
    <w:rsid w:val="00AA7CF6"/>
    <w:rsid w:val="00AB4107"/>
    <w:rsid w:val="00AB5011"/>
    <w:rsid w:val="00AC390C"/>
    <w:rsid w:val="00AC3939"/>
    <w:rsid w:val="00AC4A10"/>
    <w:rsid w:val="00AC6FC5"/>
    <w:rsid w:val="00AC74EC"/>
    <w:rsid w:val="00AC7C42"/>
    <w:rsid w:val="00AD1804"/>
    <w:rsid w:val="00AD44E6"/>
    <w:rsid w:val="00AD6BCD"/>
    <w:rsid w:val="00AD7F3B"/>
    <w:rsid w:val="00AE3E4F"/>
    <w:rsid w:val="00AE6BE4"/>
    <w:rsid w:val="00AE76FB"/>
    <w:rsid w:val="00AF05A1"/>
    <w:rsid w:val="00AF31DC"/>
    <w:rsid w:val="00AF3C78"/>
    <w:rsid w:val="00AF4788"/>
    <w:rsid w:val="00AF52EB"/>
    <w:rsid w:val="00AF5C85"/>
    <w:rsid w:val="00AF7E81"/>
    <w:rsid w:val="00B0375D"/>
    <w:rsid w:val="00B03F77"/>
    <w:rsid w:val="00B055E6"/>
    <w:rsid w:val="00B05CCC"/>
    <w:rsid w:val="00B10E72"/>
    <w:rsid w:val="00B144B6"/>
    <w:rsid w:val="00B176FC"/>
    <w:rsid w:val="00B21317"/>
    <w:rsid w:val="00B2382B"/>
    <w:rsid w:val="00B270FC"/>
    <w:rsid w:val="00B31A57"/>
    <w:rsid w:val="00B31A5E"/>
    <w:rsid w:val="00B31EE0"/>
    <w:rsid w:val="00B3255A"/>
    <w:rsid w:val="00B32565"/>
    <w:rsid w:val="00B327C2"/>
    <w:rsid w:val="00B35233"/>
    <w:rsid w:val="00B36208"/>
    <w:rsid w:val="00B3771D"/>
    <w:rsid w:val="00B40A90"/>
    <w:rsid w:val="00B41871"/>
    <w:rsid w:val="00B44A94"/>
    <w:rsid w:val="00B460CA"/>
    <w:rsid w:val="00B50263"/>
    <w:rsid w:val="00B56BF3"/>
    <w:rsid w:val="00B71098"/>
    <w:rsid w:val="00B72FC3"/>
    <w:rsid w:val="00B7343A"/>
    <w:rsid w:val="00B7586D"/>
    <w:rsid w:val="00B80873"/>
    <w:rsid w:val="00B8291E"/>
    <w:rsid w:val="00B8571F"/>
    <w:rsid w:val="00B85780"/>
    <w:rsid w:val="00B85CA6"/>
    <w:rsid w:val="00B87D11"/>
    <w:rsid w:val="00B91E39"/>
    <w:rsid w:val="00B92C3A"/>
    <w:rsid w:val="00BA0784"/>
    <w:rsid w:val="00BA16B5"/>
    <w:rsid w:val="00BA4817"/>
    <w:rsid w:val="00BA5E32"/>
    <w:rsid w:val="00BA6038"/>
    <w:rsid w:val="00BA6FBC"/>
    <w:rsid w:val="00BA7EAB"/>
    <w:rsid w:val="00BB1F35"/>
    <w:rsid w:val="00BB3104"/>
    <w:rsid w:val="00BB3513"/>
    <w:rsid w:val="00BB5820"/>
    <w:rsid w:val="00BB77D3"/>
    <w:rsid w:val="00BC52DC"/>
    <w:rsid w:val="00BC7DCD"/>
    <w:rsid w:val="00BD2AA0"/>
    <w:rsid w:val="00BD4F3E"/>
    <w:rsid w:val="00BD5DDA"/>
    <w:rsid w:val="00BE09CD"/>
    <w:rsid w:val="00BE2150"/>
    <w:rsid w:val="00BF0C5F"/>
    <w:rsid w:val="00BF22F4"/>
    <w:rsid w:val="00BF5735"/>
    <w:rsid w:val="00C0073B"/>
    <w:rsid w:val="00C01213"/>
    <w:rsid w:val="00C025DA"/>
    <w:rsid w:val="00C029D1"/>
    <w:rsid w:val="00C02AED"/>
    <w:rsid w:val="00C04F76"/>
    <w:rsid w:val="00C04F7F"/>
    <w:rsid w:val="00C0658B"/>
    <w:rsid w:val="00C07AB2"/>
    <w:rsid w:val="00C10B9D"/>
    <w:rsid w:val="00C1193E"/>
    <w:rsid w:val="00C1217C"/>
    <w:rsid w:val="00C142D9"/>
    <w:rsid w:val="00C16A94"/>
    <w:rsid w:val="00C16F67"/>
    <w:rsid w:val="00C1707F"/>
    <w:rsid w:val="00C20531"/>
    <w:rsid w:val="00C215D5"/>
    <w:rsid w:val="00C22BF5"/>
    <w:rsid w:val="00C24ADE"/>
    <w:rsid w:val="00C26460"/>
    <w:rsid w:val="00C26D1D"/>
    <w:rsid w:val="00C3433C"/>
    <w:rsid w:val="00C351C7"/>
    <w:rsid w:val="00C361A4"/>
    <w:rsid w:val="00C367F2"/>
    <w:rsid w:val="00C3740D"/>
    <w:rsid w:val="00C37E93"/>
    <w:rsid w:val="00C40261"/>
    <w:rsid w:val="00C44F39"/>
    <w:rsid w:val="00C45A8A"/>
    <w:rsid w:val="00C45B88"/>
    <w:rsid w:val="00C45BD4"/>
    <w:rsid w:val="00C467B2"/>
    <w:rsid w:val="00C60781"/>
    <w:rsid w:val="00C60849"/>
    <w:rsid w:val="00C60973"/>
    <w:rsid w:val="00C625C3"/>
    <w:rsid w:val="00C711C1"/>
    <w:rsid w:val="00C71B8C"/>
    <w:rsid w:val="00C72152"/>
    <w:rsid w:val="00C722E4"/>
    <w:rsid w:val="00C730D9"/>
    <w:rsid w:val="00C741B1"/>
    <w:rsid w:val="00C755D8"/>
    <w:rsid w:val="00C81EC6"/>
    <w:rsid w:val="00C8253D"/>
    <w:rsid w:val="00C83289"/>
    <w:rsid w:val="00C862F1"/>
    <w:rsid w:val="00C92782"/>
    <w:rsid w:val="00C971C4"/>
    <w:rsid w:val="00CA0171"/>
    <w:rsid w:val="00CA3239"/>
    <w:rsid w:val="00CB181B"/>
    <w:rsid w:val="00CB4C07"/>
    <w:rsid w:val="00CB77B3"/>
    <w:rsid w:val="00CB7E91"/>
    <w:rsid w:val="00CC19AF"/>
    <w:rsid w:val="00CC7668"/>
    <w:rsid w:val="00CD387A"/>
    <w:rsid w:val="00CD3EA5"/>
    <w:rsid w:val="00CD474E"/>
    <w:rsid w:val="00CD4B78"/>
    <w:rsid w:val="00CD5B1F"/>
    <w:rsid w:val="00CD5C94"/>
    <w:rsid w:val="00CE02AB"/>
    <w:rsid w:val="00CE1A34"/>
    <w:rsid w:val="00CE246D"/>
    <w:rsid w:val="00CE2E20"/>
    <w:rsid w:val="00CF20B5"/>
    <w:rsid w:val="00CF4371"/>
    <w:rsid w:val="00CF715A"/>
    <w:rsid w:val="00D04FCB"/>
    <w:rsid w:val="00D06613"/>
    <w:rsid w:val="00D06C4C"/>
    <w:rsid w:val="00D10AC1"/>
    <w:rsid w:val="00D11D5E"/>
    <w:rsid w:val="00D13B6A"/>
    <w:rsid w:val="00D17896"/>
    <w:rsid w:val="00D22F06"/>
    <w:rsid w:val="00D239A8"/>
    <w:rsid w:val="00D25BC5"/>
    <w:rsid w:val="00D2766E"/>
    <w:rsid w:val="00D27872"/>
    <w:rsid w:val="00D32E19"/>
    <w:rsid w:val="00D34E3A"/>
    <w:rsid w:val="00D404FB"/>
    <w:rsid w:val="00D405EA"/>
    <w:rsid w:val="00D413DF"/>
    <w:rsid w:val="00D42BA8"/>
    <w:rsid w:val="00D47183"/>
    <w:rsid w:val="00D514D8"/>
    <w:rsid w:val="00D53519"/>
    <w:rsid w:val="00D5539F"/>
    <w:rsid w:val="00D60538"/>
    <w:rsid w:val="00D606F2"/>
    <w:rsid w:val="00D62582"/>
    <w:rsid w:val="00D62F3C"/>
    <w:rsid w:val="00D63F42"/>
    <w:rsid w:val="00D723C8"/>
    <w:rsid w:val="00D76AB2"/>
    <w:rsid w:val="00D779BA"/>
    <w:rsid w:val="00D81A69"/>
    <w:rsid w:val="00D82835"/>
    <w:rsid w:val="00D838BF"/>
    <w:rsid w:val="00D85817"/>
    <w:rsid w:val="00D9115D"/>
    <w:rsid w:val="00D96828"/>
    <w:rsid w:val="00D97041"/>
    <w:rsid w:val="00D97C45"/>
    <w:rsid w:val="00DA07C1"/>
    <w:rsid w:val="00DA10C4"/>
    <w:rsid w:val="00DA44BE"/>
    <w:rsid w:val="00DA6B25"/>
    <w:rsid w:val="00DA762C"/>
    <w:rsid w:val="00DB0565"/>
    <w:rsid w:val="00DB0F51"/>
    <w:rsid w:val="00DC49A8"/>
    <w:rsid w:val="00DD056E"/>
    <w:rsid w:val="00DD42AB"/>
    <w:rsid w:val="00DD5624"/>
    <w:rsid w:val="00DE0968"/>
    <w:rsid w:val="00DF08BA"/>
    <w:rsid w:val="00DF4CBE"/>
    <w:rsid w:val="00DF5803"/>
    <w:rsid w:val="00DF61F3"/>
    <w:rsid w:val="00E014BA"/>
    <w:rsid w:val="00E0490B"/>
    <w:rsid w:val="00E106C2"/>
    <w:rsid w:val="00E12F8E"/>
    <w:rsid w:val="00E1752A"/>
    <w:rsid w:val="00E23C95"/>
    <w:rsid w:val="00E25664"/>
    <w:rsid w:val="00E25B42"/>
    <w:rsid w:val="00E262BD"/>
    <w:rsid w:val="00E30151"/>
    <w:rsid w:val="00E346CF"/>
    <w:rsid w:val="00E34F71"/>
    <w:rsid w:val="00E37133"/>
    <w:rsid w:val="00E44C86"/>
    <w:rsid w:val="00E4732C"/>
    <w:rsid w:val="00E50481"/>
    <w:rsid w:val="00E50B99"/>
    <w:rsid w:val="00E50E13"/>
    <w:rsid w:val="00E51BD2"/>
    <w:rsid w:val="00E527B8"/>
    <w:rsid w:val="00E54160"/>
    <w:rsid w:val="00E5795B"/>
    <w:rsid w:val="00E57F79"/>
    <w:rsid w:val="00E6131A"/>
    <w:rsid w:val="00E65F98"/>
    <w:rsid w:val="00E66C24"/>
    <w:rsid w:val="00E70976"/>
    <w:rsid w:val="00E75072"/>
    <w:rsid w:val="00E753F3"/>
    <w:rsid w:val="00E75F54"/>
    <w:rsid w:val="00E76FB2"/>
    <w:rsid w:val="00E8034B"/>
    <w:rsid w:val="00E80A36"/>
    <w:rsid w:val="00E839DF"/>
    <w:rsid w:val="00E84440"/>
    <w:rsid w:val="00E86EBD"/>
    <w:rsid w:val="00E92EDB"/>
    <w:rsid w:val="00E92FCF"/>
    <w:rsid w:val="00E95CE6"/>
    <w:rsid w:val="00E96241"/>
    <w:rsid w:val="00EA089F"/>
    <w:rsid w:val="00EA33E7"/>
    <w:rsid w:val="00EA3B69"/>
    <w:rsid w:val="00EA507D"/>
    <w:rsid w:val="00EA5464"/>
    <w:rsid w:val="00EA619F"/>
    <w:rsid w:val="00EA7E34"/>
    <w:rsid w:val="00EB061A"/>
    <w:rsid w:val="00EB1A2A"/>
    <w:rsid w:val="00EB4637"/>
    <w:rsid w:val="00EC1F25"/>
    <w:rsid w:val="00EC4119"/>
    <w:rsid w:val="00ED0A40"/>
    <w:rsid w:val="00EE22C5"/>
    <w:rsid w:val="00EE38F3"/>
    <w:rsid w:val="00EF02A5"/>
    <w:rsid w:val="00EF3BD4"/>
    <w:rsid w:val="00EF4551"/>
    <w:rsid w:val="00F03CDA"/>
    <w:rsid w:val="00F049B4"/>
    <w:rsid w:val="00F04C0A"/>
    <w:rsid w:val="00F05F92"/>
    <w:rsid w:val="00F06618"/>
    <w:rsid w:val="00F06AFE"/>
    <w:rsid w:val="00F107D3"/>
    <w:rsid w:val="00F17D84"/>
    <w:rsid w:val="00F22173"/>
    <w:rsid w:val="00F22448"/>
    <w:rsid w:val="00F25943"/>
    <w:rsid w:val="00F301F3"/>
    <w:rsid w:val="00F304F0"/>
    <w:rsid w:val="00F30C14"/>
    <w:rsid w:val="00F3134E"/>
    <w:rsid w:val="00F3359B"/>
    <w:rsid w:val="00F343C0"/>
    <w:rsid w:val="00F45CD0"/>
    <w:rsid w:val="00F511F4"/>
    <w:rsid w:val="00F54303"/>
    <w:rsid w:val="00F55792"/>
    <w:rsid w:val="00F6303D"/>
    <w:rsid w:val="00F654BC"/>
    <w:rsid w:val="00F66B61"/>
    <w:rsid w:val="00F740B6"/>
    <w:rsid w:val="00F76349"/>
    <w:rsid w:val="00F77620"/>
    <w:rsid w:val="00F83135"/>
    <w:rsid w:val="00F83D46"/>
    <w:rsid w:val="00F85AAA"/>
    <w:rsid w:val="00F908E4"/>
    <w:rsid w:val="00F90A00"/>
    <w:rsid w:val="00F94F08"/>
    <w:rsid w:val="00F95E6F"/>
    <w:rsid w:val="00FA68B6"/>
    <w:rsid w:val="00FB24B3"/>
    <w:rsid w:val="00FB38E8"/>
    <w:rsid w:val="00FB3D31"/>
    <w:rsid w:val="00FB71BF"/>
    <w:rsid w:val="00FC57BA"/>
    <w:rsid w:val="00FC5A04"/>
    <w:rsid w:val="00FC7510"/>
    <w:rsid w:val="00FC7BCC"/>
    <w:rsid w:val="00FD6E79"/>
    <w:rsid w:val="00FE0CFB"/>
    <w:rsid w:val="00FE2386"/>
    <w:rsid w:val="00FE2936"/>
    <w:rsid w:val="00FE4845"/>
    <w:rsid w:val="00FF261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652336"/>
  <w15:docId w15:val="{E776B5EF-49CA-4E6A-AF5C-E41DAA930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uiPriority="99" w:qFormat="1"/>
    <w:lsdException w:name="heading 4" w:uiPriority="9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6B25"/>
    <w:rPr>
      <w:lang w:val="en-US" w:eastAsia="en-US"/>
    </w:rPr>
  </w:style>
  <w:style w:type="paragraph" w:styleId="Heading1">
    <w:name w:val="heading 1"/>
    <w:basedOn w:val="Normal"/>
    <w:next w:val="Normal"/>
    <w:link w:val="Heading1Char"/>
    <w:uiPriority w:val="99"/>
    <w:qFormat/>
    <w:rsid w:val="00DA6B25"/>
    <w:pPr>
      <w:keepNext/>
      <w:spacing w:before="240" w:after="80"/>
      <w:jc w:val="center"/>
      <w:outlineLvl w:val="0"/>
    </w:pPr>
    <w:rPr>
      <w:smallCaps/>
      <w:kern w:val="28"/>
    </w:rPr>
  </w:style>
  <w:style w:type="paragraph" w:styleId="Heading2">
    <w:name w:val="heading 2"/>
    <w:basedOn w:val="Normal"/>
    <w:next w:val="Normal"/>
    <w:link w:val="Heading2Char"/>
    <w:qFormat/>
    <w:rsid w:val="00DA6B25"/>
    <w:pPr>
      <w:keepNext/>
      <w:spacing w:before="120" w:after="60"/>
      <w:outlineLvl w:val="1"/>
    </w:pPr>
    <w:rPr>
      <w:i/>
    </w:rPr>
  </w:style>
  <w:style w:type="paragraph" w:styleId="Heading3">
    <w:name w:val="heading 3"/>
    <w:basedOn w:val="Normal"/>
    <w:next w:val="Normal"/>
    <w:link w:val="Heading3Char"/>
    <w:uiPriority w:val="99"/>
    <w:qFormat/>
    <w:rsid w:val="00DA6B25"/>
    <w:pPr>
      <w:keepNext/>
      <w:outlineLvl w:val="2"/>
    </w:pPr>
    <w:rPr>
      <w:i/>
    </w:rPr>
  </w:style>
  <w:style w:type="paragraph" w:styleId="Heading4">
    <w:name w:val="heading 4"/>
    <w:basedOn w:val="Normal"/>
    <w:next w:val="Normal"/>
    <w:link w:val="Heading4Char"/>
    <w:uiPriority w:val="99"/>
    <w:qFormat/>
    <w:rsid w:val="00DA6B25"/>
    <w:pPr>
      <w:keepNext/>
      <w:spacing w:before="240" w:after="60"/>
      <w:outlineLvl w:val="3"/>
    </w:pPr>
    <w:rPr>
      <w:i/>
      <w:sz w:val="18"/>
    </w:rPr>
  </w:style>
  <w:style w:type="paragraph" w:styleId="Heading5">
    <w:name w:val="heading 5"/>
    <w:basedOn w:val="Normal"/>
    <w:next w:val="Normal"/>
    <w:qFormat/>
    <w:rsid w:val="00DA6B25"/>
    <w:pPr>
      <w:spacing w:before="240" w:after="60"/>
      <w:outlineLvl w:val="4"/>
    </w:pPr>
    <w:rPr>
      <w:sz w:val="18"/>
    </w:rPr>
  </w:style>
  <w:style w:type="paragraph" w:styleId="Heading6">
    <w:name w:val="heading 6"/>
    <w:basedOn w:val="Normal"/>
    <w:next w:val="Normal"/>
    <w:qFormat/>
    <w:rsid w:val="00DA6B25"/>
    <w:pPr>
      <w:spacing w:before="240" w:after="60"/>
      <w:outlineLvl w:val="5"/>
    </w:pPr>
    <w:rPr>
      <w:i/>
      <w:sz w:val="16"/>
    </w:rPr>
  </w:style>
  <w:style w:type="paragraph" w:styleId="Heading7">
    <w:name w:val="heading 7"/>
    <w:basedOn w:val="Normal"/>
    <w:next w:val="Normal"/>
    <w:qFormat/>
    <w:rsid w:val="00DA6B25"/>
    <w:pPr>
      <w:spacing w:before="240" w:after="60"/>
      <w:outlineLvl w:val="6"/>
    </w:pPr>
    <w:rPr>
      <w:sz w:val="16"/>
    </w:rPr>
  </w:style>
  <w:style w:type="paragraph" w:styleId="Heading8">
    <w:name w:val="heading 8"/>
    <w:basedOn w:val="Normal"/>
    <w:next w:val="Normal"/>
    <w:qFormat/>
    <w:rsid w:val="00DA6B25"/>
    <w:pPr>
      <w:spacing w:before="240" w:after="60"/>
      <w:outlineLvl w:val="7"/>
    </w:pPr>
    <w:rPr>
      <w:i/>
      <w:sz w:val="16"/>
    </w:rPr>
  </w:style>
  <w:style w:type="paragraph" w:styleId="Heading9">
    <w:name w:val="heading 9"/>
    <w:basedOn w:val="Normal"/>
    <w:next w:val="Normal"/>
    <w:qFormat/>
    <w:rsid w:val="00DA6B25"/>
    <w:pPr>
      <w:spacing w:before="240" w:after="60"/>
      <w:outlineLvl w:val="8"/>
    </w:pPr>
    <w:rPr>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DA6B25"/>
    <w:pPr>
      <w:spacing w:before="20"/>
      <w:ind w:firstLine="202"/>
      <w:jc w:val="both"/>
    </w:pPr>
    <w:rPr>
      <w:b/>
      <w:sz w:val="18"/>
    </w:rPr>
  </w:style>
  <w:style w:type="paragraph" w:customStyle="1" w:styleId="Authors">
    <w:name w:val="Authors"/>
    <w:basedOn w:val="Normal"/>
    <w:next w:val="Normal"/>
    <w:rsid w:val="00DA6B25"/>
    <w:pPr>
      <w:framePr w:w="9072" w:hSpace="187" w:vSpace="187" w:wrap="notBeside" w:vAnchor="text" w:hAnchor="page" w:xAlign="center" w:y="1"/>
      <w:spacing w:after="320"/>
      <w:jc w:val="center"/>
    </w:pPr>
    <w:rPr>
      <w:sz w:val="22"/>
    </w:rPr>
  </w:style>
  <w:style w:type="character" w:customStyle="1" w:styleId="MemberType">
    <w:name w:val="MemberType"/>
    <w:rsid w:val="00DA6B25"/>
    <w:rPr>
      <w:rFonts w:ascii="Times New Roman" w:hAnsi="Times New Roman"/>
      <w:i/>
      <w:sz w:val="22"/>
    </w:rPr>
  </w:style>
  <w:style w:type="paragraph" w:styleId="Title">
    <w:name w:val="Title"/>
    <w:basedOn w:val="Normal"/>
    <w:next w:val="Normal"/>
    <w:qFormat/>
    <w:rsid w:val="00DA6B25"/>
    <w:pPr>
      <w:framePr w:w="9360" w:hSpace="187" w:vSpace="187" w:wrap="notBeside" w:vAnchor="text" w:hAnchor="page" w:xAlign="center" w:y="1"/>
      <w:jc w:val="center"/>
    </w:pPr>
    <w:rPr>
      <w:kern w:val="28"/>
      <w:sz w:val="48"/>
    </w:rPr>
  </w:style>
  <w:style w:type="paragraph" w:styleId="FootnoteText">
    <w:name w:val="footnote text"/>
    <w:basedOn w:val="Normal"/>
    <w:link w:val="FootnoteTextChar"/>
    <w:rsid w:val="00DA6B25"/>
    <w:pPr>
      <w:ind w:firstLine="202"/>
      <w:jc w:val="both"/>
    </w:pPr>
    <w:rPr>
      <w:sz w:val="16"/>
    </w:rPr>
  </w:style>
  <w:style w:type="paragraph" w:customStyle="1" w:styleId="References">
    <w:name w:val="References"/>
    <w:basedOn w:val="Normal"/>
    <w:qFormat/>
    <w:rsid w:val="00DA6B25"/>
    <w:pPr>
      <w:numPr>
        <w:numId w:val="2"/>
      </w:numPr>
      <w:jc w:val="both"/>
    </w:pPr>
    <w:rPr>
      <w:sz w:val="16"/>
    </w:rPr>
  </w:style>
  <w:style w:type="paragraph" w:customStyle="1" w:styleId="IndexTerms">
    <w:name w:val="IndexTerms"/>
    <w:basedOn w:val="Normal"/>
    <w:next w:val="Normal"/>
    <w:rsid w:val="00DA6B25"/>
    <w:pPr>
      <w:ind w:firstLine="202"/>
      <w:jc w:val="both"/>
    </w:pPr>
    <w:rPr>
      <w:b/>
      <w:sz w:val="18"/>
    </w:rPr>
  </w:style>
  <w:style w:type="character" w:styleId="FootnoteReference">
    <w:name w:val="footnote reference"/>
    <w:semiHidden/>
    <w:rsid w:val="00DA6B25"/>
    <w:rPr>
      <w:vertAlign w:val="superscript"/>
    </w:rPr>
  </w:style>
  <w:style w:type="paragraph" w:styleId="Footer">
    <w:name w:val="footer"/>
    <w:basedOn w:val="Normal"/>
    <w:link w:val="FooterChar"/>
    <w:uiPriority w:val="99"/>
    <w:rsid w:val="00DA6B25"/>
    <w:pPr>
      <w:tabs>
        <w:tab w:val="center" w:pos="4320"/>
        <w:tab w:val="right" w:pos="8640"/>
      </w:tabs>
    </w:pPr>
  </w:style>
  <w:style w:type="paragraph" w:customStyle="1" w:styleId="Text">
    <w:name w:val="Text"/>
    <w:basedOn w:val="Normal"/>
    <w:rsid w:val="00DA6B25"/>
    <w:pPr>
      <w:widowControl w:val="0"/>
      <w:spacing w:line="252" w:lineRule="auto"/>
      <w:ind w:firstLine="202"/>
      <w:jc w:val="both"/>
    </w:pPr>
  </w:style>
  <w:style w:type="paragraph" w:customStyle="1" w:styleId="FigureCaption">
    <w:name w:val="Figure Caption"/>
    <w:basedOn w:val="Normal"/>
    <w:rsid w:val="00DA6B25"/>
    <w:pPr>
      <w:jc w:val="both"/>
    </w:pPr>
    <w:rPr>
      <w:sz w:val="16"/>
    </w:rPr>
  </w:style>
  <w:style w:type="paragraph" w:customStyle="1" w:styleId="TableTitle">
    <w:name w:val="Table Title"/>
    <w:basedOn w:val="Normal"/>
    <w:rsid w:val="00DA6B25"/>
    <w:pPr>
      <w:jc w:val="center"/>
    </w:pPr>
    <w:rPr>
      <w:smallCaps/>
      <w:sz w:val="16"/>
    </w:rPr>
  </w:style>
  <w:style w:type="paragraph" w:customStyle="1" w:styleId="ReferenceHead">
    <w:name w:val="Reference Head"/>
    <w:basedOn w:val="Heading1"/>
    <w:rsid w:val="00DA6B25"/>
  </w:style>
  <w:style w:type="paragraph" w:styleId="Header">
    <w:name w:val="header"/>
    <w:basedOn w:val="Normal"/>
    <w:link w:val="HeaderChar"/>
    <w:uiPriority w:val="99"/>
    <w:rsid w:val="00DA6B25"/>
    <w:pPr>
      <w:tabs>
        <w:tab w:val="center" w:pos="4320"/>
        <w:tab w:val="right" w:pos="8640"/>
      </w:tabs>
    </w:pPr>
  </w:style>
  <w:style w:type="paragraph" w:customStyle="1" w:styleId="Equation">
    <w:name w:val="Equation"/>
    <w:basedOn w:val="Normal"/>
    <w:next w:val="Normal"/>
    <w:rsid w:val="00DA6B25"/>
    <w:pPr>
      <w:widowControl w:val="0"/>
      <w:tabs>
        <w:tab w:val="right" w:pos="5040"/>
      </w:tabs>
      <w:spacing w:line="252" w:lineRule="auto"/>
      <w:jc w:val="both"/>
    </w:pPr>
  </w:style>
  <w:style w:type="character" w:styleId="Hyperlink">
    <w:name w:val="Hyperlink"/>
    <w:rsid w:val="00DA6B25"/>
    <w:rPr>
      <w:color w:val="0000FF"/>
      <w:u w:val="single"/>
    </w:rPr>
  </w:style>
  <w:style w:type="paragraph" w:styleId="BodyTextIndent">
    <w:name w:val="Body Text Indent"/>
    <w:basedOn w:val="Normal"/>
    <w:rsid w:val="00DA6B25"/>
    <w:pPr>
      <w:ind w:firstLine="180"/>
      <w:jc w:val="both"/>
    </w:pPr>
  </w:style>
  <w:style w:type="character" w:styleId="FollowedHyperlink">
    <w:name w:val="FollowedHyperlink"/>
    <w:rsid w:val="00DA6B25"/>
    <w:rPr>
      <w:color w:val="800080"/>
      <w:u w:val="single"/>
    </w:rPr>
  </w:style>
  <w:style w:type="paragraph" w:styleId="BalloonText">
    <w:name w:val="Balloon Text"/>
    <w:basedOn w:val="Normal"/>
    <w:link w:val="BalloonTextChar"/>
    <w:uiPriority w:val="99"/>
    <w:semiHidden/>
    <w:rsid w:val="00DA6B25"/>
    <w:rPr>
      <w:rFonts w:ascii="Tahoma" w:hAnsi="Tahoma" w:cs="Tahoma"/>
      <w:sz w:val="16"/>
      <w:szCs w:val="16"/>
    </w:rPr>
  </w:style>
  <w:style w:type="paragraph" w:customStyle="1" w:styleId="Body">
    <w:name w:val="Body"/>
    <w:basedOn w:val="Normal"/>
    <w:link w:val="BodyZchn"/>
    <w:rsid w:val="00556AF2"/>
    <w:pPr>
      <w:spacing w:after="240"/>
      <w:jc w:val="both"/>
    </w:pPr>
    <w:rPr>
      <w:rFonts w:ascii="Arial" w:eastAsia="Malgun Gothic" w:hAnsi="Arial"/>
      <w:lang w:val="en-GB"/>
    </w:rPr>
  </w:style>
  <w:style w:type="character" w:customStyle="1" w:styleId="BodyZchn">
    <w:name w:val="Body Zchn"/>
    <w:link w:val="Body"/>
    <w:uiPriority w:val="99"/>
    <w:locked/>
    <w:rsid w:val="00556AF2"/>
    <w:rPr>
      <w:rFonts w:ascii="Arial" w:eastAsia="Malgun Gothic" w:hAnsi="Arial"/>
      <w:lang w:val="en-GB" w:eastAsia="en-US"/>
    </w:rPr>
  </w:style>
  <w:style w:type="paragraph" w:customStyle="1" w:styleId="CitaviBibliographyEntry">
    <w:name w:val="Citavi Bibliography Entry"/>
    <w:basedOn w:val="Normal"/>
    <w:link w:val="CitaviBibliographyEntryZchn"/>
    <w:rsid w:val="002B70A6"/>
    <w:pPr>
      <w:tabs>
        <w:tab w:val="left" w:pos="567"/>
      </w:tabs>
      <w:ind w:left="567" w:hanging="567"/>
    </w:pPr>
    <w:rPr>
      <w:rFonts w:ascii="Arial" w:eastAsia="Malgun Gothic" w:hAnsi="Arial"/>
    </w:rPr>
  </w:style>
  <w:style w:type="character" w:customStyle="1" w:styleId="CitaviBibliographyEntryZchn">
    <w:name w:val="Citavi Bibliography Entry Zchn"/>
    <w:link w:val="CitaviBibliographyEntry"/>
    <w:rsid w:val="002B70A6"/>
    <w:rPr>
      <w:rFonts w:ascii="Arial" w:eastAsia="Malgun Gothic" w:hAnsi="Arial"/>
      <w:lang w:val="en-US" w:eastAsia="en-US"/>
    </w:rPr>
  </w:style>
  <w:style w:type="paragraph" w:customStyle="1" w:styleId="CitaviBibliographyHeading">
    <w:name w:val="Citavi Bibliography Heading"/>
    <w:basedOn w:val="Heading1"/>
    <w:link w:val="CitaviBibliographyHeadingZchn"/>
    <w:rsid w:val="002B70A6"/>
    <w:pPr>
      <w:jc w:val="left"/>
    </w:pPr>
  </w:style>
  <w:style w:type="character" w:customStyle="1" w:styleId="CitaviBibliographyHeadingZchn">
    <w:name w:val="Citavi Bibliography Heading Zchn"/>
    <w:link w:val="CitaviBibliographyHeading"/>
    <w:rsid w:val="002B70A6"/>
    <w:rPr>
      <w:smallCaps/>
      <w:kern w:val="28"/>
      <w:lang w:val="en-US" w:eastAsia="en-US"/>
    </w:rPr>
  </w:style>
  <w:style w:type="paragraph" w:styleId="Caption">
    <w:name w:val="caption"/>
    <w:basedOn w:val="Normal"/>
    <w:next w:val="Normal"/>
    <w:link w:val="CaptionChar"/>
    <w:uiPriority w:val="35"/>
    <w:unhideWhenUsed/>
    <w:qFormat/>
    <w:rsid w:val="006317AB"/>
    <w:rPr>
      <w:b/>
      <w:bCs/>
    </w:rPr>
  </w:style>
  <w:style w:type="character" w:customStyle="1" w:styleId="FootnoteTextChar">
    <w:name w:val="Footnote Text Char"/>
    <w:link w:val="FootnoteText"/>
    <w:rsid w:val="004C2F08"/>
    <w:rPr>
      <w:sz w:val="16"/>
      <w:lang w:val="en-US" w:eastAsia="en-US"/>
    </w:rPr>
  </w:style>
  <w:style w:type="character" w:customStyle="1" w:styleId="CaptionChar">
    <w:name w:val="Caption Char"/>
    <w:link w:val="Caption"/>
    <w:uiPriority w:val="35"/>
    <w:rsid w:val="00E4732C"/>
    <w:rPr>
      <w:b/>
      <w:bCs/>
      <w:lang w:val="en-US" w:eastAsia="en-US"/>
    </w:rPr>
  </w:style>
  <w:style w:type="character" w:styleId="PlaceholderText">
    <w:name w:val="Placeholder Text"/>
    <w:basedOn w:val="DefaultParagraphFont"/>
    <w:uiPriority w:val="99"/>
    <w:semiHidden/>
    <w:rsid w:val="00716296"/>
    <w:rPr>
      <w:color w:val="808080"/>
    </w:rPr>
  </w:style>
  <w:style w:type="paragraph" w:styleId="ListParagraph">
    <w:name w:val="List Paragraph"/>
    <w:basedOn w:val="Normal"/>
    <w:uiPriority w:val="34"/>
    <w:qFormat/>
    <w:rsid w:val="00DE0968"/>
    <w:pPr>
      <w:ind w:left="720"/>
      <w:contextualSpacing/>
    </w:pPr>
  </w:style>
  <w:style w:type="table" w:styleId="TableGrid">
    <w:name w:val="Table Grid"/>
    <w:basedOn w:val="TableNormal"/>
    <w:uiPriority w:val="39"/>
    <w:rsid w:val="006C22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E346CF"/>
    <w:rPr>
      <w:sz w:val="16"/>
      <w:szCs w:val="16"/>
    </w:rPr>
  </w:style>
  <w:style w:type="paragraph" w:styleId="CommentText">
    <w:name w:val="annotation text"/>
    <w:basedOn w:val="Normal"/>
    <w:link w:val="CommentTextChar"/>
    <w:semiHidden/>
    <w:unhideWhenUsed/>
    <w:rsid w:val="00E346CF"/>
  </w:style>
  <w:style w:type="character" w:customStyle="1" w:styleId="CommentTextChar">
    <w:name w:val="Comment Text Char"/>
    <w:basedOn w:val="DefaultParagraphFont"/>
    <w:link w:val="CommentText"/>
    <w:semiHidden/>
    <w:rsid w:val="00E346CF"/>
    <w:rPr>
      <w:lang w:val="en-US" w:eastAsia="en-US"/>
    </w:rPr>
  </w:style>
  <w:style w:type="paragraph" w:styleId="CommentSubject">
    <w:name w:val="annotation subject"/>
    <w:basedOn w:val="CommentText"/>
    <w:next w:val="CommentText"/>
    <w:link w:val="CommentSubjectChar"/>
    <w:semiHidden/>
    <w:unhideWhenUsed/>
    <w:rsid w:val="00E346CF"/>
    <w:rPr>
      <w:b/>
      <w:bCs/>
    </w:rPr>
  </w:style>
  <w:style w:type="character" w:customStyle="1" w:styleId="CommentSubjectChar">
    <w:name w:val="Comment Subject Char"/>
    <w:basedOn w:val="CommentTextChar"/>
    <w:link w:val="CommentSubject"/>
    <w:semiHidden/>
    <w:rsid w:val="00E346CF"/>
    <w:rPr>
      <w:b/>
      <w:bCs/>
      <w:lang w:val="en-US" w:eastAsia="en-US"/>
    </w:rPr>
  </w:style>
  <w:style w:type="paragraph" w:styleId="NormalWeb">
    <w:name w:val="Normal (Web)"/>
    <w:basedOn w:val="Normal"/>
    <w:uiPriority w:val="99"/>
    <w:unhideWhenUsed/>
    <w:rsid w:val="0041035A"/>
    <w:pPr>
      <w:spacing w:before="100" w:beforeAutospacing="1" w:after="100" w:afterAutospacing="1"/>
    </w:pPr>
    <w:rPr>
      <w:rFonts w:eastAsiaTheme="minorEastAsia"/>
      <w:sz w:val="24"/>
      <w:szCs w:val="24"/>
      <w:lang w:val="de-DE" w:eastAsia="de-DE"/>
    </w:rPr>
  </w:style>
  <w:style w:type="paragraph" w:customStyle="1" w:styleId="Default">
    <w:name w:val="Default"/>
    <w:rsid w:val="00520BA7"/>
    <w:pPr>
      <w:widowControl w:val="0"/>
      <w:pBdr>
        <w:top w:val="nil"/>
        <w:left w:val="nil"/>
        <w:bottom w:val="nil"/>
        <w:right w:val="nil"/>
        <w:between w:val="nil"/>
        <w:bar w:val="nil"/>
      </w:pBdr>
      <w:jc w:val="both"/>
    </w:pPr>
    <w:rPr>
      <w:rFonts w:ascii="Lucida Sans" w:eastAsia="Lucida Sans" w:hAnsi="Lucida Sans" w:cs="Lucida Sans"/>
      <w:color w:val="000000"/>
      <w:sz w:val="24"/>
      <w:szCs w:val="24"/>
      <w:u w:color="000000"/>
      <w:bdr w:val="nil"/>
      <w:lang w:val="en-US" w:eastAsia="zh-CN"/>
    </w:rPr>
  </w:style>
  <w:style w:type="table" w:customStyle="1" w:styleId="TableNormal1">
    <w:name w:val="Table Normal1"/>
    <w:rsid w:val="008764C2"/>
    <w:pPr>
      <w:pBdr>
        <w:top w:val="nil"/>
        <w:left w:val="nil"/>
        <w:bottom w:val="nil"/>
        <w:right w:val="nil"/>
        <w:between w:val="nil"/>
        <w:bar w:val="nil"/>
      </w:pBdr>
    </w:pPr>
    <w:rPr>
      <w:bdr w:val="nil"/>
      <w:lang w:val="en-US" w:eastAsia="zh-CN"/>
    </w:rPr>
    <w:tblPr>
      <w:tblInd w:w="0" w:type="dxa"/>
      <w:tblCellMar>
        <w:top w:w="0" w:type="dxa"/>
        <w:left w:w="0" w:type="dxa"/>
        <w:bottom w:w="0" w:type="dxa"/>
        <w:right w:w="0" w:type="dxa"/>
      </w:tblCellMar>
    </w:tblPr>
  </w:style>
  <w:style w:type="paragraph" w:customStyle="1" w:styleId="a">
    <w:name w:val="页眉与页脚"/>
    <w:rsid w:val="008764C2"/>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en-US" w:eastAsia="zh-CN"/>
    </w:rPr>
  </w:style>
  <w:style w:type="paragraph" w:customStyle="1" w:styleId="a0">
    <w:name w:val="题目"/>
    <w:next w:val="Normal"/>
    <w:rsid w:val="008764C2"/>
    <w:pPr>
      <w:keepNext/>
      <w:pBdr>
        <w:top w:val="nil"/>
        <w:left w:val="nil"/>
        <w:bottom w:val="nil"/>
        <w:right w:val="nil"/>
        <w:between w:val="nil"/>
        <w:bar w:val="nil"/>
      </w:pBdr>
      <w:spacing w:after="80"/>
      <w:jc w:val="center"/>
      <w:outlineLvl w:val="0"/>
    </w:pPr>
    <w:rPr>
      <w:rFonts w:ascii="Arial Bold" w:eastAsia="Arial Unicode MS" w:hAnsi="Arial Unicode MS" w:cs="Arial Unicode MS"/>
      <w:smallCaps/>
      <w:color w:val="000000"/>
      <w:kern w:val="28"/>
      <w:sz w:val="24"/>
      <w:szCs w:val="24"/>
      <w:u w:color="000000"/>
      <w:bdr w:val="nil"/>
      <w:lang w:val="en-US" w:eastAsia="zh-CN"/>
    </w:rPr>
  </w:style>
  <w:style w:type="paragraph" w:customStyle="1" w:styleId="2">
    <w:name w:val="题目 2"/>
    <w:next w:val="Normal"/>
    <w:rsid w:val="008764C2"/>
    <w:pPr>
      <w:keepNext/>
      <w:pBdr>
        <w:top w:val="nil"/>
        <w:left w:val="nil"/>
        <w:bottom w:val="nil"/>
        <w:right w:val="nil"/>
        <w:between w:val="nil"/>
        <w:bar w:val="nil"/>
      </w:pBdr>
      <w:spacing w:before="120" w:after="60"/>
      <w:jc w:val="both"/>
      <w:outlineLvl w:val="1"/>
    </w:pPr>
    <w:rPr>
      <w:rFonts w:eastAsia="Arial Unicode MS" w:hAnsi="Arial Unicode MS" w:cs="Arial Unicode MS"/>
      <w:i/>
      <w:iCs/>
      <w:color w:val="000000"/>
      <w:u w:color="000000"/>
      <w:bdr w:val="nil"/>
      <w:lang w:val="en-US" w:eastAsia="zh-CN"/>
    </w:rPr>
  </w:style>
  <w:style w:type="numbering" w:customStyle="1" w:styleId="List0">
    <w:name w:val="List 0"/>
    <w:basedOn w:val="20"/>
    <w:rsid w:val="008764C2"/>
    <w:pPr>
      <w:numPr>
        <w:numId w:val="4"/>
      </w:numPr>
    </w:pPr>
  </w:style>
  <w:style w:type="numbering" w:customStyle="1" w:styleId="20">
    <w:name w:val="已导入的样式“2”"/>
    <w:rsid w:val="008764C2"/>
  </w:style>
  <w:style w:type="character" w:customStyle="1" w:styleId="BalloonTextChar">
    <w:name w:val="Balloon Text Char"/>
    <w:link w:val="BalloonText"/>
    <w:uiPriority w:val="99"/>
    <w:semiHidden/>
    <w:rsid w:val="008764C2"/>
    <w:rPr>
      <w:rFonts w:ascii="Tahoma" w:hAnsi="Tahoma" w:cs="Tahoma"/>
      <w:sz w:val="16"/>
      <w:szCs w:val="16"/>
      <w:lang w:val="en-US" w:eastAsia="en-US"/>
    </w:rPr>
  </w:style>
  <w:style w:type="character" w:customStyle="1" w:styleId="HeaderChar">
    <w:name w:val="Header Char"/>
    <w:link w:val="Header"/>
    <w:uiPriority w:val="99"/>
    <w:rsid w:val="008764C2"/>
    <w:rPr>
      <w:lang w:val="en-US" w:eastAsia="en-US"/>
    </w:rPr>
  </w:style>
  <w:style w:type="character" w:customStyle="1" w:styleId="FooterChar">
    <w:name w:val="Footer Char"/>
    <w:link w:val="Footer"/>
    <w:uiPriority w:val="99"/>
    <w:rsid w:val="008764C2"/>
    <w:rPr>
      <w:lang w:val="en-US" w:eastAsia="en-US"/>
    </w:rPr>
  </w:style>
  <w:style w:type="character" w:customStyle="1" w:styleId="st1">
    <w:name w:val="st1"/>
    <w:basedOn w:val="DefaultParagraphFont"/>
    <w:rsid w:val="008764C2"/>
  </w:style>
  <w:style w:type="paragraph" w:styleId="BodyText">
    <w:name w:val="Body Text"/>
    <w:basedOn w:val="Normal"/>
    <w:link w:val="BodyTextChar"/>
    <w:uiPriority w:val="99"/>
    <w:rsid w:val="008764C2"/>
    <w:pPr>
      <w:tabs>
        <w:tab w:val="left" w:pos="288"/>
      </w:tabs>
      <w:spacing w:after="120" w:line="228" w:lineRule="auto"/>
      <w:ind w:firstLine="288"/>
      <w:jc w:val="both"/>
    </w:pPr>
    <w:rPr>
      <w:rFonts w:eastAsia="MS Mincho"/>
      <w:spacing w:val="-1"/>
      <w:u w:color="000000"/>
      <w:lang w:val="en-GB"/>
    </w:rPr>
  </w:style>
  <w:style w:type="character" w:customStyle="1" w:styleId="BodyTextChar">
    <w:name w:val="Body Text Char"/>
    <w:basedOn w:val="DefaultParagraphFont"/>
    <w:link w:val="BodyText"/>
    <w:uiPriority w:val="99"/>
    <w:rsid w:val="008764C2"/>
    <w:rPr>
      <w:rFonts w:eastAsia="MS Mincho"/>
      <w:spacing w:val="-1"/>
      <w:u w:color="000000"/>
      <w:lang w:val="en-GB" w:eastAsia="en-US"/>
    </w:rPr>
  </w:style>
  <w:style w:type="character" w:customStyle="1" w:styleId="Heading1Char">
    <w:name w:val="Heading 1 Char"/>
    <w:link w:val="Heading1"/>
    <w:uiPriority w:val="99"/>
    <w:rsid w:val="008764C2"/>
    <w:rPr>
      <w:smallCaps/>
      <w:kern w:val="28"/>
      <w:lang w:val="en-US" w:eastAsia="en-US"/>
    </w:rPr>
  </w:style>
  <w:style w:type="character" w:customStyle="1" w:styleId="Heading2Char">
    <w:name w:val="Heading 2 Char"/>
    <w:link w:val="Heading2"/>
    <w:uiPriority w:val="99"/>
    <w:rsid w:val="008764C2"/>
    <w:rPr>
      <w:i/>
      <w:lang w:val="en-US" w:eastAsia="en-US"/>
    </w:rPr>
  </w:style>
  <w:style w:type="character" w:customStyle="1" w:styleId="Heading3Char">
    <w:name w:val="Heading 3 Char"/>
    <w:link w:val="Heading3"/>
    <w:uiPriority w:val="99"/>
    <w:rsid w:val="008764C2"/>
    <w:rPr>
      <w:i/>
      <w:lang w:val="en-US" w:eastAsia="en-US"/>
    </w:rPr>
  </w:style>
  <w:style w:type="character" w:customStyle="1" w:styleId="Heading4Char">
    <w:name w:val="Heading 4 Char"/>
    <w:link w:val="Heading4"/>
    <w:uiPriority w:val="99"/>
    <w:rsid w:val="008764C2"/>
    <w:rPr>
      <w:i/>
      <w:sz w:val="18"/>
      <w:lang w:val="en-US" w:eastAsia="en-US"/>
    </w:rPr>
  </w:style>
  <w:style w:type="paragraph" w:customStyle="1" w:styleId="tablecolsubhead">
    <w:name w:val="table col subhead"/>
    <w:basedOn w:val="Normal"/>
    <w:uiPriority w:val="99"/>
    <w:rsid w:val="008764C2"/>
    <w:pPr>
      <w:jc w:val="center"/>
    </w:pPr>
    <w:rPr>
      <w:rFonts w:eastAsia="Malgun Gothic"/>
      <w:b/>
      <w:bCs/>
      <w:i/>
      <w:iCs/>
      <w:sz w:val="15"/>
      <w:szCs w:val="15"/>
      <w:u w:color="000000"/>
    </w:rPr>
  </w:style>
  <w:style w:type="paragraph" w:customStyle="1" w:styleId="tablecopy">
    <w:name w:val="table copy"/>
    <w:uiPriority w:val="99"/>
    <w:rsid w:val="008764C2"/>
    <w:pPr>
      <w:jc w:val="both"/>
    </w:pPr>
    <w:rPr>
      <w:rFonts w:eastAsia="Malgun Gothic"/>
      <w:noProof/>
      <w:sz w:val="16"/>
      <w:szCs w:val="16"/>
      <w:lang w:val="en-US" w:eastAsia="en-US"/>
    </w:rPr>
  </w:style>
  <w:style w:type="paragraph" w:customStyle="1" w:styleId="StyleCentered">
    <w:name w:val="Style Centered"/>
    <w:basedOn w:val="Normal"/>
    <w:rsid w:val="008764C2"/>
    <w:pPr>
      <w:widowControl w:val="0"/>
      <w:spacing w:after="120" w:line="360" w:lineRule="auto"/>
      <w:jc w:val="center"/>
    </w:pPr>
    <w:rPr>
      <w:rFonts w:eastAsiaTheme="minorEastAsia"/>
      <w:kern w:val="2"/>
      <w:u w:color="000000"/>
      <w:lang w:val="en-GB" w:eastAsia="zh-CN"/>
    </w:rPr>
  </w:style>
  <w:style w:type="paragraph" w:customStyle="1" w:styleId="StyleCaptionAsianBodyAsianSimSun11ptCentered">
    <w:name w:val="Style Caption + (Asian) +Body Asian (SimSun) 11 pt Centered"/>
    <w:basedOn w:val="Caption"/>
    <w:rsid w:val="008764C2"/>
    <w:pPr>
      <w:widowControl w:val="0"/>
      <w:spacing w:after="120" w:line="360" w:lineRule="auto"/>
      <w:jc w:val="center"/>
    </w:pPr>
    <w:rPr>
      <w:rFonts w:eastAsiaTheme="minorEastAsia"/>
      <w:b w:val="0"/>
      <w:bCs w:val="0"/>
      <w:kern w:val="2"/>
      <w:u w:color="00000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7588657">
      <w:bodyDiv w:val="1"/>
      <w:marLeft w:val="0"/>
      <w:marRight w:val="0"/>
      <w:marTop w:val="0"/>
      <w:marBottom w:val="0"/>
      <w:divBdr>
        <w:top w:val="none" w:sz="0" w:space="0" w:color="auto"/>
        <w:left w:val="none" w:sz="0" w:space="0" w:color="auto"/>
        <w:bottom w:val="none" w:sz="0" w:space="0" w:color="auto"/>
        <w:right w:val="none" w:sz="0" w:space="0" w:color="auto"/>
      </w:divBdr>
    </w:div>
    <w:div w:id="1572694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6.png"/><Relationship Id="rId39" Type="http://schemas.openxmlformats.org/officeDocument/2006/relationships/image" Target="media/image27.jpe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0.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package" Target="embeddings/Microsoft_Visio_Drawing3.vsdx"/><Relationship Id="rId40"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emf"/><Relationship Id="rId10" Type="http://schemas.openxmlformats.org/officeDocument/2006/relationships/image" Target="media/image1.png"/><Relationship Id="rId19" Type="http://schemas.openxmlformats.org/officeDocument/2006/relationships/package" Target="embeddings/Microsoft_Visio_Drawing1.vsdx"/><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package" Target="embeddings/Microsoft_Visio_Drawing2.vsdx"/><Relationship Id="rId38"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umann\AppData\Local\Chemistry%20Add-in%20for%20Word\Chemistry%20Gallery\Chem4Word.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A3716-BF21-4BC4-809C-F911F8086C8B}">
  <ds:schemaRefs>
    <ds:schemaRef ds:uri="urn:schemas-microsoft-com.VSTO2008Demos.ControlsStorage"/>
  </ds:schemaRefs>
</ds:datastoreItem>
</file>

<file path=customXml/itemProps2.xml><?xml version="1.0" encoding="utf-8"?>
<ds:datastoreItem xmlns:ds="http://schemas.openxmlformats.org/officeDocument/2006/customXml" ds:itemID="{3938A530-69A6-4701-8D67-A45066D39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1</TotalTime>
  <Pages>8</Pages>
  <Words>10011</Words>
  <Characters>57063</Characters>
  <Application>Microsoft Office Word</Application>
  <DocSecurity>0</DocSecurity>
  <Lines>475</Lines>
  <Paragraphs>133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TDEI Submissions Template</vt:lpstr>
      <vt:lpstr>TDEI Submissions Template</vt:lpstr>
    </vt:vector>
  </TitlesOfParts>
  <Company>Mitsubishi electric</Company>
  <LinksUpToDate>false</LinksUpToDate>
  <CharactersWithSpaces>66941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TDEI Submissions Template</dc:title>
  <dc:subject>IEEE Transactions on Dielectrics and Electrical Insulation</dc:subject>
  <dc:creator>Bob</dc:creator>
  <cp:lastModifiedBy>George Chen</cp:lastModifiedBy>
  <cp:revision>2</cp:revision>
  <cp:lastPrinted>2018-12-29T06:37:00Z</cp:lastPrinted>
  <dcterms:created xsi:type="dcterms:W3CDTF">2019-01-07T10:37:00Z</dcterms:created>
  <dcterms:modified xsi:type="dcterms:W3CDTF">2019-01-07T10:37:00Z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6">
    <vt:lpwstr>False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Citation Style_1">
    <vt:lpwstr>http://www.zotero.org/styles/ieee</vt:lpwstr>
  </property>
  <property fmtid="{D5CDD505-2E9C-101B-9397-08002B2CF9AE}" pid="25" name="Mendeley Unique User Id_1">
    <vt:lpwstr>a0247fcc-1dbf-3011-955c-314b3fa2bdfb</vt:lpwstr>
  </property>
</Properties>
</file>