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B9AE8" w14:textId="6592A489" w:rsidR="00000038" w:rsidRPr="00CA19EF" w:rsidRDefault="00DF5ADD" w:rsidP="000B0612">
      <w:pPr>
        <w:spacing w:line="360" w:lineRule="auto"/>
        <w:rPr>
          <w:rFonts w:ascii="Times New Roman" w:hAnsi="Times New Roman" w:cs="Times New Roman"/>
          <w:b/>
          <w:sz w:val="24"/>
          <w:szCs w:val="24"/>
        </w:rPr>
      </w:pPr>
      <w:bookmarkStart w:id="0" w:name="_GoBack"/>
      <w:bookmarkEnd w:id="0"/>
      <w:r w:rsidRPr="00CA19EF">
        <w:rPr>
          <w:rFonts w:ascii="Times New Roman" w:hAnsi="Times New Roman" w:cs="Times New Roman"/>
          <w:b/>
          <w:sz w:val="24"/>
          <w:szCs w:val="24"/>
        </w:rPr>
        <w:t xml:space="preserve">Title: </w:t>
      </w:r>
      <w:r w:rsidR="00000038" w:rsidRPr="00CA19EF">
        <w:rPr>
          <w:rFonts w:ascii="Times New Roman" w:hAnsi="Times New Roman" w:cs="Times New Roman"/>
          <w:b/>
          <w:sz w:val="24"/>
          <w:szCs w:val="24"/>
        </w:rPr>
        <w:t xml:space="preserve">Effects of Abaloparatide-SC on Bone Mineral Density and Risk of Fracture in Postmenopausal Women Aged 80 Years or Older </w:t>
      </w:r>
      <w:r w:rsidR="00690EB8" w:rsidRPr="00690EB8">
        <w:rPr>
          <w:rFonts w:ascii="Times New Roman" w:hAnsi="Times New Roman" w:cs="Times New Roman"/>
          <w:b/>
          <w:sz w:val="24"/>
          <w:szCs w:val="24"/>
        </w:rPr>
        <w:t>with</w:t>
      </w:r>
      <w:r w:rsidR="00000038" w:rsidRPr="00CA19EF">
        <w:rPr>
          <w:rFonts w:ascii="Times New Roman" w:hAnsi="Times New Roman" w:cs="Times New Roman"/>
          <w:b/>
          <w:sz w:val="24"/>
          <w:szCs w:val="24"/>
        </w:rPr>
        <w:t xml:space="preserve"> Osteoporosis</w:t>
      </w:r>
    </w:p>
    <w:p w14:paraId="456E0FF8" w14:textId="77777777" w:rsidR="00752FDC" w:rsidRPr="00CA19EF" w:rsidRDefault="00752FDC" w:rsidP="000B0612">
      <w:pPr>
        <w:spacing w:line="360" w:lineRule="auto"/>
        <w:rPr>
          <w:rFonts w:ascii="Times New Roman" w:hAnsi="Times New Roman" w:cs="Times New Roman"/>
          <w:b/>
          <w:sz w:val="24"/>
          <w:szCs w:val="24"/>
        </w:rPr>
      </w:pPr>
    </w:p>
    <w:p w14:paraId="2A677C24" w14:textId="474BB766" w:rsidR="00752FDC" w:rsidRPr="00CA19EF" w:rsidRDefault="00752FDC" w:rsidP="000B0612">
      <w:pPr>
        <w:spacing w:line="360" w:lineRule="auto"/>
        <w:rPr>
          <w:rFonts w:ascii="Times New Roman" w:hAnsi="Times New Roman" w:cs="Times New Roman"/>
          <w:b/>
          <w:sz w:val="24"/>
          <w:szCs w:val="24"/>
        </w:rPr>
      </w:pPr>
      <w:r w:rsidRPr="00CA19EF">
        <w:rPr>
          <w:rFonts w:ascii="Times New Roman" w:hAnsi="Times New Roman" w:cs="Times New Roman"/>
          <w:b/>
          <w:sz w:val="24"/>
          <w:szCs w:val="24"/>
        </w:rPr>
        <w:t>Running title:</w:t>
      </w:r>
      <w:r w:rsidR="004D36EE" w:rsidRPr="00CA19EF">
        <w:rPr>
          <w:rFonts w:ascii="Times New Roman" w:hAnsi="Times New Roman" w:cs="Times New Roman"/>
          <w:b/>
          <w:sz w:val="24"/>
          <w:szCs w:val="24"/>
        </w:rPr>
        <w:t xml:space="preserve"> Abaloparatide</w:t>
      </w:r>
      <w:r w:rsidRPr="00CA19EF">
        <w:rPr>
          <w:rFonts w:ascii="Times New Roman" w:hAnsi="Times New Roman" w:cs="Times New Roman"/>
          <w:b/>
          <w:sz w:val="24"/>
          <w:szCs w:val="24"/>
        </w:rPr>
        <w:t xml:space="preserve"> in </w:t>
      </w:r>
      <w:r w:rsidR="004D36EE" w:rsidRPr="00CA19EF">
        <w:rPr>
          <w:rFonts w:ascii="Times New Roman" w:hAnsi="Times New Roman" w:cs="Times New Roman"/>
          <w:b/>
          <w:sz w:val="24"/>
          <w:szCs w:val="24"/>
        </w:rPr>
        <w:t>Women 80 Years or Older</w:t>
      </w:r>
    </w:p>
    <w:p w14:paraId="17301DF5" w14:textId="77777777" w:rsidR="00000038" w:rsidRPr="00CA19EF" w:rsidRDefault="00000038" w:rsidP="000B0612">
      <w:pPr>
        <w:spacing w:line="360" w:lineRule="auto"/>
        <w:rPr>
          <w:rFonts w:ascii="Times New Roman" w:hAnsi="Times New Roman" w:cs="Times New Roman"/>
          <w:b/>
          <w:sz w:val="24"/>
          <w:szCs w:val="24"/>
        </w:rPr>
      </w:pPr>
    </w:p>
    <w:p w14:paraId="2F9F801D" w14:textId="449DDA85" w:rsidR="00000038" w:rsidRPr="00CA19EF" w:rsidRDefault="00DF5ADD" w:rsidP="000B0612">
      <w:pPr>
        <w:spacing w:line="360" w:lineRule="auto"/>
        <w:rPr>
          <w:rFonts w:ascii="Times New Roman" w:hAnsi="Times New Roman" w:cs="Times New Roman"/>
          <w:sz w:val="24"/>
          <w:szCs w:val="24"/>
        </w:rPr>
      </w:pPr>
      <w:r w:rsidRPr="00CA19EF">
        <w:rPr>
          <w:rFonts w:ascii="Times New Roman" w:hAnsi="Times New Roman" w:cs="Times New Roman"/>
          <w:b/>
          <w:sz w:val="24"/>
          <w:szCs w:val="24"/>
        </w:rPr>
        <w:t>Authors:</w:t>
      </w:r>
      <w:r w:rsidRPr="00CA19EF">
        <w:rPr>
          <w:rFonts w:ascii="Times New Roman" w:hAnsi="Times New Roman" w:cs="Times New Roman"/>
          <w:sz w:val="24"/>
          <w:szCs w:val="24"/>
        </w:rPr>
        <w:t xml:space="preserve"> M</w:t>
      </w:r>
      <w:r w:rsidR="00752FDC" w:rsidRPr="00CA19EF">
        <w:rPr>
          <w:rFonts w:ascii="Times New Roman" w:hAnsi="Times New Roman" w:cs="Times New Roman"/>
          <w:sz w:val="24"/>
          <w:szCs w:val="24"/>
        </w:rPr>
        <w:t xml:space="preserve">ichael </w:t>
      </w:r>
      <w:r w:rsidRPr="00CA19EF">
        <w:rPr>
          <w:rFonts w:ascii="Times New Roman" w:hAnsi="Times New Roman" w:cs="Times New Roman"/>
          <w:sz w:val="24"/>
          <w:szCs w:val="24"/>
        </w:rPr>
        <w:t>R</w:t>
      </w:r>
      <w:r w:rsidR="00752FDC" w:rsidRPr="00CA19EF">
        <w:rPr>
          <w:rFonts w:ascii="Times New Roman" w:hAnsi="Times New Roman" w:cs="Times New Roman"/>
          <w:sz w:val="24"/>
          <w:szCs w:val="24"/>
        </w:rPr>
        <w:t>.</w:t>
      </w:r>
      <w:r w:rsidRPr="00CA19EF">
        <w:rPr>
          <w:rFonts w:ascii="Times New Roman" w:hAnsi="Times New Roman" w:cs="Times New Roman"/>
          <w:sz w:val="24"/>
          <w:szCs w:val="24"/>
        </w:rPr>
        <w:t xml:space="preserve"> </w:t>
      </w:r>
      <w:r w:rsidR="00000038" w:rsidRPr="00CA19EF">
        <w:rPr>
          <w:rFonts w:ascii="Times New Roman" w:hAnsi="Times New Roman" w:cs="Times New Roman"/>
          <w:sz w:val="24"/>
          <w:szCs w:val="24"/>
        </w:rPr>
        <w:t>McClung</w:t>
      </w:r>
      <w:r w:rsidR="00752FDC" w:rsidRPr="00CA19EF">
        <w:rPr>
          <w:rFonts w:ascii="Times New Roman" w:hAnsi="Times New Roman" w:cs="Times New Roman"/>
          <w:sz w:val="24"/>
          <w:szCs w:val="24"/>
        </w:rPr>
        <w:t xml:space="preserve"> MD</w:t>
      </w:r>
      <w:r w:rsidRPr="00CA19EF">
        <w:rPr>
          <w:rFonts w:ascii="Times New Roman" w:hAnsi="Times New Roman" w:cs="Times New Roman"/>
          <w:sz w:val="24"/>
          <w:szCs w:val="24"/>
          <w:vertAlign w:val="superscript"/>
        </w:rPr>
        <w:t>1</w:t>
      </w:r>
      <w:r w:rsidR="00000038" w:rsidRPr="00CA19EF">
        <w:rPr>
          <w:rFonts w:ascii="Times New Roman" w:hAnsi="Times New Roman" w:cs="Times New Roman"/>
          <w:sz w:val="24"/>
          <w:szCs w:val="24"/>
        </w:rPr>
        <w:t xml:space="preserve">, </w:t>
      </w:r>
      <w:r w:rsidRPr="00CA19EF">
        <w:rPr>
          <w:rFonts w:ascii="Times New Roman" w:hAnsi="Times New Roman" w:cs="Times New Roman"/>
          <w:sz w:val="24"/>
          <w:szCs w:val="24"/>
        </w:rPr>
        <w:t>N</w:t>
      </w:r>
      <w:r w:rsidR="00752FDC" w:rsidRPr="00CA19EF">
        <w:rPr>
          <w:rFonts w:ascii="Times New Roman" w:hAnsi="Times New Roman" w:cs="Times New Roman"/>
          <w:sz w:val="24"/>
          <w:szCs w:val="24"/>
        </w:rPr>
        <w:t xml:space="preserve">icholas </w:t>
      </w:r>
      <w:r w:rsidRPr="00CA19EF">
        <w:rPr>
          <w:rFonts w:ascii="Times New Roman" w:hAnsi="Times New Roman" w:cs="Times New Roman"/>
          <w:sz w:val="24"/>
          <w:szCs w:val="24"/>
        </w:rPr>
        <w:t>C</w:t>
      </w:r>
      <w:r w:rsidR="00752FDC" w:rsidRPr="00CA19EF">
        <w:rPr>
          <w:rFonts w:ascii="Times New Roman" w:hAnsi="Times New Roman" w:cs="Times New Roman"/>
          <w:sz w:val="24"/>
          <w:szCs w:val="24"/>
        </w:rPr>
        <w:t>.</w:t>
      </w:r>
      <w:r w:rsidRPr="00CA19EF">
        <w:rPr>
          <w:rFonts w:ascii="Times New Roman" w:hAnsi="Times New Roman" w:cs="Times New Roman"/>
          <w:sz w:val="24"/>
          <w:szCs w:val="24"/>
        </w:rPr>
        <w:t xml:space="preserve"> </w:t>
      </w:r>
      <w:r w:rsidR="00000038" w:rsidRPr="00CA19EF">
        <w:rPr>
          <w:rFonts w:ascii="Times New Roman" w:hAnsi="Times New Roman" w:cs="Times New Roman"/>
          <w:sz w:val="24"/>
          <w:szCs w:val="24"/>
        </w:rPr>
        <w:t>Harvey</w:t>
      </w:r>
      <w:r w:rsidR="00752FDC" w:rsidRPr="00CA19EF">
        <w:rPr>
          <w:rFonts w:ascii="Times New Roman" w:hAnsi="Times New Roman" w:cs="Times New Roman"/>
          <w:sz w:val="24"/>
          <w:szCs w:val="24"/>
        </w:rPr>
        <w:t xml:space="preserve"> </w:t>
      </w:r>
      <w:r w:rsidR="00A11554">
        <w:rPr>
          <w:rFonts w:ascii="Times New Roman" w:hAnsi="Times New Roman" w:cs="Times New Roman"/>
          <w:sz w:val="24"/>
          <w:szCs w:val="24"/>
        </w:rPr>
        <w:t>MD</w:t>
      </w:r>
      <w:r w:rsidR="00752FDC" w:rsidRPr="00CA19EF">
        <w:rPr>
          <w:rFonts w:ascii="Times New Roman" w:hAnsi="Times New Roman" w:cs="Times New Roman"/>
          <w:sz w:val="24"/>
          <w:szCs w:val="24"/>
        </w:rPr>
        <w:t>, PhD</w:t>
      </w:r>
      <w:r w:rsidR="00000038" w:rsidRPr="00CA19EF">
        <w:rPr>
          <w:rFonts w:ascii="Times New Roman" w:hAnsi="Times New Roman" w:cs="Times New Roman"/>
          <w:sz w:val="24"/>
          <w:szCs w:val="24"/>
          <w:vertAlign w:val="superscript"/>
        </w:rPr>
        <w:t>2</w:t>
      </w:r>
      <w:r w:rsidR="00000038" w:rsidRPr="00CA19EF">
        <w:rPr>
          <w:rFonts w:ascii="Times New Roman" w:hAnsi="Times New Roman" w:cs="Times New Roman"/>
          <w:sz w:val="24"/>
          <w:szCs w:val="24"/>
        </w:rPr>
        <w:t xml:space="preserve">, </w:t>
      </w:r>
      <w:r w:rsidRPr="00CA19EF">
        <w:rPr>
          <w:rFonts w:ascii="Times New Roman" w:hAnsi="Times New Roman" w:cs="Times New Roman"/>
          <w:sz w:val="24"/>
          <w:szCs w:val="24"/>
        </w:rPr>
        <w:t>L</w:t>
      </w:r>
      <w:r w:rsidR="00752FDC" w:rsidRPr="00CA19EF">
        <w:rPr>
          <w:rFonts w:ascii="Times New Roman" w:hAnsi="Times New Roman" w:cs="Times New Roman"/>
          <w:sz w:val="24"/>
          <w:szCs w:val="24"/>
        </w:rPr>
        <w:t xml:space="preserve">orraine </w:t>
      </w:r>
      <w:r w:rsidRPr="00CA19EF">
        <w:rPr>
          <w:rFonts w:ascii="Times New Roman" w:hAnsi="Times New Roman" w:cs="Times New Roman"/>
          <w:sz w:val="24"/>
          <w:szCs w:val="24"/>
        </w:rPr>
        <w:t>A</w:t>
      </w:r>
      <w:r w:rsidR="00752FDC" w:rsidRPr="00CA19EF">
        <w:rPr>
          <w:rFonts w:ascii="Times New Roman" w:hAnsi="Times New Roman" w:cs="Times New Roman"/>
          <w:sz w:val="24"/>
          <w:szCs w:val="24"/>
        </w:rPr>
        <w:t>.</w:t>
      </w:r>
      <w:r w:rsidRPr="00CA19EF">
        <w:rPr>
          <w:rFonts w:ascii="Times New Roman" w:hAnsi="Times New Roman" w:cs="Times New Roman"/>
          <w:sz w:val="24"/>
          <w:szCs w:val="24"/>
        </w:rPr>
        <w:t xml:space="preserve"> </w:t>
      </w:r>
      <w:r w:rsidR="00000038" w:rsidRPr="00CA19EF">
        <w:rPr>
          <w:rFonts w:ascii="Times New Roman" w:hAnsi="Times New Roman" w:cs="Times New Roman"/>
          <w:sz w:val="24"/>
          <w:szCs w:val="24"/>
        </w:rPr>
        <w:t>Fitzpatrick</w:t>
      </w:r>
      <w:r w:rsidR="00752FDC" w:rsidRPr="00CA19EF">
        <w:rPr>
          <w:rFonts w:ascii="Times New Roman" w:hAnsi="Times New Roman" w:cs="Times New Roman"/>
          <w:sz w:val="24"/>
          <w:szCs w:val="24"/>
        </w:rPr>
        <w:t xml:space="preserve"> MD</w:t>
      </w:r>
      <w:r w:rsidR="00000038" w:rsidRPr="00CA19EF">
        <w:rPr>
          <w:rFonts w:ascii="Times New Roman" w:hAnsi="Times New Roman" w:cs="Times New Roman"/>
          <w:sz w:val="24"/>
          <w:szCs w:val="24"/>
          <w:vertAlign w:val="superscript"/>
        </w:rPr>
        <w:t>3</w:t>
      </w:r>
      <w:r w:rsidR="00000038" w:rsidRPr="00CA19EF">
        <w:rPr>
          <w:rFonts w:ascii="Times New Roman" w:hAnsi="Times New Roman" w:cs="Times New Roman"/>
          <w:sz w:val="24"/>
          <w:szCs w:val="24"/>
        </w:rPr>
        <w:t xml:space="preserve">, </w:t>
      </w:r>
      <w:r w:rsidR="001C7761" w:rsidRPr="00CA19EF">
        <w:rPr>
          <w:rFonts w:ascii="Times New Roman" w:hAnsi="Times New Roman" w:cs="Times New Roman"/>
          <w:sz w:val="24"/>
          <w:szCs w:val="24"/>
        </w:rPr>
        <w:t>P</w:t>
      </w:r>
      <w:r w:rsidR="00752FDC" w:rsidRPr="00CA19EF">
        <w:rPr>
          <w:rFonts w:ascii="Times New Roman" w:hAnsi="Times New Roman" w:cs="Times New Roman"/>
          <w:sz w:val="24"/>
          <w:szCs w:val="24"/>
        </w:rPr>
        <w:t xml:space="preserve">aul </w:t>
      </w:r>
      <w:r w:rsidR="001C7761" w:rsidRPr="00CA19EF">
        <w:rPr>
          <w:rFonts w:ascii="Times New Roman" w:hAnsi="Times New Roman" w:cs="Times New Roman"/>
          <w:sz w:val="24"/>
          <w:szCs w:val="24"/>
        </w:rPr>
        <w:t>D</w:t>
      </w:r>
      <w:r w:rsidR="00752FDC" w:rsidRPr="00CA19EF">
        <w:rPr>
          <w:rFonts w:ascii="Times New Roman" w:hAnsi="Times New Roman" w:cs="Times New Roman"/>
          <w:sz w:val="24"/>
          <w:szCs w:val="24"/>
        </w:rPr>
        <w:t>.</w:t>
      </w:r>
      <w:r w:rsidR="001C7761" w:rsidRPr="00CA19EF">
        <w:rPr>
          <w:rFonts w:ascii="Times New Roman" w:hAnsi="Times New Roman" w:cs="Times New Roman"/>
          <w:sz w:val="24"/>
          <w:szCs w:val="24"/>
        </w:rPr>
        <w:t xml:space="preserve"> </w:t>
      </w:r>
      <w:r w:rsidR="00000038" w:rsidRPr="00CA19EF">
        <w:rPr>
          <w:rFonts w:ascii="Times New Roman" w:hAnsi="Times New Roman" w:cs="Times New Roman"/>
          <w:sz w:val="24"/>
          <w:szCs w:val="24"/>
        </w:rPr>
        <w:t>Miller</w:t>
      </w:r>
      <w:r w:rsidR="00752FDC" w:rsidRPr="00CA19EF">
        <w:rPr>
          <w:rFonts w:ascii="Times New Roman" w:hAnsi="Times New Roman" w:cs="Times New Roman"/>
          <w:sz w:val="24"/>
          <w:szCs w:val="24"/>
        </w:rPr>
        <w:t xml:space="preserve"> MD</w:t>
      </w:r>
      <w:r w:rsidR="00000038" w:rsidRPr="00CA19EF">
        <w:rPr>
          <w:rFonts w:ascii="Times New Roman" w:hAnsi="Times New Roman" w:cs="Times New Roman"/>
          <w:sz w:val="24"/>
          <w:szCs w:val="24"/>
          <w:vertAlign w:val="superscript"/>
        </w:rPr>
        <w:t>4</w:t>
      </w:r>
      <w:r w:rsidR="00000038" w:rsidRPr="00CA19EF">
        <w:rPr>
          <w:rFonts w:ascii="Times New Roman" w:hAnsi="Times New Roman" w:cs="Times New Roman"/>
          <w:sz w:val="24"/>
          <w:szCs w:val="24"/>
        </w:rPr>
        <w:t xml:space="preserve">, </w:t>
      </w:r>
      <w:r w:rsidR="001C7761" w:rsidRPr="00CA19EF">
        <w:rPr>
          <w:rFonts w:ascii="Times New Roman" w:hAnsi="Times New Roman" w:cs="Times New Roman"/>
          <w:sz w:val="24"/>
          <w:szCs w:val="24"/>
        </w:rPr>
        <w:t>G</w:t>
      </w:r>
      <w:r w:rsidR="00752FDC" w:rsidRPr="00CA19EF">
        <w:rPr>
          <w:rFonts w:ascii="Times New Roman" w:hAnsi="Times New Roman" w:cs="Times New Roman"/>
          <w:sz w:val="24"/>
          <w:szCs w:val="24"/>
        </w:rPr>
        <w:t>ary</w:t>
      </w:r>
      <w:r w:rsidR="001C7761" w:rsidRPr="00CA19EF">
        <w:rPr>
          <w:rFonts w:ascii="Times New Roman" w:hAnsi="Times New Roman" w:cs="Times New Roman"/>
          <w:sz w:val="24"/>
          <w:szCs w:val="24"/>
        </w:rPr>
        <w:t xml:space="preserve"> </w:t>
      </w:r>
      <w:r w:rsidR="00000038" w:rsidRPr="00CA19EF">
        <w:rPr>
          <w:rFonts w:ascii="Times New Roman" w:hAnsi="Times New Roman" w:cs="Times New Roman"/>
          <w:sz w:val="24"/>
          <w:szCs w:val="24"/>
        </w:rPr>
        <w:t>Hattersley</w:t>
      </w:r>
      <w:r w:rsidR="00752FDC" w:rsidRPr="00CA19EF">
        <w:rPr>
          <w:rFonts w:ascii="Times New Roman" w:hAnsi="Times New Roman" w:cs="Times New Roman"/>
          <w:sz w:val="24"/>
          <w:szCs w:val="24"/>
        </w:rPr>
        <w:t xml:space="preserve"> PhD</w:t>
      </w:r>
      <w:r w:rsidR="00000038" w:rsidRPr="00CA19EF">
        <w:rPr>
          <w:rFonts w:ascii="Times New Roman" w:hAnsi="Times New Roman" w:cs="Times New Roman"/>
          <w:sz w:val="24"/>
          <w:szCs w:val="24"/>
          <w:vertAlign w:val="superscript"/>
        </w:rPr>
        <w:t>3</w:t>
      </w:r>
      <w:r w:rsidR="00000038" w:rsidRPr="00CA19EF">
        <w:rPr>
          <w:rFonts w:ascii="Times New Roman" w:hAnsi="Times New Roman" w:cs="Times New Roman"/>
          <w:sz w:val="24"/>
          <w:szCs w:val="24"/>
        </w:rPr>
        <w:t xml:space="preserve">, </w:t>
      </w:r>
      <w:r w:rsidR="001C7761" w:rsidRPr="00CA19EF">
        <w:rPr>
          <w:rFonts w:ascii="Times New Roman" w:hAnsi="Times New Roman" w:cs="Times New Roman"/>
          <w:sz w:val="24"/>
          <w:szCs w:val="24"/>
        </w:rPr>
        <w:t>Y</w:t>
      </w:r>
      <w:r w:rsidR="00752FDC" w:rsidRPr="00CA19EF">
        <w:rPr>
          <w:rFonts w:ascii="Times New Roman" w:hAnsi="Times New Roman" w:cs="Times New Roman"/>
          <w:sz w:val="24"/>
          <w:szCs w:val="24"/>
        </w:rPr>
        <w:t>amei</w:t>
      </w:r>
      <w:r w:rsidR="001C7761" w:rsidRPr="00CA19EF">
        <w:rPr>
          <w:rFonts w:ascii="Times New Roman" w:hAnsi="Times New Roman" w:cs="Times New Roman"/>
          <w:sz w:val="24"/>
          <w:szCs w:val="24"/>
        </w:rPr>
        <w:t xml:space="preserve"> </w:t>
      </w:r>
      <w:r w:rsidR="00000038" w:rsidRPr="00CA19EF">
        <w:rPr>
          <w:rFonts w:ascii="Times New Roman" w:hAnsi="Times New Roman" w:cs="Times New Roman"/>
          <w:sz w:val="24"/>
          <w:szCs w:val="24"/>
        </w:rPr>
        <w:t>Wang</w:t>
      </w:r>
      <w:r w:rsidR="00CB27A1">
        <w:rPr>
          <w:rFonts w:ascii="Times New Roman" w:hAnsi="Times New Roman" w:cs="Times New Roman"/>
          <w:sz w:val="24"/>
          <w:szCs w:val="24"/>
        </w:rPr>
        <w:t xml:space="preserve"> MS</w:t>
      </w:r>
      <w:r w:rsidR="001C7761" w:rsidRPr="00CA19EF">
        <w:rPr>
          <w:rFonts w:ascii="Times New Roman" w:hAnsi="Times New Roman" w:cs="Times New Roman"/>
          <w:sz w:val="24"/>
          <w:szCs w:val="24"/>
          <w:vertAlign w:val="superscript"/>
        </w:rPr>
        <w:t>3</w:t>
      </w:r>
      <w:r w:rsidR="00000038" w:rsidRPr="00CA19EF">
        <w:rPr>
          <w:rFonts w:ascii="Times New Roman" w:hAnsi="Times New Roman" w:cs="Times New Roman"/>
          <w:sz w:val="24"/>
          <w:szCs w:val="24"/>
        </w:rPr>
        <w:t xml:space="preserve">, </w:t>
      </w:r>
      <w:r w:rsidR="001C7761" w:rsidRPr="00CA19EF">
        <w:rPr>
          <w:rFonts w:ascii="Times New Roman" w:hAnsi="Times New Roman" w:cs="Times New Roman"/>
          <w:sz w:val="24"/>
          <w:szCs w:val="24"/>
        </w:rPr>
        <w:t>F</w:t>
      </w:r>
      <w:r w:rsidR="00752FDC" w:rsidRPr="00CA19EF">
        <w:rPr>
          <w:rFonts w:ascii="Times New Roman" w:hAnsi="Times New Roman" w:cs="Times New Roman"/>
          <w:sz w:val="24"/>
          <w:szCs w:val="24"/>
        </w:rPr>
        <w:t>elicia</w:t>
      </w:r>
      <w:r w:rsidR="001C7761" w:rsidRPr="00CA19EF">
        <w:rPr>
          <w:rFonts w:ascii="Times New Roman" w:hAnsi="Times New Roman" w:cs="Times New Roman"/>
          <w:sz w:val="24"/>
          <w:szCs w:val="24"/>
        </w:rPr>
        <w:t xml:space="preserve"> </w:t>
      </w:r>
      <w:r w:rsidR="00000038" w:rsidRPr="00CA19EF">
        <w:rPr>
          <w:rFonts w:ascii="Times New Roman" w:hAnsi="Times New Roman" w:cs="Times New Roman"/>
          <w:sz w:val="24"/>
          <w:szCs w:val="24"/>
        </w:rPr>
        <w:t>Cosman</w:t>
      </w:r>
      <w:r w:rsidR="00752FDC" w:rsidRPr="00CA19EF">
        <w:rPr>
          <w:rFonts w:ascii="Times New Roman" w:hAnsi="Times New Roman" w:cs="Times New Roman"/>
          <w:sz w:val="24"/>
          <w:szCs w:val="24"/>
        </w:rPr>
        <w:t xml:space="preserve"> MD</w:t>
      </w:r>
      <w:r w:rsidR="001C7761" w:rsidRPr="00CA19EF">
        <w:rPr>
          <w:rFonts w:ascii="Times New Roman" w:hAnsi="Times New Roman" w:cs="Times New Roman"/>
          <w:sz w:val="24"/>
          <w:szCs w:val="24"/>
          <w:vertAlign w:val="superscript"/>
        </w:rPr>
        <w:t>5</w:t>
      </w:r>
    </w:p>
    <w:p w14:paraId="47350857" w14:textId="4C04CA30" w:rsidR="002D5DEE" w:rsidRPr="00CA19EF" w:rsidRDefault="00000038" w:rsidP="000B0612">
      <w:pPr>
        <w:spacing w:line="360" w:lineRule="auto"/>
        <w:rPr>
          <w:rFonts w:ascii="Times New Roman" w:hAnsi="Times New Roman" w:cs="Times New Roman"/>
          <w:sz w:val="24"/>
          <w:szCs w:val="24"/>
        </w:rPr>
      </w:pPr>
      <w:r w:rsidRPr="00CA19EF">
        <w:rPr>
          <w:rFonts w:ascii="Times New Roman" w:hAnsi="Times New Roman" w:cs="Times New Roman"/>
          <w:sz w:val="24"/>
          <w:szCs w:val="24"/>
          <w:vertAlign w:val="superscript"/>
        </w:rPr>
        <w:t>1</w:t>
      </w:r>
      <w:r w:rsidRPr="00CA19EF">
        <w:rPr>
          <w:rFonts w:ascii="Times New Roman" w:hAnsi="Times New Roman" w:cs="Times New Roman"/>
          <w:sz w:val="24"/>
          <w:szCs w:val="24"/>
        </w:rPr>
        <w:t>Oregon Osteoporosis Center, Portland</w:t>
      </w:r>
      <w:r w:rsidR="001C7761" w:rsidRPr="00CA19EF">
        <w:rPr>
          <w:rFonts w:ascii="Times New Roman" w:hAnsi="Times New Roman" w:cs="Times New Roman"/>
          <w:sz w:val="24"/>
          <w:szCs w:val="24"/>
        </w:rPr>
        <w:t xml:space="preserve">, </w:t>
      </w:r>
      <w:r w:rsidRPr="00CA19EF">
        <w:rPr>
          <w:rFonts w:ascii="Times New Roman" w:hAnsi="Times New Roman" w:cs="Times New Roman"/>
          <w:sz w:val="24"/>
          <w:szCs w:val="24"/>
        </w:rPr>
        <w:t>OR</w:t>
      </w:r>
      <w:r w:rsidR="001C7761" w:rsidRPr="00CA19EF">
        <w:rPr>
          <w:rFonts w:ascii="Times New Roman" w:hAnsi="Times New Roman" w:cs="Times New Roman"/>
          <w:sz w:val="24"/>
          <w:szCs w:val="24"/>
        </w:rPr>
        <w:t>, USA</w:t>
      </w:r>
      <w:r w:rsidRPr="00CA19EF">
        <w:rPr>
          <w:rFonts w:ascii="Times New Roman" w:hAnsi="Times New Roman" w:cs="Times New Roman"/>
          <w:sz w:val="24"/>
          <w:szCs w:val="24"/>
        </w:rPr>
        <w:t xml:space="preserve">; Institute of Health and Ageing, Australian Catholic University, Melbourne, Australia; </w:t>
      </w:r>
      <w:r w:rsidRPr="00CA19EF">
        <w:rPr>
          <w:rFonts w:ascii="Times New Roman" w:hAnsi="Times New Roman" w:cs="Times New Roman"/>
          <w:sz w:val="24"/>
          <w:szCs w:val="24"/>
          <w:vertAlign w:val="superscript"/>
        </w:rPr>
        <w:t>2</w:t>
      </w:r>
      <w:r w:rsidR="001C7761" w:rsidRPr="00CA19EF">
        <w:rPr>
          <w:rFonts w:ascii="Times New Roman" w:hAnsi="Times New Roman" w:cs="Times New Roman"/>
          <w:sz w:val="24"/>
          <w:szCs w:val="24"/>
        </w:rPr>
        <w:t>MRC Lifecourse Epidemiology Unit, University of Southampton, Southampton, UK</w:t>
      </w:r>
      <w:r w:rsidRPr="00CA19EF">
        <w:rPr>
          <w:rFonts w:ascii="Times New Roman" w:hAnsi="Times New Roman" w:cs="Times New Roman"/>
          <w:sz w:val="24"/>
          <w:szCs w:val="24"/>
        </w:rPr>
        <w:t xml:space="preserve">; </w:t>
      </w:r>
      <w:r w:rsidRPr="00CA19EF">
        <w:rPr>
          <w:rFonts w:ascii="Times New Roman" w:hAnsi="Times New Roman" w:cs="Times New Roman"/>
          <w:sz w:val="24"/>
          <w:szCs w:val="24"/>
          <w:vertAlign w:val="superscript"/>
        </w:rPr>
        <w:t>3</w:t>
      </w:r>
      <w:r w:rsidRPr="00CA19EF">
        <w:rPr>
          <w:rFonts w:ascii="Times New Roman" w:hAnsi="Times New Roman" w:cs="Times New Roman"/>
          <w:sz w:val="24"/>
          <w:szCs w:val="24"/>
        </w:rPr>
        <w:t>Radius Health, Inc., Waltham, MA</w:t>
      </w:r>
      <w:r w:rsidR="001C7761" w:rsidRPr="00CA19EF">
        <w:rPr>
          <w:rFonts w:ascii="Times New Roman" w:hAnsi="Times New Roman" w:cs="Times New Roman"/>
          <w:sz w:val="24"/>
          <w:szCs w:val="24"/>
        </w:rPr>
        <w:t>, USA</w:t>
      </w:r>
      <w:r w:rsidRPr="00CA19EF">
        <w:rPr>
          <w:rFonts w:ascii="Times New Roman" w:hAnsi="Times New Roman" w:cs="Times New Roman"/>
          <w:sz w:val="24"/>
          <w:szCs w:val="24"/>
        </w:rPr>
        <w:t xml:space="preserve">; </w:t>
      </w:r>
      <w:r w:rsidRPr="00CA19EF">
        <w:rPr>
          <w:rFonts w:ascii="Times New Roman" w:hAnsi="Times New Roman" w:cs="Times New Roman"/>
          <w:sz w:val="24"/>
          <w:szCs w:val="24"/>
          <w:vertAlign w:val="superscript"/>
        </w:rPr>
        <w:t>4</w:t>
      </w:r>
      <w:r w:rsidR="001C7761" w:rsidRPr="00CA19EF">
        <w:rPr>
          <w:rFonts w:ascii="Times New Roman" w:hAnsi="Times New Roman" w:cs="Times New Roman"/>
          <w:sz w:val="24"/>
          <w:szCs w:val="24"/>
        </w:rPr>
        <w:t>Color</w:t>
      </w:r>
      <w:r w:rsidR="00E315AB" w:rsidRPr="00CA19EF">
        <w:rPr>
          <w:rFonts w:ascii="Times New Roman" w:hAnsi="Times New Roman" w:cs="Times New Roman"/>
          <w:sz w:val="24"/>
          <w:szCs w:val="24"/>
        </w:rPr>
        <w:t>a</w:t>
      </w:r>
      <w:r w:rsidR="001C7761" w:rsidRPr="00CA19EF">
        <w:rPr>
          <w:rFonts w:ascii="Times New Roman" w:hAnsi="Times New Roman" w:cs="Times New Roman"/>
          <w:sz w:val="24"/>
          <w:szCs w:val="24"/>
        </w:rPr>
        <w:t>do Center for Bone Research, Lakewood, CO, USA</w:t>
      </w:r>
      <w:r w:rsidRPr="00CA19EF">
        <w:rPr>
          <w:rFonts w:ascii="Times New Roman" w:hAnsi="Times New Roman" w:cs="Times New Roman"/>
          <w:sz w:val="24"/>
          <w:szCs w:val="24"/>
        </w:rPr>
        <w:t xml:space="preserve">; </w:t>
      </w:r>
      <w:r w:rsidRPr="00CA19EF">
        <w:rPr>
          <w:rFonts w:ascii="Times New Roman" w:hAnsi="Times New Roman" w:cs="Times New Roman"/>
          <w:sz w:val="24"/>
          <w:szCs w:val="24"/>
          <w:vertAlign w:val="superscript"/>
        </w:rPr>
        <w:t>5</w:t>
      </w:r>
      <w:r w:rsidR="001C7761" w:rsidRPr="00CA19EF">
        <w:rPr>
          <w:rFonts w:ascii="Times New Roman" w:hAnsi="Times New Roman" w:cs="Times New Roman"/>
          <w:sz w:val="24"/>
          <w:szCs w:val="24"/>
        </w:rPr>
        <w:t>Helen Hayes Hospital, W Haverstraw, NY and Columbia University, New York, NY, USA</w:t>
      </w:r>
    </w:p>
    <w:p w14:paraId="6EC54328" w14:textId="77777777" w:rsidR="002D5DEE" w:rsidRPr="00CA19EF" w:rsidRDefault="002D5DEE" w:rsidP="000B0612">
      <w:pPr>
        <w:spacing w:line="360" w:lineRule="auto"/>
        <w:rPr>
          <w:rFonts w:ascii="Times New Roman" w:hAnsi="Times New Roman" w:cs="Times New Roman"/>
          <w:sz w:val="24"/>
          <w:szCs w:val="24"/>
        </w:rPr>
      </w:pPr>
    </w:p>
    <w:p w14:paraId="130147F2" w14:textId="5E972A08" w:rsidR="003C7287" w:rsidRPr="0081297F" w:rsidRDefault="00752FDC" w:rsidP="000B0612">
      <w:pPr>
        <w:spacing w:line="360" w:lineRule="auto"/>
        <w:rPr>
          <w:rFonts w:ascii="Times New Roman" w:hAnsi="Times New Roman" w:cs="Times New Roman"/>
          <w:sz w:val="24"/>
          <w:szCs w:val="24"/>
        </w:rPr>
      </w:pPr>
      <w:r w:rsidRPr="00CA19EF">
        <w:rPr>
          <w:rFonts w:ascii="Times New Roman" w:hAnsi="Times New Roman" w:cs="Times New Roman"/>
          <w:b/>
          <w:sz w:val="24"/>
          <w:szCs w:val="24"/>
        </w:rPr>
        <w:t xml:space="preserve">Financial support: </w:t>
      </w:r>
      <w:r w:rsidRPr="00CA19EF">
        <w:rPr>
          <w:rFonts w:ascii="Times New Roman" w:hAnsi="Times New Roman" w:cs="Times New Roman"/>
          <w:sz w:val="24"/>
          <w:szCs w:val="24"/>
        </w:rPr>
        <w:t>This work was supported by Radius Health, I</w:t>
      </w:r>
      <w:r w:rsidR="008A51C9" w:rsidRPr="00CA19EF">
        <w:rPr>
          <w:rFonts w:ascii="Times New Roman" w:hAnsi="Times New Roman" w:cs="Times New Roman"/>
          <w:sz w:val="24"/>
          <w:szCs w:val="24"/>
        </w:rPr>
        <w:t>n</w:t>
      </w:r>
      <w:r w:rsidRPr="00CA19EF">
        <w:rPr>
          <w:rFonts w:ascii="Times New Roman" w:hAnsi="Times New Roman" w:cs="Times New Roman"/>
          <w:sz w:val="24"/>
          <w:szCs w:val="24"/>
        </w:rPr>
        <w:t>c.</w:t>
      </w:r>
    </w:p>
    <w:p w14:paraId="02EB8993" w14:textId="22EA5666" w:rsidR="00752FDC" w:rsidRDefault="00A3132B" w:rsidP="000B0612">
      <w:pPr>
        <w:spacing w:line="360" w:lineRule="auto"/>
        <w:rPr>
          <w:rFonts w:ascii="Times New Roman" w:hAnsi="Times New Roman" w:cs="Times New Roman"/>
          <w:sz w:val="24"/>
          <w:szCs w:val="24"/>
        </w:rPr>
      </w:pPr>
      <w:r w:rsidRPr="00CA19EF">
        <w:rPr>
          <w:rFonts w:ascii="Times New Roman" w:hAnsi="Times New Roman" w:cs="Times New Roman"/>
          <w:b/>
          <w:sz w:val="24"/>
          <w:szCs w:val="24"/>
        </w:rPr>
        <w:t>Financial disclosures</w:t>
      </w:r>
      <w:r w:rsidR="00C66985" w:rsidRPr="00CA19EF">
        <w:rPr>
          <w:rFonts w:ascii="Times New Roman" w:hAnsi="Times New Roman" w:cs="Times New Roman"/>
          <w:b/>
          <w:sz w:val="24"/>
          <w:szCs w:val="24"/>
        </w:rPr>
        <w:t>/conflicts of interest</w:t>
      </w:r>
      <w:r w:rsidR="00752FDC" w:rsidRPr="00CA19EF">
        <w:rPr>
          <w:rFonts w:ascii="Times New Roman" w:hAnsi="Times New Roman" w:cs="Times New Roman"/>
          <w:sz w:val="24"/>
          <w:szCs w:val="24"/>
        </w:rPr>
        <w:t>:</w:t>
      </w:r>
    </w:p>
    <w:p w14:paraId="1032C806" w14:textId="22D96E2A" w:rsidR="002A2E5E" w:rsidRDefault="002A2E5E" w:rsidP="000B0612">
      <w:pPr>
        <w:spacing w:line="360" w:lineRule="auto"/>
        <w:rPr>
          <w:rFonts w:ascii="Times New Roman" w:hAnsi="Times New Roman"/>
        </w:rPr>
      </w:pPr>
      <w:r w:rsidRPr="00AA6FCF">
        <w:rPr>
          <w:rFonts w:ascii="Times New Roman" w:hAnsi="Times New Roman" w:cs="Times New Roman"/>
        </w:rPr>
        <w:t>MM</w:t>
      </w:r>
      <w:r w:rsidR="005C328F" w:rsidRPr="00AA6FCF">
        <w:rPr>
          <w:rFonts w:ascii="Times New Roman" w:hAnsi="Times New Roman" w:cs="Times New Roman"/>
        </w:rPr>
        <w:t>:</w:t>
      </w:r>
      <w:r w:rsidRPr="00AA6FCF">
        <w:rPr>
          <w:rFonts w:ascii="Times New Roman" w:hAnsi="Times New Roman" w:cs="Times New Roman"/>
        </w:rPr>
        <w:t xml:space="preserve"> Consultant/advisor</w:t>
      </w:r>
      <w:r w:rsidR="005C328F" w:rsidRPr="00AA6FCF">
        <w:rPr>
          <w:rFonts w:ascii="Times New Roman" w:hAnsi="Times New Roman" w:cs="Times New Roman"/>
        </w:rPr>
        <w:t xml:space="preserve"> for Amgen, Radius Health, Inc; NCH:</w:t>
      </w:r>
      <w:r w:rsidR="00AA6FCF" w:rsidRPr="00AA6FCF">
        <w:rPr>
          <w:rFonts w:ascii="Times New Roman" w:hAnsi="Times New Roman" w:cs="Times New Roman"/>
        </w:rPr>
        <w:t xml:space="preserve"> consultancy, lecture fees and honoraria from Alliance for Better Bone Health, AMGEN, MSD, Eli Lilly, Servier, Shire, Consilient Healthcare and Internis Pharma</w:t>
      </w:r>
      <w:r w:rsidR="005C328F" w:rsidRPr="00AA6FCF">
        <w:rPr>
          <w:rFonts w:ascii="Times New Roman" w:hAnsi="Times New Roman" w:cs="Times New Roman"/>
        </w:rPr>
        <w:t>; LAF, GH, YW: employees of Ra</w:t>
      </w:r>
      <w:r w:rsidR="005C328F" w:rsidRPr="00AA6FCF">
        <w:rPr>
          <w:rFonts w:ascii="Times New Roman" w:hAnsi="Times New Roman" w:cs="Times New Roman"/>
        </w:rPr>
        <w:lastRenderedPageBreak/>
        <w:t xml:space="preserve">dius Health, Inc. and own company stock; </w:t>
      </w:r>
      <w:r w:rsidR="005C328F" w:rsidRPr="00AA6FCF">
        <w:rPr>
          <w:rFonts w:ascii="Times New Roman" w:hAnsi="Times New Roman"/>
          <w:bCs/>
        </w:rPr>
        <w:t xml:space="preserve">PDM: </w:t>
      </w:r>
      <w:r w:rsidR="005C328F" w:rsidRPr="00AA6FCF">
        <w:rPr>
          <w:rFonts w:ascii="Times New Roman" w:hAnsi="Times New Roman"/>
        </w:rPr>
        <w:t>member of scientific advisory boards for AgNovos, Amgen, Eli Lilly, Merck, Radius Health, Roche, Ultragenyx; research grants from Alexion, Amgen, Boehringer-Ingelheim, Daiichi-Sankyo, Eli Lilly, Immunodiagnostics, Merck, Merck Serono, National Bone Health Alliance, Novartis, Radius Health, Regeneron, Roche Diagnostics, Ultragenyx; data safety committees for Allergan, Grunenthal Group</w:t>
      </w:r>
    </w:p>
    <w:p w14:paraId="61EEEB07" w14:textId="7897E349" w:rsidR="0087638F" w:rsidRPr="00AA6FCF" w:rsidRDefault="0087638F" w:rsidP="000B0612">
      <w:pPr>
        <w:spacing w:line="360" w:lineRule="auto"/>
        <w:rPr>
          <w:rFonts w:ascii="Times New Roman" w:hAnsi="Times New Roman" w:cs="Times New Roman"/>
        </w:rPr>
      </w:pPr>
      <w:r>
        <w:rPr>
          <w:rFonts w:ascii="Times New Roman" w:hAnsi="Times New Roman"/>
        </w:rPr>
        <w:t>FC: Consultant/advisor and Speaker for Amgen, Eli Lilly, Radius Health; Research Grant Recipient: Amgen, Eli Lilly; Consultant/Advisor: Tarsa</w:t>
      </w:r>
    </w:p>
    <w:p w14:paraId="5CCCFC40" w14:textId="77777777" w:rsidR="003C7287" w:rsidRDefault="003C7287" w:rsidP="000B0612">
      <w:pPr>
        <w:spacing w:line="360" w:lineRule="auto"/>
        <w:rPr>
          <w:rFonts w:ascii="Times New Roman" w:hAnsi="Times New Roman" w:cs="Times New Roman"/>
          <w:b/>
          <w:sz w:val="24"/>
          <w:szCs w:val="24"/>
        </w:rPr>
      </w:pPr>
    </w:p>
    <w:p w14:paraId="54B9A8C9" w14:textId="4763DAC8" w:rsidR="001C7761" w:rsidRPr="00CA19EF" w:rsidRDefault="00752FDC" w:rsidP="000B0612">
      <w:pPr>
        <w:spacing w:line="360" w:lineRule="auto"/>
        <w:rPr>
          <w:rFonts w:ascii="Times New Roman" w:hAnsi="Times New Roman" w:cs="Times New Roman"/>
          <w:b/>
          <w:sz w:val="24"/>
          <w:szCs w:val="24"/>
        </w:rPr>
      </w:pPr>
      <w:r w:rsidRPr="00CA19EF">
        <w:rPr>
          <w:rFonts w:ascii="Times New Roman" w:hAnsi="Times New Roman" w:cs="Times New Roman"/>
          <w:b/>
          <w:sz w:val="24"/>
          <w:szCs w:val="24"/>
        </w:rPr>
        <w:t>Address correspondence and reprint requests to:</w:t>
      </w:r>
    </w:p>
    <w:p w14:paraId="1A0F95FA" w14:textId="77777777" w:rsidR="00A3132B" w:rsidRPr="00CA19EF" w:rsidRDefault="00A3132B" w:rsidP="000B0612">
      <w:pPr>
        <w:spacing w:line="360" w:lineRule="auto"/>
        <w:rPr>
          <w:rFonts w:ascii="Times New Roman" w:hAnsi="Times New Roman" w:cs="Times New Roman"/>
          <w:sz w:val="24"/>
          <w:szCs w:val="24"/>
        </w:rPr>
      </w:pPr>
      <w:r w:rsidRPr="00CA19EF">
        <w:rPr>
          <w:rFonts w:ascii="Times New Roman" w:hAnsi="Times New Roman" w:cs="Times New Roman"/>
          <w:sz w:val="24"/>
          <w:szCs w:val="24"/>
        </w:rPr>
        <w:t>Gary Hattersley, PhD</w:t>
      </w:r>
    </w:p>
    <w:p w14:paraId="08077158" w14:textId="77777777" w:rsidR="00A3132B" w:rsidRPr="00CA19EF" w:rsidRDefault="00A3132B" w:rsidP="000B0612">
      <w:pPr>
        <w:spacing w:line="360" w:lineRule="auto"/>
        <w:rPr>
          <w:rFonts w:ascii="Times New Roman" w:hAnsi="Times New Roman" w:cs="Times New Roman"/>
          <w:sz w:val="24"/>
          <w:szCs w:val="24"/>
        </w:rPr>
      </w:pPr>
      <w:r w:rsidRPr="00CA19EF">
        <w:rPr>
          <w:rFonts w:ascii="Times New Roman" w:hAnsi="Times New Roman" w:cs="Times New Roman"/>
          <w:sz w:val="24"/>
          <w:szCs w:val="24"/>
        </w:rPr>
        <w:t>950 Winter Street</w:t>
      </w:r>
    </w:p>
    <w:p w14:paraId="718D0653" w14:textId="1520025D" w:rsidR="001C7761" w:rsidRPr="00CA19EF" w:rsidRDefault="00A3132B" w:rsidP="000B0612">
      <w:pPr>
        <w:spacing w:line="360" w:lineRule="auto"/>
        <w:rPr>
          <w:rFonts w:ascii="Times New Roman" w:hAnsi="Times New Roman" w:cs="Times New Roman"/>
          <w:sz w:val="24"/>
          <w:szCs w:val="24"/>
        </w:rPr>
      </w:pPr>
      <w:r w:rsidRPr="00CA19EF">
        <w:rPr>
          <w:rFonts w:ascii="Times New Roman" w:hAnsi="Times New Roman" w:cs="Times New Roman"/>
          <w:sz w:val="24"/>
          <w:szCs w:val="24"/>
        </w:rPr>
        <w:t>Waltham, MA 02451</w:t>
      </w:r>
    </w:p>
    <w:p w14:paraId="4A38A027" w14:textId="3BE88561" w:rsidR="001C7761" w:rsidRPr="00CA19EF" w:rsidRDefault="00A3132B" w:rsidP="000B0612">
      <w:pPr>
        <w:spacing w:line="360" w:lineRule="auto"/>
        <w:rPr>
          <w:rFonts w:ascii="Times New Roman" w:hAnsi="Times New Roman" w:cs="Times New Roman"/>
          <w:sz w:val="24"/>
          <w:szCs w:val="24"/>
        </w:rPr>
      </w:pPr>
      <w:r w:rsidRPr="00CA19EF">
        <w:rPr>
          <w:rFonts w:ascii="Times New Roman" w:hAnsi="Times New Roman" w:cs="Times New Roman"/>
          <w:sz w:val="24"/>
          <w:szCs w:val="24"/>
        </w:rPr>
        <w:t>Tel: 617-551-4026</w:t>
      </w:r>
    </w:p>
    <w:p w14:paraId="37773706" w14:textId="193327AF" w:rsidR="00D86C5F" w:rsidRPr="003C7287" w:rsidRDefault="00A3132B" w:rsidP="003C7287">
      <w:pPr>
        <w:spacing w:line="360" w:lineRule="auto"/>
        <w:rPr>
          <w:rFonts w:ascii="Times New Roman" w:hAnsi="Times New Roman" w:cs="Times New Roman"/>
          <w:sz w:val="24"/>
          <w:szCs w:val="24"/>
        </w:rPr>
      </w:pPr>
      <w:r w:rsidRPr="00CA19EF">
        <w:rPr>
          <w:rFonts w:ascii="Times New Roman" w:hAnsi="Times New Roman" w:cs="Times New Roman"/>
          <w:sz w:val="24"/>
          <w:szCs w:val="24"/>
        </w:rPr>
        <w:t xml:space="preserve">Email: </w:t>
      </w:r>
      <w:hyperlink r:id="rId7" w:history="1">
        <w:r w:rsidR="00402B04" w:rsidRPr="00CA19EF">
          <w:rPr>
            <w:rStyle w:val="Hyperlink"/>
            <w:sz w:val="24"/>
            <w:szCs w:val="24"/>
          </w:rPr>
          <w:t>ghattersley@radiuspharm.com</w:t>
        </w:r>
      </w:hyperlink>
    </w:p>
    <w:p w14:paraId="4E86EF3E" w14:textId="77777777" w:rsidR="000B0612" w:rsidRDefault="000B0612">
      <w:pPr>
        <w:rPr>
          <w:rFonts w:ascii="Times New Roman" w:hAnsi="Times New Roman" w:cs="Times New Roman"/>
          <w:b/>
          <w:sz w:val="24"/>
          <w:szCs w:val="24"/>
        </w:rPr>
      </w:pPr>
      <w:r>
        <w:rPr>
          <w:rFonts w:ascii="Times New Roman" w:hAnsi="Times New Roman" w:cs="Times New Roman"/>
          <w:b/>
          <w:sz w:val="24"/>
          <w:szCs w:val="24"/>
        </w:rPr>
        <w:br w:type="page"/>
      </w:r>
    </w:p>
    <w:p w14:paraId="0B6E5A4A" w14:textId="1BD82818" w:rsidR="0085602A" w:rsidRPr="00CA19EF" w:rsidRDefault="0085602A" w:rsidP="00851DC3">
      <w:pPr>
        <w:spacing w:line="480" w:lineRule="auto"/>
        <w:rPr>
          <w:rFonts w:ascii="Times New Roman" w:hAnsi="Times New Roman" w:cs="Times New Roman"/>
          <w:b/>
          <w:sz w:val="24"/>
          <w:szCs w:val="24"/>
        </w:rPr>
      </w:pPr>
      <w:r w:rsidRPr="00CA19EF">
        <w:rPr>
          <w:rFonts w:ascii="Times New Roman" w:hAnsi="Times New Roman" w:cs="Times New Roman"/>
          <w:b/>
          <w:sz w:val="24"/>
          <w:szCs w:val="24"/>
        </w:rPr>
        <w:lastRenderedPageBreak/>
        <w:t>Abstract</w:t>
      </w:r>
    </w:p>
    <w:p w14:paraId="11AF5429" w14:textId="7099A1CC" w:rsidR="0085602A" w:rsidRPr="00CA19EF" w:rsidRDefault="009B4A42" w:rsidP="00A3132B">
      <w:pPr>
        <w:spacing w:line="480" w:lineRule="auto"/>
        <w:rPr>
          <w:rFonts w:ascii="Times New Roman" w:hAnsi="Times New Roman" w:cs="Times New Roman"/>
          <w:sz w:val="24"/>
          <w:szCs w:val="24"/>
        </w:rPr>
      </w:pPr>
      <w:r w:rsidRPr="00CA19EF">
        <w:rPr>
          <w:rFonts w:ascii="Times New Roman" w:hAnsi="Times New Roman" w:cs="Times New Roman"/>
          <w:b/>
          <w:sz w:val="24"/>
          <w:szCs w:val="24"/>
        </w:rPr>
        <w:t>Objective:</w:t>
      </w:r>
      <w:r w:rsidRPr="00CA19EF">
        <w:rPr>
          <w:rFonts w:ascii="Times New Roman" w:hAnsi="Times New Roman" w:cs="Times New Roman"/>
          <w:sz w:val="24"/>
          <w:szCs w:val="24"/>
        </w:rPr>
        <w:t xml:space="preserve"> Advanced age is an important risk factor for fracture.</w:t>
      </w:r>
      <w:r w:rsidR="00B24861" w:rsidRPr="00CA19EF">
        <w:rPr>
          <w:rFonts w:ascii="Times New Roman" w:hAnsi="Times New Roman" w:cs="Times New Roman"/>
          <w:sz w:val="24"/>
          <w:szCs w:val="24"/>
        </w:rPr>
        <w:t xml:space="preserve"> </w:t>
      </w:r>
      <w:r w:rsidR="0085602A" w:rsidRPr="00CA19EF">
        <w:rPr>
          <w:rFonts w:ascii="Times New Roman" w:hAnsi="Times New Roman" w:cs="Times New Roman"/>
          <w:sz w:val="24"/>
          <w:szCs w:val="24"/>
        </w:rPr>
        <w:t>The ACTIVE (</w:t>
      </w:r>
      <w:r w:rsidR="00C31690" w:rsidRPr="00CA19EF">
        <w:rPr>
          <w:rFonts w:ascii="Times New Roman" w:hAnsi="Times New Roman" w:cs="Times New Roman"/>
          <w:sz w:val="24"/>
          <w:szCs w:val="24"/>
        </w:rPr>
        <w:t>Abaloparatide Comparator Trial I</w:t>
      </w:r>
      <w:r w:rsidR="0085602A" w:rsidRPr="00CA19EF">
        <w:rPr>
          <w:rFonts w:ascii="Times New Roman" w:hAnsi="Times New Roman" w:cs="Times New Roman"/>
          <w:sz w:val="24"/>
          <w:szCs w:val="24"/>
        </w:rPr>
        <w:t>n Vertebral Endpoints) trial showed that abaloparatide-SC increased bone mineral density and reduced the risk of vertebral and nonvertebral fractures in postmenopausal women with osteopo</w:t>
      </w:r>
      <w:r w:rsidR="007C5B09" w:rsidRPr="00CA19EF">
        <w:rPr>
          <w:rFonts w:ascii="Times New Roman" w:hAnsi="Times New Roman" w:cs="Times New Roman"/>
          <w:sz w:val="24"/>
          <w:szCs w:val="24"/>
        </w:rPr>
        <w:t>rosis</w:t>
      </w:r>
      <w:r w:rsidR="009A0539" w:rsidRPr="00CA19EF">
        <w:rPr>
          <w:rFonts w:ascii="Times New Roman" w:hAnsi="Times New Roman" w:cs="Times New Roman"/>
          <w:sz w:val="24"/>
          <w:szCs w:val="24"/>
        </w:rPr>
        <w:t>. This study describes</w:t>
      </w:r>
      <w:r w:rsidR="0085602A" w:rsidRPr="00CA19EF">
        <w:rPr>
          <w:rFonts w:ascii="Times New Roman" w:hAnsi="Times New Roman" w:cs="Times New Roman"/>
          <w:sz w:val="24"/>
          <w:szCs w:val="24"/>
        </w:rPr>
        <w:t xml:space="preserve"> the effects of abaloparatide-SC in the subgroup of patients aged 80 or more years in ACTIVE.</w:t>
      </w:r>
    </w:p>
    <w:p w14:paraId="3BC1E4EB" w14:textId="0FAB42F3" w:rsidR="0085602A" w:rsidRPr="00CA19EF" w:rsidRDefault="009B4A42" w:rsidP="00341E60">
      <w:pPr>
        <w:spacing w:line="480" w:lineRule="auto"/>
        <w:rPr>
          <w:rFonts w:ascii="Times New Roman" w:hAnsi="Times New Roman" w:cs="Times New Roman"/>
          <w:sz w:val="24"/>
          <w:szCs w:val="24"/>
        </w:rPr>
      </w:pPr>
      <w:r w:rsidRPr="00CA19EF">
        <w:rPr>
          <w:rFonts w:ascii="Times New Roman" w:hAnsi="Times New Roman" w:cs="Times New Roman"/>
          <w:b/>
          <w:sz w:val="24"/>
          <w:szCs w:val="24"/>
        </w:rPr>
        <w:t>Methods:</w:t>
      </w:r>
      <w:r w:rsidRPr="00CA19EF">
        <w:rPr>
          <w:rFonts w:ascii="Times New Roman" w:hAnsi="Times New Roman" w:cs="Times New Roman"/>
          <w:sz w:val="24"/>
          <w:szCs w:val="24"/>
        </w:rPr>
        <w:t xml:space="preserve"> </w:t>
      </w:r>
      <w:r w:rsidR="0085602A" w:rsidRPr="00CA19EF">
        <w:rPr>
          <w:rFonts w:ascii="Times New Roman" w:hAnsi="Times New Roman" w:cs="Times New Roman"/>
          <w:sz w:val="24"/>
          <w:szCs w:val="24"/>
        </w:rPr>
        <w:t>Post hoc analys</w:t>
      </w:r>
      <w:r w:rsidRPr="00CA19EF">
        <w:rPr>
          <w:rFonts w:ascii="Times New Roman" w:hAnsi="Times New Roman" w:cs="Times New Roman"/>
          <w:sz w:val="24"/>
          <w:szCs w:val="24"/>
        </w:rPr>
        <w:t>es of bone mineral density and fracture incidence in</w:t>
      </w:r>
      <w:r w:rsidR="0085602A" w:rsidRPr="00CA19EF">
        <w:rPr>
          <w:rFonts w:ascii="Times New Roman" w:hAnsi="Times New Roman" w:cs="Times New Roman"/>
          <w:sz w:val="24"/>
          <w:szCs w:val="24"/>
        </w:rPr>
        <w:t xml:space="preserve"> this subgroup </w:t>
      </w:r>
      <w:r w:rsidR="005C2058" w:rsidRPr="00CA19EF">
        <w:rPr>
          <w:rFonts w:ascii="Times New Roman" w:hAnsi="Times New Roman" w:cs="Times New Roman"/>
          <w:sz w:val="24"/>
          <w:szCs w:val="24"/>
        </w:rPr>
        <w:t xml:space="preserve">of patients who received abaloparatide-SC or placebo </w:t>
      </w:r>
      <w:r w:rsidR="0085602A" w:rsidRPr="00CA19EF">
        <w:rPr>
          <w:rFonts w:ascii="Times New Roman" w:hAnsi="Times New Roman" w:cs="Times New Roman"/>
          <w:sz w:val="24"/>
          <w:szCs w:val="24"/>
        </w:rPr>
        <w:t>in the 18-month, phase 3, double-blind, ran</w:t>
      </w:r>
      <w:r w:rsidR="005C2058" w:rsidRPr="00CA19EF">
        <w:rPr>
          <w:rFonts w:ascii="Times New Roman" w:hAnsi="Times New Roman" w:cs="Times New Roman"/>
          <w:sz w:val="24"/>
          <w:szCs w:val="24"/>
        </w:rPr>
        <w:t>domized controlled ACTIVE trial.</w:t>
      </w:r>
    </w:p>
    <w:p w14:paraId="1877E18B" w14:textId="42005B5D" w:rsidR="0085602A" w:rsidRPr="00CA19EF" w:rsidRDefault="009B4A42" w:rsidP="00341E60">
      <w:pPr>
        <w:spacing w:line="480" w:lineRule="auto"/>
        <w:rPr>
          <w:rFonts w:ascii="Times New Roman" w:hAnsi="Times New Roman" w:cs="Times New Roman"/>
          <w:sz w:val="24"/>
          <w:szCs w:val="24"/>
        </w:rPr>
      </w:pPr>
      <w:r w:rsidRPr="00CA19EF">
        <w:rPr>
          <w:rFonts w:ascii="Times New Roman" w:hAnsi="Times New Roman" w:cs="Times New Roman"/>
          <w:b/>
          <w:sz w:val="24"/>
          <w:szCs w:val="24"/>
        </w:rPr>
        <w:t xml:space="preserve">Results: </w:t>
      </w:r>
      <w:r w:rsidR="0085602A" w:rsidRPr="00CA19EF">
        <w:rPr>
          <w:rFonts w:ascii="Times New Roman" w:hAnsi="Times New Roman" w:cs="Times New Roman"/>
          <w:sz w:val="24"/>
          <w:szCs w:val="24"/>
        </w:rPr>
        <w:t xml:space="preserve">The mean ages of the </w:t>
      </w:r>
      <w:r w:rsidR="0091536A">
        <w:rPr>
          <w:rFonts w:ascii="Times New Roman" w:hAnsi="Times New Roman" w:cs="Times New Roman"/>
          <w:sz w:val="24"/>
          <w:szCs w:val="24"/>
        </w:rPr>
        <w:t>patient</w:t>
      </w:r>
      <w:r w:rsidR="0091536A" w:rsidRPr="00CA19EF">
        <w:rPr>
          <w:rFonts w:ascii="Times New Roman" w:hAnsi="Times New Roman" w:cs="Times New Roman"/>
          <w:sz w:val="24"/>
          <w:szCs w:val="24"/>
        </w:rPr>
        <w:t xml:space="preserve">s </w:t>
      </w:r>
      <w:r w:rsidR="0085602A" w:rsidRPr="00CA19EF">
        <w:rPr>
          <w:rFonts w:ascii="Times New Roman" w:hAnsi="Times New Roman" w:cs="Times New Roman"/>
          <w:sz w:val="24"/>
          <w:szCs w:val="24"/>
          <w:u w:val="single"/>
        </w:rPr>
        <w:t>&gt;</w:t>
      </w:r>
      <w:r w:rsidR="0085602A" w:rsidRPr="00CA19EF">
        <w:rPr>
          <w:rFonts w:ascii="Times New Roman" w:hAnsi="Times New Roman" w:cs="Times New Roman"/>
          <w:sz w:val="24"/>
          <w:szCs w:val="24"/>
        </w:rPr>
        <w:t xml:space="preserve">80 years were 81.9 and 81.7 years in the placebo (n=43) and </w:t>
      </w:r>
      <w:r w:rsidR="00364B6A" w:rsidRPr="00CA19EF">
        <w:rPr>
          <w:rFonts w:ascii="Times New Roman" w:hAnsi="Times New Roman" w:cs="Times New Roman"/>
          <w:sz w:val="24"/>
          <w:szCs w:val="24"/>
        </w:rPr>
        <w:t>abaloparatide-SC (n=51) groups, respectively. The increases in bone mineral density from baseline to 18 month</w:t>
      </w:r>
      <w:r w:rsidR="00DA4E0D" w:rsidRPr="00CA19EF">
        <w:rPr>
          <w:rFonts w:ascii="Times New Roman" w:hAnsi="Times New Roman" w:cs="Times New Roman"/>
          <w:sz w:val="24"/>
          <w:szCs w:val="24"/>
        </w:rPr>
        <w:t xml:space="preserve">s </w:t>
      </w:r>
      <w:r w:rsidR="00207715" w:rsidRPr="00CA19EF">
        <w:rPr>
          <w:rFonts w:ascii="Times New Roman" w:hAnsi="Times New Roman" w:cs="Times New Roman"/>
          <w:sz w:val="24"/>
          <w:szCs w:val="24"/>
        </w:rPr>
        <w:t xml:space="preserve">with abaloparatide-SC treatment </w:t>
      </w:r>
      <w:r w:rsidR="00DA4E0D" w:rsidRPr="00CA19EF">
        <w:rPr>
          <w:rFonts w:ascii="Times New Roman" w:hAnsi="Times New Roman" w:cs="Times New Roman"/>
          <w:sz w:val="24"/>
          <w:szCs w:val="24"/>
        </w:rPr>
        <w:t>were 3.</w:t>
      </w:r>
      <w:r w:rsidR="000A5F78">
        <w:rPr>
          <w:rFonts w:ascii="Times New Roman" w:hAnsi="Times New Roman" w:cs="Times New Roman"/>
          <w:sz w:val="24"/>
          <w:szCs w:val="24"/>
        </w:rPr>
        <w:t>9</w:t>
      </w:r>
      <w:r w:rsidR="00DA4E0D" w:rsidRPr="00CA19EF">
        <w:rPr>
          <w:rFonts w:ascii="Times New Roman" w:hAnsi="Times New Roman" w:cs="Times New Roman"/>
          <w:sz w:val="24"/>
          <w:szCs w:val="24"/>
        </w:rPr>
        <w:t xml:space="preserve">% at the total hip (P </w:t>
      </w:r>
      <w:r w:rsidR="00364B6A" w:rsidRPr="00CA19EF">
        <w:rPr>
          <w:rFonts w:ascii="Times New Roman" w:hAnsi="Times New Roman" w:cs="Times New Roman"/>
          <w:sz w:val="24"/>
          <w:szCs w:val="24"/>
        </w:rPr>
        <w:t>&lt;0.00</w:t>
      </w:r>
      <w:r w:rsidR="00DA4E0D" w:rsidRPr="00CA19EF">
        <w:rPr>
          <w:rFonts w:ascii="Times New Roman" w:hAnsi="Times New Roman" w:cs="Times New Roman"/>
          <w:sz w:val="24"/>
          <w:szCs w:val="24"/>
        </w:rPr>
        <w:t xml:space="preserve">1), 3.6% at the femoral neck (P </w:t>
      </w:r>
      <w:r w:rsidR="00364B6A" w:rsidRPr="00CA19EF">
        <w:rPr>
          <w:rFonts w:ascii="Times New Roman" w:hAnsi="Times New Roman" w:cs="Times New Roman"/>
          <w:sz w:val="24"/>
          <w:szCs w:val="24"/>
        </w:rPr>
        <w:t>&lt;0.01), a</w:t>
      </w:r>
      <w:r w:rsidR="00DA4E0D" w:rsidRPr="00CA19EF">
        <w:rPr>
          <w:rFonts w:ascii="Times New Roman" w:hAnsi="Times New Roman" w:cs="Times New Roman"/>
          <w:sz w:val="24"/>
          <w:szCs w:val="24"/>
        </w:rPr>
        <w:t xml:space="preserve">nd 12.1% at the lumbar spine (P </w:t>
      </w:r>
      <w:r w:rsidR="00DA5D2A" w:rsidRPr="00CA19EF">
        <w:rPr>
          <w:rFonts w:ascii="Times New Roman" w:hAnsi="Times New Roman" w:cs="Times New Roman"/>
          <w:sz w:val="24"/>
          <w:szCs w:val="24"/>
        </w:rPr>
        <w:lastRenderedPageBreak/>
        <w:t>&lt;0.00</w:t>
      </w:r>
      <w:r w:rsidR="00364B6A" w:rsidRPr="00CA19EF">
        <w:rPr>
          <w:rFonts w:ascii="Times New Roman" w:hAnsi="Times New Roman" w:cs="Times New Roman"/>
          <w:sz w:val="24"/>
          <w:szCs w:val="24"/>
        </w:rPr>
        <w:t xml:space="preserve">1), </w:t>
      </w:r>
      <w:r w:rsidR="00C84750" w:rsidRPr="00CA19EF">
        <w:rPr>
          <w:rFonts w:ascii="Times New Roman" w:hAnsi="Times New Roman" w:cs="Times New Roman"/>
          <w:sz w:val="24"/>
          <w:szCs w:val="24"/>
        </w:rPr>
        <w:t xml:space="preserve">and were </w:t>
      </w:r>
      <w:r w:rsidR="00364B6A" w:rsidRPr="00CA19EF">
        <w:rPr>
          <w:rFonts w:ascii="Times New Roman" w:hAnsi="Times New Roman" w:cs="Times New Roman"/>
          <w:sz w:val="24"/>
          <w:szCs w:val="24"/>
        </w:rPr>
        <w:t>similar to those observed in the overall population. Abaloparatide-SC therapy was associated with numerical</w:t>
      </w:r>
      <w:r w:rsidR="00601D58" w:rsidRPr="00CA19EF">
        <w:rPr>
          <w:rFonts w:ascii="Times New Roman" w:hAnsi="Times New Roman" w:cs="Times New Roman"/>
          <w:sz w:val="24"/>
          <w:szCs w:val="24"/>
        </w:rPr>
        <w:t>,</w:t>
      </w:r>
      <w:r w:rsidR="00364B6A" w:rsidRPr="00CA19EF">
        <w:rPr>
          <w:rFonts w:ascii="Times New Roman" w:hAnsi="Times New Roman" w:cs="Times New Roman"/>
          <w:sz w:val="24"/>
          <w:szCs w:val="24"/>
        </w:rPr>
        <w:t xml:space="preserve"> </w:t>
      </w:r>
      <w:r w:rsidR="000B01D4">
        <w:rPr>
          <w:rFonts w:ascii="Times New Roman" w:hAnsi="Times New Roman" w:cs="Times New Roman"/>
          <w:sz w:val="24"/>
          <w:szCs w:val="24"/>
        </w:rPr>
        <w:t xml:space="preserve">but </w:t>
      </w:r>
      <w:r w:rsidR="00341E60">
        <w:rPr>
          <w:rFonts w:ascii="Times New Roman" w:hAnsi="Times New Roman" w:cs="Times New Roman"/>
          <w:sz w:val="24"/>
          <w:szCs w:val="24"/>
        </w:rPr>
        <w:t>not</w:t>
      </w:r>
      <w:r w:rsidR="00341E60">
        <w:rPr>
          <w:rStyle w:val="CommentReference"/>
        </w:rPr>
        <w:t xml:space="preserve"> </w:t>
      </w:r>
      <w:r w:rsidR="00601D58" w:rsidRPr="00CA19EF">
        <w:rPr>
          <w:rFonts w:ascii="Times New Roman" w:hAnsi="Times New Roman" w:cs="Times New Roman"/>
          <w:sz w:val="24"/>
          <w:szCs w:val="24"/>
        </w:rPr>
        <w:t>statistically significant</w:t>
      </w:r>
      <w:r w:rsidR="00345C70">
        <w:rPr>
          <w:rFonts w:ascii="Times New Roman" w:hAnsi="Times New Roman" w:cs="Times New Roman"/>
          <w:sz w:val="24"/>
          <w:szCs w:val="24"/>
        </w:rPr>
        <w:t>,</w:t>
      </w:r>
      <w:r w:rsidR="00601D58" w:rsidRPr="00CA19EF">
        <w:rPr>
          <w:rFonts w:ascii="Times New Roman" w:hAnsi="Times New Roman" w:cs="Times New Roman"/>
          <w:sz w:val="24"/>
          <w:szCs w:val="24"/>
        </w:rPr>
        <w:t xml:space="preserve"> </w:t>
      </w:r>
      <w:r w:rsidR="00364B6A" w:rsidRPr="00CA19EF">
        <w:rPr>
          <w:rFonts w:ascii="Times New Roman" w:hAnsi="Times New Roman" w:cs="Times New Roman"/>
          <w:sz w:val="24"/>
          <w:szCs w:val="24"/>
        </w:rPr>
        <w:t>reductions in the risk of vertebral and nonvertebral fractures</w:t>
      </w:r>
      <w:r w:rsidR="00EB2583" w:rsidRPr="00CA19EF">
        <w:rPr>
          <w:rFonts w:ascii="Times New Roman" w:hAnsi="Times New Roman" w:cs="Times New Roman"/>
          <w:sz w:val="24"/>
          <w:szCs w:val="24"/>
        </w:rPr>
        <w:t xml:space="preserve"> in this subpopulation</w:t>
      </w:r>
      <w:r w:rsidR="00345C70">
        <w:rPr>
          <w:rFonts w:ascii="Times New Roman" w:hAnsi="Times New Roman" w:cs="Times New Roman"/>
          <w:sz w:val="24"/>
          <w:szCs w:val="24"/>
        </w:rPr>
        <w:t xml:space="preserve">, </w:t>
      </w:r>
      <w:r w:rsidR="00345C70" w:rsidRPr="00CA19EF">
        <w:rPr>
          <w:rFonts w:ascii="Times New Roman" w:hAnsi="Times New Roman" w:cs="Times New Roman"/>
          <w:sz w:val="24"/>
          <w:szCs w:val="24"/>
        </w:rPr>
        <w:t>compared to placebo</w:t>
      </w:r>
      <w:r w:rsidR="00364B6A" w:rsidRPr="00CA19EF">
        <w:rPr>
          <w:rFonts w:ascii="Times New Roman" w:hAnsi="Times New Roman" w:cs="Times New Roman"/>
          <w:sz w:val="24"/>
          <w:szCs w:val="24"/>
        </w:rPr>
        <w:t>. The proportion of patients reporting adverse events was similar between treatment groups and between the older subgroup and the overall population.</w:t>
      </w:r>
    </w:p>
    <w:p w14:paraId="5560C885" w14:textId="0FC2A401" w:rsidR="00752FDC" w:rsidRPr="00CA19EF" w:rsidRDefault="00364B6A" w:rsidP="00A3132B">
      <w:pPr>
        <w:spacing w:line="480" w:lineRule="auto"/>
        <w:rPr>
          <w:rFonts w:ascii="Times New Roman" w:hAnsi="Times New Roman" w:cs="Times New Roman"/>
          <w:sz w:val="24"/>
          <w:szCs w:val="24"/>
        </w:rPr>
      </w:pPr>
      <w:r w:rsidRPr="00CA19EF">
        <w:rPr>
          <w:rFonts w:ascii="Times New Roman" w:hAnsi="Times New Roman" w:cs="Times New Roman"/>
          <w:b/>
          <w:sz w:val="24"/>
          <w:szCs w:val="24"/>
        </w:rPr>
        <w:t>Conclusio</w:t>
      </w:r>
      <w:r w:rsidR="00751825" w:rsidRPr="00CA19EF">
        <w:rPr>
          <w:rFonts w:ascii="Times New Roman" w:hAnsi="Times New Roman" w:cs="Times New Roman"/>
          <w:b/>
          <w:sz w:val="24"/>
          <w:szCs w:val="24"/>
        </w:rPr>
        <w:t>n:</w:t>
      </w:r>
      <w:r w:rsidR="009B4A42" w:rsidRPr="00CA19EF">
        <w:rPr>
          <w:rFonts w:ascii="Times New Roman" w:hAnsi="Times New Roman" w:cs="Times New Roman"/>
          <w:sz w:val="24"/>
          <w:szCs w:val="24"/>
        </w:rPr>
        <w:t xml:space="preserve"> </w:t>
      </w:r>
      <w:r w:rsidRPr="00CA19EF">
        <w:rPr>
          <w:rFonts w:ascii="Times New Roman" w:hAnsi="Times New Roman" w:cs="Times New Roman"/>
          <w:sz w:val="24"/>
          <w:szCs w:val="24"/>
        </w:rPr>
        <w:t xml:space="preserve">Abaloparatide-SC </w:t>
      </w:r>
      <w:r w:rsidR="0091536A">
        <w:rPr>
          <w:rFonts w:ascii="Times New Roman" w:hAnsi="Times New Roman" w:cs="Times New Roman"/>
          <w:sz w:val="24"/>
          <w:szCs w:val="24"/>
        </w:rPr>
        <w:t>wa</w:t>
      </w:r>
      <w:r w:rsidR="0091536A" w:rsidRPr="00CA19EF">
        <w:rPr>
          <w:rFonts w:ascii="Times New Roman" w:hAnsi="Times New Roman" w:cs="Times New Roman"/>
          <w:sz w:val="24"/>
          <w:szCs w:val="24"/>
        </w:rPr>
        <w:t xml:space="preserve">s </w:t>
      </w:r>
      <w:r w:rsidRPr="00CA19EF">
        <w:rPr>
          <w:rFonts w:ascii="Times New Roman" w:hAnsi="Times New Roman" w:cs="Times New Roman"/>
          <w:sz w:val="24"/>
          <w:szCs w:val="24"/>
        </w:rPr>
        <w:t xml:space="preserve">effective </w:t>
      </w:r>
      <w:r w:rsidR="007F73D6">
        <w:rPr>
          <w:rFonts w:ascii="Times New Roman" w:hAnsi="Times New Roman" w:cs="Times New Roman"/>
          <w:sz w:val="24"/>
          <w:szCs w:val="24"/>
        </w:rPr>
        <w:t xml:space="preserve">in increasing </w:t>
      </w:r>
      <w:r w:rsidR="0024762E">
        <w:rPr>
          <w:rFonts w:ascii="Times New Roman" w:hAnsi="Times New Roman" w:cs="Times New Roman"/>
          <w:sz w:val="24"/>
          <w:szCs w:val="24"/>
        </w:rPr>
        <w:t>bone mineral density</w:t>
      </w:r>
      <w:r w:rsidR="007F73D6">
        <w:rPr>
          <w:rFonts w:ascii="Times New Roman" w:hAnsi="Times New Roman" w:cs="Times New Roman"/>
          <w:sz w:val="24"/>
          <w:szCs w:val="24"/>
        </w:rPr>
        <w:t xml:space="preserve"> </w:t>
      </w:r>
      <w:r w:rsidRPr="00CA19EF">
        <w:rPr>
          <w:rFonts w:ascii="Times New Roman" w:hAnsi="Times New Roman" w:cs="Times New Roman"/>
          <w:sz w:val="24"/>
          <w:szCs w:val="24"/>
        </w:rPr>
        <w:t>in the very elderly</w:t>
      </w:r>
      <w:r w:rsidR="0091536A">
        <w:rPr>
          <w:rFonts w:ascii="Times New Roman" w:hAnsi="Times New Roman" w:cs="Times New Roman"/>
          <w:sz w:val="24"/>
          <w:szCs w:val="24"/>
        </w:rPr>
        <w:t xml:space="preserve"> subgroup of ACTIVE, with a safety profile similar to that of the overall study population</w:t>
      </w:r>
      <w:r w:rsidRPr="00CA19EF">
        <w:rPr>
          <w:rFonts w:ascii="Times New Roman" w:hAnsi="Times New Roman" w:cs="Times New Roman"/>
          <w:sz w:val="24"/>
          <w:szCs w:val="24"/>
        </w:rPr>
        <w:t>.</w:t>
      </w:r>
    </w:p>
    <w:p w14:paraId="2E7AC0DA" w14:textId="77777777" w:rsidR="00795AE1" w:rsidRPr="00CA19EF" w:rsidRDefault="00795AE1" w:rsidP="00A3132B">
      <w:pPr>
        <w:spacing w:line="480" w:lineRule="auto"/>
        <w:rPr>
          <w:rFonts w:ascii="Times New Roman" w:hAnsi="Times New Roman" w:cs="Times New Roman"/>
          <w:sz w:val="24"/>
          <w:szCs w:val="24"/>
        </w:rPr>
      </w:pPr>
    </w:p>
    <w:p w14:paraId="76589CBC" w14:textId="0C5F8F24" w:rsidR="00EE486C" w:rsidRPr="00CA19EF" w:rsidRDefault="00752FDC" w:rsidP="00A3132B">
      <w:pPr>
        <w:spacing w:line="480" w:lineRule="auto"/>
        <w:rPr>
          <w:rFonts w:ascii="Times New Roman" w:hAnsi="Times New Roman" w:cs="Times New Roman"/>
          <w:b/>
          <w:sz w:val="24"/>
          <w:szCs w:val="24"/>
        </w:rPr>
        <w:sectPr w:rsidR="00EE486C" w:rsidRPr="00CA19EF" w:rsidSect="00670B6D">
          <w:footerReference w:type="default" r:id="rId8"/>
          <w:pgSz w:w="12240" w:h="15840"/>
          <w:pgMar w:top="1440" w:right="1440" w:bottom="1440" w:left="1440" w:header="720" w:footer="720" w:gutter="0"/>
          <w:cols w:space="720"/>
          <w:docGrid w:linePitch="360"/>
        </w:sectPr>
      </w:pPr>
      <w:r w:rsidRPr="00CA19EF">
        <w:rPr>
          <w:rFonts w:ascii="Times New Roman" w:hAnsi="Times New Roman" w:cs="Times New Roman"/>
          <w:b/>
          <w:sz w:val="24"/>
          <w:szCs w:val="24"/>
        </w:rPr>
        <w:t>Key words:</w:t>
      </w:r>
      <w:r w:rsidRPr="00CA19EF">
        <w:rPr>
          <w:rFonts w:ascii="Times New Roman" w:hAnsi="Times New Roman" w:cs="Times New Roman"/>
          <w:sz w:val="24"/>
          <w:szCs w:val="24"/>
        </w:rPr>
        <w:t xml:space="preserve"> abaloparatide; bone mineral density</w:t>
      </w:r>
      <w:r w:rsidR="00EB7A1C">
        <w:rPr>
          <w:rFonts w:ascii="Times New Roman" w:hAnsi="Times New Roman" w:cs="Times New Roman"/>
          <w:sz w:val="24"/>
          <w:szCs w:val="24"/>
        </w:rPr>
        <w:t>;</w:t>
      </w:r>
      <w:r w:rsidRPr="00CA19EF">
        <w:rPr>
          <w:rFonts w:ascii="Times New Roman" w:hAnsi="Times New Roman" w:cs="Times New Roman"/>
          <w:sz w:val="24"/>
          <w:szCs w:val="24"/>
        </w:rPr>
        <w:t xml:space="preserve"> elderly</w:t>
      </w:r>
      <w:r w:rsidR="00EB7A1C">
        <w:rPr>
          <w:rFonts w:ascii="Times New Roman" w:hAnsi="Times New Roman" w:cs="Times New Roman"/>
          <w:sz w:val="24"/>
          <w:szCs w:val="24"/>
        </w:rPr>
        <w:t>;</w:t>
      </w:r>
      <w:r w:rsidRPr="00CA19EF">
        <w:rPr>
          <w:rFonts w:ascii="Times New Roman" w:hAnsi="Times New Roman" w:cs="Times New Roman"/>
          <w:sz w:val="24"/>
          <w:szCs w:val="24"/>
        </w:rPr>
        <w:t xml:space="preserve"> fracture risk</w:t>
      </w:r>
      <w:r w:rsidR="00EB7A1C">
        <w:rPr>
          <w:rFonts w:ascii="Times New Roman" w:hAnsi="Times New Roman" w:cs="Times New Roman"/>
          <w:sz w:val="24"/>
          <w:szCs w:val="24"/>
        </w:rPr>
        <w:t>;</w:t>
      </w:r>
      <w:r w:rsidRPr="00CA19EF">
        <w:rPr>
          <w:rFonts w:ascii="Times New Roman" w:hAnsi="Times New Roman" w:cs="Times New Roman"/>
          <w:sz w:val="24"/>
          <w:szCs w:val="24"/>
        </w:rPr>
        <w:t xml:space="preserve"> osteoporosis</w:t>
      </w:r>
      <w:r w:rsidR="00EB7A1C">
        <w:rPr>
          <w:rFonts w:ascii="Times New Roman" w:hAnsi="Times New Roman" w:cs="Times New Roman"/>
          <w:sz w:val="24"/>
          <w:szCs w:val="24"/>
        </w:rPr>
        <w:t>;</w:t>
      </w:r>
      <w:r w:rsidR="00BC5741" w:rsidRPr="00CA19EF">
        <w:rPr>
          <w:rFonts w:ascii="Times New Roman" w:hAnsi="Times New Roman" w:cs="Times New Roman"/>
          <w:sz w:val="24"/>
          <w:szCs w:val="24"/>
        </w:rPr>
        <w:t xml:space="preserve"> postmenopausal </w:t>
      </w:r>
      <w:r w:rsidR="00690EB8" w:rsidRPr="00690EB8">
        <w:rPr>
          <w:rFonts w:ascii="Times New Roman" w:hAnsi="Times New Roman" w:cs="Times New Roman"/>
          <w:sz w:val="24"/>
          <w:szCs w:val="24"/>
        </w:rPr>
        <w:t>women</w:t>
      </w:r>
    </w:p>
    <w:p w14:paraId="6425FCA3" w14:textId="2D38C7E0" w:rsidR="0085602A" w:rsidRPr="00CA19EF" w:rsidRDefault="0085602A" w:rsidP="00A3132B">
      <w:pPr>
        <w:spacing w:line="480" w:lineRule="auto"/>
        <w:rPr>
          <w:rFonts w:ascii="Times New Roman" w:hAnsi="Times New Roman" w:cs="Times New Roman"/>
          <w:b/>
          <w:sz w:val="24"/>
          <w:szCs w:val="24"/>
        </w:rPr>
      </w:pPr>
      <w:r w:rsidRPr="00CA19EF">
        <w:rPr>
          <w:rFonts w:ascii="Times New Roman" w:hAnsi="Times New Roman" w:cs="Times New Roman"/>
          <w:b/>
          <w:sz w:val="24"/>
          <w:szCs w:val="24"/>
        </w:rPr>
        <w:lastRenderedPageBreak/>
        <w:t>Introduction</w:t>
      </w:r>
    </w:p>
    <w:p w14:paraId="2059D9F3" w14:textId="3EEC19DC" w:rsidR="00435BE2" w:rsidRPr="00CA19EF" w:rsidRDefault="00435BE2" w:rsidP="00FB425E">
      <w:pPr>
        <w:spacing w:line="480" w:lineRule="auto"/>
        <w:rPr>
          <w:rFonts w:ascii="Times New Roman" w:hAnsi="Times New Roman" w:cs="Times New Roman"/>
          <w:sz w:val="24"/>
          <w:szCs w:val="24"/>
        </w:rPr>
      </w:pPr>
      <w:r w:rsidRPr="00CA19EF">
        <w:rPr>
          <w:rFonts w:ascii="Times New Roman" w:hAnsi="Times New Roman" w:cs="Times New Roman"/>
          <w:sz w:val="24"/>
          <w:szCs w:val="24"/>
        </w:rPr>
        <w:t>Osteoporosis is a disorder in which progressive bone loss damages skeletal architecture and impairs bone strength, resulting in increasing risk of fragility fracture</w:t>
      </w:r>
      <w:r w:rsidR="00254668" w:rsidRPr="00CA19EF">
        <w:rPr>
          <w:rFonts w:ascii="Times New Roman" w:hAnsi="Times New Roman" w:cs="Times New Roman"/>
          <w:sz w:val="24"/>
          <w:szCs w:val="24"/>
        </w:rPr>
        <w:t>.</w:t>
      </w:r>
      <w:r w:rsidR="007225D1" w:rsidRPr="00CA19EF">
        <w:rPr>
          <w:rFonts w:ascii="Times New Roman" w:hAnsi="Times New Roman" w:cs="Times New Roman"/>
          <w:sz w:val="24"/>
          <w:szCs w:val="24"/>
          <w:vertAlign w:val="superscript"/>
        </w:rPr>
        <w:t>1</w:t>
      </w:r>
      <w:r w:rsidRPr="00CA19EF">
        <w:rPr>
          <w:rFonts w:ascii="Times New Roman" w:hAnsi="Times New Roman" w:cs="Times New Roman"/>
          <w:sz w:val="24"/>
          <w:szCs w:val="24"/>
        </w:rPr>
        <w:t xml:space="preserve"> The prevalence of osteoporosis and the risk of fracture increase pr</w:t>
      </w:r>
      <w:r w:rsidR="00FF226C" w:rsidRPr="00CA19EF">
        <w:rPr>
          <w:rFonts w:ascii="Times New Roman" w:hAnsi="Times New Roman" w:cs="Times New Roman"/>
          <w:sz w:val="24"/>
          <w:szCs w:val="24"/>
        </w:rPr>
        <w:t xml:space="preserve">ogressively with advancing age, </w:t>
      </w:r>
      <w:r w:rsidRPr="00CA19EF">
        <w:rPr>
          <w:rFonts w:ascii="Times New Roman" w:hAnsi="Times New Roman" w:cs="Times New Roman"/>
          <w:sz w:val="24"/>
          <w:szCs w:val="24"/>
        </w:rPr>
        <w:t xml:space="preserve">and the clinical consequences of </w:t>
      </w:r>
      <w:r w:rsidR="00FF226C" w:rsidRPr="00CA19EF">
        <w:rPr>
          <w:rFonts w:ascii="Times New Roman" w:hAnsi="Times New Roman" w:cs="Times New Roman"/>
          <w:sz w:val="24"/>
          <w:szCs w:val="24"/>
        </w:rPr>
        <w:t>vertebral and hip</w:t>
      </w:r>
      <w:r w:rsidRPr="00CA19EF">
        <w:rPr>
          <w:rFonts w:ascii="Times New Roman" w:hAnsi="Times New Roman" w:cs="Times New Roman"/>
          <w:sz w:val="24"/>
          <w:szCs w:val="24"/>
        </w:rPr>
        <w:t xml:space="preserve"> fractures are greater among older compared to younger patients</w:t>
      </w:r>
      <w:r w:rsidR="007225D1" w:rsidRPr="00CA19EF">
        <w:rPr>
          <w:rFonts w:ascii="Times New Roman" w:hAnsi="Times New Roman" w:cs="Times New Roman"/>
          <w:sz w:val="24"/>
          <w:szCs w:val="24"/>
        </w:rPr>
        <w:t>.</w:t>
      </w:r>
      <w:r w:rsidR="007225D1" w:rsidRPr="00CA19EF">
        <w:rPr>
          <w:rFonts w:ascii="Times New Roman" w:hAnsi="Times New Roman" w:cs="Times New Roman"/>
          <w:sz w:val="24"/>
          <w:szCs w:val="24"/>
          <w:vertAlign w:val="superscript"/>
        </w:rPr>
        <w:t xml:space="preserve">2-4 </w:t>
      </w:r>
      <w:r w:rsidR="00601D58" w:rsidRPr="00CA19EF">
        <w:rPr>
          <w:rFonts w:ascii="Times New Roman" w:hAnsi="Times New Roman" w:cs="Times New Roman"/>
          <w:sz w:val="24"/>
          <w:szCs w:val="24"/>
        </w:rPr>
        <w:t>A m</w:t>
      </w:r>
      <w:r w:rsidRPr="00CA19EF">
        <w:rPr>
          <w:rFonts w:ascii="Times New Roman" w:hAnsi="Times New Roman" w:cs="Times New Roman"/>
          <w:sz w:val="24"/>
          <w:szCs w:val="24"/>
        </w:rPr>
        <w:t xml:space="preserve">yriad </w:t>
      </w:r>
      <w:r w:rsidR="00601D58" w:rsidRPr="00CA19EF">
        <w:rPr>
          <w:rFonts w:ascii="Times New Roman" w:hAnsi="Times New Roman" w:cs="Times New Roman"/>
          <w:sz w:val="24"/>
          <w:szCs w:val="24"/>
        </w:rPr>
        <w:t xml:space="preserve">of </w:t>
      </w:r>
      <w:r w:rsidR="006F6DB2">
        <w:rPr>
          <w:rFonts w:ascii="Times New Roman" w:hAnsi="Times New Roman" w:cs="Times New Roman"/>
          <w:sz w:val="24"/>
          <w:szCs w:val="24"/>
        </w:rPr>
        <w:t xml:space="preserve">skeletal and non-skeletal </w:t>
      </w:r>
      <w:r w:rsidRPr="00CA19EF">
        <w:rPr>
          <w:rFonts w:ascii="Times New Roman" w:hAnsi="Times New Roman" w:cs="Times New Roman"/>
          <w:sz w:val="24"/>
          <w:szCs w:val="24"/>
        </w:rPr>
        <w:t>risk factors for fracture</w:t>
      </w:r>
      <w:r w:rsidR="006F6DB2">
        <w:rPr>
          <w:rFonts w:ascii="Times New Roman" w:hAnsi="Times New Roman" w:cs="Times New Roman"/>
          <w:sz w:val="24"/>
          <w:szCs w:val="24"/>
        </w:rPr>
        <w:t xml:space="preserve"> </w:t>
      </w:r>
      <w:r w:rsidRPr="00CA19EF">
        <w:rPr>
          <w:rFonts w:ascii="Times New Roman" w:hAnsi="Times New Roman" w:cs="Times New Roman"/>
          <w:sz w:val="24"/>
          <w:szCs w:val="24"/>
        </w:rPr>
        <w:t>occur among elderly patients. It is important to know whether drugs used to reduce fracture risk in patients with osteoporosis are effective in elderly patients</w:t>
      </w:r>
      <w:r w:rsidR="00797779" w:rsidRPr="00CA19EF">
        <w:rPr>
          <w:rFonts w:ascii="Times New Roman" w:hAnsi="Times New Roman" w:cs="Times New Roman"/>
          <w:sz w:val="24"/>
          <w:szCs w:val="24"/>
        </w:rPr>
        <w:t>, particularly given our aging society.</w:t>
      </w:r>
    </w:p>
    <w:p w14:paraId="62E10981" w14:textId="77777777" w:rsidR="002D780F" w:rsidRPr="00CA19EF" w:rsidRDefault="002D780F" w:rsidP="00FB425E">
      <w:pPr>
        <w:spacing w:line="480" w:lineRule="auto"/>
        <w:rPr>
          <w:rFonts w:ascii="Times New Roman" w:hAnsi="Times New Roman" w:cs="Times New Roman"/>
          <w:sz w:val="24"/>
          <w:szCs w:val="24"/>
        </w:rPr>
      </w:pPr>
    </w:p>
    <w:p w14:paraId="6BECA6CE" w14:textId="7930CF5E" w:rsidR="00D6390C" w:rsidRPr="00CA19EF" w:rsidRDefault="00796131" w:rsidP="00FB425E">
      <w:pPr>
        <w:spacing w:line="480" w:lineRule="auto"/>
        <w:rPr>
          <w:rFonts w:ascii="Times New Roman" w:hAnsi="Times New Roman" w:cs="Times New Roman"/>
          <w:sz w:val="24"/>
          <w:szCs w:val="24"/>
        </w:rPr>
      </w:pPr>
      <w:r w:rsidRPr="00CA19EF">
        <w:rPr>
          <w:rFonts w:ascii="Times New Roman" w:hAnsi="Times New Roman" w:cs="Times New Roman"/>
          <w:sz w:val="24"/>
          <w:szCs w:val="24"/>
        </w:rPr>
        <w:t xml:space="preserve">Abaloparatide is a 34-amino acid peptide that selectively binds to the parathyroid hormone receptor type 1 </w:t>
      </w:r>
      <w:r w:rsidR="00B76DDF" w:rsidRPr="00CA19EF">
        <w:rPr>
          <w:rFonts w:ascii="Times New Roman" w:hAnsi="Times New Roman" w:cs="Times New Roman"/>
          <w:sz w:val="24"/>
          <w:szCs w:val="24"/>
        </w:rPr>
        <w:t xml:space="preserve">with higher </w:t>
      </w:r>
      <w:r w:rsidR="00DB4667" w:rsidRPr="00CA19EF">
        <w:rPr>
          <w:rFonts w:ascii="Times New Roman" w:hAnsi="Times New Roman" w:cs="Times New Roman"/>
          <w:sz w:val="24"/>
          <w:szCs w:val="24"/>
        </w:rPr>
        <w:t xml:space="preserve">selectivity </w:t>
      </w:r>
      <w:r w:rsidR="00827460" w:rsidRPr="00CA19EF">
        <w:rPr>
          <w:rFonts w:ascii="Times New Roman" w:hAnsi="Times New Roman" w:cs="Times New Roman"/>
          <w:sz w:val="24"/>
          <w:szCs w:val="24"/>
        </w:rPr>
        <w:t>for the RG versus R</w:t>
      </w:r>
      <w:r w:rsidR="00827460" w:rsidRPr="00CA19EF">
        <w:rPr>
          <w:rFonts w:ascii="Times New Roman" w:hAnsi="Times New Roman" w:cs="Times New Roman"/>
          <w:sz w:val="24"/>
          <w:szCs w:val="24"/>
          <w:vertAlign w:val="superscript"/>
        </w:rPr>
        <w:t>0</w:t>
      </w:r>
      <w:r w:rsidR="00827460" w:rsidRPr="00CA19EF">
        <w:rPr>
          <w:rFonts w:ascii="Times New Roman" w:hAnsi="Times New Roman" w:cs="Times New Roman"/>
          <w:sz w:val="24"/>
          <w:szCs w:val="24"/>
        </w:rPr>
        <w:t xml:space="preserve"> </w:t>
      </w:r>
      <w:r w:rsidR="00CE4145">
        <w:rPr>
          <w:rFonts w:ascii="Times New Roman" w:hAnsi="Times New Roman" w:cs="Times New Roman"/>
          <w:sz w:val="24"/>
          <w:szCs w:val="24"/>
        </w:rPr>
        <w:t>conformation</w:t>
      </w:r>
      <w:r w:rsidR="00264A20">
        <w:rPr>
          <w:rFonts w:ascii="Times New Roman" w:hAnsi="Times New Roman" w:cs="Times New Roman"/>
          <w:sz w:val="24"/>
          <w:szCs w:val="24"/>
        </w:rPr>
        <w:t xml:space="preserve"> resulting in transient receptor signaling with a net anabolic effect</w:t>
      </w:r>
      <w:r w:rsidR="00721C45" w:rsidRPr="00CA19EF">
        <w:rPr>
          <w:rFonts w:ascii="Times New Roman" w:hAnsi="Times New Roman" w:cs="Times New Roman"/>
          <w:sz w:val="24"/>
          <w:szCs w:val="24"/>
        </w:rPr>
        <w:t>.</w:t>
      </w:r>
      <w:r w:rsidR="00B55710" w:rsidRPr="00CA19EF">
        <w:rPr>
          <w:rFonts w:ascii="Times New Roman" w:hAnsi="Times New Roman" w:cs="Times New Roman"/>
          <w:sz w:val="24"/>
          <w:szCs w:val="24"/>
          <w:vertAlign w:val="superscript"/>
        </w:rPr>
        <w:t>5</w:t>
      </w:r>
      <w:r w:rsidRPr="00CA19EF">
        <w:rPr>
          <w:rFonts w:ascii="Times New Roman" w:hAnsi="Times New Roman" w:cs="Times New Roman"/>
          <w:sz w:val="24"/>
          <w:szCs w:val="24"/>
        </w:rPr>
        <w:t xml:space="preserve"> In the multinational phase 3 Abaloparatide Comparator Trial </w:t>
      </w:r>
      <w:r w:rsidR="00A600E1" w:rsidRPr="00CA19EF">
        <w:rPr>
          <w:rFonts w:ascii="Times New Roman" w:hAnsi="Times New Roman" w:cs="Times New Roman"/>
          <w:sz w:val="24"/>
          <w:szCs w:val="24"/>
        </w:rPr>
        <w:t>I</w:t>
      </w:r>
      <w:r w:rsidRPr="00CA19EF">
        <w:rPr>
          <w:rFonts w:ascii="Times New Roman" w:hAnsi="Times New Roman" w:cs="Times New Roman"/>
          <w:sz w:val="24"/>
          <w:szCs w:val="24"/>
        </w:rPr>
        <w:t xml:space="preserve">n Vertebral </w:t>
      </w:r>
      <w:r w:rsidRPr="00CA19EF">
        <w:rPr>
          <w:rFonts w:ascii="Times New Roman" w:hAnsi="Times New Roman" w:cs="Times New Roman"/>
          <w:sz w:val="24"/>
          <w:szCs w:val="24"/>
        </w:rPr>
        <w:lastRenderedPageBreak/>
        <w:t xml:space="preserve">Endpoints (ACTIVE) trial, </w:t>
      </w:r>
      <w:r w:rsidR="00435BE2" w:rsidRPr="00CA19EF">
        <w:rPr>
          <w:rFonts w:ascii="Times New Roman" w:hAnsi="Times New Roman" w:cs="Times New Roman"/>
          <w:sz w:val="24"/>
          <w:szCs w:val="24"/>
        </w:rPr>
        <w:t xml:space="preserve">treatment of women </w:t>
      </w:r>
      <w:r w:rsidR="004D2211" w:rsidRPr="00CA19EF">
        <w:rPr>
          <w:rFonts w:ascii="Times New Roman" w:hAnsi="Times New Roman" w:cs="Times New Roman"/>
          <w:sz w:val="24"/>
          <w:szCs w:val="24"/>
        </w:rPr>
        <w:t xml:space="preserve">with </w:t>
      </w:r>
      <w:r w:rsidR="00435BE2" w:rsidRPr="00CA19EF">
        <w:rPr>
          <w:rFonts w:ascii="Times New Roman" w:hAnsi="Times New Roman" w:cs="Times New Roman"/>
          <w:sz w:val="24"/>
          <w:szCs w:val="24"/>
        </w:rPr>
        <w:t xml:space="preserve">postmenopausal osteoporosis with </w:t>
      </w:r>
      <w:r w:rsidR="003562C5">
        <w:rPr>
          <w:rFonts w:ascii="Times New Roman" w:hAnsi="Times New Roman" w:cs="Times New Roman"/>
          <w:sz w:val="24"/>
          <w:szCs w:val="24"/>
        </w:rPr>
        <w:t xml:space="preserve">subcutaneous </w:t>
      </w:r>
      <w:r w:rsidR="00435BE2" w:rsidRPr="00CA19EF">
        <w:rPr>
          <w:rFonts w:ascii="Times New Roman" w:hAnsi="Times New Roman" w:cs="Times New Roman"/>
          <w:sz w:val="24"/>
          <w:szCs w:val="24"/>
        </w:rPr>
        <w:t>abaloparatide (</w:t>
      </w:r>
      <w:r w:rsidR="003562C5" w:rsidRPr="00CA19EF">
        <w:rPr>
          <w:rFonts w:ascii="Times New Roman" w:hAnsi="Times New Roman" w:cs="Times New Roman"/>
          <w:sz w:val="24"/>
          <w:szCs w:val="24"/>
        </w:rPr>
        <w:t>abaloparatide</w:t>
      </w:r>
      <w:r w:rsidR="00435BE2" w:rsidRPr="00CA19EF">
        <w:rPr>
          <w:rFonts w:ascii="Times New Roman" w:hAnsi="Times New Roman" w:cs="Times New Roman"/>
          <w:sz w:val="24"/>
          <w:szCs w:val="24"/>
        </w:rPr>
        <w:t>-SC) for 18 months significantly increased bone mineral density (BMD) and decreased the risk of vertebral and nonvertebral fractures compared with placebo</w:t>
      </w:r>
      <w:r w:rsidR="003546D1" w:rsidRPr="00CA19EF">
        <w:rPr>
          <w:rFonts w:ascii="Times New Roman" w:hAnsi="Times New Roman" w:cs="Times New Roman"/>
          <w:sz w:val="24"/>
          <w:szCs w:val="24"/>
        </w:rPr>
        <w:t>,</w:t>
      </w:r>
      <w:r w:rsidR="00435BE2" w:rsidRPr="00CA19EF">
        <w:rPr>
          <w:rFonts w:ascii="Times New Roman" w:hAnsi="Times New Roman" w:cs="Times New Roman"/>
          <w:sz w:val="24"/>
          <w:szCs w:val="24"/>
        </w:rPr>
        <w:t xml:space="preserve"> and was well-tolerated.</w:t>
      </w:r>
      <w:r w:rsidR="00B55710" w:rsidRPr="00CA19EF">
        <w:rPr>
          <w:rFonts w:ascii="Times New Roman" w:hAnsi="Times New Roman" w:cs="Times New Roman"/>
          <w:sz w:val="24"/>
          <w:szCs w:val="24"/>
          <w:vertAlign w:val="superscript"/>
        </w:rPr>
        <w:t>6</w:t>
      </w:r>
      <w:r w:rsidR="00956147">
        <w:rPr>
          <w:rFonts w:ascii="Times New Roman" w:hAnsi="Times New Roman" w:cs="Times New Roman"/>
          <w:sz w:val="24"/>
          <w:szCs w:val="24"/>
        </w:rPr>
        <w:t xml:space="preserve"> </w:t>
      </w:r>
      <w:r w:rsidR="00000038" w:rsidRPr="00CA19EF">
        <w:rPr>
          <w:rFonts w:ascii="Times New Roman" w:hAnsi="Times New Roman" w:cs="Times New Roman"/>
          <w:sz w:val="24"/>
          <w:szCs w:val="24"/>
        </w:rPr>
        <w:t>In a pre-planned subgroup analysis</w:t>
      </w:r>
      <w:r w:rsidRPr="00CA19EF">
        <w:rPr>
          <w:rFonts w:ascii="Times New Roman" w:hAnsi="Times New Roman" w:cs="Times New Roman"/>
          <w:sz w:val="24"/>
          <w:szCs w:val="24"/>
        </w:rPr>
        <w:t xml:space="preserve"> of ACTIVE</w:t>
      </w:r>
      <w:r w:rsidR="00000038" w:rsidRPr="00CA19EF">
        <w:rPr>
          <w:rFonts w:ascii="Times New Roman" w:hAnsi="Times New Roman" w:cs="Times New Roman"/>
          <w:sz w:val="24"/>
          <w:szCs w:val="24"/>
        </w:rPr>
        <w:t xml:space="preserve">, </w:t>
      </w:r>
      <w:r w:rsidRPr="00CA19EF">
        <w:rPr>
          <w:rFonts w:ascii="Times New Roman" w:hAnsi="Times New Roman" w:cs="Times New Roman"/>
          <w:sz w:val="24"/>
          <w:szCs w:val="24"/>
        </w:rPr>
        <w:t>n</w:t>
      </w:r>
      <w:r w:rsidR="00000038" w:rsidRPr="00CA19EF">
        <w:rPr>
          <w:rFonts w:ascii="Times New Roman" w:hAnsi="Times New Roman" w:cs="Times New Roman"/>
          <w:sz w:val="24"/>
          <w:szCs w:val="24"/>
        </w:rPr>
        <w:t xml:space="preserve">o </w:t>
      </w:r>
      <w:r w:rsidRPr="00CA19EF">
        <w:rPr>
          <w:rFonts w:ascii="Times New Roman" w:hAnsi="Times New Roman" w:cs="Times New Roman"/>
          <w:sz w:val="24"/>
          <w:szCs w:val="24"/>
        </w:rPr>
        <w:t>interaction</w:t>
      </w:r>
      <w:r w:rsidR="00CA22E7" w:rsidRPr="00CA19EF">
        <w:rPr>
          <w:rFonts w:ascii="Times New Roman" w:hAnsi="Times New Roman" w:cs="Times New Roman"/>
          <w:sz w:val="24"/>
          <w:szCs w:val="24"/>
        </w:rPr>
        <w:t>s</w:t>
      </w:r>
      <w:r w:rsidR="00000038" w:rsidRPr="00CA19EF">
        <w:rPr>
          <w:rFonts w:ascii="Times New Roman" w:hAnsi="Times New Roman" w:cs="Times New Roman"/>
          <w:sz w:val="24"/>
          <w:szCs w:val="24"/>
        </w:rPr>
        <w:t xml:space="preserve"> w</w:t>
      </w:r>
      <w:r w:rsidR="00CA22E7" w:rsidRPr="00CA19EF">
        <w:rPr>
          <w:rFonts w:ascii="Times New Roman" w:hAnsi="Times New Roman" w:cs="Times New Roman"/>
          <w:sz w:val="24"/>
          <w:szCs w:val="24"/>
        </w:rPr>
        <w:t>ere</w:t>
      </w:r>
      <w:r w:rsidR="00000038" w:rsidRPr="00CA19EF">
        <w:rPr>
          <w:rFonts w:ascii="Times New Roman" w:hAnsi="Times New Roman" w:cs="Times New Roman"/>
          <w:sz w:val="24"/>
          <w:szCs w:val="24"/>
        </w:rPr>
        <w:t xml:space="preserve"> observed between </w:t>
      </w:r>
      <w:r w:rsidRPr="00CA19EF">
        <w:rPr>
          <w:rFonts w:ascii="Times New Roman" w:hAnsi="Times New Roman" w:cs="Times New Roman"/>
          <w:sz w:val="24"/>
          <w:szCs w:val="24"/>
        </w:rPr>
        <w:t xml:space="preserve">age at baseline </w:t>
      </w:r>
      <w:r w:rsidR="004141CD" w:rsidRPr="00CA19EF">
        <w:rPr>
          <w:rFonts w:ascii="Times New Roman" w:hAnsi="Times New Roman" w:cs="Times New Roman"/>
          <w:sz w:val="24"/>
          <w:szCs w:val="24"/>
        </w:rPr>
        <w:t xml:space="preserve">as a function of 3 categories (&lt;65, 65 to &lt;75, and </w:t>
      </w:r>
      <w:r w:rsidR="004141CD" w:rsidRPr="00CA19EF">
        <w:rPr>
          <w:rFonts w:ascii="Times New Roman" w:hAnsi="Times New Roman" w:cs="Times New Roman"/>
          <w:sz w:val="24"/>
          <w:szCs w:val="24"/>
          <w:u w:val="single"/>
        </w:rPr>
        <w:t>&gt;</w:t>
      </w:r>
      <w:r w:rsidR="004141CD" w:rsidRPr="00CA19EF">
        <w:rPr>
          <w:rFonts w:ascii="Times New Roman" w:hAnsi="Times New Roman" w:cs="Times New Roman"/>
          <w:sz w:val="24"/>
          <w:szCs w:val="24"/>
        </w:rPr>
        <w:t xml:space="preserve">75 years) </w:t>
      </w:r>
      <w:r w:rsidRPr="00CA19EF">
        <w:rPr>
          <w:rFonts w:ascii="Times New Roman" w:hAnsi="Times New Roman" w:cs="Times New Roman"/>
          <w:sz w:val="24"/>
          <w:szCs w:val="24"/>
        </w:rPr>
        <w:t>and</w:t>
      </w:r>
      <w:r w:rsidR="00000038" w:rsidRPr="00CA19EF">
        <w:rPr>
          <w:rFonts w:ascii="Times New Roman" w:hAnsi="Times New Roman" w:cs="Times New Roman"/>
          <w:sz w:val="24"/>
          <w:szCs w:val="24"/>
        </w:rPr>
        <w:t xml:space="preserve"> the treatment effect of </w:t>
      </w:r>
      <w:r w:rsidR="003562C5" w:rsidRPr="00CA19EF">
        <w:rPr>
          <w:rFonts w:ascii="Times New Roman" w:hAnsi="Times New Roman" w:cs="Times New Roman"/>
          <w:sz w:val="24"/>
          <w:szCs w:val="24"/>
        </w:rPr>
        <w:t>abaloparatide</w:t>
      </w:r>
      <w:r w:rsidR="00000038" w:rsidRPr="00CA19EF">
        <w:rPr>
          <w:rFonts w:ascii="Times New Roman" w:hAnsi="Times New Roman" w:cs="Times New Roman"/>
          <w:sz w:val="24"/>
          <w:szCs w:val="24"/>
        </w:rPr>
        <w:t>-SC on new morphometric vertebral fr</w:t>
      </w:r>
      <w:r w:rsidR="00D638F8" w:rsidRPr="00CA19EF">
        <w:rPr>
          <w:rFonts w:ascii="Times New Roman" w:hAnsi="Times New Roman" w:cs="Times New Roman"/>
          <w:sz w:val="24"/>
          <w:szCs w:val="24"/>
        </w:rPr>
        <w:t>actures, nonvertebral fractures</w:t>
      </w:r>
      <w:r w:rsidR="00797779" w:rsidRPr="00CA19EF">
        <w:rPr>
          <w:rFonts w:ascii="Times New Roman" w:hAnsi="Times New Roman" w:cs="Times New Roman"/>
          <w:sz w:val="24"/>
          <w:szCs w:val="24"/>
        </w:rPr>
        <w:t>,</w:t>
      </w:r>
      <w:r w:rsidR="00000038" w:rsidRPr="00CA19EF">
        <w:rPr>
          <w:rFonts w:ascii="Times New Roman" w:hAnsi="Times New Roman" w:cs="Times New Roman"/>
          <w:sz w:val="24"/>
          <w:szCs w:val="24"/>
        </w:rPr>
        <w:t xml:space="preserve"> or </w:t>
      </w:r>
      <w:r w:rsidRPr="00CA19EF">
        <w:rPr>
          <w:rFonts w:ascii="Times New Roman" w:hAnsi="Times New Roman" w:cs="Times New Roman"/>
          <w:sz w:val="24"/>
          <w:szCs w:val="24"/>
        </w:rPr>
        <w:t xml:space="preserve">changes in </w:t>
      </w:r>
      <w:r w:rsidR="00000038" w:rsidRPr="00CA19EF">
        <w:rPr>
          <w:rFonts w:ascii="Times New Roman" w:hAnsi="Times New Roman" w:cs="Times New Roman"/>
          <w:sz w:val="24"/>
          <w:szCs w:val="24"/>
        </w:rPr>
        <w:t>BMD</w:t>
      </w:r>
      <w:r w:rsidR="00721C45" w:rsidRPr="00CA19EF">
        <w:rPr>
          <w:rFonts w:ascii="Times New Roman" w:hAnsi="Times New Roman" w:cs="Times New Roman"/>
          <w:sz w:val="24"/>
          <w:szCs w:val="24"/>
        </w:rPr>
        <w:t>.</w:t>
      </w:r>
      <w:r w:rsidR="00B55710" w:rsidRPr="00CA19EF">
        <w:rPr>
          <w:rFonts w:ascii="Times New Roman" w:hAnsi="Times New Roman" w:cs="Times New Roman"/>
          <w:sz w:val="24"/>
          <w:szCs w:val="24"/>
          <w:vertAlign w:val="superscript"/>
        </w:rPr>
        <w:t>7</w:t>
      </w:r>
      <w:r w:rsidR="00B55710" w:rsidRPr="00CA19EF">
        <w:rPr>
          <w:rFonts w:ascii="Times New Roman" w:hAnsi="Times New Roman" w:cs="Times New Roman"/>
          <w:sz w:val="24"/>
          <w:szCs w:val="24"/>
        </w:rPr>
        <w:t xml:space="preserve"> </w:t>
      </w:r>
      <w:r w:rsidR="00000038" w:rsidRPr="00CA19EF">
        <w:rPr>
          <w:rFonts w:ascii="Times New Roman" w:hAnsi="Times New Roman" w:cs="Times New Roman"/>
          <w:sz w:val="24"/>
          <w:szCs w:val="24"/>
        </w:rPr>
        <w:t xml:space="preserve">In </w:t>
      </w:r>
      <w:r w:rsidRPr="00CA19EF">
        <w:rPr>
          <w:rFonts w:ascii="Times New Roman" w:hAnsi="Times New Roman" w:cs="Times New Roman"/>
          <w:sz w:val="24"/>
          <w:szCs w:val="24"/>
        </w:rPr>
        <w:t xml:space="preserve">this </w:t>
      </w:r>
      <w:r w:rsidR="00FF226C" w:rsidRPr="00CA19EF">
        <w:rPr>
          <w:rFonts w:ascii="Times New Roman" w:hAnsi="Times New Roman" w:cs="Times New Roman"/>
          <w:sz w:val="24"/>
          <w:szCs w:val="24"/>
        </w:rPr>
        <w:t>report</w:t>
      </w:r>
      <w:r w:rsidRPr="00CA19EF">
        <w:rPr>
          <w:rFonts w:ascii="Times New Roman" w:hAnsi="Times New Roman" w:cs="Times New Roman"/>
          <w:sz w:val="24"/>
          <w:szCs w:val="24"/>
        </w:rPr>
        <w:t xml:space="preserve">, we </w:t>
      </w:r>
      <w:r w:rsidR="00FF226C" w:rsidRPr="00CA19EF">
        <w:rPr>
          <w:rFonts w:ascii="Times New Roman" w:hAnsi="Times New Roman" w:cs="Times New Roman"/>
          <w:sz w:val="24"/>
          <w:szCs w:val="24"/>
        </w:rPr>
        <w:t xml:space="preserve">describe </w:t>
      </w:r>
      <w:r w:rsidRPr="00CA19EF">
        <w:rPr>
          <w:rFonts w:ascii="Times New Roman" w:hAnsi="Times New Roman" w:cs="Times New Roman"/>
          <w:sz w:val="24"/>
          <w:szCs w:val="24"/>
        </w:rPr>
        <w:t xml:space="preserve">a </w:t>
      </w:r>
      <w:r w:rsidR="00000038" w:rsidRPr="00CA19EF">
        <w:rPr>
          <w:rFonts w:ascii="Times New Roman" w:hAnsi="Times New Roman" w:cs="Times New Roman"/>
          <w:sz w:val="24"/>
          <w:szCs w:val="24"/>
        </w:rPr>
        <w:t>post hoc analysis</w:t>
      </w:r>
      <w:r w:rsidRPr="00CA19EF">
        <w:rPr>
          <w:rFonts w:ascii="Times New Roman" w:hAnsi="Times New Roman" w:cs="Times New Roman"/>
          <w:sz w:val="24"/>
          <w:szCs w:val="24"/>
        </w:rPr>
        <w:t xml:space="preserve"> of the </w:t>
      </w:r>
      <w:r w:rsidR="00000038" w:rsidRPr="00CA19EF">
        <w:rPr>
          <w:rFonts w:ascii="Times New Roman" w:hAnsi="Times New Roman" w:cs="Times New Roman"/>
          <w:sz w:val="24"/>
          <w:szCs w:val="24"/>
        </w:rPr>
        <w:t xml:space="preserve">effects and safety of </w:t>
      </w:r>
      <w:r w:rsidR="003562C5" w:rsidRPr="00CA19EF">
        <w:rPr>
          <w:rFonts w:ascii="Times New Roman" w:hAnsi="Times New Roman" w:cs="Times New Roman"/>
          <w:sz w:val="24"/>
          <w:szCs w:val="24"/>
        </w:rPr>
        <w:t>abaloparatide</w:t>
      </w:r>
      <w:r w:rsidR="00000038" w:rsidRPr="00CA19EF">
        <w:rPr>
          <w:rFonts w:ascii="Times New Roman" w:hAnsi="Times New Roman" w:cs="Times New Roman"/>
          <w:sz w:val="24"/>
          <w:szCs w:val="24"/>
        </w:rPr>
        <w:t>-SC in the subgroup of patients aged 80 or more years in ACTIVE</w:t>
      </w:r>
      <w:r w:rsidRPr="00CA19EF">
        <w:rPr>
          <w:rFonts w:ascii="Times New Roman" w:hAnsi="Times New Roman" w:cs="Times New Roman"/>
          <w:sz w:val="24"/>
          <w:szCs w:val="24"/>
        </w:rPr>
        <w:t>.</w:t>
      </w:r>
    </w:p>
    <w:p w14:paraId="494D21AF" w14:textId="47788221" w:rsidR="00402B04" w:rsidRPr="00CA19EF" w:rsidRDefault="00402B04" w:rsidP="00A3132B">
      <w:pPr>
        <w:spacing w:line="480" w:lineRule="auto"/>
        <w:rPr>
          <w:rFonts w:ascii="Times New Roman" w:hAnsi="Times New Roman" w:cs="Times New Roman"/>
          <w:sz w:val="24"/>
          <w:szCs w:val="24"/>
        </w:rPr>
      </w:pPr>
    </w:p>
    <w:p w14:paraId="4821A513" w14:textId="77777777" w:rsidR="0047423B" w:rsidRPr="00CA19EF" w:rsidRDefault="0047423B" w:rsidP="00A3132B">
      <w:pPr>
        <w:spacing w:line="480" w:lineRule="auto"/>
        <w:rPr>
          <w:rFonts w:ascii="Times New Roman" w:hAnsi="Times New Roman" w:cs="Times New Roman"/>
          <w:b/>
          <w:sz w:val="24"/>
          <w:szCs w:val="24"/>
        </w:rPr>
      </w:pPr>
      <w:r w:rsidRPr="00CA19EF">
        <w:rPr>
          <w:rFonts w:ascii="Times New Roman" w:hAnsi="Times New Roman" w:cs="Times New Roman"/>
          <w:b/>
          <w:sz w:val="24"/>
          <w:szCs w:val="24"/>
        </w:rPr>
        <w:t>Methods</w:t>
      </w:r>
    </w:p>
    <w:p w14:paraId="4DC6AC6F" w14:textId="1A892196" w:rsidR="0047423B" w:rsidRPr="00CA19EF" w:rsidRDefault="0091536A" w:rsidP="00A3132B">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Patient</w:t>
      </w:r>
      <w:r w:rsidRPr="00CA19EF">
        <w:rPr>
          <w:rFonts w:ascii="Times New Roman" w:hAnsi="Times New Roman" w:cs="Times New Roman"/>
          <w:sz w:val="24"/>
          <w:szCs w:val="24"/>
          <w:u w:val="single"/>
        </w:rPr>
        <w:t xml:space="preserve">s </w:t>
      </w:r>
      <w:r w:rsidR="0047423B" w:rsidRPr="00CA19EF">
        <w:rPr>
          <w:rFonts w:ascii="Times New Roman" w:hAnsi="Times New Roman" w:cs="Times New Roman"/>
          <w:sz w:val="24"/>
          <w:szCs w:val="24"/>
          <w:u w:val="single"/>
        </w:rPr>
        <w:t>and Procedures</w:t>
      </w:r>
    </w:p>
    <w:p w14:paraId="59D1F2B1" w14:textId="49F8E53A" w:rsidR="0047423B" w:rsidRPr="00CA19EF" w:rsidRDefault="0047423B" w:rsidP="00A3132B">
      <w:pPr>
        <w:spacing w:line="480" w:lineRule="auto"/>
        <w:rPr>
          <w:rFonts w:ascii="Times New Roman" w:hAnsi="Times New Roman" w:cs="Times New Roman"/>
          <w:sz w:val="24"/>
          <w:szCs w:val="24"/>
        </w:rPr>
      </w:pPr>
      <w:r w:rsidRPr="00CA19EF">
        <w:rPr>
          <w:rFonts w:ascii="Times New Roman" w:hAnsi="Times New Roman" w:cs="Times New Roman"/>
          <w:sz w:val="24"/>
          <w:szCs w:val="24"/>
        </w:rPr>
        <w:t xml:space="preserve">The multicenter ACTIVE study enrolled postmenopausal women, ages 49 to 86 years, with osteoporosis as defined by prior radiographic vertebral fracture or recent (within 5 years </w:t>
      </w:r>
      <w:r w:rsidRPr="00CA19EF">
        <w:rPr>
          <w:rFonts w:ascii="Times New Roman" w:hAnsi="Times New Roman" w:cs="Times New Roman"/>
          <w:sz w:val="24"/>
          <w:szCs w:val="24"/>
        </w:rPr>
        <w:lastRenderedPageBreak/>
        <w:t xml:space="preserve">of enrollment) nonvertebral fracture with a BMD T-score </w:t>
      </w:r>
      <w:r w:rsidRPr="00CA19EF">
        <w:rPr>
          <w:rFonts w:ascii="Times New Roman" w:hAnsi="Times New Roman" w:cs="Times New Roman"/>
          <w:sz w:val="24"/>
          <w:szCs w:val="24"/>
          <w:u w:val="single"/>
        </w:rPr>
        <w:t>&lt;</w:t>
      </w:r>
      <w:r w:rsidR="00651E90">
        <w:rPr>
          <w:rFonts w:ascii="Times New Roman" w:hAnsi="Times New Roman" w:cs="Times New Roman"/>
          <w:sz w:val="24"/>
          <w:szCs w:val="24"/>
          <w:u w:val="single"/>
        </w:rPr>
        <w:t xml:space="preserve"> </w:t>
      </w:r>
      <w:r w:rsidRPr="00CA19EF">
        <w:rPr>
          <w:rFonts w:ascii="Times New Roman" w:hAnsi="Times New Roman" w:cs="Times New Roman"/>
          <w:sz w:val="24"/>
          <w:szCs w:val="24"/>
        </w:rPr>
        <w:t xml:space="preserve">-2.5 </w:t>
      </w:r>
      <w:r w:rsidR="003562C5">
        <w:rPr>
          <w:rFonts w:ascii="Times New Roman" w:hAnsi="Times New Roman" w:cs="Times New Roman"/>
          <w:sz w:val="24"/>
          <w:szCs w:val="24"/>
        </w:rPr>
        <w:t>and &gt;</w:t>
      </w:r>
      <w:r w:rsidR="00651E90">
        <w:rPr>
          <w:rFonts w:ascii="Times New Roman" w:hAnsi="Times New Roman" w:cs="Times New Roman"/>
          <w:sz w:val="24"/>
          <w:szCs w:val="24"/>
        </w:rPr>
        <w:t xml:space="preserve"> </w:t>
      </w:r>
      <w:r w:rsidR="003562C5">
        <w:rPr>
          <w:rFonts w:ascii="Times New Roman" w:hAnsi="Times New Roman" w:cs="Times New Roman"/>
          <w:sz w:val="24"/>
          <w:szCs w:val="24"/>
        </w:rPr>
        <w:t xml:space="preserve">-5.0 </w:t>
      </w:r>
      <w:r w:rsidRPr="00CA19EF">
        <w:rPr>
          <w:rFonts w:ascii="Times New Roman" w:hAnsi="Times New Roman" w:cs="Times New Roman"/>
          <w:sz w:val="24"/>
          <w:szCs w:val="24"/>
        </w:rPr>
        <w:t>at the lumbar spine or femoral neck if aged</w:t>
      </w:r>
      <w:r w:rsidR="00721C45" w:rsidRPr="00CA19EF">
        <w:rPr>
          <w:rFonts w:ascii="Times New Roman" w:hAnsi="Times New Roman" w:cs="Times New Roman"/>
          <w:sz w:val="24"/>
          <w:szCs w:val="24"/>
        </w:rPr>
        <w:t xml:space="preserve"> </w:t>
      </w:r>
      <w:r w:rsidRPr="00CA19EF">
        <w:rPr>
          <w:rFonts w:ascii="Times New Roman" w:hAnsi="Times New Roman" w:cs="Times New Roman"/>
          <w:sz w:val="24"/>
          <w:szCs w:val="24"/>
          <w:u w:val="single"/>
        </w:rPr>
        <w:t>&lt;</w:t>
      </w:r>
      <w:r w:rsidR="00651E90">
        <w:rPr>
          <w:rFonts w:ascii="Times New Roman" w:hAnsi="Times New Roman" w:cs="Times New Roman"/>
          <w:sz w:val="24"/>
          <w:szCs w:val="24"/>
          <w:u w:val="single"/>
        </w:rPr>
        <w:t xml:space="preserve"> </w:t>
      </w:r>
      <w:r w:rsidRPr="00CA19EF">
        <w:rPr>
          <w:rFonts w:ascii="Times New Roman" w:hAnsi="Times New Roman" w:cs="Times New Roman"/>
          <w:sz w:val="24"/>
          <w:szCs w:val="24"/>
        </w:rPr>
        <w:t xml:space="preserve">65 years or </w:t>
      </w:r>
      <w:r w:rsidRPr="00CA19EF">
        <w:rPr>
          <w:rFonts w:ascii="Times New Roman" w:hAnsi="Times New Roman" w:cs="Times New Roman"/>
          <w:sz w:val="24"/>
          <w:szCs w:val="24"/>
          <w:u w:val="single"/>
        </w:rPr>
        <w:t>&lt;</w:t>
      </w:r>
      <w:r w:rsidR="00651E90">
        <w:rPr>
          <w:rFonts w:ascii="Times New Roman" w:hAnsi="Times New Roman" w:cs="Times New Roman"/>
          <w:sz w:val="24"/>
          <w:szCs w:val="24"/>
          <w:u w:val="single"/>
        </w:rPr>
        <w:t xml:space="preserve"> </w:t>
      </w:r>
      <w:r w:rsidRPr="00CA19EF">
        <w:rPr>
          <w:rFonts w:ascii="Times New Roman" w:hAnsi="Times New Roman" w:cs="Times New Roman"/>
          <w:sz w:val="24"/>
          <w:szCs w:val="24"/>
        </w:rPr>
        <w:t xml:space="preserve">-2.0 </w:t>
      </w:r>
      <w:r w:rsidR="00357493">
        <w:rPr>
          <w:rFonts w:ascii="Times New Roman" w:hAnsi="Times New Roman" w:cs="Times New Roman"/>
          <w:sz w:val="24"/>
          <w:szCs w:val="24"/>
        </w:rPr>
        <w:t xml:space="preserve">and </w:t>
      </w:r>
      <w:r w:rsidR="003562C5">
        <w:rPr>
          <w:rFonts w:ascii="Times New Roman" w:hAnsi="Times New Roman" w:cs="Times New Roman"/>
          <w:sz w:val="24"/>
          <w:szCs w:val="24"/>
        </w:rPr>
        <w:t>&gt;</w:t>
      </w:r>
      <w:r w:rsidR="00651E90">
        <w:rPr>
          <w:rFonts w:ascii="Times New Roman" w:hAnsi="Times New Roman" w:cs="Times New Roman"/>
          <w:sz w:val="24"/>
          <w:szCs w:val="24"/>
        </w:rPr>
        <w:t xml:space="preserve"> </w:t>
      </w:r>
      <w:r w:rsidR="003562C5">
        <w:rPr>
          <w:rFonts w:ascii="Times New Roman" w:hAnsi="Times New Roman" w:cs="Times New Roman"/>
          <w:sz w:val="24"/>
          <w:szCs w:val="24"/>
        </w:rPr>
        <w:t xml:space="preserve">-5.0 </w:t>
      </w:r>
      <w:r w:rsidRPr="00CA19EF">
        <w:rPr>
          <w:rFonts w:ascii="Times New Roman" w:hAnsi="Times New Roman" w:cs="Times New Roman"/>
          <w:sz w:val="24"/>
          <w:szCs w:val="24"/>
        </w:rPr>
        <w:t>if aged</w:t>
      </w:r>
      <w:r w:rsidR="00721C45" w:rsidRPr="00CA19EF">
        <w:rPr>
          <w:rFonts w:ascii="Times New Roman" w:hAnsi="Times New Roman" w:cs="Times New Roman"/>
          <w:sz w:val="24"/>
          <w:szCs w:val="24"/>
        </w:rPr>
        <w:t xml:space="preserve"> </w:t>
      </w:r>
      <w:r w:rsidRPr="00CA19EF">
        <w:rPr>
          <w:rFonts w:ascii="Times New Roman" w:hAnsi="Times New Roman" w:cs="Times New Roman"/>
          <w:sz w:val="24"/>
          <w:szCs w:val="24"/>
        </w:rPr>
        <w:t>&gt;</w:t>
      </w:r>
      <w:r w:rsidR="00651E90">
        <w:rPr>
          <w:rFonts w:ascii="Times New Roman" w:hAnsi="Times New Roman" w:cs="Times New Roman"/>
          <w:sz w:val="24"/>
          <w:szCs w:val="24"/>
        </w:rPr>
        <w:t xml:space="preserve"> </w:t>
      </w:r>
      <w:r w:rsidRPr="00CA19EF">
        <w:rPr>
          <w:rFonts w:ascii="Times New Roman" w:hAnsi="Times New Roman" w:cs="Times New Roman"/>
          <w:sz w:val="24"/>
          <w:szCs w:val="24"/>
        </w:rPr>
        <w:t>65 years. For those aged &gt;</w:t>
      </w:r>
      <w:r w:rsidR="00651E90">
        <w:rPr>
          <w:rFonts w:ascii="Times New Roman" w:hAnsi="Times New Roman" w:cs="Times New Roman"/>
          <w:sz w:val="24"/>
          <w:szCs w:val="24"/>
        </w:rPr>
        <w:t xml:space="preserve"> </w:t>
      </w:r>
      <w:r w:rsidRPr="00CA19EF">
        <w:rPr>
          <w:rFonts w:ascii="Times New Roman" w:hAnsi="Times New Roman" w:cs="Times New Roman"/>
          <w:sz w:val="24"/>
          <w:szCs w:val="24"/>
        </w:rPr>
        <w:t xml:space="preserve">65 years, no prior fracture was required if the lumbar spine or femoral neck BMD T-score was </w:t>
      </w:r>
      <w:r w:rsidRPr="00CA19EF">
        <w:rPr>
          <w:rFonts w:ascii="Times New Roman" w:hAnsi="Times New Roman" w:cs="Times New Roman"/>
          <w:sz w:val="24"/>
          <w:szCs w:val="24"/>
          <w:u w:val="single"/>
        </w:rPr>
        <w:t>&lt;</w:t>
      </w:r>
      <w:r w:rsidR="00651E90">
        <w:rPr>
          <w:rFonts w:ascii="Times New Roman" w:hAnsi="Times New Roman" w:cs="Times New Roman"/>
          <w:sz w:val="24"/>
          <w:szCs w:val="24"/>
          <w:u w:val="single"/>
        </w:rPr>
        <w:t xml:space="preserve"> </w:t>
      </w:r>
      <w:r w:rsidR="00651E90">
        <w:rPr>
          <w:rFonts w:ascii="Times New Roman" w:hAnsi="Times New Roman" w:cs="Times New Roman"/>
          <w:sz w:val="24"/>
          <w:szCs w:val="24"/>
          <w:u w:val="single"/>
        </w:rPr>
        <w:br/>
      </w:r>
      <w:r w:rsidRPr="00CA19EF">
        <w:rPr>
          <w:rFonts w:ascii="Times New Roman" w:hAnsi="Times New Roman" w:cs="Times New Roman"/>
          <w:sz w:val="24"/>
          <w:szCs w:val="24"/>
        </w:rPr>
        <w:t>-3.0</w:t>
      </w:r>
      <w:r w:rsidR="00CB27A1" w:rsidRPr="00CB27A1">
        <w:rPr>
          <w:rFonts w:ascii="Times New Roman" w:hAnsi="Times New Roman" w:cs="Times New Roman"/>
          <w:sz w:val="24"/>
          <w:szCs w:val="24"/>
        </w:rPr>
        <w:t xml:space="preserve"> </w:t>
      </w:r>
      <w:r w:rsidR="00CB27A1">
        <w:rPr>
          <w:rFonts w:ascii="Times New Roman" w:hAnsi="Times New Roman" w:cs="Times New Roman"/>
          <w:sz w:val="24"/>
          <w:szCs w:val="24"/>
        </w:rPr>
        <w:t>and &gt;</w:t>
      </w:r>
      <w:r w:rsidR="00651E90">
        <w:rPr>
          <w:rFonts w:ascii="Times New Roman" w:hAnsi="Times New Roman" w:cs="Times New Roman"/>
          <w:sz w:val="24"/>
          <w:szCs w:val="24"/>
        </w:rPr>
        <w:t xml:space="preserve"> </w:t>
      </w:r>
      <w:r w:rsidR="00CB27A1">
        <w:rPr>
          <w:rFonts w:ascii="Times New Roman" w:hAnsi="Times New Roman" w:cs="Times New Roman"/>
          <w:sz w:val="24"/>
          <w:szCs w:val="24"/>
        </w:rPr>
        <w:t>-5.0</w:t>
      </w:r>
      <w:r w:rsidRPr="00CA19EF">
        <w:rPr>
          <w:rFonts w:ascii="Times New Roman" w:hAnsi="Times New Roman" w:cs="Times New Roman"/>
          <w:sz w:val="24"/>
          <w:szCs w:val="24"/>
        </w:rPr>
        <w:t>. Other inclusion/exclusion criteria have been previously described.</w:t>
      </w:r>
      <w:r w:rsidR="00B55710" w:rsidRPr="00CA19EF">
        <w:rPr>
          <w:rFonts w:ascii="Times New Roman" w:hAnsi="Times New Roman" w:cs="Times New Roman"/>
          <w:sz w:val="24"/>
          <w:szCs w:val="24"/>
          <w:vertAlign w:val="superscript"/>
        </w:rPr>
        <w:t>6</w:t>
      </w:r>
      <w:r w:rsidR="000119C0">
        <w:rPr>
          <w:rFonts w:ascii="Times New Roman" w:hAnsi="Times New Roman" w:cs="Times New Roman"/>
          <w:sz w:val="24"/>
          <w:szCs w:val="24"/>
          <w:vertAlign w:val="superscript"/>
        </w:rPr>
        <w:t xml:space="preserve"> </w:t>
      </w:r>
      <w:r w:rsidRPr="00CA19EF">
        <w:rPr>
          <w:rFonts w:ascii="Times New Roman" w:hAnsi="Times New Roman" w:cs="Times New Roman"/>
          <w:sz w:val="24"/>
          <w:szCs w:val="24"/>
        </w:rPr>
        <w:t xml:space="preserve">After informed written consent was obtained, </w:t>
      </w:r>
      <w:r w:rsidR="0091536A">
        <w:rPr>
          <w:rFonts w:ascii="Times New Roman" w:hAnsi="Times New Roman" w:cs="Times New Roman"/>
          <w:sz w:val="24"/>
          <w:szCs w:val="24"/>
        </w:rPr>
        <w:t>patient</w:t>
      </w:r>
      <w:r w:rsidR="0091536A" w:rsidRPr="00CA19EF">
        <w:rPr>
          <w:rFonts w:ascii="Times New Roman" w:hAnsi="Times New Roman" w:cs="Times New Roman"/>
          <w:sz w:val="24"/>
          <w:szCs w:val="24"/>
        </w:rPr>
        <w:t xml:space="preserve">s </w:t>
      </w:r>
      <w:r w:rsidRPr="00CA19EF">
        <w:rPr>
          <w:rFonts w:ascii="Times New Roman" w:hAnsi="Times New Roman" w:cs="Times New Roman"/>
          <w:sz w:val="24"/>
          <w:szCs w:val="24"/>
        </w:rPr>
        <w:t xml:space="preserve">were screened and then randomized 1:1:1 to receive either blinded daily injections of </w:t>
      </w:r>
      <w:r w:rsidR="00D37BC7">
        <w:rPr>
          <w:rFonts w:ascii="Times New Roman" w:hAnsi="Times New Roman" w:cs="Times New Roman"/>
          <w:sz w:val="24"/>
          <w:szCs w:val="24"/>
        </w:rPr>
        <w:t>abaloparatide</w:t>
      </w:r>
      <w:r w:rsidRPr="00CA19EF">
        <w:rPr>
          <w:rFonts w:ascii="Times New Roman" w:hAnsi="Times New Roman" w:cs="Times New Roman"/>
          <w:sz w:val="24"/>
          <w:szCs w:val="24"/>
        </w:rPr>
        <w:t xml:space="preserve">-SC 80 µg, matching placebo, or open-label daily </w:t>
      </w:r>
      <w:r w:rsidR="00357493">
        <w:rPr>
          <w:rFonts w:ascii="Times New Roman" w:hAnsi="Times New Roman" w:cs="Times New Roman"/>
          <w:sz w:val="24"/>
          <w:szCs w:val="24"/>
        </w:rPr>
        <w:t xml:space="preserve">subcutaneous </w:t>
      </w:r>
      <w:r w:rsidRPr="00CA19EF">
        <w:rPr>
          <w:rFonts w:ascii="Times New Roman" w:hAnsi="Times New Roman" w:cs="Times New Roman"/>
          <w:sz w:val="24"/>
          <w:szCs w:val="24"/>
        </w:rPr>
        <w:t xml:space="preserve">injections of teriparatide 20 µg for 18 months. All </w:t>
      </w:r>
      <w:r w:rsidR="0091536A">
        <w:rPr>
          <w:rFonts w:ascii="Times New Roman" w:hAnsi="Times New Roman" w:cs="Times New Roman"/>
          <w:sz w:val="24"/>
          <w:szCs w:val="24"/>
        </w:rPr>
        <w:t>patient</w:t>
      </w:r>
      <w:r w:rsidR="0091536A" w:rsidRPr="00CA19EF">
        <w:rPr>
          <w:rFonts w:ascii="Times New Roman" w:hAnsi="Times New Roman" w:cs="Times New Roman"/>
          <w:sz w:val="24"/>
          <w:szCs w:val="24"/>
        </w:rPr>
        <w:t xml:space="preserve">s </w:t>
      </w:r>
      <w:r w:rsidRPr="00CA19EF">
        <w:rPr>
          <w:rFonts w:ascii="Times New Roman" w:hAnsi="Times New Roman" w:cs="Times New Roman"/>
          <w:sz w:val="24"/>
          <w:szCs w:val="24"/>
        </w:rPr>
        <w:t>received supplements of 500 to 1000 mg/day elemental calcium and 400 to 800 IU vitamin D based on</w:t>
      </w:r>
      <w:r w:rsidR="009B18C2" w:rsidRPr="00CA19EF">
        <w:rPr>
          <w:rFonts w:ascii="Times New Roman" w:hAnsi="Times New Roman" w:cs="Times New Roman"/>
          <w:sz w:val="24"/>
          <w:szCs w:val="24"/>
        </w:rPr>
        <w:t xml:space="preserve"> </w:t>
      </w:r>
      <w:r w:rsidRPr="00CA19EF">
        <w:rPr>
          <w:rFonts w:ascii="Times New Roman" w:hAnsi="Times New Roman" w:cs="Times New Roman"/>
          <w:sz w:val="24"/>
          <w:szCs w:val="24"/>
        </w:rPr>
        <w:t>regional standard of care. The endpoints were assessed as previously described</w:t>
      </w:r>
      <w:r w:rsidR="00600E00">
        <w:rPr>
          <w:rFonts w:ascii="Times New Roman" w:hAnsi="Times New Roman" w:cs="Times New Roman"/>
          <w:sz w:val="24"/>
          <w:szCs w:val="24"/>
        </w:rPr>
        <w:t>,</w:t>
      </w:r>
      <w:r w:rsidR="00B55710" w:rsidRPr="00CA19EF">
        <w:rPr>
          <w:rFonts w:ascii="Times New Roman" w:hAnsi="Times New Roman" w:cs="Times New Roman"/>
          <w:sz w:val="24"/>
          <w:szCs w:val="24"/>
          <w:vertAlign w:val="superscript"/>
        </w:rPr>
        <w:t>6</w:t>
      </w:r>
      <w:r w:rsidRPr="00CA19EF">
        <w:rPr>
          <w:rFonts w:ascii="Times New Roman" w:hAnsi="Times New Roman" w:cs="Times New Roman"/>
          <w:sz w:val="24"/>
          <w:szCs w:val="24"/>
        </w:rPr>
        <w:t xml:space="preserve"> including the primary endpoint of the incidence of new vertebral fractures from baseline to 18 months in </w:t>
      </w:r>
      <w:r w:rsidR="0091536A">
        <w:rPr>
          <w:rFonts w:ascii="Times New Roman" w:hAnsi="Times New Roman" w:cs="Times New Roman"/>
          <w:sz w:val="24"/>
          <w:szCs w:val="24"/>
        </w:rPr>
        <w:t>patient</w:t>
      </w:r>
      <w:r w:rsidR="0091536A" w:rsidRPr="00CA19EF">
        <w:rPr>
          <w:rFonts w:ascii="Times New Roman" w:hAnsi="Times New Roman" w:cs="Times New Roman"/>
          <w:sz w:val="24"/>
          <w:szCs w:val="24"/>
        </w:rPr>
        <w:t xml:space="preserve">s </w:t>
      </w:r>
      <w:r w:rsidRPr="00CA19EF">
        <w:rPr>
          <w:rFonts w:ascii="Times New Roman" w:hAnsi="Times New Roman" w:cs="Times New Roman"/>
          <w:sz w:val="24"/>
          <w:szCs w:val="24"/>
        </w:rPr>
        <w:t xml:space="preserve">treated with </w:t>
      </w:r>
      <w:r w:rsidR="00D37BC7">
        <w:rPr>
          <w:rFonts w:ascii="Times New Roman" w:hAnsi="Times New Roman" w:cs="Times New Roman"/>
          <w:sz w:val="24"/>
          <w:szCs w:val="24"/>
        </w:rPr>
        <w:t>abaloparatide</w:t>
      </w:r>
      <w:r w:rsidRPr="00CA19EF">
        <w:rPr>
          <w:rFonts w:ascii="Times New Roman" w:hAnsi="Times New Roman" w:cs="Times New Roman"/>
          <w:sz w:val="24"/>
          <w:szCs w:val="24"/>
        </w:rPr>
        <w:t xml:space="preserve">-SC compared to placebo. Nonvertebral fractures, a secondary endpoint, were initially self-reported and then verified </w:t>
      </w:r>
      <w:r w:rsidRPr="00CA19EF">
        <w:rPr>
          <w:rFonts w:ascii="Times New Roman" w:hAnsi="Times New Roman" w:cs="Times New Roman"/>
          <w:sz w:val="24"/>
          <w:szCs w:val="24"/>
        </w:rPr>
        <w:lastRenderedPageBreak/>
        <w:t xml:space="preserve">from source documents and excluded those of the spine, sternum, patella, toes, fingers, skull, and face and </w:t>
      </w:r>
      <w:r w:rsidR="00EB2583" w:rsidRPr="00CA19EF">
        <w:rPr>
          <w:rFonts w:ascii="Times New Roman" w:hAnsi="Times New Roman" w:cs="Times New Roman"/>
          <w:sz w:val="24"/>
          <w:szCs w:val="24"/>
        </w:rPr>
        <w:t>fractures associated</w:t>
      </w:r>
      <w:r w:rsidRPr="00CA19EF">
        <w:rPr>
          <w:rFonts w:ascii="Times New Roman" w:hAnsi="Times New Roman" w:cs="Times New Roman"/>
          <w:sz w:val="24"/>
          <w:szCs w:val="24"/>
        </w:rPr>
        <w:t xml:space="preserve"> with high trauma. Study oversight was performed and safety was assessed as previously described</w:t>
      </w:r>
      <w:r w:rsidR="00B55710" w:rsidRPr="00CA19EF">
        <w:rPr>
          <w:rFonts w:ascii="Times New Roman" w:hAnsi="Times New Roman" w:cs="Times New Roman"/>
          <w:sz w:val="24"/>
          <w:szCs w:val="24"/>
          <w:vertAlign w:val="superscript"/>
        </w:rPr>
        <w:t>6</w:t>
      </w:r>
      <w:r w:rsidRPr="00CA19EF">
        <w:rPr>
          <w:rFonts w:ascii="Times New Roman" w:hAnsi="Times New Roman" w:cs="Times New Roman"/>
          <w:sz w:val="24"/>
          <w:szCs w:val="24"/>
        </w:rPr>
        <w:t xml:space="preserve"> and all assessors of fracture were blinded to all treatments.</w:t>
      </w:r>
    </w:p>
    <w:p w14:paraId="66585E5E" w14:textId="77777777" w:rsidR="0047423B" w:rsidRPr="00CA19EF" w:rsidRDefault="0047423B" w:rsidP="00A3132B">
      <w:pPr>
        <w:spacing w:line="480" w:lineRule="auto"/>
        <w:rPr>
          <w:rFonts w:ascii="Times New Roman" w:hAnsi="Times New Roman" w:cs="Times New Roman"/>
          <w:sz w:val="24"/>
          <w:szCs w:val="24"/>
        </w:rPr>
      </w:pPr>
    </w:p>
    <w:p w14:paraId="672935D4" w14:textId="77777777" w:rsidR="0047423B" w:rsidRPr="00CA19EF" w:rsidRDefault="0047423B" w:rsidP="00A3132B">
      <w:pPr>
        <w:spacing w:line="480" w:lineRule="auto"/>
        <w:rPr>
          <w:rFonts w:ascii="Times New Roman" w:hAnsi="Times New Roman" w:cs="Times New Roman"/>
          <w:sz w:val="24"/>
          <w:szCs w:val="24"/>
          <w:u w:val="single"/>
        </w:rPr>
      </w:pPr>
      <w:r w:rsidRPr="00CA19EF">
        <w:rPr>
          <w:rFonts w:ascii="Times New Roman" w:hAnsi="Times New Roman" w:cs="Times New Roman"/>
          <w:sz w:val="24"/>
          <w:szCs w:val="24"/>
          <w:u w:val="single"/>
        </w:rPr>
        <w:t>Statistical analyses</w:t>
      </w:r>
    </w:p>
    <w:p w14:paraId="3303059F" w14:textId="693C271E" w:rsidR="0047423B" w:rsidRPr="00CA19EF" w:rsidRDefault="0047423B" w:rsidP="00A3132B">
      <w:pPr>
        <w:spacing w:line="480" w:lineRule="auto"/>
        <w:rPr>
          <w:rFonts w:ascii="Times New Roman" w:hAnsi="Times New Roman" w:cs="Times New Roman"/>
          <w:sz w:val="24"/>
          <w:szCs w:val="24"/>
        </w:rPr>
      </w:pPr>
      <w:r w:rsidRPr="00CA19EF">
        <w:rPr>
          <w:rFonts w:ascii="Times New Roman" w:hAnsi="Times New Roman" w:cs="Times New Roman"/>
          <w:sz w:val="24"/>
          <w:szCs w:val="24"/>
        </w:rPr>
        <w:t xml:space="preserve">The primary and key secondary endpoints in ACTIVE were included in these post hoc analyses of a subset of </w:t>
      </w:r>
      <w:r w:rsidR="0091536A">
        <w:rPr>
          <w:rFonts w:ascii="Times New Roman" w:hAnsi="Times New Roman" w:cs="Times New Roman"/>
          <w:sz w:val="24"/>
          <w:szCs w:val="24"/>
        </w:rPr>
        <w:t>patient</w:t>
      </w:r>
      <w:r w:rsidR="0091536A" w:rsidRPr="00CA19EF">
        <w:rPr>
          <w:rFonts w:ascii="Times New Roman" w:hAnsi="Times New Roman" w:cs="Times New Roman"/>
          <w:sz w:val="24"/>
          <w:szCs w:val="24"/>
        </w:rPr>
        <w:t xml:space="preserve">s </w:t>
      </w:r>
      <w:r w:rsidRPr="00CA19EF">
        <w:rPr>
          <w:rFonts w:ascii="Times New Roman" w:hAnsi="Times New Roman" w:cs="Times New Roman"/>
          <w:sz w:val="24"/>
          <w:szCs w:val="24"/>
          <w:u w:val="single"/>
        </w:rPr>
        <w:t>&gt;</w:t>
      </w:r>
      <w:r w:rsidRPr="00CA19EF">
        <w:rPr>
          <w:rFonts w:ascii="Times New Roman" w:hAnsi="Times New Roman" w:cs="Times New Roman"/>
          <w:sz w:val="24"/>
          <w:szCs w:val="24"/>
        </w:rPr>
        <w:t>80 years of age</w:t>
      </w:r>
      <w:r w:rsidR="0054636D" w:rsidRPr="0054636D">
        <w:rPr>
          <w:rFonts w:ascii="Times New Roman" w:hAnsi="Times New Roman" w:cs="Times New Roman"/>
          <w:sz w:val="24"/>
          <w:szCs w:val="24"/>
        </w:rPr>
        <w:t xml:space="preserve"> </w:t>
      </w:r>
      <w:r w:rsidR="0054636D" w:rsidRPr="00CA19EF">
        <w:rPr>
          <w:rFonts w:ascii="Times New Roman" w:hAnsi="Times New Roman" w:cs="Times New Roman"/>
          <w:sz w:val="24"/>
          <w:szCs w:val="24"/>
        </w:rPr>
        <w:t xml:space="preserve">in the </w:t>
      </w:r>
      <w:r w:rsidR="0054636D">
        <w:rPr>
          <w:rFonts w:ascii="Times New Roman" w:hAnsi="Times New Roman" w:cs="Times New Roman"/>
          <w:sz w:val="24"/>
          <w:szCs w:val="24"/>
        </w:rPr>
        <w:t>abaloparatide</w:t>
      </w:r>
      <w:r w:rsidR="0054636D" w:rsidRPr="00CA19EF">
        <w:rPr>
          <w:rFonts w:ascii="Times New Roman" w:hAnsi="Times New Roman" w:cs="Times New Roman"/>
          <w:sz w:val="24"/>
          <w:szCs w:val="24"/>
        </w:rPr>
        <w:t>-SC and placebo arms</w:t>
      </w:r>
      <w:r w:rsidRPr="00CA19EF">
        <w:rPr>
          <w:rFonts w:ascii="Times New Roman" w:hAnsi="Times New Roman" w:cs="Times New Roman"/>
          <w:sz w:val="24"/>
          <w:szCs w:val="24"/>
        </w:rPr>
        <w:t xml:space="preserve">. Results for the overall population </w:t>
      </w:r>
      <w:r w:rsidR="00EB2583" w:rsidRPr="00CA19EF">
        <w:rPr>
          <w:rFonts w:ascii="Times New Roman" w:hAnsi="Times New Roman" w:cs="Times New Roman"/>
          <w:sz w:val="24"/>
          <w:szCs w:val="24"/>
        </w:rPr>
        <w:t xml:space="preserve">in the </w:t>
      </w:r>
      <w:r w:rsidR="00D37BC7">
        <w:rPr>
          <w:rFonts w:ascii="Times New Roman" w:hAnsi="Times New Roman" w:cs="Times New Roman"/>
          <w:sz w:val="24"/>
          <w:szCs w:val="24"/>
        </w:rPr>
        <w:t>abaloparatide</w:t>
      </w:r>
      <w:r w:rsidR="00EB2583" w:rsidRPr="00CA19EF">
        <w:rPr>
          <w:rFonts w:ascii="Times New Roman" w:hAnsi="Times New Roman" w:cs="Times New Roman"/>
          <w:sz w:val="24"/>
          <w:szCs w:val="24"/>
        </w:rPr>
        <w:t xml:space="preserve">-SC and placebo arms </w:t>
      </w:r>
      <w:r w:rsidRPr="00CA19EF">
        <w:rPr>
          <w:rFonts w:ascii="Times New Roman" w:hAnsi="Times New Roman" w:cs="Times New Roman"/>
          <w:sz w:val="24"/>
          <w:szCs w:val="24"/>
        </w:rPr>
        <w:t xml:space="preserve">are </w:t>
      </w:r>
      <w:r w:rsidR="0056181C">
        <w:rPr>
          <w:rFonts w:ascii="Times New Roman" w:hAnsi="Times New Roman" w:cs="Times New Roman"/>
          <w:sz w:val="24"/>
          <w:szCs w:val="24"/>
        </w:rPr>
        <w:t>included</w:t>
      </w:r>
      <w:r w:rsidRPr="00CA19EF">
        <w:rPr>
          <w:rFonts w:ascii="Times New Roman" w:hAnsi="Times New Roman" w:cs="Times New Roman"/>
          <w:sz w:val="24"/>
          <w:szCs w:val="24"/>
        </w:rPr>
        <w:t xml:space="preserve"> for comparison. The intent-to-treat (ITT) population included all </w:t>
      </w:r>
      <w:r w:rsidR="0091536A">
        <w:rPr>
          <w:rFonts w:ascii="Times New Roman" w:hAnsi="Times New Roman" w:cs="Times New Roman"/>
          <w:sz w:val="24"/>
          <w:szCs w:val="24"/>
        </w:rPr>
        <w:t>patient</w:t>
      </w:r>
      <w:r w:rsidR="0091536A" w:rsidRPr="00CA19EF">
        <w:rPr>
          <w:rFonts w:ascii="Times New Roman" w:hAnsi="Times New Roman" w:cs="Times New Roman"/>
          <w:sz w:val="24"/>
          <w:szCs w:val="24"/>
        </w:rPr>
        <w:t xml:space="preserve">s </w:t>
      </w:r>
      <w:r w:rsidRPr="00CA19EF">
        <w:rPr>
          <w:rFonts w:ascii="Times New Roman" w:hAnsi="Times New Roman" w:cs="Times New Roman"/>
          <w:sz w:val="24"/>
          <w:szCs w:val="24"/>
        </w:rPr>
        <w:t>who were randomized to receive study medication</w:t>
      </w:r>
      <w:r w:rsidR="00D638F8" w:rsidRPr="00CA19EF">
        <w:rPr>
          <w:rFonts w:ascii="Times New Roman" w:hAnsi="Times New Roman" w:cs="Times New Roman"/>
          <w:sz w:val="24"/>
          <w:szCs w:val="24"/>
        </w:rPr>
        <w:t xml:space="preserve"> </w:t>
      </w:r>
      <w:r w:rsidRPr="00CA19EF">
        <w:rPr>
          <w:rFonts w:ascii="Times New Roman" w:hAnsi="Times New Roman" w:cs="Times New Roman"/>
          <w:sz w:val="24"/>
          <w:szCs w:val="24"/>
        </w:rPr>
        <w:t>and was used for all</w:t>
      </w:r>
      <w:r w:rsidR="00D638F8" w:rsidRPr="00CA19EF">
        <w:rPr>
          <w:rFonts w:ascii="Times New Roman" w:hAnsi="Times New Roman" w:cs="Times New Roman"/>
          <w:sz w:val="24"/>
          <w:szCs w:val="24"/>
        </w:rPr>
        <w:t xml:space="preserve"> </w:t>
      </w:r>
      <w:r w:rsidRPr="00CA19EF">
        <w:rPr>
          <w:rFonts w:ascii="Times New Roman" w:hAnsi="Times New Roman" w:cs="Times New Roman"/>
          <w:sz w:val="24"/>
          <w:szCs w:val="24"/>
        </w:rPr>
        <w:t xml:space="preserve">efficacy analyses except for those of vertebral fracture. The modified ITT population included all ITT </w:t>
      </w:r>
      <w:r w:rsidR="0091536A">
        <w:rPr>
          <w:rFonts w:ascii="Times New Roman" w:hAnsi="Times New Roman" w:cs="Times New Roman"/>
          <w:sz w:val="24"/>
          <w:szCs w:val="24"/>
        </w:rPr>
        <w:t>patient</w:t>
      </w:r>
      <w:r w:rsidR="0091536A" w:rsidRPr="00CA19EF">
        <w:rPr>
          <w:rFonts w:ascii="Times New Roman" w:hAnsi="Times New Roman" w:cs="Times New Roman"/>
          <w:sz w:val="24"/>
          <w:szCs w:val="24"/>
        </w:rPr>
        <w:t xml:space="preserve">s </w:t>
      </w:r>
      <w:r w:rsidRPr="00CA19EF">
        <w:rPr>
          <w:rFonts w:ascii="Times New Roman" w:hAnsi="Times New Roman" w:cs="Times New Roman"/>
          <w:sz w:val="24"/>
          <w:szCs w:val="24"/>
        </w:rPr>
        <w:t>who received both pretreatment and post</w:t>
      </w:r>
      <w:r w:rsidR="00D638F8" w:rsidRPr="00CA19EF">
        <w:rPr>
          <w:rFonts w:ascii="Times New Roman" w:hAnsi="Times New Roman" w:cs="Times New Roman"/>
          <w:sz w:val="24"/>
          <w:szCs w:val="24"/>
        </w:rPr>
        <w:t xml:space="preserve"> </w:t>
      </w:r>
      <w:r w:rsidRPr="00CA19EF">
        <w:rPr>
          <w:rFonts w:ascii="Times New Roman" w:hAnsi="Times New Roman" w:cs="Times New Roman"/>
          <w:sz w:val="24"/>
          <w:szCs w:val="24"/>
        </w:rPr>
        <w:t xml:space="preserve">baseline spine radiographs and </w:t>
      </w:r>
      <w:r w:rsidR="009E6BB8" w:rsidRPr="00CA19EF">
        <w:rPr>
          <w:rFonts w:ascii="Times New Roman" w:hAnsi="Times New Roman" w:cs="Times New Roman"/>
          <w:sz w:val="24"/>
          <w:szCs w:val="24"/>
        </w:rPr>
        <w:t>the radiographs from this population were</w:t>
      </w:r>
      <w:r w:rsidRPr="00CA19EF">
        <w:rPr>
          <w:rFonts w:ascii="Times New Roman" w:hAnsi="Times New Roman" w:cs="Times New Roman"/>
          <w:sz w:val="24"/>
          <w:szCs w:val="24"/>
        </w:rPr>
        <w:t xml:space="preserve"> used for analysis of </w:t>
      </w:r>
      <w:r w:rsidR="00390BF9">
        <w:rPr>
          <w:rFonts w:ascii="Times New Roman" w:hAnsi="Times New Roman" w:cs="Times New Roman"/>
          <w:sz w:val="24"/>
          <w:szCs w:val="24"/>
        </w:rPr>
        <w:t xml:space="preserve">new morphometric </w:t>
      </w:r>
      <w:r w:rsidRPr="00CA19EF">
        <w:rPr>
          <w:rFonts w:ascii="Times New Roman" w:hAnsi="Times New Roman" w:cs="Times New Roman"/>
          <w:sz w:val="24"/>
          <w:szCs w:val="24"/>
        </w:rPr>
        <w:t>vertebral fracture</w:t>
      </w:r>
      <w:r w:rsidR="009B18C2" w:rsidRPr="00CA19EF">
        <w:rPr>
          <w:rFonts w:ascii="Times New Roman" w:hAnsi="Times New Roman" w:cs="Times New Roman"/>
          <w:sz w:val="24"/>
          <w:szCs w:val="24"/>
        </w:rPr>
        <w:t>s</w:t>
      </w:r>
      <w:r w:rsidRPr="00CA19EF">
        <w:rPr>
          <w:rFonts w:ascii="Times New Roman" w:hAnsi="Times New Roman" w:cs="Times New Roman"/>
          <w:sz w:val="24"/>
          <w:szCs w:val="24"/>
        </w:rPr>
        <w:t xml:space="preserve">. The safety population included all </w:t>
      </w:r>
      <w:r w:rsidR="0091536A">
        <w:rPr>
          <w:rFonts w:ascii="Times New Roman" w:hAnsi="Times New Roman" w:cs="Times New Roman"/>
          <w:sz w:val="24"/>
          <w:szCs w:val="24"/>
        </w:rPr>
        <w:t>patient</w:t>
      </w:r>
      <w:r w:rsidR="0091536A" w:rsidRPr="00CA19EF">
        <w:rPr>
          <w:rFonts w:ascii="Times New Roman" w:hAnsi="Times New Roman" w:cs="Times New Roman"/>
          <w:sz w:val="24"/>
          <w:szCs w:val="24"/>
        </w:rPr>
        <w:t xml:space="preserve">s </w:t>
      </w:r>
      <w:r w:rsidRPr="00CA19EF">
        <w:rPr>
          <w:rFonts w:ascii="Times New Roman" w:hAnsi="Times New Roman" w:cs="Times New Roman"/>
          <w:sz w:val="24"/>
          <w:szCs w:val="24"/>
        </w:rPr>
        <w:lastRenderedPageBreak/>
        <w:t>who received one or more doses of study medication. The percent change in BMD from baseline to each study visit was compared using a mixed-effect repeated measures model. Relative risk ratios for new vertebral fractures were calculated using the Fisher’s exact test. Time to nonvertebral fracture was compared using the log-rank test in all participants through the entire observational period of 19 months (18 months of treatment plus 1 month of follow-up), as previously described.</w:t>
      </w:r>
      <w:r w:rsidR="003412B1" w:rsidRPr="00CA19EF">
        <w:rPr>
          <w:rFonts w:ascii="Times New Roman" w:hAnsi="Times New Roman" w:cs="Times New Roman"/>
          <w:sz w:val="24"/>
          <w:szCs w:val="24"/>
          <w:vertAlign w:val="superscript"/>
        </w:rPr>
        <w:t>6</w:t>
      </w:r>
      <w:r w:rsidRPr="00CA19EF">
        <w:rPr>
          <w:rFonts w:ascii="Times New Roman" w:hAnsi="Times New Roman" w:cs="Times New Roman"/>
          <w:sz w:val="24"/>
          <w:szCs w:val="24"/>
        </w:rPr>
        <w:t xml:space="preserve"> Hazard ratios for nonvertebral fractures were calculated using the Cox proportional hazards model</w:t>
      </w:r>
      <w:r w:rsidR="002D3D55" w:rsidRPr="00CA19EF">
        <w:rPr>
          <w:rFonts w:ascii="Times New Roman" w:hAnsi="Times New Roman" w:cs="Times New Roman"/>
          <w:sz w:val="24"/>
          <w:szCs w:val="24"/>
        </w:rPr>
        <w:t>.</w:t>
      </w:r>
      <w:r w:rsidR="00E82ADC">
        <w:rPr>
          <w:rFonts w:ascii="Times New Roman" w:hAnsi="Times New Roman" w:cs="Times New Roman"/>
          <w:sz w:val="24"/>
          <w:szCs w:val="24"/>
        </w:rPr>
        <w:t xml:space="preserve"> Since this was a hypothesis generating exploratory analysis, t</w:t>
      </w:r>
      <w:r w:rsidRPr="00CA19EF">
        <w:rPr>
          <w:rFonts w:ascii="Times New Roman" w:hAnsi="Times New Roman" w:cs="Times New Roman"/>
          <w:sz w:val="24"/>
          <w:szCs w:val="24"/>
        </w:rPr>
        <w:t>he P-values were not adjusted for multiple comparisons and were considered significant if &lt;</w:t>
      </w:r>
      <w:r w:rsidR="00721C45" w:rsidRPr="00CA19EF">
        <w:rPr>
          <w:rFonts w:ascii="Times New Roman" w:hAnsi="Times New Roman" w:cs="Times New Roman"/>
          <w:sz w:val="24"/>
          <w:szCs w:val="24"/>
        </w:rPr>
        <w:t>0</w:t>
      </w:r>
      <w:r w:rsidRPr="00CA19EF">
        <w:rPr>
          <w:rFonts w:ascii="Times New Roman" w:hAnsi="Times New Roman" w:cs="Times New Roman"/>
          <w:sz w:val="24"/>
          <w:szCs w:val="24"/>
        </w:rPr>
        <w:t>.05.</w:t>
      </w:r>
    </w:p>
    <w:p w14:paraId="15FB650E" w14:textId="77777777" w:rsidR="0047423B" w:rsidRPr="00CA19EF" w:rsidRDefault="0047423B" w:rsidP="00A3132B">
      <w:pPr>
        <w:spacing w:line="480" w:lineRule="auto"/>
        <w:rPr>
          <w:rFonts w:ascii="Times New Roman" w:hAnsi="Times New Roman" w:cs="Times New Roman"/>
          <w:sz w:val="24"/>
          <w:szCs w:val="24"/>
        </w:rPr>
      </w:pPr>
    </w:p>
    <w:p w14:paraId="686077B7" w14:textId="77777777" w:rsidR="0047423B" w:rsidRPr="00CA19EF" w:rsidRDefault="0047423B" w:rsidP="00A3132B">
      <w:pPr>
        <w:spacing w:line="480" w:lineRule="auto"/>
        <w:rPr>
          <w:rFonts w:ascii="Times New Roman" w:hAnsi="Times New Roman" w:cs="Times New Roman"/>
          <w:b/>
          <w:sz w:val="24"/>
          <w:szCs w:val="24"/>
        </w:rPr>
      </w:pPr>
      <w:r w:rsidRPr="00CA19EF">
        <w:rPr>
          <w:rFonts w:ascii="Times New Roman" w:hAnsi="Times New Roman" w:cs="Times New Roman"/>
          <w:b/>
          <w:sz w:val="24"/>
          <w:szCs w:val="24"/>
        </w:rPr>
        <w:t>Results</w:t>
      </w:r>
    </w:p>
    <w:p w14:paraId="6B462F76" w14:textId="35B008F5" w:rsidR="0047423B" w:rsidRPr="00CA19EF" w:rsidRDefault="00F22198" w:rsidP="00A3132B">
      <w:pPr>
        <w:spacing w:line="480" w:lineRule="auto"/>
        <w:rPr>
          <w:rFonts w:ascii="Times New Roman" w:hAnsi="Times New Roman" w:cs="Times New Roman"/>
          <w:sz w:val="24"/>
          <w:szCs w:val="24"/>
        </w:rPr>
      </w:pPr>
      <w:r w:rsidRPr="00CA19EF">
        <w:rPr>
          <w:rFonts w:ascii="Times New Roman" w:hAnsi="Times New Roman" w:cs="Times New Roman"/>
          <w:sz w:val="24"/>
          <w:szCs w:val="24"/>
        </w:rPr>
        <w:t>Among the 164</w:t>
      </w:r>
      <w:r w:rsidR="00D7449E" w:rsidRPr="00CA19EF">
        <w:rPr>
          <w:rFonts w:ascii="Times New Roman" w:hAnsi="Times New Roman" w:cs="Times New Roman"/>
          <w:sz w:val="24"/>
          <w:szCs w:val="24"/>
        </w:rPr>
        <w:t>5</w:t>
      </w:r>
      <w:r w:rsidRPr="00CA19EF">
        <w:rPr>
          <w:rFonts w:ascii="Times New Roman" w:hAnsi="Times New Roman" w:cs="Times New Roman"/>
          <w:sz w:val="24"/>
          <w:szCs w:val="24"/>
        </w:rPr>
        <w:t xml:space="preserve"> women in the </w:t>
      </w:r>
      <w:r w:rsidR="00D37BC7">
        <w:rPr>
          <w:rFonts w:ascii="Times New Roman" w:hAnsi="Times New Roman" w:cs="Times New Roman"/>
          <w:sz w:val="24"/>
          <w:szCs w:val="24"/>
        </w:rPr>
        <w:t>abaloparatide</w:t>
      </w:r>
      <w:r w:rsidR="008B5084" w:rsidRPr="00CA19EF">
        <w:rPr>
          <w:rFonts w:ascii="Times New Roman" w:hAnsi="Times New Roman" w:cs="Times New Roman"/>
          <w:sz w:val="24"/>
          <w:szCs w:val="24"/>
        </w:rPr>
        <w:t xml:space="preserve">-SC and placebo blinded arms of the </w:t>
      </w:r>
      <w:r w:rsidRPr="00CA19EF">
        <w:rPr>
          <w:rFonts w:ascii="Times New Roman" w:hAnsi="Times New Roman" w:cs="Times New Roman"/>
          <w:sz w:val="24"/>
          <w:szCs w:val="24"/>
        </w:rPr>
        <w:t xml:space="preserve">ACTIVE trial, </w:t>
      </w:r>
      <w:r w:rsidR="00D7449E" w:rsidRPr="00CA19EF">
        <w:rPr>
          <w:rFonts w:ascii="Times New Roman" w:hAnsi="Times New Roman" w:cs="Times New Roman"/>
          <w:sz w:val="24"/>
          <w:szCs w:val="24"/>
        </w:rPr>
        <w:t>94</w:t>
      </w:r>
      <w:r w:rsidRPr="00CA19EF">
        <w:rPr>
          <w:rFonts w:ascii="Times New Roman" w:hAnsi="Times New Roman" w:cs="Times New Roman"/>
          <w:sz w:val="24"/>
          <w:szCs w:val="24"/>
        </w:rPr>
        <w:t xml:space="preserve"> (5.7</w:t>
      </w:r>
      <w:r w:rsidR="007417A5" w:rsidRPr="00CA19EF">
        <w:rPr>
          <w:rFonts w:ascii="Times New Roman" w:hAnsi="Times New Roman" w:cs="Times New Roman"/>
          <w:sz w:val="24"/>
          <w:szCs w:val="24"/>
        </w:rPr>
        <w:t>%</w:t>
      </w:r>
      <w:r w:rsidRPr="00CA19EF">
        <w:rPr>
          <w:rFonts w:ascii="Times New Roman" w:hAnsi="Times New Roman" w:cs="Times New Roman"/>
          <w:sz w:val="24"/>
          <w:szCs w:val="24"/>
        </w:rPr>
        <w:t>) were age 80 years or older. B</w:t>
      </w:r>
      <w:r w:rsidR="0047423B" w:rsidRPr="00CA19EF">
        <w:rPr>
          <w:rFonts w:ascii="Times New Roman" w:hAnsi="Times New Roman" w:cs="Times New Roman"/>
          <w:sz w:val="24"/>
          <w:szCs w:val="24"/>
        </w:rPr>
        <w:t>aseline characteristics for the</w:t>
      </w:r>
      <w:r w:rsidRPr="00CA19EF">
        <w:rPr>
          <w:rFonts w:ascii="Times New Roman" w:hAnsi="Times New Roman" w:cs="Times New Roman"/>
          <w:sz w:val="24"/>
          <w:szCs w:val="24"/>
        </w:rPr>
        <w:t xml:space="preserve">se elderly </w:t>
      </w:r>
      <w:r w:rsidR="0091536A">
        <w:rPr>
          <w:rFonts w:ascii="Times New Roman" w:hAnsi="Times New Roman" w:cs="Times New Roman"/>
          <w:sz w:val="24"/>
          <w:szCs w:val="24"/>
        </w:rPr>
        <w:t>patient</w:t>
      </w:r>
      <w:r w:rsidR="0091536A" w:rsidRPr="00CA19EF">
        <w:rPr>
          <w:rFonts w:ascii="Times New Roman" w:hAnsi="Times New Roman" w:cs="Times New Roman"/>
          <w:sz w:val="24"/>
          <w:szCs w:val="24"/>
        </w:rPr>
        <w:t xml:space="preserve">s </w:t>
      </w:r>
      <w:r w:rsidR="0047423B" w:rsidRPr="00CA19EF">
        <w:rPr>
          <w:rFonts w:ascii="Times New Roman" w:hAnsi="Times New Roman" w:cs="Times New Roman"/>
          <w:sz w:val="24"/>
          <w:szCs w:val="24"/>
        </w:rPr>
        <w:t>and the overall population are presented in Table 1. The mean age</w:t>
      </w:r>
      <w:r w:rsidR="00D638F8" w:rsidRPr="00CA19EF">
        <w:rPr>
          <w:rFonts w:ascii="Times New Roman" w:hAnsi="Times New Roman" w:cs="Times New Roman"/>
          <w:sz w:val="24"/>
          <w:szCs w:val="24"/>
        </w:rPr>
        <w:t>s</w:t>
      </w:r>
      <w:r w:rsidR="0047423B" w:rsidRPr="00CA19EF">
        <w:rPr>
          <w:rFonts w:ascii="Times New Roman" w:hAnsi="Times New Roman" w:cs="Times New Roman"/>
          <w:sz w:val="24"/>
          <w:szCs w:val="24"/>
        </w:rPr>
        <w:t xml:space="preserve"> </w:t>
      </w:r>
      <w:r w:rsidR="0047423B" w:rsidRPr="00CA19EF">
        <w:rPr>
          <w:rFonts w:ascii="Times New Roman" w:hAnsi="Times New Roman" w:cs="Times New Roman"/>
          <w:sz w:val="24"/>
          <w:szCs w:val="24"/>
        </w:rPr>
        <w:lastRenderedPageBreak/>
        <w:t xml:space="preserve">of the </w:t>
      </w:r>
      <w:r w:rsidR="0091536A">
        <w:rPr>
          <w:rFonts w:ascii="Times New Roman" w:hAnsi="Times New Roman" w:cs="Times New Roman"/>
          <w:sz w:val="24"/>
          <w:szCs w:val="24"/>
        </w:rPr>
        <w:t>patient</w:t>
      </w:r>
      <w:r w:rsidR="0091536A" w:rsidRPr="00CA19EF">
        <w:rPr>
          <w:rFonts w:ascii="Times New Roman" w:hAnsi="Times New Roman" w:cs="Times New Roman"/>
          <w:sz w:val="24"/>
          <w:szCs w:val="24"/>
        </w:rPr>
        <w:t xml:space="preserve">s </w:t>
      </w:r>
      <w:r w:rsidRPr="00CA19EF">
        <w:rPr>
          <w:rFonts w:ascii="Times New Roman" w:hAnsi="Times New Roman" w:cs="Times New Roman"/>
          <w:sz w:val="24"/>
          <w:szCs w:val="24"/>
        </w:rPr>
        <w:t>in the elderly subgroup</w:t>
      </w:r>
      <w:r w:rsidR="0047423B" w:rsidRPr="00CA19EF">
        <w:rPr>
          <w:rFonts w:ascii="Times New Roman" w:hAnsi="Times New Roman" w:cs="Times New Roman"/>
          <w:sz w:val="24"/>
          <w:szCs w:val="24"/>
        </w:rPr>
        <w:t xml:space="preserve"> </w:t>
      </w:r>
      <w:r w:rsidR="00D638F8" w:rsidRPr="00CA19EF">
        <w:rPr>
          <w:rFonts w:ascii="Times New Roman" w:hAnsi="Times New Roman" w:cs="Times New Roman"/>
          <w:sz w:val="24"/>
          <w:szCs w:val="24"/>
        </w:rPr>
        <w:t>were</w:t>
      </w:r>
      <w:r w:rsidR="00461C03" w:rsidRPr="00CA19EF">
        <w:rPr>
          <w:rFonts w:ascii="Times New Roman" w:hAnsi="Times New Roman" w:cs="Times New Roman"/>
          <w:sz w:val="24"/>
          <w:szCs w:val="24"/>
        </w:rPr>
        <w:t xml:space="preserve"> </w:t>
      </w:r>
      <w:r w:rsidR="0047423B" w:rsidRPr="00CA19EF">
        <w:rPr>
          <w:rFonts w:ascii="Times New Roman" w:hAnsi="Times New Roman" w:cs="Times New Roman"/>
          <w:sz w:val="24"/>
          <w:szCs w:val="24"/>
        </w:rPr>
        <w:t xml:space="preserve">81.9 </w:t>
      </w:r>
      <w:r w:rsidR="00D638F8" w:rsidRPr="00CA19EF">
        <w:rPr>
          <w:rFonts w:ascii="Times New Roman" w:hAnsi="Times New Roman" w:cs="Times New Roman"/>
          <w:sz w:val="24"/>
          <w:szCs w:val="24"/>
        </w:rPr>
        <w:t xml:space="preserve">and 81.7 </w:t>
      </w:r>
      <w:r w:rsidR="0047423B" w:rsidRPr="00CA19EF">
        <w:rPr>
          <w:rFonts w:ascii="Times New Roman" w:hAnsi="Times New Roman" w:cs="Times New Roman"/>
          <w:sz w:val="24"/>
          <w:szCs w:val="24"/>
        </w:rPr>
        <w:t>years</w:t>
      </w:r>
      <w:r w:rsidR="00DA1EE8" w:rsidRPr="00CA19EF">
        <w:rPr>
          <w:rFonts w:ascii="Times New Roman" w:hAnsi="Times New Roman" w:cs="Times New Roman"/>
          <w:sz w:val="24"/>
          <w:szCs w:val="24"/>
        </w:rPr>
        <w:t xml:space="preserve"> </w:t>
      </w:r>
      <w:r w:rsidR="0047423B" w:rsidRPr="00CA19EF">
        <w:rPr>
          <w:rFonts w:ascii="Times New Roman" w:hAnsi="Times New Roman" w:cs="Times New Roman"/>
          <w:sz w:val="24"/>
          <w:szCs w:val="24"/>
        </w:rPr>
        <w:t xml:space="preserve">in the </w:t>
      </w:r>
      <w:r w:rsidR="00D638F8" w:rsidRPr="00CA19EF">
        <w:rPr>
          <w:rFonts w:ascii="Times New Roman" w:hAnsi="Times New Roman" w:cs="Times New Roman"/>
          <w:sz w:val="24"/>
          <w:szCs w:val="24"/>
        </w:rPr>
        <w:t xml:space="preserve">placebo and </w:t>
      </w:r>
      <w:r w:rsidR="00D37BC7">
        <w:rPr>
          <w:rFonts w:ascii="Times New Roman" w:hAnsi="Times New Roman" w:cs="Times New Roman"/>
          <w:sz w:val="24"/>
          <w:szCs w:val="24"/>
        </w:rPr>
        <w:t>abaloparatide</w:t>
      </w:r>
      <w:r w:rsidR="00D638F8" w:rsidRPr="00CA19EF">
        <w:rPr>
          <w:rFonts w:ascii="Times New Roman" w:hAnsi="Times New Roman" w:cs="Times New Roman"/>
          <w:sz w:val="24"/>
          <w:szCs w:val="24"/>
        </w:rPr>
        <w:t>-SC groups, respectively,</w:t>
      </w:r>
      <w:r w:rsidR="0047423B" w:rsidRPr="00CA19EF">
        <w:rPr>
          <w:rFonts w:ascii="Times New Roman" w:hAnsi="Times New Roman" w:cs="Times New Roman"/>
          <w:sz w:val="24"/>
          <w:szCs w:val="24"/>
        </w:rPr>
        <w:t xml:space="preserve"> and these </w:t>
      </w:r>
      <w:r w:rsidR="0091536A">
        <w:rPr>
          <w:rFonts w:ascii="Times New Roman" w:hAnsi="Times New Roman" w:cs="Times New Roman"/>
          <w:sz w:val="24"/>
          <w:szCs w:val="24"/>
        </w:rPr>
        <w:t>patient</w:t>
      </w:r>
      <w:r w:rsidR="0091536A" w:rsidRPr="00CA19EF">
        <w:rPr>
          <w:rFonts w:ascii="Times New Roman" w:hAnsi="Times New Roman" w:cs="Times New Roman"/>
          <w:sz w:val="24"/>
          <w:szCs w:val="24"/>
        </w:rPr>
        <w:t xml:space="preserve">s </w:t>
      </w:r>
      <w:r w:rsidR="0047423B" w:rsidRPr="00CA19EF">
        <w:rPr>
          <w:rFonts w:ascii="Times New Roman" w:hAnsi="Times New Roman" w:cs="Times New Roman"/>
          <w:sz w:val="24"/>
          <w:szCs w:val="24"/>
        </w:rPr>
        <w:t>were approximately 13 years older than those in the overall population</w:t>
      </w:r>
      <w:r w:rsidR="009B18C2" w:rsidRPr="00CA19EF">
        <w:rPr>
          <w:rFonts w:ascii="Times New Roman" w:hAnsi="Times New Roman" w:cs="Times New Roman"/>
          <w:sz w:val="24"/>
          <w:szCs w:val="24"/>
        </w:rPr>
        <w:t xml:space="preserve"> at baseline</w:t>
      </w:r>
      <w:r w:rsidR="0047423B" w:rsidRPr="00CA19EF">
        <w:rPr>
          <w:rFonts w:ascii="Times New Roman" w:hAnsi="Times New Roman" w:cs="Times New Roman"/>
          <w:sz w:val="24"/>
          <w:szCs w:val="24"/>
        </w:rPr>
        <w:t xml:space="preserve">. </w:t>
      </w:r>
      <w:r w:rsidR="00601D58" w:rsidRPr="00CA19EF">
        <w:rPr>
          <w:rFonts w:ascii="Times New Roman" w:hAnsi="Times New Roman" w:cs="Times New Roman"/>
          <w:sz w:val="24"/>
          <w:szCs w:val="24"/>
        </w:rPr>
        <w:t>As expected, t</w:t>
      </w:r>
      <w:r w:rsidR="0047423B" w:rsidRPr="00CA19EF">
        <w:rPr>
          <w:rFonts w:ascii="Times New Roman" w:hAnsi="Times New Roman" w:cs="Times New Roman"/>
          <w:sz w:val="24"/>
          <w:szCs w:val="24"/>
        </w:rPr>
        <w:t xml:space="preserve">he BMD T-scores at the total hip and femoral neck were slightly lower in the older age cohort than in the overall population. </w:t>
      </w:r>
      <w:r w:rsidR="00601D58" w:rsidRPr="00CA19EF">
        <w:rPr>
          <w:rFonts w:ascii="Times New Roman" w:hAnsi="Times New Roman" w:cs="Times New Roman"/>
          <w:sz w:val="24"/>
          <w:szCs w:val="24"/>
        </w:rPr>
        <w:t>Consistent with t</w:t>
      </w:r>
      <w:r w:rsidR="004A2148">
        <w:rPr>
          <w:rFonts w:ascii="Times New Roman" w:hAnsi="Times New Roman" w:cs="Times New Roman"/>
          <w:sz w:val="24"/>
          <w:szCs w:val="24"/>
        </w:rPr>
        <w:t>he</w:t>
      </w:r>
      <w:r w:rsidR="00601D58" w:rsidRPr="00CA19EF">
        <w:rPr>
          <w:rFonts w:ascii="Times New Roman" w:hAnsi="Times New Roman" w:cs="Times New Roman"/>
          <w:sz w:val="24"/>
          <w:szCs w:val="24"/>
        </w:rPr>
        <w:t xml:space="preserve"> inclusion criterion</w:t>
      </w:r>
      <w:r w:rsidR="004A2148">
        <w:rPr>
          <w:rFonts w:ascii="Times New Roman" w:hAnsi="Times New Roman" w:cs="Times New Roman"/>
          <w:sz w:val="24"/>
          <w:szCs w:val="24"/>
        </w:rPr>
        <w:t xml:space="preserve"> for women &gt;65 years of age</w:t>
      </w:r>
      <w:r w:rsidR="00601D58" w:rsidRPr="00CA19EF">
        <w:rPr>
          <w:rFonts w:ascii="Times New Roman" w:hAnsi="Times New Roman" w:cs="Times New Roman"/>
          <w:sz w:val="24"/>
          <w:szCs w:val="24"/>
        </w:rPr>
        <w:t>, f</w:t>
      </w:r>
      <w:r w:rsidR="00A25E69" w:rsidRPr="00CA19EF">
        <w:rPr>
          <w:rFonts w:ascii="Times New Roman" w:hAnsi="Times New Roman" w:cs="Times New Roman"/>
          <w:sz w:val="24"/>
          <w:szCs w:val="24"/>
        </w:rPr>
        <w:t xml:space="preserve">ewer elderly patients reported having a nonvertebral fracture within 5 years </w:t>
      </w:r>
      <w:r w:rsidR="00601D58" w:rsidRPr="00CA19EF">
        <w:rPr>
          <w:rFonts w:ascii="Times New Roman" w:hAnsi="Times New Roman" w:cs="Times New Roman"/>
          <w:sz w:val="24"/>
          <w:szCs w:val="24"/>
        </w:rPr>
        <w:t xml:space="preserve">prior to </w:t>
      </w:r>
      <w:r w:rsidR="00A25E69" w:rsidRPr="00CA19EF">
        <w:rPr>
          <w:rFonts w:ascii="Times New Roman" w:hAnsi="Times New Roman" w:cs="Times New Roman"/>
          <w:sz w:val="24"/>
          <w:szCs w:val="24"/>
        </w:rPr>
        <w:t>enrollment</w:t>
      </w:r>
      <w:r w:rsidR="00D2687C">
        <w:rPr>
          <w:rFonts w:ascii="Times New Roman" w:hAnsi="Times New Roman" w:cs="Times New Roman"/>
          <w:sz w:val="24"/>
          <w:szCs w:val="24"/>
        </w:rPr>
        <w:t>.</w:t>
      </w:r>
      <w:r w:rsidR="00902D0B">
        <w:rPr>
          <w:rFonts w:ascii="Times New Roman" w:hAnsi="Times New Roman" w:cs="Times New Roman"/>
          <w:sz w:val="24"/>
          <w:szCs w:val="24"/>
        </w:rPr>
        <w:t xml:space="preserve"> </w:t>
      </w:r>
      <w:r w:rsidR="009809CB" w:rsidRPr="00CA19EF">
        <w:rPr>
          <w:rFonts w:ascii="Times New Roman" w:hAnsi="Times New Roman" w:cs="Times New Roman"/>
          <w:sz w:val="24"/>
          <w:szCs w:val="24"/>
        </w:rPr>
        <w:t xml:space="preserve">The </w:t>
      </w:r>
      <w:r w:rsidR="0047423B" w:rsidRPr="00CA19EF">
        <w:rPr>
          <w:rFonts w:ascii="Times New Roman" w:hAnsi="Times New Roman" w:cs="Times New Roman"/>
          <w:sz w:val="24"/>
          <w:szCs w:val="24"/>
        </w:rPr>
        <w:t xml:space="preserve">baseline characteristics were well-matched </w:t>
      </w:r>
      <w:r w:rsidR="00D81D02" w:rsidRPr="00CA19EF">
        <w:rPr>
          <w:rFonts w:ascii="Times New Roman" w:hAnsi="Times New Roman" w:cs="Times New Roman"/>
          <w:sz w:val="24"/>
          <w:szCs w:val="24"/>
        </w:rPr>
        <w:t>between</w:t>
      </w:r>
      <w:r w:rsidR="009B18C2" w:rsidRPr="00CA19EF">
        <w:rPr>
          <w:rFonts w:ascii="Times New Roman" w:hAnsi="Times New Roman" w:cs="Times New Roman"/>
          <w:sz w:val="24"/>
          <w:szCs w:val="24"/>
        </w:rPr>
        <w:t xml:space="preserve"> </w:t>
      </w:r>
      <w:r w:rsidR="0047423B" w:rsidRPr="00CA19EF">
        <w:rPr>
          <w:rFonts w:ascii="Times New Roman" w:hAnsi="Times New Roman" w:cs="Times New Roman"/>
          <w:sz w:val="24"/>
          <w:szCs w:val="24"/>
        </w:rPr>
        <w:t>treatment groups</w:t>
      </w:r>
      <w:r w:rsidR="009809CB" w:rsidRPr="00CA19EF">
        <w:rPr>
          <w:rFonts w:ascii="Times New Roman" w:hAnsi="Times New Roman" w:cs="Times New Roman"/>
          <w:sz w:val="24"/>
          <w:szCs w:val="24"/>
        </w:rPr>
        <w:t>, with no statistically significant differences.</w:t>
      </w:r>
    </w:p>
    <w:p w14:paraId="7E97BF98" w14:textId="77777777" w:rsidR="0047423B" w:rsidRPr="00CA19EF" w:rsidRDefault="0047423B" w:rsidP="00A3132B">
      <w:pPr>
        <w:spacing w:line="480" w:lineRule="auto"/>
        <w:rPr>
          <w:rFonts w:ascii="Times New Roman" w:hAnsi="Times New Roman" w:cs="Times New Roman"/>
          <w:sz w:val="24"/>
          <w:szCs w:val="24"/>
        </w:rPr>
      </w:pPr>
    </w:p>
    <w:p w14:paraId="1E9E22A2" w14:textId="69C68E8E" w:rsidR="00732F1E" w:rsidRPr="00CA19EF" w:rsidRDefault="00754E72" w:rsidP="00A3132B">
      <w:pPr>
        <w:spacing w:line="480" w:lineRule="auto"/>
        <w:rPr>
          <w:rFonts w:ascii="Times New Roman" w:hAnsi="Times New Roman" w:cs="Times New Roman"/>
          <w:sz w:val="24"/>
          <w:szCs w:val="24"/>
        </w:rPr>
      </w:pPr>
      <w:r>
        <w:rPr>
          <w:rFonts w:ascii="Times New Roman" w:hAnsi="Times New Roman" w:cs="Times New Roman"/>
          <w:sz w:val="24"/>
          <w:szCs w:val="24"/>
        </w:rPr>
        <w:t>C</w:t>
      </w:r>
      <w:r w:rsidR="0047423B" w:rsidRPr="00CA19EF">
        <w:rPr>
          <w:rFonts w:ascii="Times New Roman" w:hAnsi="Times New Roman" w:cs="Times New Roman"/>
          <w:sz w:val="24"/>
          <w:szCs w:val="24"/>
        </w:rPr>
        <w:t>hanges in BMD over the 18-month treatment period are shown in Figure 1. In th</w:t>
      </w:r>
      <w:r w:rsidR="00AF7C1B">
        <w:rPr>
          <w:rFonts w:ascii="Times New Roman" w:hAnsi="Times New Roman" w:cs="Times New Roman"/>
          <w:sz w:val="24"/>
          <w:szCs w:val="24"/>
        </w:rPr>
        <w:t>is</w:t>
      </w:r>
      <w:r w:rsidR="0047423B" w:rsidRPr="00CA19EF">
        <w:rPr>
          <w:rFonts w:ascii="Times New Roman" w:hAnsi="Times New Roman" w:cs="Times New Roman"/>
          <w:sz w:val="24"/>
          <w:szCs w:val="24"/>
        </w:rPr>
        <w:t xml:space="preserve"> older age group treated with </w:t>
      </w:r>
      <w:r w:rsidR="00D37BC7">
        <w:rPr>
          <w:rFonts w:ascii="Times New Roman" w:hAnsi="Times New Roman" w:cs="Times New Roman"/>
          <w:sz w:val="24"/>
          <w:szCs w:val="24"/>
        </w:rPr>
        <w:t>abaloparatide</w:t>
      </w:r>
      <w:r w:rsidR="0047423B" w:rsidRPr="00CA19EF">
        <w:rPr>
          <w:rFonts w:ascii="Times New Roman" w:hAnsi="Times New Roman" w:cs="Times New Roman"/>
          <w:sz w:val="24"/>
          <w:szCs w:val="24"/>
        </w:rPr>
        <w:t>-SC the increase in BMD at the total hip was significant a</w:t>
      </w:r>
      <w:r w:rsidR="004234EA" w:rsidRPr="00CA19EF">
        <w:rPr>
          <w:rFonts w:ascii="Times New Roman" w:hAnsi="Times New Roman" w:cs="Times New Roman"/>
          <w:sz w:val="24"/>
          <w:szCs w:val="24"/>
        </w:rPr>
        <w:t>t the first post</w:t>
      </w:r>
      <w:r w:rsidR="00180217">
        <w:rPr>
          <w:rFonts w:ascii="Times New Roman" w:hAnsi="Times New Roman" w:cs="Times New Roman"/>
          <w:sz w:val="24"/>
          <w:szCs w:val="24"/>
        </w:rPr>
        <w:t>-</w:t>
      </w:r>
      <w:r w:rsidR="004234EA" w:rsidRPr="00CA19EF">
        <w:rPr>
          <w:rFonts w:ascii="Times New Roman" w:hAnsi="Times New Roman" w:cs="Times New Roman"/>
          <w:sz w:val="24"/>
          <w:szCs w:val="24"/>
        </w:rPr>
        <w:t>baseline measurement at</w:t>
      </w:r>
      <w:r w:rsidR="0047423B" w:rsidRPr="00CA19EF">
        <w:rPr>
          <w:rFonts w:ascii="Times New Roman" w:hAnsi="Times New Roman" w:cs="Times New Roman"/>
          <w:sz w:val="24"/>
          <w:szCs w:val="24"/>
        </w:rPr>
        <w:t xml:space="preserve"> 6 months (2.0% [95% CI, 1.2% to 2.8%]; P &lt; </w:t>
      </w:r>
      <w:r w:rsidR="00721C45" w:rsidRPr="00CA19EF">
        <w:rPr>
          <w:rFonts w:ascii="Times New Roman" w:hAnsi="Times New Roman" w:cs="Times New Roman"/>
          <w:sz w:val="24"/>
          <w:szCs w:val="24"/>
        </w:rPr>
        <w:t>0</w:t>
      </w:r>
      <w:r w:rsidR="0047423B" w:rsidRPr="00CA19EF">
        <w:rPr>
          <w:rFonts w:ascii="Times New Roman" w:hAnsi="Times New Roman" w:cs="Times New Roman"/>
          <w:sz w:val="24"/>
          <w:szCs w:val="24"/>
        </w:rPr>
        <w:t>.01</w:t>
      </w:r>
      <w:r w:rsidR="0011633B" w:rsidRPr="00CA19EF">
        <w:rPr>
          <w:rFonts w:ascii="Times New Roman" w:hAnsi="Times New Roman" w:cs="Times New Roman"/>
          <w:sz w:val="24"/>
          <w:szCs w:val="24"/>
        </w:rPr>
        <w:t xml:space="preserve"> compared to placebo</w:t>
      </w:r>
      <w:r w:rsidR="0047423B" w:rsidRPr="00CA19EF">
        <w:rPr>
          <w:rFonts w:ascii="Times New Roman" w:hAnsi="Times New Roman" w:cs="Times New Roman"/>
          <w:sz w:val="24"/>
          <w:szCs w:val="24"/>
        </w:rPr>
        <w:t xml:space="preserve">). After 18 months of treatment with </w:t>
      </w:r>
      <w:r w:rsidR="003C36DC">
        <w:rPr>
          <w:rFonts w:ascii="Times New Roman" w:hAnsi="Times New Roman" w:cs="Times New Roman"/>
          <w:sz w:val="24"/>
          <w:szCs w:val="24"/>
        </w:rPr>
        <w:t>abaloparatide</w:t>
      </w:r>
      <w:r w:rsidR="0047423B" w:rsidRPr="00CA19EF">
        <w:rPr>
          <w:rFonts w:ascii="Times New Roman" w:hAnsi="Times New Roman" w:cs="Times New Roman"/>
          <w:sz w:val="24"/>
          <w:szCs w:val="24"/>
        </w:rPr>
        <w:t>-SC, the increase</w:t>
      </w:r>
      <w:r w:rsidR="00D638F8" w:rsidRPr="00CA19EF">
        <w:rPr>
          <w:rFonts w:ascii="Times New Roman" w:hAnsi="Times New Roman" w:cs="Times New Roman"/>
          <w:sz w:val="24"/>
          <w:szCs w:val="24"/>
        </w:rPr>
        <w:t>s</w:t>
      </w:r>
      <w:r w:rsidR="00721C45" w:rsidRPr="00CA19EF">
        <w:rPr>
          <w:rFonts w:ascii="Times New Roman" w:hAnsi="Times New Roman" w:cs="Times New Roman"/>
          <w:sz w:val="24"/>
          <w:szCs w:val="24"/>
        </w:rPr>
        <w:t xml:space="preserve"> </w:t>
      </w:r>
      <w:r w:rsidR="0047423B" w:rsidRPr="00CA19EF">
        <w:rPr>
          <w:rFonts w:ascii="Times New Roman" w:hAnsi="Times New Roman" w:cs="Times New Roman"/>
          <w:sz w:val="24"/>
          <w:szCs w:val="24"/>
        </w:rPr>
        <w:t>in BMD from baseline w</w:t>
      </w:r>
      <w:r w:rsidR="00D638F8" w:rsidRPr="00CA19EF">
        <w:rPr>
          <w:rFonts w:ascii="Times New Roman" w:hAnsi="Times New Roman" w:cs="Times New Roman"/>
          <w:sz w:val="24"/>
          <w:szCs w:val="24"/>
        </w:rPr>
        <w:t>ere</w:t>
      </w:r>
      <w:r w:rsidR="0047423B" w:rsidRPr="00CA19EF">
        <w:rPr>
          <w:rFonts w:ascii="Times New Roman" w:hAnsi="Times New Roman" w:cs="Times New Roman"/>
          <w:sz w:val="24"/>
          <w:szCs w:val="24"/>
        </w:rPr>
        <w:t xml:space="preserve"> 3.</w:t>
      </w:r>
      <w:r w:rsidR="000B01D4">
        <w:rPr>
          <w:rFonts w:ascii="Times New Roman" w:hAnsi="Times New Roman" w:cs="Times New Roman"/>
          <w:sz w:val="24"/>
          <w:szCs w:val="24"/>
        </w:rPr>
        <w:t>9</w:t>
      </w:r>
      <w:r w:rsidR="0047423B" w:rsidRPr="00CA19EF">
        <w:rPr>
          <w:rFonts w:ascii="Times New Roman" w:hAnsi="Times New Roman" w:cs="Times New Roman"/>
          <w:sz w:val="24"/>
          <w:szCs w:val="24"/>
        </w:rPr>
        <w:t>%</w:t>
      </w:r>
      <w:r w:rsidR="002C46A5" w:rsidRPr="00CA19EF">
        <w:rPr>
          <w:rFonts w:ascii="Times New Roman" w:hAnsi="Times New Roman" w:cs="Times New Roman"/>
          <w:sz w:val="24"/>
          <w:szCs w:val="24"/>
        </w:rPr>
        <w:t xml:space="preserve"> </w:t>
      </w:r>
      <w:r w:rsidR="0047423B" w:rsidRPr="00CA19EF">
        <w:rPr>
          <w:rFonts w:ascii="Times New Roman" w:hAnsi="Times New Roman" w:cs="Times New Roman"/>
          <w:sz w:val="24"/>
          <w:szCs w:val="24"/>
        </w:rPr>
        <w:t>[95% CI, 2.5% to 5.</w:t>
      </w:r>
      <w:r w:rsidR="000B01D4">
        <w:rPr>
          <w:rFonts w:ascii="Times New Roman" w:hAnsi="Times New Roman" w:cs="Times New Roman"/>
          <w:sz w:val="24"/>
          <w:szCs w:val="24"/>
        </w:rPr>
        <w:t>2</w:t>
      </w:r>
      <w:r w:rsidR="0047423B" w:rsidRPr="00CA19EF">
        <w:rPr>
          <w:rFonts w:ascii="Times New Roman" w:hAnsi="Times New Roman" w:cs="Times New Roman"/>
          <w:sz w:val="24"/>
          <w:szCs w:val="24"/>
        </w:rPr>
        <w:t>%]</w:t>
      </w:r>
      <w:r w:rsidR="00040557" w:rsidRPr="00CA19EF">
        <w:rPr>
          <w:rFonts w:ascii="Times New Roman" w:hAnsi="Times New Roman" w:cs="Times New Roman"/>
          <w:sz w:val="24"/>
          <w:szCs w:val="24"/>
        </w:rPr>
        <w:t>,</w:t>
      </w:r>
      <w:r w:rsidR="0047423B" w:rsidRPr="00CA19EF">
        <w:rPr>
          <w:rFonts w:ascii="Times New Roman" w:hAnsi="Times New Roman" w:cs="Times New Roman"/>
          <w:sz w:val="24"/>
          <w:szCs w:val="24"/>
        </w:rPr>
        <w:t xml:space="preserve"> P &lt; </w:t>
      </w:r>
      <w:r w:rsidR="00721C45" w:rsidRPr="00CA19EF">
        <w:rPr>
          <w:rFonts w:ascii="Times New Roman" w:hAnsi="Times New Roman" w:cs="Times New Roman"/>
          <w:sz w:val="24"/>
          <w:szCs w:val="24"/>
        </w:rPr>
        <w:lastRenderedPageBreak/>
        <w:t>0</w:t>
      </w:r>
      <w:r w:rsidR="0047423B" w:rsidRPr="00CA19EF">
        <w:rPr>
          <w:rFonts w:ascii="Times New Roman" w:hAnsi="Times New Roman" w:cs="Times New Roman"/>
          <w:sz w:val="24"/>
          <w:szCs w:val="24"/>
        </w:rPr>
        <w:t xml:space="preserve">.001 </w:t>
      </w:r>
      <w:r w:rsidR="0011633B" w:rsidRPr="00CA19EF">
        <w:rPr>
          <w:rFonts w:ascii="Times New Roman" w:hAnsi="Times New Roman" w:cs="Times New Roman"/>
          <w:sz w:val="24"/>
          <w:szCs w:val="24"/>
        </w:rPr>
        <w:t xml:space="preserve">compared to placebo </w:t>
      </w:r>
      <w:r w:rsidR="00732F1E" w:rsidRPr="00CA19EF">
        <w:rPr>
          <w:rFonts w:ascii="Times New Roman" w:hAnsi="Times New Roman" w:cs="Times New Roman"/>
          <w:sz w:val="24"/>
          <w:szCs w:val="24"/>
        </w:rPr>
        <w:t>at the total hip</w:t>
      </w:r>
      <w:r w:rsidR="00040557" w:rsidRPr="00CA19EF">
        <w:rPr>
          <w:rFonts w:ascii="Times New Roman" w:hAnsi="Times New Roman" w:cs="Times New Roman"/>
          <w:sz w:val="24"/>
          <w:szCs w:val="24"/>
        </w:rPr>
        <w:t>;</w:t>
      </w:r>
      <w:r w:rsidR="00D638F8" w:rsidRPr="00CA19EF">
        <w:rPr>
          <w:rFonts w:ascii="Times New Roman" w:hAnsi="Times New Roman" w:cs="Times New Roman"/>
          <w:sz w:val="24"/>
          <w:szCs w:val="24"/>
        </w:rPr>
        <w:t xml:space="preserve"> </w:t>
      </w:r>
      <w:r w:rsidR="0047423B" w:rsidRPr="00CA19EF">
        <w:rPr>
          <w:rFonts w:ascii="Times New Roman" w:hAnsi="Times New Roman" w:cs="Times New Roman"/>
          <w:sz w:val="24"/>
          <w:szCs w:val="24"/>
        </w:rPr>
        <w:t xml:space="preserve">3.6% [95% CI, 2.2% to 5.0%], P &lt; </w:t>
      </w:r>
      <w:r w:rsidR="00721C45" w:rsidRPr="00CA19EF">
        <w:rPr>
          <w:rFonts w:ascii="Times New Roman" w:hAnsi="Times New Roman" w:cs="Times New Roman"/>
          <w:sz w:val="24"/>
          <w:szCs w:val="24"/>
        </w:rPr>
        <w:t>0</w:t>
      </w:r>
      <w:r w:rsidR="0047423B" w:rsidRPr="00CA19EF">
        <w:rPr>
          <w:rFonts w:ascii="Times New Roman" w:hAnsi="Times New Roman" w:cs="Times New Roman"/>
          <w:sz w:val="24"/>
          <w:szCs w:val="24"/>
        </w:rPr>
        <w:t xml:space="preserve">.01 </w:t>
      </w:r>
      <w:r w:rsidR="0011633B" w:rsidRPr="00CA19EF">
        <w:rPr>
          <w:rFonts w:ascii="Times New Roman" w:hAnsi="Times New Roman" w:cs="Times New Roman"/>
          <w:sz w:val="24"/>
          <w:szCs w:val="24"/>
        </w:rPr>
        <w:t xml:space="preserve">compared to placebo </w:t>
      </w:r>
      <w:r w:rsidR="00732F1E" w:rsidRPr="00CA19EF">
        <w:rPr>
          <w:rFonts w:ascii="Times New Roman" w:hAnsi="Times New Roman" w:cs="Times New Roman"/>
          <w:sz w:val="24"/>
          <w:szCs w:val="24"/>
        </w:rPr>
        <w:t>at</w:t>
      </w:r>
      <w:r w:rsidR="00D638F8" w:rsidRPr="00CA19EF">
        <w:rPr>
          <w:rFonts w:ascii="Times New Roman" w:hAnsi="Times New Roman" w:cs="Times New Roman"/>
          <w:sz w:val="24"/>
          <w:szCs w:val="24"/>
        </w:rPr>
        <w:t xml:space="preserve"> the femoral neck</w:t>
      </w:r>
      <w:r w:rsidR="00040557" w:rsidRPr="00CA19EF">
        <w:rPr>
          <w:rFonts w:ascii="Times New Roman" w:hAnsi="Times New Roman" w:cs="Times New Roman"/>
          <w:sz w:val="24"/>
          <w:szCs w:val="24"/>
        </w:rPr>
        <w:t>;</w:t>
      </w:r>
      <w:r w:rsidR="00D638F8" w:rsidRPr="00CA19EF">
        <w:rPr>
          <w:rFonts w:ascii="Times New Roman" w:hAnsi="Times New Roman" w:cs="Times New Roman"/>
          <w:sz w:val="24"/>
          <w:szCs w:val="24"/>
        </w:rPr>
        <w:t xml:space="preserve"> and </w:t>
      </w:r>
      <w:r w:rsidR="0047423B" w:rsidRPr="00CA19EF">
        <w:rPr>
          <w:rFonts w:ascii="Times New Roman" w:hAnsi="Times New Roman" w:cs="Times New Roman"/>
          <w:sz w:val="24"/>
          <w:szCs w:val="24"/>
        </w:rPr>
        <w:t>12.</w:t>
      </w:r>
      <w:r w:rsidR="00732F1E" w:rsidRPr="00CA19EF">
        <w:rPr>
          <w:rFonts w:ascii="Times New Roman" w:hAnsi="Times New Roman" w:cs="Times New Roman"/>
          <w:sz w:val="24"/>
          <w:szCs w:val="24"/>
        </w:rPr>
        <w:t>1</w:t>
      </w:r>
      <w:r w:rsidR="0047423B" w:rsidRPr="00CA19EF">
        <w:rPr>
          <w:rFonts w:ascii="Times New Roman" w:hAnsi="Times New Roman" w:cs="Times New Roman"/>
          <w:sz w:val="24"/>
          <w:szCs w:val="24"/>
        </w:rPr>
        <w:t>% [95% CI, 9.3% to 14.</w:t>
      </w:r>
      <w:r w:rsidR="000B01D4">
        <w:rPr>
          <w:rFonts w:ascii="Times New Roman" w:hAnsi="Times New Roman" w:cs="Times New Roman"/>
          <w:sz w:val="24"/>
          <w:szCs w:val="24"/>
        </w:rPr>
        <w:t>9</w:t>
      </w:r>
      <w:r w:rsidR="0047423B" w:rsidRPr="00CA19EF">
        <w:rPr>
          <w:rFonts w:ascii="Times New Roman" w:hAnsi="Times New Roman" w:cs="Times New Roman"/>
          <w:sz w:val="24"/>
          <w:szCs w:val="24"/>
        </w:rPr>
        <w:t xml:space="preserve">%], P &lt; </w:t>
      </w:r>
      <w:r w:rsidR="00721C45" w:rsidRPr="00CA19EF">
        <w:rPr>
          <w:rFonts w:ascii="Times New Roman" w:hAnsi="Times New Roman" w:cs="Times New Roman"/>
          <w:sz w:val="24"/>
          <w:szCs w:val="24"/>
        </w:rPr>
        <w:t>0</w:t>
      </w:r>
      <w:r w:rsidR="0047423B" w:rsidRPr="00CA19EF">
        <w:rPr>
          <w:rFonts w:ascii="Times New Roman" w:hAnsi="Times New Roman" w:cs="Times New Roman"/>
          <w:sz w:val="24"/>
          <w:szCs w:val="24"/>
        </w:rPr>
        <w:t xml:space="preserve">.001 </w:t>
      </w:r>
      <w:r w:rsidR="0011633B" w:rsidRPr="00CA19EF">
        <w:rPr>
          <w:rFonts w:ascii="Times New Roman" w:hAnsi="Times New Roman" w:cs="Times New Roman"/>
          <w:sz w:val="24"/>
          <w:szCs w:val="24"/>
        </w:rPr>
        <w:t xml:space="preserve">compared to placebo </w:t>
      </w:r>
      <w:r w:rsidR="00D638F8" w:rsidRPr="00CA19EF">
        <w:rPr>
          <w:rFonts w:ascii="Times New Roman" w:hAnsi="Times New Roman" w:cs="Times New Roman"/>
          <w:sz w:val="24"/>
          <w:szCs w:val="24"/>
        </w:rPr>
        <w:t xml:space="preserve">at the </w:t>
      </w:r>
      <w:r w:rsidR="00732F1E" w:rsidRPr="00CA19EF">
        <w:rPr>
          <w:rFonts w:ascii="Times New Roman" w:hAnsi="Times New Roman" w:cs="Times New Roman"/>
          <w:sz w:val="24"/>
          <w:szCs w:val="24"/>
        </w:rPr>
        <w:t>lumbar spine</w:t>
      </w:r>
      <w:r w:rsidR="00D638F8" w:rsidRPr="00CA19EF">
        <w:rPr>
          <w:rFonts w:ascii="Times New Roman" w:hAnsi="Times New Roman" w:cs="Times New Roman"/>
          <w:sz w:val="24"/>
          <w:szCs w:val="24"/>
        </w:rPr>
        <w:t>.</w:t>
      </w:r>
      <w:r w:rsidR="00AF7C1B">
        <w:rPr>
          <w:rFonts w:ascii="Times New Roman" w:hAnsi="Times New Roman" w:cs="Times New Roman"/>
          <w:sz w:val="24"/>
          <w:szCs w:val="24"/>
        </w:rPr>
        <w:t xml:space="preserve"> </w:t>
      </w:r>
      <w:r w:rsidR="00AF7C1B" w:rsidRPr="00CA19EF">
        <w:rPr>
          <w:rFonts w:ascii="Times New Roman" w:hAnsi="Times New Roman" w:cs="Times New Roman"/>
          <w:sz w:val="24"/>
          <w:szCs w:val="24"/>
        </w:rPr>
        <w:t xml:space="preserve">These increases in BMD from baseline in the </w:t>
      </w:r>
      <w:r w:rsidR="00AF7C1B">
        <w:rPr>
          <w:rFonts w:ascii="Times New Roman" w:hAnsi="Times New Roman" w:cs="Times New Roman"/>
          <w:sz w:val="24"/>
          <w:szCs w:val="24"/>
        </w:rPr>
        <w:t>patient</w:t>
      </w:r>
      <w:r w:rsidR="00AF7C1B" w:rsidRPr="00CA19EF">
        <w:rPr>
          <w:rFonts w:ascii="Times New Roman" w:hAnsi="Times New Roman" w:cs="Times New Roman"/>
          <w:sz w:val="24"/>
          <w:szCs w:val="24"/>
        </w:rPr>
        <w:t xml:space="preserve">s aged </w:t>
      </w:r>
      <w:r w:rsidR="00AF7C1B" w:rsidRPr="00CA19EF">
        <w:rPr>
          <w:rFonts w:ascii="Times New Roman" w:hAnsi="Times New Roman" w:cs="Times New Roman"/>
          <w:sz w:val="24"/>
          <w:szCs w:val="24"/>
          <w:u w:val="single"/>
        </w:rPr>
        <w:t>&gt;</w:t>
      </w:r>
      <w:r w:rsidR="00AF7C1B" w:rsidRPr="00CA19EF">
        <w:rPr>
          <w:rFonts w:ascii="Times New Roman" w:hAnsi="Times New Roman" w:cs="Times New Roman"/>
          <w:sz w:val="24"/>
          <w:szCs w:val="24"/>
        </w:rPr>
        <w:t xml:space="preserve">80 years were similar to those </w:t>
      </w:r>
      <w:r w:rsidR="00FD6F39">
        <w:rPr>
          <w:rFonts w:ascii="Times New Roman" w:hAnsi="Times New Roman" w:cs="Times New Roman"/>
          <w:sz w:val="24"/>
          <w:szCs w:val="24"/>
        </w:rPr>
        <w:t>reported for</w:t>
      </w:r>
      <w:r w:rsidR="00AF7C1B" w:rsidRPr="00CA19EF">
        <w:rPr>
          <w:rFonts w:ascii="Times New Roman" w:hAnsi="Times New Roman" w:cs="Times New Roman"/>
          <w:sz w:val="24"/>
          <w:szCs w:val="24"/>
        </w:rPr>
        <w:t xml:space="preserve"> the overall population</w:t>
      </w:r>
      <w:r w:rsidR="001A2977">
        <w:rPr>
          <w:rFonts w:ascii="Times New Roman" w:hAnsi="Times New Roman" w:cs="Times New Roman"/>
          <w:sz w:val="24"/>
          <w:szCs w:val="24"/>
        </w:rPr>
        <w:t xml:space="preserve">, </w:t>
      </w:r>
      <w:r w:rsidR="00750297">
        <w:rPr>
          <w:rFonts w:ascii="Times New Roman" w:hAnsi="Times New Roman" w:cs="Times New Roman"/>
          <w:sz w:val="24"/>
          <w:szCs w:val="24"/>
        </w:rPr>
        <w:t>with</w:t>
      </w:r>
      <w:r w:rsidR="00FD6F39">
        <w:rPr>
          <w:rFonts w:ascii="Times New Roman" w:hAnsi="Times New Roman" w:cs="Times New Roman"/>
          <w:sz w:val="24"/>
          <w:szCs w:val="24"/>
        </w:rPr>
        <w:t xml:space="preserve"> BMD increases from baseline at 6 months </w:t>
      </w:r>
      <w:r w:rsidR="00750297">
        <w:rPr>
          <w:rFonts w:ascii="Times New Roman" w:hAnsi="Times New Roman" w:cs="Times New Roman"/>
          <w:sz w:val="24"/>
          <w:szCs w:val="24"/>
        </w:rPr>
        <w:t>of</w:t>
      </w:r>
      <w:r w:rsidR="00FD6F39">
        <w:rPr>
          <w:rFonts w:ascii="Times New Roman" w:hAnsi="Times New Roman" w:cs="Times New Roman"/>
          <w:sz w:val="24"/>
          <w:szCs w:val="24"/>
        </w:rPr>
        <w:t xml:space="preserve"> 2.3% at the total hip, and at 18 months </w:t>
      </w:r>
      <w:r w:rsidR="00750297">
        <w:rPr>
          <w:rFonts w:ascii="Times New Roman" w:hAnsi="Times New Roman" w:cs="Times New Roman"/>
          <w:sz w:val="24"/>
          <w:szCs w:val="24"/>
        </w:rPr>
        <w:t>of</w:t>
      </w:r>
      <w:r w:rsidR="00FD6F39">
        <w:rPr>
          <w:rFonts w:ascii="Times New Roman" w:hAnsi="Times New Roman" w:cs="Times New Roman"/>
          <w:sz w:val="24"/>
          <w:szCs w:val="24"/>
        </w:rPr>
        <w:t xml:space="preserve"> </w:t>
      </w:r>
      <w:r w:rsidR="001A2977">
        <w:rPr>
          <w:rFonts w:ascii="Times New Roman" w:hAnsi="Times New Roman" w:cs="Times New Roman"/>
          <w:sz w:val="24"/>
          <w:szCs w:val="24"/>
        </w:rPr>
        <w:t>4.18% at the total hip, 3.6% at the femoral neck, 11.2% at the lumbar spine</w:t>
      </w:r>
      <w:r w:rsidR="00AF7C1B" w:rsidRPr="00CA19EF">
        <w:rPr>
          <w:rFonts w:ascii="Times New Roman" w:hAnsi="Times New Roman" w:cs="Times New Roman"/>
          <w:sz w:val="24"/>
          <w:szCs w:val="24"/>
        </w:rPr>
        <w:t>.</w:t>
      </w:r>
      <w:r w:rsidR="00AF7C1B" w:rsidRPr="00CA19EF">
        <w:rPr>
          <w:rFonts w:ascii="Times New Roman" w:hAnsi="Times New Roman" w:cs="Times New Roman"/>
          <w:sz w:val="24"/>
          <w:szCs w:val="24"/>
          <w:vertAlign w:val="superscript"/>
        </w:rPr>
        <w:t>6</w:t>
      </w:r>
    </w:p>
    <w:p w14:paraId="1B5172EA" w14:textId="77777777" w:rsidR="0047423B" w:rsidRPr="00CA19EF" w:rsidRDefault="0047423B" w:rsidP="00A3132B">
      <w:pPr>
        <w:spacing w:line="480" w:lineRule="auto"/>
        <w:rPr>
          <w:rFonts w:ascii="Times New Roman" w:hAnsi="Times New Roman" w:cs="Times New Roman"/>
          <w:sz w:val="24"/>
          <w:szCs w:val="24"/>
        </w:rPr>
      </w:pPr>
    </w:p>
    <w:p w14:paraId="0DD11FA4" w14:textId="1EA5C2BE" w:rsidR="00721C45" w:rsidRPr="00CA19EF" w:rsidRDefault="0047423B" w:rsidP="00A3132B">
      <w:pPr>
        <w:spacing w:line="480" w:lineRule="auto"/>
        <w:rPr>
          <w:rFonts w:ascii="Times New Roman" w:hAnsi="Times New Roman" w:cs="Times New Roman"/>
          <w:sz w:val="24"/>
          <w:szCs w:val="24"/>
        </w:rPr>
      </w:pPr>
      <w:r w:rsidRPr="00CA19EF">
        <w:rPr>
          <w:rFonts w:ascii="Times New Roman" w:hAnsi="Times New Roman" w:cs="Times New Roman"/>
          <w:sz w:val="24"/>
          <w:szCs w:val="24"/>
        </w:rPr>
        <w:t xml:space="preserve">Vertebral and nonvertebral fracture risk reductions in the overall population are shown in Figure 2A. Although the number of fractures was small in the older age cohort, </w:t>
      </w:r>
      <w:r w:rsidR="003C36DC">
        <w:rPr>
          <w:rFonts w:ascii="Times New Roman" w:hAnsi="Times New Roman" w:cs="Times New Roman"/>
          <w:sz w:val="24"/>
          <w:szCs w:val="24"/>
        </w:rPr>
        <w:t>abaloparatide</w:t>
      </w:r>
      <w:r w:rsidRPr="00CA19EF">
        <w:rPr>
          <w:rFonts w:ascii="Times New Roman" w:hAnsi="Times New Roman" w:cs="Times New Roman"/>
          <w:sz w:val="24"/>
          <w:szCs w:val="24"/>
        </w:rPr>
        <w:t xml:space="preserve">-SC </w:t>
      </w:r>
      <w:r w:rsidR="00D638F8" w:rsidRPr="00CA19EF">
        <w:rPr>
          <w:rFonts w:ascii="Times New Roman" w:hAnsi="Times New Roman" w:cs="Times New Roman"/>
          <w:sz w:val="24"/>
          <w:szCs w:val="24"/>
        </w:rPr>
        <w:t xml:space="preserve">therapy was </w:t>
      </w:r>
      <w:r w:rsidRPr="00CA19EF">
        <w:rPr>
          <w:rFonts w:ascii="Times New Roman" w:hAnsi="Times New Roman" w:cs="Times New Roman"/>
          <w:sz w:val="24"/>
          <w:szCs w:val="24"/>
        </w:rPr>
        <w:t xml:space="preserve">associated with </w:t>
      </w:r>
      <w:r w:rsidR="001A2977" w:rsidRPr="00CA19EF">
        <w:rPr>
          <w:rFonts w:ascii="Times New Roman" w:hAnsi="Times New Roman" w:cs="Times New Roman"/>
          <w:sz w:val="24"/>
          <w:szCs w:val="24"/>
        </w:rPr>
        <w:t>numerical</w:t>
      </w:r>
      <w:r w:rsidR="001A2977">
        <w:rPr>
          <w:rFonts w:ascii="Times New Roman" w:hAnsi="Times New Roman" w:cs="Times New Roman"/>
          <w:sz w:val="24"/>
          <w:szCs w:val="24"/>
        </w:rPr>
        <w:t>, but not</w:t>
      </w:r>
      <w:r w:rsidR="001A2977" w:rsidRPr="00CA19EF">
        <w:rPr>
          <w:rFonts w:ascii="Times New Roman" w:hAnsi="Times New Roman" w:cs="Times New Roman"/>
          <w:sz w:val="24"/>
          <w:szCs w:val="24"/>
        </w:rPr>
        <w:t xml:space="preserve"> </w:t>
      </w:r>
      <w:r w:rsidR="00176BE7" w:rsidRPr="00CA19EF">
        <w:rPr>
          <w:rFonts w:ascii="Times New Roman" w:hAnsi="Times New Roman" w:cs="Times New Roman"/>
          <w:sz w:val="24"/>
          <w:szCs w:val="24"/>
        </w:rPr>
        <w:t>statistically significant</w:t>
      </w:r>
      <w:r w:rsidR="001A2977">
        <w:rPr>
          <w:rFonts w:ascii="Times New Roman" w:hAnsi="Times New Roman" w:cs="Times New Roman"/>
          <w:sz w:val="24"/>
          <w:szCs w:val="24"/>
        </w:rPr>
        <w:t>,</w:t>
      </w:r>
      <w:r w:rsidR="00176BE7" w:rsidRPr="00CA19EF">
        <w:rPr>
          <w:rFonts w:ascii="Times New Roman" w:hAnsi="Times New Roman" w:cs="Times New Roman"/>
          <w:sz w:val="24"/>
          <w:szCs w:val="24"/>
        </w:rPr>
        <w:t xml:space="preserve"> </w:t>
      </w:r>
      <w:r w:rsidRPr="00CA19EF">
        <w:rPr>
          <w:rFonts w:ascii="Times New Roman" w:hAnsi="Times New Roman" w:cs="Times New Roman"/>
          <w:sz w:val="24"/>
          <w:szCs w:val="24"/>
        </w:rPr>
        <w:t>reductions in the risks of vertebral and nonvertebal fractures</w:t>
      </w:r>
      <w:r w:rsidR="000C3C24" w:rsidRPr="00CA19EF">
        <w:rPr>
          <w:rFonts w:ascii="Times New Roman" w:hAnsi="Times New Roman" w:cs="Times New Roman"/>
          <w:sz w:val="24"/>
          <w:szCs w:val="24"/>
        </w:rPr>
        <w:t xml:space="preserve"> </w:t>
      </w:r>
      <w:r w:rsidR="0072439B">
        <w:rPr>
          <w:rFonts w:ascii="Times New Roman" w:hAnsi="Times New Roman" w:cs="Times New Roman"/>
          <w:sz w:val="24"/>
          <w:szCs w:val="24"/>
        </w:rPr>
        <w:t>for this cohort</w:t>
      </w:r>
      <w:r w:rsidR="001A2977">
        <w:rPr>
          <w:rFonts w:ascii="Times New Roman" w:hAnsi="Times New Roman" w:cs="Times New Roman"/>
          <w:sz w:val="24"/>
          <w:szCs w:val="24"/>
        </w:rPr>
        <w:t xml:space="preserve">, </w:t>
      </w:r>
      <w:r w:rsidR="001A2977" w:rsidRPr="00CA19EF">
        <w:rPr>
          <w:rFonts w:ascii="Times New Roman" w:hAnsi="Times New Roman" w:cs="Times New Roman"/>
          <w:sz w:val="24"/>
          <w:szCs w:val="24"/>
        </w:rPr>
        <w:t>co</w:t>
      </w:r>
      <w:r w:rsidR="001A2977">
        <w:rPr>
          <w:rFonts w:ascii="Times New Roman" w:hAnsi="Times New Roman" w:cs="Times New Roman"/>
          <w:sz w:val="24"/>
          <w:szCs w:val="24"/>
        </w:rPr>
        <w:t>mpared with placebo</w:t>
      </w:r>
      <w:r w:rsidR="0072439B">
        <w:rPr>
          <w:rFonts w:ascii="Times New Roman" w:hAnsi="Times New Roman" w:cs="Times New Roman"/>
          <w:sz w:val="24"/>
          <w:szCs w:val="24"/>
        </w:rPr>
        <w:t xml:space="preserve"> </w:t>
      </w:r>
      <w:r w:rsidR="000C3C24" w:rsidRPr="00CA19EF">
        <w:rPr>
          <w:rFonts w:ascii="Times New Roman" w:hAnsi="Times New Roman" w:cs="Times New Roman"/>
          <w:sz w:val="24"/>
          <w:szCs w:val="24"/>
        </w:rPr>
        <w:t>(Figure 2B)</w:t>
      </w:r>
      <w:r w:rsidRPr="00CA19EF">
        <w:rPr>
          <w:rFonts w:ascii="Times New Roman" w:hAnsi="Times New Roman" w:cs="Times New Roman"/>
          <w:sz w:val="24"/>
          <w:szCs w:val="24"/>
        </w:rPr>
        <w:t>.</w:t>
      </w:r>
      <w:r w:rsidR="00345E66" w:rsidRPr="00CA19EF">
        <w:rPr>
          <w:rFonts w:ascii="Times New Roman" w:hAnsi="Times New Roman" w:cs="Times New Roman"/>
          <w:sz w:val="24"/>
          <w:szCs w:val="24"/>
        </w:rPr>
        <w:t xml:space="preserve"> </w:t>
      </w:r>
      <w:r w:rsidRPr="00CA19EF">
        <w:rPr>
          <w:rFonts w:ascii="Times New Roman" w:hAnsi="Times New Roman" w:cs="Times New Roman"/>
          <w:sz w:val="24"/>
          <w:szCs w:val="24"/>
        </w:rPr>
        <w:t xml:space="preserve">The </w:t>
      </w:r>
      <w:r w:rsidR="00345E66" w:rsidRPr="00CA19EF">
        <w:rPr>
          <w:rFonts w:ascii="Times New Roman" w:hAnsi="Times New Roman" w:cs="Times New Roman"/>
          <w:sz w:val="24"/>
          <w:szCs w:val="24"/>
        </w:rPr>
        <w:t>proportions of pati</w:t>
      </w:r>
      <w:r w:rsidR="00A37917" w:rsidRPr="00CA19EF">
        <w:rPr>
          <w:rFonts w:ascii="Times New Roman" w:hAnsi="Times New Roman" w:cs="Times New Roman"/>
          <w:sz w:val="24"/>
          <w:szCs w:val="24"/>
        </w:rPr>
        <w:t>ents reporting adverse events were</w:t>
      </w:r>
      <w:r w:rsidR="00345E66" w:rsidRPr="00CA19EF">
        <w:rPr>
          <w:rFonts w:ascii="Times New Roman" w:hAnsi="Times New Roman" w:cs="Times New Roman"/>
          <w:sz w:val="24"/>
          <w:szCs w:val="24"/>
        </w:rPr>
        <w:t xml:space="preserve"> similar between treatment</w:t>
      </w:r>
      <w:r w:rsidR="00A37917" w:rsidRPr="00CA19EF">
        <w:rPr>
          <w:rFonts w:ascii="Times New Roman" w:hAnsi="Times New Roman" w:cs="Times New Roman"/>
          <w:sz w:val="24"/>
          <w:szCs w:val="24"/>
        </w:rPr>
        <w:t xml:space="preserve"> groups and between </w:t>
      </w:r>
      <w:r w:rsidRPr="00CA19EF">
        <w:rPr>
          <w:rFonts w:ascii="Times New Roman" w:hAnsi="Times New Roman" w:cs="Times New Roman"/>
          <w:sz w:val="24"/>
          <w:szCs w:val="24"/>
        </w:rPr>
        <w:t>the older age cohort</w:t>
      </w:r>
      <w:r w:rsidR="009B18C2" w:rsidRPr="00CA19EF">
        <w:rPr>
          <w:rFonts w:ascii="Times New Roman" w:hAnsi="Times New Roman" w:cs="Times New Roman"/>
          <w:sz w:val="24"/>
          <w:szCs w:val="24"/>
        </w:rPr>
        <w:t>s</w:t>
      </w:r>
      <w:r w:rsidRPr="00CA19EF">
        <w:rPr>
          <w:rFonts w:ascii="Times New Roman" w:hAnsi="Times New Roman" w:cs="Times New Roman"/>
          <w:sz w:val="24"/>
          <w:szCs w:val="24"/>
        </w:rPr>
        <w:t xml:space="preserve"> </w:t>
      </w:r>
      <w:r w:rsidR="00A37917" w:rsidRPr="00CA19EF">
        <w:rPr>
          <w:rFonts w:ascii="Times New Roman" w:hAnsi="Times New Roman" w:cs="Times New Roman"/>
          <w:sz w:val="24"/>
          <w:szCs w:val="24"/>
        </w:rPr>
        <w:t>and</w:t>
      </w:r>
      <w:r w:rsidRPr="00CA19EF">
        <w:rPr>
          <w:rFonts w:ascii="Times New Roman" w:hAnsi="Times New Roman" w:cs="Times New Roman"/>
          <w:sz w:val="24"/>
          <w:szCs w:val="24"/>
        </w:rPr>
        <w:t xml:space="preserve"> the overall population (Table 2).</w:t>
      </w:r>
      <w:r w:rsidR="00A37917" w:rsidRPr="00CA19EF">
        <w:rPr>
          <w:rFonts w:ascii="Times New Roman" w:hAnsi="Times New Roman" w:cs="Times New Roman"/>
          <w:sz w:val="24"/>
          <w:szCs w:val="24"/>
        </w:rPr>
        <w:t xml:space="preserve"> </w:t>
      </w:r>
      <w:r w:rsidR="00A118EE" w:rsidRPr="00CA19EF">
        <w:rPr>
          <w:rFonts w:ascii="Times New Roman" w:hAnsi="Times New Roman" w:cs="Times New Roman"/>
          <w:sz w:val="24"/>
          <w:szCs w:val="24"/>
        </w:rPr>
        <w:t xml:space="preserve">As expected in an elderly </w:t>
      </w:r>
      <w:r w:rsidR="00A118EE" w:rsidRPr="00CA19EF">
        <w:rPr>
          <w:rFonts w:ascii="Times New Roman" w:hAnsi="Times New Roman" w:cs="Times New Roman"/>
          <w:sz w:val="24"/>
          <w:szCs w:val="24"/>
        </w:rPr>
        <w:lastRenderedPageBreak/>
        <w:t xml:space="preserve">population, the proportion of patients 80 </w:t>
      </w:r>
      <w:r w:rsidR="00732F1E" w:rsidRPr="00CA19EF">
        <w:rPr>
          <w:rFonts w:ascii="Times New Roman" w:hAnsi="Times New Roman" w:cs="Times New Roman"/>
          <w:sz w:val="24"/>
          <w:szCs w:val="24"/>
        </w:rPr>
        <w:t xml:space="preserve">years and older </w:t>
      </w:r>
      <w:r w:rsidR="00A118EE" w:rsidRPr="00CA19EF">
        <w:rPr>
          <w:rFonts w:ascii="Times New Roman" w:hAnsi="Times New Roman" w:cs="Times New Roman"/>
          <w:sz w:val="24"/>
          <w:szCs w:val="24"/>
        </w:rPr>
        <w:t xml:space="preserve">who reported serious adverse events was higher than in the entire study cohort but did not differ between the </w:t>
      </w:r>
      <w:r w:rsidR="003C36DC">
        <w:rPr>
          <w:rFonts w:ascii="Times New Roman" w:hAnsi="Times New Roman" w:cs="Times New Roman"/>
          <w:sz w:val="24"/>
          <w:szCs w:val="24"/>
        </w:rPr>
        <w:t>abaloparatide</w:t>
      </w:r>
      <w:r w:rsidR="00A118EE" w:rsidRPr="00CA19EF">
        <w:rPr>
          <w:rFonts w:ascii="Times New Roman" w:hAnsi="Times New Roman" w:cs="Times New Roman"/>
          <w:sz w:val="24"/>
          <w:szCs w:val="24"/>
        </w:rPr>
        <w:t>-SC and placebo groups.</w:t>
      </w:r>
      <w:r w:rsidR="00EB60ED" w:rsidRPr="00CA19EF">
        <w:rPr>
          <w:rFonts w:ascii="Times New Roman" w:hAnsi="Times New Roman" w:cs="Times New Roman"/>
          <w:sz w:val="24"/>
          <w:szCs w:val="24"/>
        </w:rPr>
        <w:t xml:space="preserve"> </w:t>
      </w:r>
      <w:r w:rsidR="00CB4DC6">
        <w:rPr>
          <w:rFonts w:ascii="Times New Roman" w:hAnsi="Times New Roman" w:cs="Times New Roman"/>
          <w:sz w:val="24"/>
          <w:szCs w:val="24"/>
        </w:rPr>
        <w:t>T</w:t>
      </w:r>
      <w:r w:rsidR="00690EB8" w:rsidRPr="00CA19EF">
        <w:rPr>
          <w:rFonts w:ascii="Times New Roman" w:hAnsi="Times New Roman" w:cs="Times New Roman"/>
          <w:sz w:val="24"/>
          <w:szCs w:val="24"/>
        </w:rPr>
        <w:t xml:space="preserve">he </w:t>
      </w:r>
      <w:r w:rsidR="00CB4DC6">
        <w:rPr>
          <w:rFonts w:ascii="Times New Roman" w:hAnsi="Times New Roman" w:cs="Times New Roman"/>
          <w:sz w:val="24"/>
          <w:szCs w:val="24"/>
        </w:rPr>
        <w:t xml:space="preserve">overall </w:t>
      </w:r>
      <w:r w:rsidR="00690EB8" w:rsidRPr="00CA19EF">
        <w:rPr>
          <w:rFonts w:ascii="Times New Roman" w:hAnsi="Times New Roman" w:cs="Times New Roman"/>
          <w:sz w:val="24"/>
          <w:szCs w:val="24"/>
        </w:rPr>
        <w:t xml:space="preserve">discontinuation rate for </w:t>
      </w:r>
      <w:r w:rsidR="00690EB8">
        <w:rPr>
          <w:rFonts w:ascii="Times New Roman" w:hAnsi="Times New Roman" w:cs="Times New Roman"/>
          <w:sz w:val="24"/>
          <w:szCs w:val="24"/>
        </w:rPr>
        <w:t xml:space="preserve">the </w:t>
      </w:r>
      <w:r w:rsidR="00690EB8" w:rsidRPr="00CA19EF">
        <w:rPr>
          <w:rFonts w:ascii="Times New Roman" w:hAnsi="Times New Roman" w:cs="Times New Roman"/>
          <w:sz w:val="24"/>
          <w:szCs w:val="24"/>
        </w:rPr>
        <w:t xml:space="preserve">older age cohort (30.9%) was higher than </w:t>
      </w:r>
      <w:r w:rsidR="00CB4DC6">
        <w:rPr>
          <w:rFonts w:ascii="Times New Roman" w:hAnsi="Times New Roman" w:cs="Times New Roman"/>
          <w:sz w:val="24"/>
          <w:szCs w:val="24"/>
        </w:rPr>
        <w:t>for</w:t>
      </w:r>
      <w:r w:rsidR="00690EB8" w:rsidRPr="00CA19EF">
        <w:rPr>
          <w:rFonts w:ascii="Times New Roman" w:hAnsi="Times New Roman" w:cs="Times New Roman"/>
          <w:sz w:val="24"/>
          <w:szCs w:val="24"/>
        </w:rPr>
        <w:t xml:space="preserve"> the entire study cohort (24.4%).</w:t>
      </w:r>
    </w:p>
    <w:p w14:paraId="10FD31F9" w14:textId="77777777" w:rsidR="005B2EDC" w:rsidRDefault="005B2EDC" w:rsidP="00A3132B">
      <w:pPr>
        <w:spacing w:line="480" w:lineRule="auto"/>
        <w:rPr>
          <w:rFonts w:ascii="Times New Roman" w:hAnsi="Times New Roman" w:cs="Times New Roman"/>
          <w:b/>
          <w:sz w:val="24"/>
          <w:szCs w:val="24"/>
        </w:rPr>
      </w:pPr>
    </w:p>
    <w:p w14:paraId="1D797AFF" w14:textId="77777777" w:rsidR="00F42B97" w:rsidRPr="00CA19EF" w:rsidRDefault="00F42B97" w:rsidP="00A3132B">
      <w:pPr>
        <w:spacing w:line="480" w:lineRule="auto"/>
        <w:rPr>
          <w:rFonts w:ascii="Times New Roman" w:hAnsi="Times New Roman" w:cs="Times New Roman"/>
          <w:b/>
          <w:sz w:val="24"/>
          <w:szCs w:val="24"/>
        </w:rPr>
      </w:pPr>
      <w:r w:rsidRPr="00CA19EF">
        <w:rPr>
          <w:rFonts w:ascii="Times New Roman" w:hAnsi="Times New Roman" w:cs="Times New Roman"/>
          <w:b/>
          <w:sz w:val="24"/>
          <w:szCs w:val="24"/>
        </w:rPr>
        <w:t>Discussion</w:t>
      </w:r>
    </w:p>
    <w:p w14:paraId="6673E28C" w14:textId="28DE81C1" w:rsidR="00A118EE" w:rsidRPr="00CA19EF" w:rsidRDefault="00F42B97" w:rsidP="00A3132B">
      <w:pPr>
        <w:spacing w:line="480" w:lineRule="auto"/>
        <w:rPr>
          <w:rFonts w:ascii="Times New Roman" w:hAnsi="Times New Roman" w:cs="Times New Roman"/>
          <w:sz w:val="24"/>
          <w:szCs w:val="24"/>
        </w:rPr>
      </w:pPr>
      <w:r w:rsidRPr="00CA19EF">
        <w:rPr>
          <w:rFonts w:ascii="Times New Roman" w:hAnsi="Times New Roman" w:cs="Times New Roman"/>
          <w:sz w:val="24"/>
          <w:szCs w:val="24"/>
        </w:rPr>
        <w:t xml:space="preserve">In the subgroup of patients aged 80 years </w:t>
      </w:r>
      <w:r w:rsidR="00176BE7" w:rsidRPr="00CA19EF">
        <w:rPr>
          <w:rFonts w:ascii="Times New Roman" w:hAnsi="Times New Roman" w:cs="Times New Roman"/>
          <w:sz w:val="24"/>
          <w:szCs w:val="24"/>
        </w:rPr>
        <w:t>or</w:t>
      </w:r>
      <w:r w:rsidRPr="00CA19EF">
        <w:rPr>
          <w:rFonts w:ascii="Times New Roman" w:hAnsi="Times New Roman" w:cs="Times New Roman"/>
          <w:sz w:val="24"/>
          <w:szCs w:val="24"/>
        </w:rPr>
        <w:t xml:space="preserve"> older, </w:t>
      </w:r>
      <w:r w:rsidR="003C36DC">
        <w:rPr>
          <w:rFonts w:ascii="Times New Roman" w:hAnsi="Times New Roman" w:cs="Times New Roman"/>
          <w:sz w:val="24"/>
          <w:szCs w:val="24"/>
        </w:rPr>
        <w:t>abaloparatide</w:t>
      </w:r>
      <w:r w:rsidRPr="00CA19EF">
        <w:rPr>
          <w:rFonts w:ascii="Times New Roman" w:hAnsi="Times New Roman" w:cs="Times New Roman"/>
          <w:sz w:val="24"/>
          <w:szCs w:val="24"/>
        </w:rPr>
        <w:t>-SC significantly increased BMD of the</w:t>
      </w:r>
      <w:r w:rsidR="00DD2DE5" w:rsidRPr="00CA19EF">
        <w:rPr>
          <w:rFonts w:ascii="Times New Roman" w:hAnsi="Times New Roman" w:cs="Times New Roman"/>
          <w:sz w:val="24"/>
          <w:szCs w:val="24"/>
        </w:rPr>
        <w:t xml:space="preserve"> total hip, femoral neck, and </w:t>
      </w:r>
      <w:r w:rsidRPr="00CA19EF">
        <w:rPr>
          <w:rFonts w:ascii="Times New Roman" w:hAnsi="Times New Roman" w:cs="Times New Roman"/>
          <w:sz w:val="24"/>
          <w:szCs w:val="24"/>
        </w:rPr>
        <w:t>lumbar spine</w:t>
      </w:r>
      <w:r w:rsidR="00E97480" w:rsidRPr="00CA19EF">
        <w:rPr>
          <w:rFonts w:ascii="Times New Roman" w:hAnsi="Times New Roman" w:cs="Times New Roman"/>
          <w:sz w:val="24"/>
          <w:szCs w:val="24"/>
        </w:rPr>
        <w:t xml:space="preserve">, with increments of similar magnitude to those seen in the overall study. </w:t>
      </w:r>
      <w:r w:rsidR="0062579F" w:rsidRPr="00CA19EF">
        <w:rPr>
          <w:rFonts w:ascii="Times New Roman" w:hAnsi="Times New Roman" w:cs="Times New Roman"/>
          <w:sz w:val="24"/>
          <w:szCs w:val="24"/>
        </w:rPr>
        <w:t xml:space="preserve">The numerical reductions in the risk of vertebral and </w:t>
      </w:r>
      <w:r w:rsidR="007F7A5E" w:rsidRPr="00CA19EF">
        <w:rPr>
          <w:rFonts w:ascii="Times New Roman" w:hAnsi="Times New Roman" w:cs="Times New Roman"/>
          <w:sz w:val="24"/>
          <w:szCs w:val="24"/>
        </w:rPr>
        <w:t>nonvertebral</w:t>
      </w:r>
      <w:r w:rsidR="0062579F" w:rsidRPr="00CA19EF">
        <w:rPr>
          <w:rFonts w:ascii="Times New Roman" w:hAnsi="Times New Roman" w:cs="Times New Roman"/>
          <w:sz w:val="24"/>
          <w:szCs w:val="24"/>
        </w:rPr>
        <w:t xml:space="preserve"> fracture with </w:t>
      </w:r>
      <w:r w:rsidR="003C36DC">
        <w:rPr>
          <w:rFonts w:ascii="Times New Roman" w:hAnsi="Times New Roman" w:cs="Times New Roman"/>
          <w:sz w:val="24"/>
          <w:szCs w:val="24"/>
        </w:rPr>
        <w:t>abaloparatide</w:t>
      </w:r>
      <w:r w:rsidR="0062579F" w:rsidRPr="00CA19EF">
        <w:rPr>
          <w:rFonts w:ascii="Times New Roman" w:hAnsi="Times New Roman" w:cs="Times New Roman"/>
          <w:sz w:val="24"/>
          <w:szCs w:val="24"/>
        </w:rPr>
        <w:t>-SC were also similar to the effects</w:t>
      </w:r>
      <w:r w:rsidR="00A118EE" w:rsidRPr="00CA19EF">
        <w:rPr>
          <w:rFonts w:ascii="Times New Roman" w:hAnsi="Times New Roman" w:cs="Times New Roman"/>
          <w:sz w:val="24"/>
          <w:szCs w:val="24"/>
        </w:rPr>
        <w:t xml:space="preserve"> described in the </w:t>
      </w:r>
      <w:r w:rsidR="00E97480" w:rsidRPr="00CA19EF">
        <w:rPr>
          <w:rFonts w:ascii="Times New Roman" w:hAnsi="Times New Roman" w:cs="Times New Roman"/>
          <w:sz w:val="24"/>
          <w:szCs w:val="24"/>
        </w:rPr>
        <w:t xml:space="preserve">entire </w:t>
      </w:r>
      <w:r w:rsidR="00A118EE" w:rsidRPr="00CA19EF">
        <w:rPr>
          <w:rFonts w:ascii="Times New Roman" w:hAnsi="Times New Roman" w:cs="Times New Roman"/>
          <w:sz w:val="24"/>
          <w:szCs w:val="24"/>
        </w:rPr>
        <w:t>ACTIVE tria</w:t>
      </w:r>
      <w:r w:rsidR="00176BE7" w:rsidRPr="00CA19EF">
        <w:rPr>
          <w:rFonts w:ascii="Times New Roman" w:hAnsi="Times New Roman" w:cs="Times New Roman"/>
          <w:sz w:val="24"/>
          <w:szCs w:val="24"/>
        </w:rPr>
        <w:t>l, albeit with these analyses limited by the very small number of fracture events in the elderly subgroup.</w:t>
      </w:r>
      <w:r w:rsidR="00A118EE" w:rsidRPr="00CA19EF">
        <w:rPr>
          <w:rFonts w:ascii="Times New Roman" w:hAnsi="Times New Roman" w:cs="Times New Roman"/>
          <w:sz w:val="24"/>
          <w:szCs w:val="24"/>
        </w:rPr>
        <w:t xml:space="preserve"> </w:t>
      </w:r>
      <w:r w:rsidR="00D115A9" w:rsidRPr="00CA19EF">
        <w:rPr>
          <w:rFonts w:ascii="Times New Roman" w:hAnsi="Times New Roman" w:cs="Times New Roman"/>
          <w:sz w:val="24"/>
          <w:szCs w:val="24"/>
        </w:rPr>
        <w:t>Tolerability and safety were also similar in the elderly cohort vs the entire ACTIVE cohort.</w:t>
      </w:r>
    </w:p>
    <w:p w14:paraId="06C70807" w14:textId="77777777" w:rsidR="00AF3437" w:rsidRPr="00CA19EF" w:rsidRDefault="00AF3437" w:rsidP="00A3132B">
      <w:pPr>
        <w:spacing w:line="480" w:lineRule="auto"/>
        <w:rPr>
          <w:rFonts w:ascii="Times New Roman" w:hAnsi="Times New Roman" w:cs="Times New Roman"/>
          <w:sz w:val="24"/>
          <w:szCs w:val="24"/>
        </w:rPr>
      </w:pPr>
    </w:p>
    <w:p w14:paraId="1C8BAEFD" w14:textId="224B4D28" w:rsidR="00AF3437" w:rsidRPr="00CA19EF" w:rsidRDefault="00AF3437" w:rsidP="00A3132B">
      <w:pPr>
        <w:spacing w:line="480" w:lineRule="auto"/>
        <w:rPr>
          <w:rFonts w:ascii="Times New Roman" w:hAnsi="Times New Roman" w:cs="Times New Roman"/>
          <w:sz w:val="24"/>
          <w:szCs w:val="24"/>
        </w:rPr>
      </w:pPr>
      <w:r w:rsidRPr="00CA19EF">
        <w:rPr>
          <w:rFonts w:ascii="Times New Roman" w:hAnsi="Times New Roman" w:cs="Times New Roman"/>
          <w:sz w:val="24"/>
          <w:szCs w:val="24"/>
        </w:rPr>
        <w:lastRenderedPageBreak/>
        <w:t>Older age is a consistent risk factor for both falls and for osteoporosis</w:t>
      </w:r>
      <w:r w:rsidR="00153CC4" w:rsidRPr="00CA19EF">
        <w:rPr>
          <w:rFonts w:ascii="Times New Roman" w:hAnsi="Times New Roman" w:cs="Times New Roman"/>
          <w:sz w:val="24"/>
          <w:szCs w:val="24"/>
        </w:rPr>
        <w:t xml:space="preserve"> </w:t>
      </w:r>
      <w:r w:rsidRPr="00CA19EF">
        <w:rPr>
          <w:rFonts w:ascii="Times New Roman" w:hAnsi="Times New Roman" w:cs="Times New Roman"/>
          <w:sz w:val="24"/>
          <w:szCs w:val="24"/>
        </w:rPr>
        <w:t>as diagnosed by low BMD, both of which are important and independent risk factors for fracture</w:t>
      </w:r>
      <w:r w:rsidR="00721C45" w:rsidRPr="00CA19EF">
        <w:rPr>
          <w:rFonts w:ascii="Times New Roman" w:hAnsi="Times New Roman" w:cs="Times New Roman"/>
          <w:sz w:val="24"/>
          <w:szCs w:val="24"/>
        </w:rPr>
        <w:t>.</w:t>
      </w:r>
      <w:r w:rsidR="00E77028" w:rsidRPr="00CA19EF">
        <w:rPr>
          <w:rFonts w:ascii="Times New Roman" w:hAnsi="Times New Roman" w:cs="Times New Roman"/>
          <w:sz w:val="24"/>
          <w:szCs w:val="24"/>
          <w:vertAlign w:val="superscript"/>
        </w:rPr>
        <w:t>8,9</w:t>
      </w:r>
      <w:r w:rsidR="00E77028" w:rsidRPr="003C36DC">
        <w:rPr>
          <w:rFonts w:ascii="Times New Roman" w:hAnsi="Times New Roman" w:cs="Times New Roman"/>
          <w:sz w:val="24"/>
          <w:szCs w:val="24"/>
        </w:rPr>
        <w:t xml:space="preserve"> </w:t>
      </w:r>
      <w:r w:rsidRPr="00CA19EF">
        <w:rPr>
          <w:rFonts w:ascii="Times New Roman" w:hAnsi="Times New Roman" w:cs="Times New Roman"/>
          <w:sz w:val="24"/>
          <w:szCs w:val="24"/>
        </w:rPr>
        <w:t xml:space="preserve">In patients age 75 </w:t>
      </w:r>
      <w:r w:rsidR="00047DCE" w:rsidRPr="00CA19EF">
        <w:rPr>
          <w:rFonts w:ascii="Times New Roman" w:hAnsi="Times New Roman" w:cs="Times New Roman"/>
          <w:sz w:val="24"/>
          <w:szCs w:val="24"/>
        </w:rPr>
        <w:t xml:space="preserve">years </w:t>
      </w:r>
      <w:r w:rsidRPr="00CA19EF">
        <w:rPr>
          <w:rFonts w:ascii="Times New Roman" w:hAnsi="Times New Roman" w:cs="Times New Roman"/>
          <w:sz w:val="24"/>
          <w:szCs w:val="24"/>
        </w:rPr>
        <w:t xml:space="preserve">and older, </w:t>
      </w:r>
      <w:r w:rsidR="00A118EE" w:rsidRPr="00CA19EF">
        <w:rPr>
          <w:rFonts w:ascii="Times New Roman" w:hAnsi="Times New Roman" w:cs="Times New Roman"/>
          <w:sz w:val="24"/>
          <w:szCs w:val="24"/>
        </w:rPr>
        <w:t>patients with hip T-score values consistent with osteoporosis are at higher risk of fracture than are patients of the same age with higher BMD values, although it appears that the contribution of low bone mineral density to fracture risk is less among older compared to younger postmenopausal women, perhaps related to the accumulation of fall-related risk factors with advancing age</w:t>
      </w:r>
      <w:r w:rsidR="00E77028" w:rsidRPr="00CA19EF">
        <w:rPr>
          <w:rFonts w:ascii="Times New Roman" w:hAnsi="Times New Roman" w:cs="Times New Roman"/>
          <w:sz w:val="24"/>
          <w:szCs w:val="24"/>
        </w:rPr>
        <w:t>.</w:t>
      </w:r>
      <w:r w:rsidR="00E77028" w:rsidRPr="00CA19EF">
        <w:rPr>
          <w:rFonts w:ascii="Times New Roman" w:hAnsi="Times New Roman" w:cs="Times New Roman"/>
          <w:sz w:val="24"/>
          <w:szCs w:val="24"/>
          <w:vertAlign w:val="superscript"/>
        </w:rPr>
        <w:t>10</w:t>
      </w:r>
      <w:r w:rsidR="00A118EE" w:rsidRPr="00CA19EF">
        <w:rPr>
          <w:rFonts w:ascii="Times New Roman" w:hAnsi="Times New Roman" w:cs="Times New Roman"/>
          <w:sz w:val="24"/>
          <w:szCs w:val="24"/>
        </w:rPr>
        <w:t xml:space="preserve"> </w:t>
      </w:r>
      <w:r w:rsidR="00D115A9" w:rsidRPr="00CA19EF">
        <w:rPr>
          <w:rFonts w:ascii="Times New Roman" w:hAnsi="Times New Roman" w:cs="Times New Roman"/>
          <w:sz w:val="24"/>
          <w:szCs w:val="24"/>
        </w:rPr>
        <w:t xml:space="preserve">Prevalence of vertebral fracture </w:t>
      </w:r>
      <w:r w:rsidR="00D521D1">
        <w:rPr>
          <w:rFonts w:ascii="Times New Roman" w:hAnsi="Times New Roman" w:cs="Times New Roman"/>
          <w:sz w:val="24"/>
          <w:szCs w:val="24"/>
        </w:rPr>
        <w:t>is</w:t>
      </w:r>
      <w:r w:rsidR="00D115A9" w:rsidRPr="00CA19EF">
        <w:rPr>
          <w:rFonts w:ascii="Times New Roman" w:hAnsi="Times New Roman" w:cs="Times New Roman"/>
          <w:sz w:val="24"/>
          <w:szCs w:val="24"/>
        </w:rPr>
        <w:t xml:space="preserve"> also higher in the elderly, regardless of BMD</w:t>
      </w:r>
      <w:r w:rsidR="00FF7A42" w:rsidRPr="00CA19EF">
        <w:rPr>
          <w:rFonts w:ascii="Times New Roman" w:hAnsi="Times New Roman" w:cs="Times New Roman"/>
          <w:sz w:val="24"/>
          <w:szCs w:val="24"/>
        </w:rPr>
        <w:t>.</w:t>
      </w:r>
      <w:r w:rsidR="00FF7A42" w:rsidRPr="00CA19EF">
        <w:rPr>
          <w:rFonts w:ascii="Times New Roman" w:hAnsi="Times New Roman" w:cs="Times New Roman"/>
          <w:sz w:val="24"/>
          <w:szCs w:val="24"/>
          <w:vertAlign w:val="superscript"/>
        </w:rPr>
        <w:t>11</w:t>
      </w:r>
    </w:p>
    <w:p w14:paraId="35C4ED76" w14:textId="77777777" w:rsidR="00F42B97" w:rsidRPr="00CA19EF" w:rsidRDefault="00F42B97" w:rsidP="00A3132B">
      <w:pPr>
        <w:spacing w:line="480" w:lineRule="auto"/>
        <w:rPr>
          <w:rFonts w:ascii="Times New Roman" w:hAnsi="Times New Roman" w:cs="Times New Roman"/>
          <w:sz w:val="24"/>
          <w:szCs w:val="24"/>
        </w:rPr>
      </w:pPr>
    </w:p>
    <w:p w14:paraId="5ED6A1A1" w14:textId="07461F8F" w:rsidR="009C0E46" w:rsidRPr="00CA19EF" w:rsidRDefault="00047DCE" w:rsidP="00A3132B">
      <w:pPr>
        <w:spacing w:line="480" w:lineRule="auto"/>
        <w:rPr>
          <w:rFonts w:ascii="Times New Roman" w:hAnsi="Times New Roman" w:cs="Times New Roman"/>
          <w:sz w:val="24"/>
          <w:szCs w:val="24"/>
        </w:rPr>
      </w:pPr>
      <w:r w:rsidRPr="00CA19EF">
        <w:rPr>
          <w:rFonts w:ascii="Times New Roman" w:hAnsi="Times New Roman" w:cs="Times New Roman"/>
          <w:sz w:val="24"/>
          <w:szCs w:val="24"/>
        </w:rPr>
        <w:t>T</w:t>
      </w:r>
      <w:r w:rsidR="009C0E46" w:rsidRPr="00CA19EF">
        <w:rPr>
          <w:rFonts w:ascii="Times New Roman" w:hAnsi="Times New Roman" w:cs="Times New Roman"/>
          <w:sz w:val="24"/>
          <w:szCs w:val="24"/>
        </w:rPr>
        <w:t xml:space="preserve">he effectiveness of osteoporosis drugs in elderly patients </w:t>
      </w:r>
      <w:r w:rsidRPr="00CA19EF">
        <w:rPr>
          <w:rFonts w:ascii="Times New Roman" w:hAnsi="Times New Roman" w:cs="Times New Roman"/>
          <w:sz w:val="24"/>
          <w:szCs w:val="24"/>
        </w:rPr>
        <w:t>was initially addressed in</w:t>
      </w:r>
      <w:r w:rsidR="009C0E46" w:rsidRPr="00CA19EF">
        <w:rPr>
          <w:rFonts w:ascii="Times New Roman" w:hAnsi="Times New Roman" w:cs="Times New Roman"/>
          <w:sz w:val="24"/>
          <w:szCs w:val="24"/>
        </w:rPr>
        <w:t xml:space="preserve"> the risedronate </w:t>
      </w:r>
      <w:r w:rsidRPr="00CA19EF">
        <w:rPr>
          <w:rFonts w:ascii="Times New Roman" w:hAnsi="Times New Roman" w:cs="Times New Roman"/>
          <w:sz w:val="24"/>
          <w:szCs w:val="24"/>
        </w:rPr>
        <w:t>hip fracture</w:t>
      </w:r>
      <w:r w:rsidR="00D638F8" w:rsidRPr="00CA19EF">
        <w:rPr>
          <w:rFonts w:ascii="Times New Roman" w:hAnsi="Times New Roman" w:cs="Times New Roman"/>
          <w:sz w:val="24"/>
          <w:szCs w:val="24"/>
        </w:rPr>
        <w:t xml:space="preserve"> trial </w:t>
      </w:r>
      <w:r w:rsidRPr="00CA19EF">
        <w:rPr>
          <w:rFonts w:ascii="Times New Roman" w:hAnsi="Times New Roman" w:cs="Times New Roman"/>
          <w:sz w:val="24"/>
          <w:szCs w:val="24"/>
        </w:rPr>
        <w:t>in which r</w:t>
      </w:r>
      <w:r w:rsidR="009C0E46" w:rsidRPr="00CA19EF">
        <w:rPr>
          <w:rFonts w:ascii="Times New Roman" w:hAnsi="Times New Roman" w:cs="Times New Roman"/>
          <w:sz w:val="24"/>
          <w:szCs w:val="24"/>
        </w:rPr>
        <w:t xml:space="preserve">isedronate significantly decreased the risk of hip fracture in postmenopausal women aged 70-79 </w:t>
      </w:r>
      <w:r w:rsidR="006D7BC4" w:rsidRPr="00CA19EF">
        <w:rPr>
          <w:rFonts w:ascii="Times New Roman" w:hAnsi="Times New Roman" w:cs="Times New Roman"/>
          <w:sz w:val="24"/>
          <w:szCs w:val="24"/>
        </w:rPr>
        <w:t xml:space="preserve">years </w:t>
      </w:r>
      <w:r w:rsidR="009C0E46" w:rsidRPr="00CA19EF">
        <w:rPr>
          <w:rFonts w:ascii="Times New Roman" w:hAnsi="Times New Roman" w:cs="Times New Roman"/>
          <w:sz w:val="24"/>
          <w:szCs w:val="24"/>
        </w:rPr>
        <w:t>with low BMD.</w:t>
      </w:r>
      <w:r w:rsidR="003E0060" w:rsidRPr="00CA19EF">
        <w:rPr>
          <w:rFonts w:ascii="Times New Roman" w:hAnsi="Times New Roman" w:cs="Times New Roman"/>
          <w:sz w:val="24"/>
          <w:szCs w:val="24"/>
          <w:vertAlign w:val="superscript"/>
        </w:rPr>
        <w:t>1</w:t>
      </w:r>
      <w:r w:rsidR="00FF7A42" w:rsidRPr="00CA19EF">
        <w:rPr>
          <w:rFonts w:ascii="Times New Roman" w:hAnsi="Times New Roman" w:cs="Times New Roman"/>
          <w:sz w:val="24"/>
          <w:szCs w:val="24"/>
          <w:vertAlign w:val="superscript"/>
        </w:rPr>
        <w:t>2</w:t>
      </w:r>
      <w:r w:rsidR="009C0E46" w:rsidRPr="00CA19EF">
        <w:rPr>
          <w:rFonts w:ascii="Times New Roman" w:hAnsi="Times New Roman" w:cs="Times New Roman"/>
          <w:sz w:val="24"/>
          <w:szCs w:val="24"/>
        </w:rPr>
        <w:t xml:space="preserve"> However, in a group of women at least 80 years old </w:t>
      </w:r>
      <w:r w:rsidR="00BB73C7" w:rsidRPr="00CA19EF">
        <w:rPr>
          <w:rFonts w:ascii="Times New Roman" w:hAnsi="Times New Roman" w:cs="Times New Roman"/>
          <w:sz w:val="24"/>
          <w:szCs w:val="24"/>
        </w:rPr>
        <w:t xml:space="preserve">enrolled </w:t>
      </w:r>
      <w:r w:rsidR="009C0E46" w:rsidRPr="00CA19EF">
        <w:rPr>
          <w:rFonts w:ascii="Times New Roman" w:hAnsi="Times New Roman" w:cs="Times New Roman"/>
          <w:sz w:val="24"/>
          <w:szCs w:val="24"/>
        </w:rPr>
        <w:t xml:space="preserve">primarily on the basis of fall related </w:t>
      </w:r>
      <w:r w:rsidR="00A118EE" w:rsidRPr="00CA19EF">
        <w:rPr>
          <w:rFonts w:ascii="Times New Roman" w:hAnsi="Times New Roman" w:cs="Times New Roman"/>
          <w:sz w:val="24"/>
          <w:szCs w:val="24"/>
        </w:rPr>
        <w:t>risk factors</w:t>
      </w:r>
      <w:r w:rsidR="009C0E46" w:rsidRPr="00CA19EF">
        <w:rPr>
          <w:rFonts w:ascii="Times New Roman" w:hAnsi="Times New Roman" w:cs="Times New Roman"/>
          <w:sz w:val="24"/>
          <w:szCs w:val="24"/>
        </w:rPr>
        <w:t xml:space="preserve">, the 20% reduction in hip fracture risk was not </w:t>
      </w:r>
      <w:r w:rsidR="00995E38" w:rsidRPr="00CA19EF">
        <w:rPr>
          <w:rFonts w:ascii="Times New Roman" w:hAnsi="Times New Roman" w:cs="Times New Roman"/>
          <w:sz w:val="24"/>
          <w:szCs w:val="24"/>
        </w:rPr>
        <w:t xml:space="preserve">statistically </w:t>
      </w:r>
      <w:r w:rsidR="009C0E46" w:rsidRPr="00CA19EF">
        <w:rPr>
          <w:rFonts w:ascii="Times New Roman" w:hAnsi="Times New Roman" w:cs="Times New Roman"/>
          <w:sz w:val="24"/>
          <w:szCs w:val="24"/>
        </w:rPr>
        <w:t xml:space="preserve">significant. </w:t>
      </w:r>
      <w:r w:rsidR="009C0E46" w:rsidRPr="00CA19EF">
        <w:rPr>
          <w:rFonts w:ascii="Times New Roman" w:hAnsi="Times New Roman" w:cs="Times New Roman"/>
          <w:sz w:val="24"/>
          <w:szCs w:val="24"/>
        </w:rPr>
        <w:lastRenderedPageBreak/>
        <w:t xml:space="preserve">Subsequently, </w:t>
      </w:r>
      <w:r w:rsidR="00BB73C7" w:rsidRPr="00CA19EF">
        <w:rPr>
          <w:rFonts w:ascii="Times New Roman" w:hAnsi="Times New Roman" w:cs="Times New Roman"/>
          <w:sz w:val="24"/>
          <w:szCs w:val="24"/>
        </w:rPr>
        <w:t>i</w:t>
      </w:r>
      <w:r w:rsidR="002A20FE" w:rsidRPr="00CA19EF">
        <w:rPr>
          <w:rFonts w:ascii="Times New Roman" w:hAnsi="Times New Roman" w:cs="Times New Roman"/>
          <w:sz w:val="24"/>
          <w:szCs w:val="24"/>
        </w:rPr>
        <w:t xml:space="preserve">n a post hoc analysis of the </w:t>
      </w:r>
      <w:r w:rsidR="004A0F33" w:rsidRPr="00CA19EF">
        <w:rPr>
          <w:rFonts w:ascii="Times New Roman" w:hAnsi="Times New Roman" w:cs="Times New Roman"/>
          <w:sz w:val="24"/>
          <w:szCs w:val="24"/>
        </w:rPr>
        <w:t>subgroup of patients in th</w:t>
      </w:r>
      <w:r w:rsidR="00F75FAE" w:rsidRPr="00CA19EF">
        <w:rPr>
          <w:rFonts w:ascii="Times New Roman" w:hAnsi="Times New Roman" w:cs="Times New Roman"/>
          <w:sz w:val="24"/>
          <w:szCs w:val="24"/>
        </w:rPr>
        <w:t>is</w:t>
      </w:r>
      <w:r w:rsidR="004A0F33" w:rsidRPr="00CA19EF">
        <w:rPr>
          <w:rFonts w:ascii="Times New Roman" w:hAnsi="Times New Roman" w:cs="Times New Roman"/>
          <w:sz w:val="24"/>
          <w:szCs w:val="24"/>
        </w:rPr>
        <w:t xml:space="preserve"> study who were at least 80 years old with osteoporosis </w:t>
      </w:r>
      <w:r w:rsidR="00A118EE" w:rsidRPr="00CA19EF">
        <w:rPr>
          <w:rFonts w:ascii="Times New Roman" w:hAnsi="Times New Roman" w:cs="Times New Roman"/>
          <w:sz w:val="24"/>
          <w:szCs w:val="24"/>
        </w:rPr>
        <w:t xml:space="preserve">by BMD </w:t>
      </w:r>
      <w:r w:rsidR="004A0F33" w:rsidRPr="00CA19EF">
        <w:rPr>
          <w:rFonts w:ascii="Times New Roman" w:hAnsi="Times New Roman" w:cs="Times New Roman"/>
          <w:sz w:val="24"/>
          <w:szCs w:val="24"/>
        </w:rPr>
        <w:t>or prevalent vertebral fracture</w:t>
      </w:r>
      <w:r w:rsidR="00F75FAE" w:rsidRPr="00CA19EF">
        <w:rPr>
          <w:rFonts w:ascii="Times New Roman" w:hAnsi="Times New Roman" w:cs="Times New Roman"/>
          <w:sz w:val="24"/>
          <w:szCs w:val="24"/>
        </w:rPr>
        <w:t xml:space="preserve"> criteria</w:t>
      </w:r>
      <w:r w:rsidR="004A0F33" w:rsidRPr="00CA19EF">
        <w:rPr>
          <w:rFonts w:ascii="Times New Roman" w:hAnsi="Times New Roman" w:cs="Times New Roman"/>
          <w:sz w:val="24"/>
          <w:szCs w:val="24"/>
        </w:rPr>
        <w:t xml:space="preserve">, risedronate </w:t>
      </w:r>
      <w:r w:rsidR="00995E38" w:rsidRPr="00CA19EF">
        <w:rPr>
          <w:rFonts w:ascii="Times New Roman" w:hAnsi="Times New Roman" w:cs="Times New Roman"/>
          <w:sz w:val="24"/>
          <w:szCs w:val="24"/>
        </w:rPr>
        <w:t xml:space="preserve">statistically </w:t>
      </w:r>
      <w:r w:rsidR="004A0F33" w:rsidRPr="00CA19EF">
        <w:rPr>
          <w:rFonts w:ascii="Times New Roman" w:hAnsi="Times New Roman" w:cs="Times New Roman"/>
          <w:sz w:val="24"/>
          <w:szCs w:val="24"/>
        </w:rPr>
        <w:t>significantly reduced the risk of hip fracture</w:t>
      </w:r>
      <w:r w:rsidR="00721C45" w:rsidRPr="00CA19EF">
        <w:rPr>
          <w:rFonts w:ascii="Times New Roman" w:hAnsi="Times New Roman" w:cs="Times New Roman"/>
          <w:sz w:val="24"/>
          <w:szCs w:val="24"/>
        </w:rPr>
        <w:t>.</w:t>
      </w:r>
      <w:r w:rsidR="002D15BA" w:rsidRPr="00CA19EF">
        <w:rPr>
          <w:rFonts w:ascii="Times New Roman" w:hAnsi="Times New Roman" w:cs="Times New Roman"/>
          <w:sz w:val="24"/>
          <w:szCs w:val="24"/>
          <w:vertAlign w:val="superscript"/>
        </w:rPr>
        <w:t>1</w:t>
      </w:r>
      <w:r w:rsidR="00FF7A42" w:rsidRPr="00CA19EF">
        <w:rPr>
          <w:rFonts w:ascii="Times New Roman" w:hAnsi="Times New Roman" w:cs="Times New Roman"/>
          <w:sz w:val="24"/>
          <w:szCs w:val="24"/>
          <w:vertAlign w:val="superscript"/>
        </w:rPr>
        <w:t>3</w:t>
      </w:r>
      <w:r w:rsidR="004A0F33" w:rsidRPr="00CA19EF">
        <w:rPr>
          <w:rFonts w:ascii="Times New Roman" w:hAnsi="Times New Roman" w:cs="Times New Roman"/>
          <w:sz w:val="24"/>
          <w:szCs w:val="24"/>
        </w:rPr>
        <w:t xml:space="preserve"> Additionally, in a post hoc analysis of pooled data from the </w:t>
      </w:r>
      <w:r w:rsidR="00F75FAE" w:rsidRPr="00CA19EF">
        <w:rPr>
          <w:rFonts w:ascii="Times New Roman" w:hAnsi="Times New Roman" w:cs="Times New Roman"/>
          <w:sz w:val="24"/>
          <w:szCs w:val="24"/>
        </w:rPr>
        <w:t>p</w:t>
      </w:r>
      <w:r w:rsidR="004A0F33" w:rsidRPr="00CA19EF">
        <w:rPr>
          <w:rFonts w:ascii="Times New Roman" w:hAnsi="Times New Roman" w:cs="Times New Roman"/>
          <w:sz w:val="24"/>
          <w:szCs w:val="24"/>
        </w:rPr>
        <w:t>hase 3 risedronate fracture endpoint trials, risedronate reduced the risk of vertebral fracture in patients who were at least 80 years old with osteoporosis or at least one prevalent vertebral fracture.</w:t>
      </w:r>
      <w:r w:rsidR="002D15BA" w:rsidRPr="00CA19EF">
        <w:rPr>
          <w:rFonts w:ascii="Times New Roman" w:hAnsi="Times New Roman" w:cs="Times New Roman"/>
          <w:sz w:val="24"/>
          <w:szCs w:val="24"/>
          <w:vertAlign w:val="superscript"/>
        </w:rPr>
        <w:t>1</w:t>
      </w:r>
      <w:r w:rsidR="00FF7A42" w:rsidRPr="00CA19EF">
        <w:rPr>
          <w:rFonts w:ascii="Times New Roman" w:hAnsi="Times New Roman" w:cs="Times New Roman"/>
          <w:sz w:val="24"/>
          <w:szCs w:val="24"/>
          <w:vertAlign w:val="superscript"/>
        </w:rPr>
        <w:t>4</w:t>
      </w:r>
      <w:r w:rsidR="009C0E46" w:rsidRPr="00CA19EF">
        <w:rPr>
          <w:rFonts w:ascii="Times New Roman" w:hAnsi="Times New Roman" w:cs="Times New Roman"/>
          <w:sz w:val="24"/>
          <w:szCs w:val="24"/>
        </w:rPr>
        <w:t xml:space="preserve"> </w:t>
      </w:r>
      <w:r w:rsidR="00F75FAE" w:rsidRPr="00CA19EF">
        <w:rPr>
          <w:rFonts w:ascii="Times New Roman" w:hAnsi="Times New Roman" w:cs="Times New Roman"/>
          <w:sz w:val="24"/>
          <w:szCs w:val="24"/>
        </w:rPr>
        <w:t xml:space="preserve">A </w:t>
      </w:r>
      <w:r w:rsidR="004D4511" w:rsidRPr="00CA19EF">
        <w:rPr>
          <w:rFonts w:ascii="Times New Roman" w:hAnsi="Times New Roman" w:cs="Times New Roman"/>
          <w:sz w:val="24"/>
          <w:szCs w:val="24"/>
        </w:rPr>
        <w:t xml:space="preserve">retrospective subgroup analysis </w:t>
      </w:r>
      <w:r w:rsidR="00F75FAE" w:rsidRPr="00CA19EF">
        <w:rPr>
          <w:rFonts w:ascii="Times New Roman" w:hAnsi="Times New Roman" w:cs="Times New Roman"/>
          <w:sz w:val="24"/>
          <w:szCs w:val="24"/>
        </w:rPr>
        <w:t xml:space="preserve">in </w:t>
      </w:r>
      <w:r w:rsidR="004D4511" w:rsidRPr="00CA19EF">
        <w:rPr>
          <w:rFonts w:ascii="Times New Roman" w:hAnsi="Times New Roman" w:cs="Times New Roman"/>
          <w:sz w:val="24"/>
          <w:szCs w:val="24"/>
        </w:rPr>
        <w:t xml:space="preserve">men and women with osteoporosis </w:t>
      </w:r>
      <w:r w:rsidR="00F75FAE" w:rsidRPr="00CA19EF">
        <w:rPr>
          <w:rFonts w:ascii="Times New Roman" w:hAnsi="Times New Roman" w:cs="Times New Roman"/>
          <w:sz w:val="24"/>
          <w:szCs w:val="24"/>
          <w:u w:val="single"/>
        </w:rPr>
        <w:t>&gt;</w:t>
      </w:r>
      <w:r w:rsidR="00F75FAE" w:rsidRPr="00CA19EF">
        <w:rPr>
          <w:rFonts w:ascii="Times New Roman" w:hAnsi="Times New Roman" w:cs="Times New Roman"/>
          <w:sz w:val="24"/>
          <w:szCs w:val="24"/>
        </w:rPr>
        <w:t>80 years treated with teriparatide demonstrated similar effects of therapy on BM</w:t>
      </w:r>
      <w:r w:rsidR="004D4511" w:rsidRPr="00CA19EF">
        <w:rPr>
          <w:rFonts w:ascii="Times New Roman" w:hAnsi="Times New Roman" w:cs="Times New Roman"/>
          <w:sz w:val="24"/>
          <w:szCs w:val="24"/>
        </w:rPr>
        <w:t>D compared to treatment of women &lt;80 year</w:t>
      </w:r>
      <w:r w:rsidR="003A5930" w:rsidRPr="00CA19EF">
        <w:rPr>
          <w:rFonts w:ascii="Times New Roman" w:hAnsi="Times New Roman" w:cs="Times New Roman"/>
          <w:sz w:val="24"/>
          <w:szCs w:val="24"/>
        </w:rPr>
        <w:t>s</w:t>
      </w:r>
      <w:r w:rsidR="004D4511" w:rsidRPr="00CA19EF">
        <w:rPr>
          <w:rFonts w:ascii="Times New Roman" w:hAnsi="Times New Roman" w:cs="Times New Roman"/>
          <w:sz w:val="24"/>
          <w:szCs w:val="24"/>
        </w:rPr>
        <w:t>.</w:t>
      </w:r>
      <w:r w:rsidR="003A5930" w:rsidRPr="00CA19EF">
        <w:rPr>
          <w:rFonts w:ascii="Times New Roman" w:hAnsi="Times New Roman" w:cs="Times New Roman"/>
          <w:sz w:val="24"/>
          <w:szCs w:val="24"/>
          <w:vertAlign w:val="superscript"/>
        </w:rPr>
        <w:t>1</w:t>
      </w:r>
      <w:r w:rsidR="00FF7A42" w:rsidRPr="00CA19EF">
        <w:rPr>
          <w:rFonts w:ascii="Times New Roman" w:hAnsi="Times New Roman" w:cs="Times New Roman"/>
          <w:sz w:val="24"/>
          <w:szCs w:val="24"/>
          <w:vertAlign w:val="superscript"/>
        </w:rPr>
        <w:t>5</w:t>
      </w:r>
      <w:r w:rsidR="004D4511" w:rsidRPr="00CA19EF">
        <w:rPr>
          <w:rFonts w:ascii="Times New Roman" w:hAnsi="Times New Roman" w:cs="Times New Roman"/>
          <w:sz w:val="24"/>
          <w:szCs w:val="24"/>
        </w:rPr>
        <w:t xml:space="preserve"> In a post ho</w:t>
      </w:r>
      <w:r w:rsidR="00050F65" w:rsidRPr="00CA19EF">
        <w:rPr>
          <w:rFonts w:ascii="Times New Roman" w:hAnsi="Times New Roman" w:cs="Times New Roman"/>
          <w:sz w:val="24"/>
          <w:szCs w:val="24"/>
        </w:rPr>
        <w:t>c analysis of the phase 3 trial</w:t>
      </w:r>
      <w:r w:rsidR="004D4511" w:rsidRPr="00CA19EF">
        <w:rPr>
          <w:rFonts w:ascii="Times New Roman" w:hAnsi="Times New Roman" w:cs="Times New Roman"/>
          <w:sz w:val="24"/>
          <w:szCs w:val="24"/>
        </w:rPr>
        <w:t xml:space="preserve"> with zoledronic acid, there were significant reductions in clinical vertebral and nonvertebral fractures in postmenopausal women with osteoporosis </w:t>
      </w:r>
      <w:r w:rsidR="004D4511" w:rsidRPr="00CA19EF">
        <w:rPr>
          <w:rFonts w:ascii="Times New Roman" w:hAnsi="Times New Roman" w:cs="Times New Roman"/>
          <w:sz w:val="24"/>
          <w:szCs w:val="24"/>
          <w:u w:val="single"/>
        </w:rPr>
        <w:t>&gt;</w:t>
      </w:r>
      <w:r w:rsidR="00F53EB4" w:rsidRPr="00CA19EF">
        <w:rPr>
          <w:rFonts w:ascii="Times New Roman" w:hAnsi="Times New Roman" w:cs="Times New Roman"/>
          <w:sz w:val="24"/>
          <w:szCs w:val="24"/>
        </w:rPr>
        <w:t>75 years of age</w:t>
      </w:r>
      <w:r w:rsidR="004D4511" w:rsidRPr="00CA19EF">
        <w:rPr>
          <w:rFonts w:ascii="Times New Roman" w:hAnsi="Times New Roman" w:cs="Times New Roman"/>
          <w:sz w:val="24"/>
          <w:szCs w:val="24"/>
        </w:rPr>
        <w:t>.</w:t>
      </w:r>
      <w:r w:rsidR="003A5930" w:rsidRPr="00CA19EF">
        <w:rPr>
          <w:rFonts w:ascii="Times New Roman" w:hAnsi="Times New Roman" w:cs="Times New Roman"/>
          <w:sz w:val="24"/>
          <w:szCs w:val="24"/>
          <w:vertAlign w:val="superscript"/>
        </w:rPr>
        <w:t>1</w:t>
      </w:r>
      <w:r w:rsidR="00FF7A42" w:rsidRPr="00CA19EF">
        <w:rPr>
          <w:rFonts w:ascii="Times New Roman" w:hAnsi="Times New Roman" w:cs="Times New Roman"/>
          <w:sz w:val="24"/>
          <w:szCs w:val="24"/>
          <w:vertAlign w:val="superscript"/>
        </w:rPr>
        <w:t>6</w:t>
      </w:r>
      <w:r w:rsidR="004D4511" w:rsidRPr="00CA19EF">
        <w:rPr>
          <w:rFonts w:ascii="Times New Roman" w:hAnsi="Times New Roman" w:cs="Times New Roman"/>
          <w:sz w:val="24"/>
          <w:szCs w:val="24"/>
        </w:rPr>
        <w:t xml:space="preserve"> In </w:t>
      </w:r>
      <w:r w:rsidR="00F53EB4" w:rsidRPr="00CA19EF">
        <w:rPr>
          <w:rFonts w:ascii="Times New Roman" w:hAnsi="Times New Roman" w:cs="Times New Roman"/>
          <w:sz w:val="24"/>
          <w:szCs w:val="24"/>
        </w:rPr>
        <w:t xml:space="preserve">a </w:t>
      </w:r>
      <w:r w:rsidR="004D4511" w:rsidRPr="00CA19EF">
        <w:rPr>
          <w:rFonts w:ascii="Times New Roman" w:hAnsi="Times New Roman" w:cs="Times New Roman"/>
          <w:sz w:val="24"/>
          <w:szCs w:val="24"/>
        </w:rPr>
        <w:t>post hoc analysis of a phase 3 study, denosumab significantly reduced the risk of hip fracture in a subset of postmenopausal women aged 75 years or older at high risk for fracture.</w:t>
      </w:r>
      <w:r w:rsidR="003A5930" w:rsidRPr="00CA19EF">
        <w:rPr>
          <w:rFonts w:ascii="Times New Roman" w:hAnsi="Times New Roman" w:cs="Times New Roman"/>
          <w:sz w:val="24"/>
          <w:szCs w:val="24"/>
          <w:vertAlign w:val="superscript"/>
        </w:rPr>
        <w:t>1</w:t>
      </w:r>
      <w:r w:rsidR="00FF7A42" w:rsidRPr="00CA19EF">
        <w:rPr>
          <w:rFonts w:ascii="Times New Roman" w:hAnsi="Times New Roman" w:cs="Times New Roman"/>
          <w:sz w:val="24"/>
          <w:szCs w:val="24"/>
          <w:vertAlign w:val="superscript"/>
        </w:rPr>
        <w:t>7</w:t>
      </w:r>
      <w:r w:rsidR="004D4511" w:rsidRPr="00CA19EF">
        <w:rPr>
          <w:rFonts w:ascii="Times New Roman" w:hAnsi="Times New Roman" w:cs="Times New Roman"/>
          <w:sz w:val="24"/>
          <w:szCs w:val="24"/>
        </w:rPr>
        <w:t xml:space="preserve"> Our </w:t>
      </w:r>
      <w:r w:rsidR="00D3489B" w:rsidRPr="00CA19EF">
        <w:rPr>
          <w:rFonts w:ascii="Times New Roman" w:hAnsi="Times New Roman" w:cs="Times New Roman"/>
          <w:sz w:val="24"/>
          <w:szCs w:val="24"/>
        </w:rPr>
        <w:t xml:space="preserve">results </w:t>
      </w:r>
      <w:r w:rsidR="00D3489B" w:rsidRPr="00CA19EF">
        <w:rPr>
          <w:rFonts w:ascii="Times New Roman" w:hAnsi="Times New Roman" w:cs="Times New Roman"/>
          <w:sz w:val="24"/>
          <w:szCs w:val="24"/>
        </w:rPr>
        <w:lastRenderedPageBreak/>
        <w:t xml:space="preserve">with </w:t>
      </w:r>
      <w:r w:rsidR="00612D8A">
        <w:rPr>
          <w:rFonts w:ascii="Times New Roman" w:hAnsi="Times New Roman" w:cs="Times New Roman"/>
          <w:sz w:val="24"/>
          <w:szCs w:val="24"/>
        </w:rPr>
        <w:t>abaloparatide</w:t>
      </w:r>
      <w:r w:rsidR="00D3489B" w:rsidRPr="00CA19EF">
        <w:rPr>
          <w:rFonts w:ascii="Times New Roman" w:hAnsi="Times New Roman" w:cs="Times New Roman"/>
          <w:sz w:val="24"/>
          <w:szCs w:val="24"/>
        </w:rPr>
        <w:t xml:space="preserve">-SC presented here </w:t>
      </w:r>
      <w:r w:rsidR="009C0E46" w:rsidRPr="00CA19EF">
        <w:rPr>
          <w:rFonts w:ascii="Times New Roman" w:hAnsi="Times New Roman" w:cs="Times New Roman"/>
          <w:sz w:val="24"/>
          <w:szCs w:val="24"/>
        </w:rPr>
        <w:t>are consis</w:t>
      </w:r>
      <w:r w:rsidR="002A20FE" w:rsidRPr="00CA19EF">
        <w:rPr>
          <w:rFonts w:ascii="Times New Roman" w:hAnsi="Times New Roman" w:cs="Times New Roman"/>
          <w:sz w:val="24"/>
          <w:szCs w:val="24"/>
        </w:rPr>
        <w:t>tent with th</w:t>
      </w:r>
      <w:r w:rsidR="00F53EB4" w:rsidRPr="00CA19EF">
        <w:rPr>
          <w:rFonts w:ascii="Times New Roman" w:hAnsi="Times New Roman" w:cs="Times New Roman"/>
          <w:sz w:val="24"/>
          <w:szCs w:val="24"/>
        </w:rPr>
        <w:t>e</w:t>
      </w:r>
      <w:r w:rsidR="002A20FE" w:rsidRPr="00CA19EF">
        <w:rPr>
          <w:rFonts w:ascii="Times New Roman" w:hAnsi="Times New Roman" w:cs="Times New Roman"/>
          <w:sz w:val="24"/>
          <w:szCs w:val="24"/>
        </w:rPr>
        <w:t>se subgroup analyse</w:t>
      </w:r>
      <w:r w:rsidR="009C0E46" w:rsidRPr="00CA19EF">
        <w:rPr>
          <w:rFonts w:ascii="Times New Roman" w:hAnsi="Times New Roman" w:cs="Times New Roman"/>
          <w:sz w:val="24"/>
          <w:szCs w:val="24"/>
        </w:rPr>
        <w:t>s.</w:t>
      </w:r>
    </w:p>
    <w:p w14:paraId="26A73505" w14:textId="77777777" w:rsidR="00676FF0" w:rsidRPr="00CA19EF" w:rsidRDefault="00676FF0" w:rsidP="00A3132B">
      <w:pPr>
        <w:spacing w:line="480" w:lineRule="auto"/>
        <w:rPr>
          <w:rFonts w:ascii="Times New Roman" w:hAnsi="Times New Roman" w:cs="Times New Roman"/>
          <w:sz w:val="24"/>
          <w:szCs w:val="24"/>
        </w:rPr>
      </w:pPr>
    </w:p>
    <w:p w14:paraId="3C5232C0" w14:textId="453DCADA" w:rsidR="00676FF0" w:rsidRPr="00CA19EF" w:rsidRDefault="00676FF0" w:rsidP="00A3132B">
      <w:pPr>
        <w:spacing w:line="480" w:lineRule="auto"/>
        <w:rPr>
          <w:rFonts w:ascii="Times New Roman" w:hAnsi="Times New Roman" w:cs="Times New Roman"/>
          <w:sz w:val="24"/>
          <w:szCs w:val="24"/>
        </w:rPr>
      </w:pPr>
      <w:r w:rsidRPr="00CA19EF">
        <w:rPr>
          <w:rFonts w:ascii="Times New Roman" w:hAnsi="Times New Roman" w:cs="Times New Roman"/>
          <w:sz w:val="24"/>
          <w:szCs w:val="24"/>
        </w:rPr>
        <w:t xml:space="preserve">The strength of these analyses is the clinically important subgroup of very elderly women studied. The limitations include the post hoc nature of the analyses, as well as those limitations related to subgroup analyses including lack of adjustment for multiple comparisons, possible confounding as a result of </w:t>
      </w:r>
      <w:r w:rsidR="00E82ADC">
        <w:rPr>
          <w:rFonts w:ascii="Times New Roman" w:hAnsi="Times New Roman" w:cs="Times New Roman"/>
          <w:sz w:val="24"/>
          <w:szCs w:val="24"/>
        </w:rPr>
        <w:t>the lack of</w:t>
      </w:r>
      <w:r w:rsidRPr="00CA19EF">
        <w:rPr>
          <w:rFonts w:ascii="Times New Roman" w:hAnsi="Times New Roman" w:cs="Times New Roman"/>
          <w:sz w:val="24"/>
          <w:szCs w:val="24"/>
        </w:rPr>
        <w:t xml:space="preserve"> stratification by age in the original randomization, and the small number of fracture events.</w:t>
      </w:r>
    </w:p>
    <w:p w14:paraId="6B038E8E" w14:textId="77777777" w:rsidR="000E72B7" w:rsidRPr="00CA19EF" w:rsidRDefault="000E72B7" w:rsidP="00A3132B">
      <w:pPr>
        <w:spacing w:line="480" w:lineRule="auto"/>
        <w:rPr>
          <w:rFonts w:ascii="Times New Roman" w:hAnsi="Times New Roman" w:cs="Times New Roman"/>
          <w:sz w:val="24"/>
          <w:szCs w:val="24"/>
        </w:rPr>
      </w:pPr>
    </w:p>
    <w:p w14:paraId="2409A599" w14:textId="77777777" w:rsidR="0081297F" w:rsidRPr="0081297F" w:rsidRDefault="0081297F" w:rsidP="00F4678C">
      <w:pPr>
        <w:spacing w:line="480" w:lineRule="auto"/>
        <w:rPr>
          <w:rFonts w:ascii="Times New Roman" w:hAnsi="Times New Roman" w:cs="Times New Roman"/>
          <w:b/>
          <w:sz w:val="24"/>
          <w:szCs w:val="24"/>
        </w:rPr>
      </w:pPr>
      <w:r w:rsidRPr="0081297F">
        <w:rPr>
          <w:rFonts w:ascii="Times New Roman" w:hAnsi="Times New Roman" w:cs="Times New Roman"/>
          <w:b/>
          <w:sz w:val="24"/>
          <w:szCs w:val="24"/>
        </w:rPr>
        <w:t>Conslusions</w:t>
      </w:r>
    </w:p>
    <w:p w14:paraId="106F6237" w14:textId="77AC3211" w:rsidR="00F4678C" w:rsidRPr="00CA19EF" w:rsidRDefault="00B20195" w:rsidP="00F4678C">
      <w:pPr>
        <w:spacing w:line="480" w:lineRule="auto"/>
        <w:rPr>
          <w:rFonts w:ascii="Times New Roman" w:hAnsi="Times New Roman" w:cs="Times New Roman"/>
          <w:sz w:val="24"/>
          <w:szCs w:val="24"/>
        </w:rPr>
      </w:pPr>
      <w:r w:rsidRPr="00CA19EF">
        <w:rPr>
          <w:rFonts w:ascii="Times New Roman" w:hAnsi="Times New Roman" w:cs="Times New Roman"/>
          <w:sz w:val="24"/>
          <w:szCs w:val="24"/>
        </w:rPr>
        <w:t xml:space="preserve">In </w:t>
      </w:r>
      <w:r w:rsidR="00166CB4" w:rsidRPr="00CA19EF">
        <w:rPr>
          <w:rFonts w:ascii="Times New Roman" w:hAnsi="Times New Roman" w:cs="Times New Roman"/>
          <w:sz w:val="24"/>
          <w:szCs w:val="24"/>
        </w:rPr>
        <w:t xml:space="preserve">the subgroup of patients aged 80 years </w:t>
      </w:r>
      <w:r w:rsidR="00995E38" w:rsidRPr="00CA19EF">
        <w:rPr>
          <w:rFonts w:ascii="Times New Roman" w:hAnsi="Times New Roman" w:cs="Times New Roman"/>
          <w:sz w:val="24"/>
          <w:szCs w:val="24"/>
        </w:rPr>
        <w:t>or</w:t>
      </w:r>
      <w:r w:rsidR="00166CB4" w:rsidRPr="00CA19EF">
        <w:rPr>
          <w:rFonts w:ascii="Times New Roman" w:hAnsi="Times New Roman" w:cs="Times New Roman"/>
          <w:sz w:val="24"/>
          <w:szCs w:val="24"/>
        </w:rPr>
        <w:t xml:space="preserve"> older, </w:t>
      </w:r>
      <w:r w:rsidR="00612D8A">
        <w:rPr>
          <w:rFonts w:ascii="Times New Roman" w:hAnsi="Times New Roman" w:cs="Times New Roman"/>
          <w:sz w:val="24"/>
          <w:szCs w:val="24"/>
        </w:rPr>
        <w:t>abaloparatide</w:t>
      </w:r>
      <w:r w:rsidRPr="00CA19EF">
        <w:rPr>
          <w:rFonts w:ascii="Times New Roman" w:hAnsi="Times New Roman" w:cs="Times New Roman"/>
          <w:sz w:val="24"/>
          <w:szCs w:val="24"/>
        </w:rPr>
        <w:t>-SC therapy was associated with</w:t>
      </w:r>
      <w:r w:rsidR="000C3C24" w:rsidRPr="00CA19EF">
        <w:rPr>
          <w:rFonts w:ascii="Times New Roman" w:hAnsi="Times New Roman" w:cs="Times New Roman"/>
          <w:sz w:val="24"/>
          <w:szCs w:val="24"/>
        </w:rPr>
        <w:t xml:space="preserve"> </w:t>
      </w:r>
      <w:r w:rsidRPr="00CA19EF">
        <w:rPr>
          <w:rFonts w:ascii="Times New Roman" w:hAnsi="Times New Roman" w:cs="Times New Roman"/>
          <w:sz w:val="24"/>
          <w:szCs w:val="24"/>
        </w:rPr>
        <w:t>significantly increased BMD of the lumbar spine and proximal femur</w:t>
      </w:r>
      <w:r w:rsidR="00166CB4" w:rsidRPr="00CA19EF">
        <w:rPr>
          <w:rFonts w:ascii="Times New Roman" w:hAnsi="Times New Roman" w:cs="Times New Roman"/>
          <w:sz w:val="24"/>
          <w:szCs w:val="24"/>
        </w:rPr>
        <w:t>,</w:t>
      </w:r>
      <w:r w:rsidRPr="00CA19EF">
        <w:rPr>
          <w:rFonts w:ascii="Times New Roman" w:hAnsi="Times New Roman" w:cs="Times New Roman"/>
          <w:sz w:val="24"/>
          <w:szCs w:val="24"/>
        </w:rPr>
        <w:t xml:space="preserve"> </w:t>
      </w:r>
      <w:r w:rsidR="00243D74" w:rsidRPr="00CA19EF">
        <w:rPr>
          <w:rFonts w:ascii="Times New Roman" w:hAnsi="Times New Roman" w:cs="Times New Roman"/>
          <w:sz w:val="24"/>
          <w:szCs w:val="24"/>
        </w:rPr>
        <w:t xml:space="preserve">numerically </w:t>
      </w:r>
      <w:r w:rsidR="000C3C24" w:rsidRPr="00CA19EF">
        <w:rPr>
          <w:rFonts w:ascii="Times New Roman" w:hAnsi="Times New Roman" w:cs="Times New Roman"/>
          <w:sz w:val="24"/>
          <w:szCs w:val="24"/>
        </w:rPr>
        <w:t xml:space="preserve">fewer vertebral and nonvertebral fractures, </w:t>
      </w:r>
      <w:r w:rsidR="00F53EB4" w:rsidRPr="00CA19EF">
        <w:rPr>
          <w:rFonts w:ascii="Times New Roman" w:hAnsi="Times New Roman" w:cs="Times New Roman"/>
          <w:sz w:val="24"/>
          <w:szCs w:val="24"/>
        </w:rPr>
        <w:t>and no differences in the safety profile</w:t>
      </w:r>
      <w:r w:rsidRPr="00CA19EF">
        <w:rPr>
          <w:rFonts w:ascii="Times New Roman" w:hAnsi="Times New Roman" w:cs="Times New Roman"/>
          <w:sz w:val="24"/>
          <w:szCs w:val="24"/>
        </w:rPr>
        <w:t xml:space="preserve">. </w:t>
      </w:r>
      <w:r w:rsidR="00995E38" w:rsidRPr="00CA19EF">
        <w:rPr>
          <w:rFonts w:ascii="Times New Roman" w:hAnsi="Times New Roman" w:cs="Times New Roman"/>
          <w:sz w:val="24"/>
          <w:szCs w:val="24"/>
        </w:rPr>
        <w:t xml:space="preserve">These findings are consistent with efficacy of </w:t>
      </w:r>
      <w:r w:rsidR="00612D8A">
        <w:rPr>
          <w:rFonts w:ascii="Times New Roman" w:hAnsi="Times New Roman" w:cs="Times New Roman"/>
          <w:sz w:val="24"/>
          <w:szCs w:val="24"/>
        </w:rPr>
        <w:t>abaloparatide</w:t>
      </w:r>
      <w:r w:rsidR="00995E38" w:rsidRPr="00CA19EF">
        <w:rPr>
          <w:rFonts w:ascii="Times New Roman" w:hAnsi="Times New Roman" w:cs="Times New Roman"/>
          <w:sz w:val="24"/>
          <w:szCs w:val="24"/>
        </w:rPr>
        <w:t xml:space="preserve">-SC in the very elderly comparable to that </w:t>
      </w:r>
      <w:r w:rsidR="00995E38" w:rsidRPr="00CA19EF">
        <w:rPr>
          <w:rFonts w:ascii="Times New Roman" w:hAnsi="Times New Roman" w:cs="Times New Roman"/>
          <w:sz w:val="24"/>
          <w:szCs w:val="24"/>
        </w:rPr>
        <w:lastRenderedPageBreak/>
        <w:t xml:space="preserve">in the general older population. </w:t>
      </w:r>
      <w:r w:rsidR="00F4678C" w:rsidRPr="00CA19EF">
        <w:rPr>
          <w:rFonts w:ascii="Times New Roman" w:hAnsi="Times New Roman" w:cs="Times New Roman"/>
          <w:sz w:val="24"/>
          <w:szCs w:val="24"/>
        </w:rPr>
        <w:t>Since life expectancy is increasing and a growing proportion of individuals in the next 30 years will be in the a</w:t>
      </w:r>
      <w:r w:rsidR="00995E38" w:rsidRPr="00CA19EF">
        <w:rPr>
          <w:rFonts w:ascii="Times New Roman" w:hAnsi="Times New Roman" w:cs="Times New Roman"/>
          <w:sz w:val="24"/>
          <w:szCs w:val="24"/>
        </w:rPr>
        <w:t>t risk elderly category, it will be important to further</w:t>
      </w:r>
      <w:r w:rsidR="00F4678C" w:rsidRPr="00CA19EF">
        <w:rPr>
          <w:rFonts w:ascii="Times New Roman" w:hAnsi="Times New Roman" w:cs="Times New Roman"/>
          <w:sz w:val="24"/>
          <w:szCs w:val="24"/>
        </w:rPr>
        <w:t xml:space="preserve"> develop </w:t>
      </w:r>
      <w:r w:rsidR="00995E38" w:rsidRPr="00CA19EF">
        <w:rPr>
          <w:rFonts w:ascii="Times New Roman" w:hAnsi="Times New Roman" w:cs="Times New Roman"/>
          <w:sz w:val="24"/>
          <w:szCs w:val="24"/>
        </w:rPr>
        <w:t xml:space="preserve">such </w:t>
      </w:r>
      <w:r w:rsidR="00F4678C" w:rsidRPr="00CA19EF">
        <w:rPr>
          <w:rFonts w:ascii="Times New Roman" w:hAnsi="Times New Roman" w:cs="Times New Roman"/>
          <w:sz w:val="24"/>
          <w:szCs w:val="24"/>
        </w:rPr>
        <w:t>therapeutic options that clearly reduce fractures in the very old if we hope to make a substantial impact on disability, loss of independence</w:t>
      </w:r>
      <w:r w:rsidR="00F520B0" w:rsidRPr="00CA19EF">
        <w:rPr>
          <w:rFonts w:ascii="Times New Roman" w:hAnsi="Times New Roman" w:cs="Times New Roman"/>
          <w:sz w:val="24"/>
          <w:szCs w:val="24"/>
        </w:rPr>
        <w:t>,</w:t>
      </w:r>
      <w:r w:rsidR="00F4678C" w:rsidRPr="00CA19EF">
        <w:rPr>
          <w:rFonts w:ascii="Times New Roman" w:hAnsi="Times New Roman" w:cs="Times New Roman"/>
          <w:sz w:val="24"/>
          <w:szCs w:val="24"/>
        </w:rPr>
        <w:t xml:space="preserve"> and mortality from complications of osteoporosis</w:t>
      </w:r>
      <w:r w:rsidR="00DA737A">
        <w:rPr>
          <w:rFonts w:ascii="Times New Roman" w:hAnsi="Times New Roman" w:cs="Times New Roman"/>
          <w:sz w:val="24"/>
          <w:szCs w:val="24"/>
        </w:rPr>
        <w:t>.</w:t>
      </w:r>
    </w:p>
    <w:p w14:paraId="5E7069AB" w14:textId="77777777" w:rsidR="0047423B" w:rsidRPr="00CA19EF" w:rsidRDefault="0047423B" w:rsidP="00A3132B">
      <w:pPr>
        <w:spacing w:line="480" w:lineRule="auto"/>
        <w:rPr>
          <w:rFonts w:ascii="Times New Roman" w:hAnsi="Times New Roman" w:cs="Times New Roman"/>
          <w:sz w:val="24"/>
          <w:szCs w:val="24"/>
        </w:rPr>
      </w:pPr>
    </w:p>
    <w:p w14:paraId="19929B11" w14:textId="74BCB628" w:rsidR="00AF47C7" w:rsidRPr="00CA19EF" w:rsidRDefault="00AF47C7" w:rsidP="00A3132B">
      <w:pPr>
        <w:spacing w:line="480" w:lineRule="auto"/>
        <w:rPr>
          <w:rFonts w:ascii="Times New Roman" w:hAnsi="Times New Roman" w:cs="Times New Roman"/>
          <w:b/>
          <w:sz w:val="24"/>
          <w:szCs w:val="24"/>
        </w:rPr>
      </w:pPr>
      <w:r w:rsidRPr="00CA19EF">
        <w:rPr>
          <w:rFonts w:ascii="Times New Roman" w:hAnsi="Times New Roman" w:cs="Times New Roman"/>
          <w:b/>
          <w:sz w:val="24"/>
          <w:szCs w:val="24"/>
        </w:rPr>
        <w:t>Acknowledgments</w:t>
      </w:r>
    </w:p>
    <w:p w14:paraId="28539BC4" w14:textId="632F36F0" w:rsidR="00AF47C7" w:rsidRPr="00CA19EF" w:rsidRDefault="00AF47C7" w:rsidP="00A3132B">
      <w:pPr>
        <w:spacing w:line="480" w:lineRule="auto"/>
        <w:rPr>
          <w:rFonts w:ascii="Times New Roman" w:hAnsi="Times New Roman" w:cs="Times New Roman"/>
          <w:sz w:val="24"/>
          <w:szCs w:val="24"/>
        </w:rPr>
      </w:pPr>
      <w:r w:rsidRPr="00CA19EF">
        <w:rPr>
          <w:rFonts w:ascii="Times New Roman" w:hAnsi="Times New Roman" w:cs="Times New Roman"/>
          <w:sz w:val="24"/>
          <w:szCs w:val="24"/>
        </w:rPr>
        <w:t>Medical writing support was provided by John L. Stock, MD, and funded by Radius Health, Inc.</w:t>
      </w:r>
    </w:p>
    <w:p w14:paraId="77310C05" w14:textId="77777777" w:rsidR="00E8720F" w:rsidRPr="00CA19EF" w:rsidRDefault="00E8720F" w:rsidP="0047423B">
      <w:pPr>
        <w:spacing w:line="360" w:lineRule="auto"/>
        <w:rPr>
          <w:rFonts w:ascii="Times New Roman" w:hAnsi="Times New Roman" w:cs="Times New Roman"/>
          <w:b/>
          <w:sz w:val="24"/>
          <w:szCs w:val="24"/>
        </w:rPr>
        <w:sectPr w:rsidR="00E8720F" w:rsidRPr="00CA19EF" w:rsidSect="00EE486C">
          <w:pgSz w:w="12240" w:h="15840"/>
          <w:pgMar w:top="1440" w:right="1440" w:bottom="1440" w:left="1440" w:header="720" w:footer="720" w:gutter="0"/>
          <w:lnNumType w:countBy="1" w:restart="continuous"/>
          <w:cols w:space="720"/>
          <w:docGrid w:linePitch="360"/>
        </w:sectPr>
      </w:pPr>
    </w:p>
    <w:p w14:paraId="2092B497" w14:textId="0FACE745" w:rsidR="00251F40" w:rsidRPr="00CA19EF" w:rsidRDefault="0047423B" w:rsidP="00CA19EF">
      <w:pPr>
        <w:spacing w:line="480" w:lineRule="auto"/>
        <w:rPr>
          <w:rFonts w:ascii="Times New Roman" w:hAnsi="Times New Roman" w:cs="Times New Roman"/>
          <w:b/>
          <w:sz w:val="24"/>
          <w:szCs w:val="24"/>
        </w:rPr>
      </w:pPr>
      <w:r w:rsidRPr="00CA19EF">
        <w:rPr>
          <w:rFonts w:ascii="Times New Roman" w:hAnsi="Times New Roman" w:cs="Times New Roman"/>
          <w:b/>
          <w:sz w:val="24"/>
          <w:szCs w:val="24"/>
        </w:rPr>
        <w:lastRenderedPageBreak/>
        <w:t>References</w:t>
      </w:r>
    </w:p>
    <w:p w14:paraId="3726C9DE" w14:textId="06869B24" w:rsidR="00251F40" w:rsidRPr="00CA19EF" w:rsidRDefault="00251F40"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 xml:space="preserve">Consensus development conference: diagnosis, prophylaxis and treatment of osteoporosis. </w:t>
      </w:r>
      <w:r w:rsidRPr="0024762E">
        <w:rPr>
          <w:rFonts w:ascii="Times New Roman" w:hAnsi="Times New Roman" w:cs="Times New Roman"/>
          <w:i/>
          <w:sz w:val="24"/>
          <w:szCs w:val="24"/>
        </w:rPr>
        <w:t>Am J Med</w:t>
      </w:r>
      <w:r w:rsidRPr="00CA19EF">
        <w:rPr>
          <w:rFonts w:ascii="Times New Roman" w:hAnsi="Times New Roman" w:cs="Times New Roman"/>
          <w:sz w:val="24"/>
          <w:szCs w:val="24"/>
        </w:rPr>
        <w:t xml:space="preserve"> 1993;</w:t>
      </w:r>
      <w:r w:rsidRPr="0024762E">
        <w:rPr>
          <w:rFonts w:ascii="Times New Roman" w:hAnsi="Times New Roman" w:cs="Times New Roman"/>
          <w:b/>
          <w:sz w:val="24"/>
          <w:szCs w:val="24"/>
        </w:rPr>
        <w:t>94</w:t>
      </w:r>
      <w:r w:rsidRPr="00CA19EF">
        <w:rPr>
          <w:rFonts w:ascii="Times New Roman" w:hAnsi="Times New Roman" w:cs="Times New Roman"/>
          <w:sz w:val="24"/>
          <w:szCs w:val="24"/>
        </w:rPr>
        <w:t>:646-</w:t>
      </w:r>
      <w:r w:rsidR="0024762E">
        <w:rPr>
          <w:rFonts w:ascii="Times New Roman" w:hAnsi="Times New Roman" w:cs="Times New Roman"/>
          <w:sz w:val="24"/>
          <w:szCs w:val="24"/>
        </w:rPr>
        <w:t>6</w:t>
      </w:r>
      <w:r w:rsidRPr="00CA19EF">
        <w:rPr>
          <w:rFonts w:ascii="Times New Roman" w:hAnsi="Times New Roman" w:cs="Times New Roman"/>
          <w:sz w:val="24"/>
          <w:szCs w:val="24"/>
        </w:rPr>
        <w:t>50.</w:t>
      </w:r>
    </w:p>
    <w:p w14:paraId="661B0849" w14:textId="74FA574B" w:rsidR="00251F40" w:rsidRPr="00CA19EF" w:rsidRDefault="00251F40"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 xml:space="preserve">Melton LJ III. Perspectives: How many women have osteoporosis now? </w:t>
      </w:r>
      <w:r w:rsidRPr="0024762E">
        <w:rPr>
          <w:rFonts w:ascii="Times New Roman" w:hAnsi="Times New Roman" w:cs="Times New Roman"/>
          <w:i/>
          <w:sz w:val="24"/>
          <w:szCs w:val="24"/>
        </w:rPr>
        <w:t>J Bone Miner Res</w:t>
      </w:r>
      <w:r w:rsidR="00651E90">
        <w:rPr>
          <w:rFonts w:ascii="Times New Roman" w:hAnsi="Times New Roman" w:cs="Times New Roman"/>
          <w:sz w:val="24"/>
          <w:szCs w:val="24"/>
        </w:rPr>
        <w:t xml:space="preserve"> 1995;</w:t>
      </w:r>
      <w:r w:rsidR="00651E90" w:rsidRPr="0024762E">
        <w:rPr>
          <w:rFonts w:ascii="Times New Roman" w:hAnsi="Times New Roman" w:cs="Times New Roman"/>
          <w:b/>
          <w:sz w:val="24"/>
          <w:szCs w:val="24"/>
        </w:rPr>
        <w:t>10</w:t>
      </w:r>
      <w:r w:rsidR="00651E90">
        <w:rPr>
          <w:rFonts w:ascii="Times New Roman" w:hAnsi="Times New Roman" w:cs="Times New Roman"/>
          <w:sz w:val="24"/>
          <w:szCs w:val="24"/>
        </w:rPr>
        <w:t>:175-</w:t>
      </w:r>
      <w:r w:rsidR="0024762E">
        <w:rPr>
          <w:rFonts w:ascii="Times New Roman" w:hAnsi="Times New Roman" w:cs="Times New Roman"/>
          <w:sz w:val="24"/>
          <w:szCs w:val="24"/>
        </w:rPr>
        <w:t>17</w:t>
      </w:r>
      <w:r w:rsidRPr="00CA19EF">
        <w:rPr>
          <w:rFonts w:ascii="Times New Roman" w:hAnsi="Times New Roman" w:cs="Times New Roman"/>
          <w:sz w:val="24"/>
          <w:szCs w:val="24"/>
        </w:rPr>
        <w:t>7.</w:t>
      </w:r>
    </w:p>
    <w:p w14:paraId="3619D307" w14:textId="42F3C052" w:rsidR="00F633B6" w:rsidRPr="00CA19EF" w:rsidRDefault="00251F40"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 xml:space="preserve">Looker AC, Wahner HW, Dunn WL, et al. Proximal femur bone mineral levels of US adults. </w:t>
      </w:r>
      <w:r w:rsidRPr="0024762E">
        <w:rPr>
          <w:rFonts w:ascii="Times New Roman" w:hAnsi="Times New Roman" w:cs="Times New Roman"/>
          <w:i/>
          <w:sz w:val="24"/>
          <w:szCs w:val="24"/>
        </w:rPr>
        <w:t>Osteoporos Int</w:t>
      </w:r>
      <w:r w:rsidR="00651E90">
        <w:rPr>
          <w:rFonts w:ascii="Times New Roman" w:hAnsi="Times New Roman" w:cs="Times New Roman"/>
          <w:sz w:val="24"/>
          <w:szCs w:val="24"/>
        </w:rPr>
        <w:t xml:space="preserve"> 1995;</w:t>
      </w:r>
      <w:r w:rsidR="00651E90" w:rsidRPr="0024762E">
        <w:rPr>
          <w:rFonts w:ascii="Times New Roman" w:hAnsi="Times New Roman" w:cs="Times New Roman"/>
          <w:b/>
          <w:sz w:val="24"/>
          <w:szCs w:val="24"/>
        </w:rPr>
        <w:t>5</w:t>
      </w:r>
      <w:r w:rsidR="00651E90">
        <w:rPr>
          <w:rFonts w:ascii="Times New Roman" w:hAnsi="Times New Roman" w:cs="Times New Roman"/>
          <w:sz w:val="24"/>
          <w:szCs w:val="24"/>
        </w:rPr>
        <w:t>:389-</w:t>
      </w:r>
      <w:r w:rsidRPr="00CA19EF">
        <w:rPr>
          <w:rFonts w:ascii="Times New Roman" w:hAnsi="Times New Roman" w:cs="Times New Roman"/>
          <w:sz w:val="24"/>
          <w:szCs w:val="24"/>
        </w:rPr>
        <w:t>409</w:t>
      </w:r>
      <w:r w:rsidR="00F633B6" w:rsidRPr="00CA19EF">
        <w:rPr>
          <w:rFonts w:ascii="Times New Roman" w:hAnsi="Times New Roman" w:cs="Times New Roman"/>
          <w:sz w:val="24"/>
          <w:szCs w:val="24"/>
        </w:rPr>
        <w:t>.</w:t>
      </w:r>
    </w:p>
    <w:p w14:paraId="17C18CB6" w14:textId="1C25EF2B" w:rsidR="00F633B6" w:rsidRPr="00CA19EF" w:rsidRDefault="00F633B6"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 xml:space="preserve">Söderqvist A1, Ekström W, Ponzer S, </w:t>
      </w:r>
      <w:r w:rsidR="006367D0" w:rsidRPr="00CA19EF">
        <w:rPr>
          <w:rFonts w:ascii="Times New Roman" w:hAnsi="Times New Roman" w:cs="Times New Roman"/>
          <w:sz w:val="24"/>
          <w:szCs w:val="24"/>
        </w:rPr>
        <w:t xml:space="preserve">et al. </w:t>
      </w:r>
      <w:r w:rsidRPr="00CA19EF">
        <w:rPr>
          <w:rFonts w:ascii="Times New Roman" w:hAnsi="Times New Roman" w:cs="Times New Roman"/>
          <w:sz w:val="24"/>
          <w:szCs w:val="24"/>
        </w:rPr>
        <w:t xml:space="preserve">Prediction of mortality in elderly patients with hip fractures: a two-year prospective study of 1,944 patients. </w:t>
      </w:r>
      <w:r w:rsidRPr="0024762E">
        <w:rPr>
          <w:rFonts w:ascii="Times New Roman" w:hAnsi="Times New Roman" w:cs="Times New Roman"/>
          <w:i/>
          <w:sz w:val="24"/>
          <w:szCs w:val="24"/>
        </w:rPr>
        <w:t>Gerontology</w:t>
      </w:r>
      <w:r w:rsidRPr="00CA19EF">
        <w:rPr>
          <w:rFonts w:ascii="Times New Roman" w:hAnsi="Times New Roman" w:cs="Times New Roman"/>
          <w:sz w:val="24"/>
          <w:szCs w:val="24"/>
        </w:rPr>
        <w:t xml:space="preserve"> 2009;</w:t>
      </w:r>
      <w:r w:rsidRPr="0024762E">
        <w:rPr>
          <w:rFonts w:ascii="Times New Roman" w:hAnsi="Times New Roman" w:cs="Times New Roman"/>
          <w:b/>
          <w:sz w:val="24"/>
          <w:szCs w:val="24"/>
        </w:rPr>
        <w:t>55</w:t>
      </w:r>
      <w:r w:rsidRPr="00CA19EF">
        <w:rPr>
          <w:rFonts w:ascii="Times New Roman" w:hAnsi="Times New Roman" w:cs="Times New Roman"/>
          <w:sz w:val="24"/>
          <w:szCs w:val="24"/>
        </w:rPr>
        <w:t>:496-504.</w:t>
      </w:r>
    </w:p>
    <w:p w14:paraId="773FDB6F" w14:textId="7655153E" w:rsidR="00F633B6" w:rsidRPr="00CA19EF" w:rsidRDefault="00251F40"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Hattersley G, Dean T, Corbin BA, Bahar H, Gardella TJ. Binding selectivity of abaloparatide for PTH-type-1-receptor conformations and effects on downstream signalin</w:t>
      </w:r>
      <w:r w:rsidR="0047423B" w:rsidRPr="00CA19EF">
        <w:rPr>
          <w:rFonts w:ascii="Times New Roman" w:hAnsi="Times New Roman" w:cs="Times New Roman"/>
          <w:sz w:val="24"/>
          <w:szCs w:val="24"/>
        </w:rPr>
        <w:t xml:space="preserve">g. </w:t>
      </w:r>
      <w:r w:rsidR="0047423B" w:rsidRPr="0024762E">
        <w:rPr>
          <w:rFonts w:ascii="Times New Roman" w:hAnsi="Times New Roman" w:cs="Times New Roman"/>
          <w:i/>
          <w:sz w:val="24"/>
          <w:szCs w:val="24"/>
        </w:rPr>
        <w:t>Endocrinology</w:t>
      </w:r>
      <w:r w:rsidR="00456E65" w:rsidRPr="00CA19EF">
        <w:rPr>
          <w:rFonts w:ascii="Times New Roman" w:hAnsi="Times New Roman" w:cs="Times New Roman"/>
          <w:sz w:val="24"/>
          <w:szCs w:val="24"/>
        </w:rPr>
        <w:t xml:space="preserve"> </w:t>
      </w:r>
      <w:r w:rsidR="0047423B" w:rsidRPr="00CA19EF">
        <w:rPr>
          <w:rFonts w:ascii="Times New Roman" w:hAnsi="Times New Roman" w:cs="Times New Roman"/>
          <w:sz w:val="24"/>
          <w:szCs w:val="24"/>
        </w:rPr>
        <w:t>2016;</w:t>
      </w:r>
      <w:r w:rsidR="0047423B" w:rsidRPr="0024762E">
        <w:rPr>
          <w:rFonts w:ascii="Times New Roman" w:hAnsi="Times New Roman" w:cs="Times New Roman"/>
          <w:b/>
          <w:sz w:val="24"/>
          <w:szCs w:val="24"/>
        </w:rPr>
        <w:t>157</w:t>
      </w:r>
      <w:r w:rsidR="0047423B" w:rsidRPr="00CA19EF">
        <w:rPr>
          <w:rFonts w:ascii="Times New Roman" w:hAnsi="Times New Roman" w:cs="Times New Roman"/>
          <w:sz w:val="24"/>
          <w:szCs w:val="24"/>
        </w:rPr>
        <w:t>:141-</w:t>
      </w:r>
      <w:r w:rsidR="0024762E">
        <w:rPr>
          <w:rFonts w:ascii="Times New Roman" w:hAnsi="Times New Roman" w:cs="Times New Roman"/>
          <w:sz w:val="24"/>
          <w:szCs w:val="24"/>
        </w:rPr>
        <w:t>14</w:t>
      </w:r>
      <w:r w:rsidRPr="00CA19EF">
        <w:rPr>
          <w:rFonts w:ascii="Times New Roman" w:hAnsi="Times New Roman" w:cs="Times New Roman"/>
          <w:sz w:val="24"/>
          <w:szCs w:val="24"/>
        </w:rPr>
        <w:t>9.</w:t>
      </w:r>
    </w:p>
    <w:p w14:paraId="67D22FCD" w14:textId="37A15DB3" w:rsidR="00251F40" w:rsidRPr="00CA19EF" w:rsidRDefault="00251F40"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Miller PD, Hattersley G, Riis BJ,</w:t>
      </w:r>
      <w:r w:rsidR="006367D0" w:rsidRPr="00CA19EF">
        <w:rPr>
          <w:rFonts w:ascii="Times New Roman" w:hAnsi="Times New Roman" w:cs="Times New Roman"/>
          <w:sz w:val="24"/>
          <w:szCs w:val="24"/>
        </w:rPr>
        <w:t xml:space="preserve"> et al. </w:t>
      </w:r>
      <w:r w:rsidRPr="00CA19EF">
        <w:rPr>
          <w:rFonts w:ascii="Times New Roman" w:hAnsi="Times New Roman" w:cs="Times New Roman"/>
          <w:sz w:val="24"/>
          <w:szCs w:val="24"/>
        </w:rPr>
        <w:t xml:space="preserve">Effect of abaloparatide vs placebo on new </w:t>
      </w:r>
      <w:r w:rsidR="0047423B" w:rsidRPr="00CA19EF">
        <w:rPr>
          <w:rFonts w:ascii="Times New Roman" w:hAnsi="Times New Roman" w:cs="Times New Roman"/>
          <w:sz w:val="24"/>
          <w:szCs w:val="24"/>
        </w:rPr>
        <w:t>v</w:t>
      </w:r>
      <w:r w:rsidRPr="00CA19EF">
        <w:rPr>
          <w:rFonts w:ascii="Times New Roman" w:hAnsi="Times New Roman" w:cs="Times New Roman"/>
          <w:sz w:val="24"/>
          <w:szCs w:val="24"/>
        </w:rPr>
        <w:t>ertebral fractures in postmenopausal women with os</w:t>
      </w:r>
      <w:r w:rsidR="0047423B" w:rsidRPr="00CA19EF">
        <w:rPr>
          <w:rFonts w:ascii="Times New Roman" w:hAnsi="Times New Roman" w:cs="Times New Roman"/>
          <w:sz w:val="24"/>
          <w:szCs w:val="24"/>
        </w:rPr>
        <w:t xml:space="preserve">teoporosis. </w:t>
      </w:r>
      <w:r w:rsidR="0047423B" w:rsidRPr="0024762E">
        <w:rPr>
          <w:rFonts w:ascii="Times New Roman" w:hAnsi="Times New Roman" w:cs="Times New Roman"/>
          <w:i/>
          <w:sz w:val="24"/>
          <w:szCs w:val="24"/>
        </w:rPr>
        <w:t>JAMA</w:t>
      </w:r>
      <w:r w:rsidR="0047423B" w:rsidRPr="00CA19EF">
        <w:rPr>
          <w:rFonts w:ascii="Times New Roman" w:hAnsi="Times New Roman" w:cs="Times New Roman"/>
          <w:sz w:val="24"/>
          <w:szCs w:val="24"/>
        </w:rPr>
        <w:t xml:space="preserve"> 2016;</w:t>
      </w:r>
      <w:r w:rsidR="0047423B" w:rsidRPr="0024762E">
        <w:rPr>
          <w:rFonts w:ascii="Times New Roman" w:hAnsi="Times New Roman" w:cs="Times New Roman"/>
          <w:b/>
          <w:sz w:val="24"/>
          <w:szCs w:val="24"/>
        </w:rPr>
        <w:t>316</w:t>
      </w:r>
      <w:r w:rsidR="0047423B" w:rsidRPr="00CA19EF">
        <w:rPr>
          <w:rFonts w:ascii="Times New Roman" w:hAnsi="Times New Roman" w:cs="Times New Roman"/>
          <w:sz w:val="24"/>
          <w:szCs w:val="24"/>
        </w:rPr>
        <w:t>:722-</w:t>
      </w:r>
      <w:r w:rsidR="0024762E">
        <w:rPr>
          <w:rFonts w:ascii="Times New Roman" w:hAnsi="Times New Roman" w:cs="Times New Roman"/>
          <w:sz w:val="24"/>
          <w:szCs w:val="24"/>
        </w:rPr>
        <w:t>7</w:t>
      </w:r>
      <w:r w:rsidRPr="00CA19EF">
        <w:rPr>
          <w:rFonts w:ascii="Times New Roman" w:hAnsi="Times New Roman" w:cs="Times New Roman"/>
          <w:sz w:val="24"/>
          <w:szCs w:val="24"/>
        </w:rPr>
        <w:t>33.</w:t>
      </w:r>
    </w:p>
    <w:p w14:paraId="0580BCB1" w14:textId="4494665B" w:rsidR="00435BE2" w:rsidRPr="00CA19EF" w:rsidRDefault="002A20FE"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lastRenderedPageBreak/>
        <w:t xml:space="preserve">Cosman F, Hattersley G, Hu M, Williams GC, Fitzpatrick LA, Black DM. Effects of abaloparatide-SC on fractures and bone mineral density in subgroups of postmenopausal women with osteoporosis and varying baseline risk factors. </w:t>
      </w:r>
      <w:r w:rsidRPr="0024762E">
        <w:rPr>
          <w:rFonts w:ascii="Times New Roman" w:hAnsi="Times New Roman" w:cs="Times New Roman"/>
          <w:i/>
          <w:sz w:val="24"/>
          <w:szCs w:val="24"/>
        </w:rPr>
        <w:t>J Bone Miner Res</w:t>
      </w:r>
      <w:r w:rsidR="00456E65" w:rsidRPr="00CA19EF">
        <w:rPr>
          <w:rFonts w:ascii="Times New Roman" w:hAnsi="Times New Roman" w:cs="Times New Roman"/>
          <w:sz w:val="24"/>
          <w:szCs w:val="24"/>
        </w:rPr>
        <w:t xml:space="preserve"> </w:t>
      </w:r>
      <w:r w:rsidRPr="00CA19EF">
        <w:rPr>
          <w:rFonts w:ascii="Times New Roman" w:hAnsi="Times New Roman" w:cs="Times New Roman"/>
          <w:sz w:val="24"/>
          <w:szCs w:val="24"/>
        </w:rPr>
        <w:t>2017;</w:t>
      </w:r>
      <w:r w:rsidRPr="0024762E">
        <w:rPr>
          <w:rFonts w:ascii="Times New Roman" w:hAnsi="Times New Roman" w:cs="Times New Roman"/>
          <w:b/>
          <w:sz w:val="24"/>
          <w:szCs w:val="24"/>
        </w:rPr>
        <w:t>32</w:t>
      </w:r>
      <w:r w:rsidRPr="00CA19EF">
        <w:rPr>
          <w:rFonts w:ascii="Times New Roman" w:hAnsi="Times New Roman" w:cs="Times New Roman"/>
          <w:sz w:val="24"/>
          <w:szCs w:val="24"/>
        </w:rPr>
        <w:t>:17-23.</w:t>
      </w:r>
    </w:p>
    <w:p w14:paraId="36D39763" w14:textId="0C279218" w:rsidR="00F66878" w:rsidRPr="00CA19EF" w:rsidRDefault="00F66878"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Dargent-Molina P, Favier F, Grandjean H,</w:t>
      </w:r>
      <w:r w:rsidR="006367D0" w:rsidRPr="00CA19EF">
        <w:rPr>
          <w:rFonts w:ascii="Times New Roman" w:hAnsi="Times New Roman" w:cs="Times New Roman"/>
          <w:sz w:val="24"/>
          <w:szCs w:val="24"/>
        </w:rPr>
        <w:t xml:space="preserve"> et al. </w:t>
      </w:r>
      <w:r w:rsidR="004A5E20" w:rsidRPr="00CA19EF">
        <w:rPr>
          <w:rFonts w:ascii="Times New Roman" w:hAnsi="Times New Roman" w:cs="Times New Roman"/>
          <w:sz w:val="24"/>
          <w:szCs w:val="24"/>
        </w:rPr>
        <w:t>Fall-related factors and risk of hip fracture: the EPIDOS prospective study.</w:t>
      </w:r>
      <w:r w:rsidRPr="00CA19EF">
        <w:rPr>
          <w:rFonts w:ascii="Times New Roman" w:hAnsi="Times New Roman" w:cs="Times New Roman"/>
          <w:sz w:val="24"/>
          <w:szCs w:val="24"/>
        </w:rPr>
        <w:t xml:space="preserve"> </w:t>
      </w:r>
      <w:r w:rsidR="0047423B" w:rsidRPr="0024762E">
        <w:rPr>
          <w:rFonts w:ascii="Times New Roman" w:hAnsi="Times New Roman" w:cs="Times New Roman"/>
          <w:i/>
          <w:sz w:val="24"/>
          <w:szCs w:val="24"/>
        </w:rPr>
        <w:t>Lancet</w:t>
      </w:r>
      <w:r w:rsidR="0047423B" w:rsidRPr="00CA19EF">
        <w:rPr>
          <w:rFonts w:ascii="Times New Roman" w:hAnsi="Times New Roman" w:cs="Times New Roman"/>
          <w:sz w:val="24"/>
          <w:szCs w:val="24"/>
        </w:rPr>
        <w:t xml:space="preserve"> 1996</w:t>
      </w:r>
      <w:r w:rsidRPr="00CA19EF">
        <w:rPr>
          <w:rFonts w:ascii="Times New Roman" w:hAnsi="Times New Roman" w:cs="Times New Roman"/>
          <w:sz w:val="24"/>
          <w:szCs w:val="24"/>
        </w:rPr>
        <w:t>;</w:t>
      </w:r>
      <w:r w:rsidRPr="0024762E">
        <w:rPr>
          <w:rFonts w:ascii="Times New Roman" w:hAnsi="Times New Roman" w:cs="Times New Roman"/>
          <w:b/>
          <w:sz w:val="24"/>
          <w:szCs w:val="24"/>
        </w:rPr>
        <w:t>348</w:t>
      </w:r>
      <w:r w:rsidRPr="00CA19EF">
        <w:rPr>
          <w:rFonts w:ascii="Times New Roman" w:hAnsi="Times New Roman" w:cs="Times New Roman"/>
          <w:sz w:val="24"/>
          <w:szCs w:val="24"/>
        </w:rPr>
        <w:t>:145-</w:t>
      </w:r>
      <w:r w:rsidR="0024762E">
        <w:rPr>
          <w:rFonts w:ascii="Times New Roman" w:hAnsi="Times New Roman" w:cs="Times New Roman"/>
          <w:sz w:val="24"/>
          <w:szCs w:val="24"/>
        </w:rPr>
        <w:t>14</w:t>
      </w:r>
      <w:r w:rsidRPr="00CA19EF">
        <w:rPr>
          <w:rFonts w:ascii="Times New Roman" w:hAnsi="Times New Roman" w:cs="Times New Roman"/>
          <w:sz w:val="24"/>
          <w:szCs w:val="24"/>
        </w:rPr>
        <w:t>9.</w:t>
      </w:r>
    </w:p>
    <w:p w14:paraId="6E637692" w14:textId="651C5ECF" w:rsidR="00113E00" w:rsidRPr="00CA19EF" w:rsidRDefault="00113E00"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 xml:space="preserve">Cummings SR, Nevitt MC, Browner WS, </w:t>
      </w:r>
      <w:r w:rsidR="006367D0" w:rsidRPr="00CA19EF">
        <w:rPr>
          <w:rFonts w:ascii="Times New Roman" w:hAnsi="Times New Roman" w:cs="Times New Roman"/>
          <w:sz w:val="24"/>
          <w:szCs w:val="24"/>
        </w:rPr>
        <w:t xml:space="preserve">et al. </w:t>
      </w:r>
      <w:r w:rsidRPr="00CA19EF">
        <w:rPr>
          <w:rFonts w:ascii="Times New Roman" w:hAnsi="Times New Roman" w:cs="Times New Roman"/>
          <w:sz w:val="24"/>
          <w:szCs w:val="24"/>
        </w:rPr>
        <w:t xml:space="preserve">Risk factors for hip fracture in white women. Study of Osteoporotic Fractures Research Group. </w:t>
      </w:r>
      <w:r w:rsidRPr="0024762E">
        <w:rPr>
          <w:rFonts w:ascii="Times New Roman" w:hAnsi="Times New Roman" w:cs="Times New Roman"/>
          <w:i/>
          <w:sz w:val="24"/>
          <w:szCs w:val="24"/>
        </w:rPr>
        <w:t>N Engl J Med</w:t>
      </w:r>
      <w:r w:rsidRPr="00CA19EF">
        <w:rPr>
          <w:rFonts w:ascii="Times New Roman" w:hAnsi="Times New Roman" w:cs="Times New Roman"/>
          <w:sz w:val="24"/>
          <w:szCs w:val="24"/>
        </w:rPr>
        <w:t xml:space="preserve"> 1995;</w:t>
      </w:r>
      <w:r w:rsidRPr="0024762E">
        <w:rPr>
          <w:rFonts w:ascii="Times New Roman" w:hAnsi="Times New Roman" w:cs="Times New Roman"/>
          <w:b/>
          <w:sz w:val="24"/>
          <w:szCs w:val="24"/>
        </w:rPr>
        <w:t>332</w:t>
      </w:r>
      <w:r w:rsidRPr="00CA19EF">
        <w:rPr>
          <w:rFonts w:ascii="Times New Roman" w:hAnsi="Times New Roman" w:cs="Times New Roman"/>
          <w:sz w:val="24"/>
          <w:szCs w:val="24"/>
        </w:rPr>
        <w:t>:767-</w:t>
      </w:r>
      <w:r w:rsidR="0024762E">
        <w:rPr>
          <w:rFonts w:ascii="Times New Roman" w:hAnsi="Times New Roman" w:cs="Times New Roman"/>
          <w:sz w:val="24"/>
          <w:szCs w:val="24"/>
        </w:rPr>
        <w:t>7</w:t>
      </w:r>
      <w:r w:rsidRPr="00CA19EF">
        <w:rPr>
          <w:rFonts w:ascii="Times New Roman" w:hAnsi="Times New Roman" w:cs="Times New Roman"/>
          <w:sz w:val="24"/>
          <w:szCs w:val="24"/>
        </w:rPr>
        <w:t>73</w:t>
      </w:r>
      <w:r w:rsidR="0024762E">
        <w:rPr>
          <w:rFonts w:ascii="Times New Roman" w:hAnsi="Times New Roman" w:cs="Times New Roman"/>
          <w:sz w:val="24"/>
          <w:szCs w:val="24"/>
        </w:rPr>
        <w:t>.</w:t>
      </w:r>
    </w:p>
    <w:p w14:paraId="78C8B56C" w14:textId="1351F320" w:rsidR="004A5E20" w:rsidRPr="00CA19EF" w:rsidRDefault="002A20FE"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 xml:space="preserve">Schott AM, Cormier C, Hans D, </w:t>
      </w:r>
      <w:r w:rsidR="006367D0" w:rsidRPr="00CA19EF">
        <w:rPr>
          <w:rFonts w:ascii="Times New Roman" w:hAnsi="Times New Roman" w:cs="Times New Roman"/>
          <w:sz w:val="24"/>
          <w:szCs w:val="24"/>
        </w:rPr>
        <w:t xml:space="preserve">et al. </w:t>
      </w:r>
      <w:r w:rsidRPr="00CA19EF">
        <w:rPr>
          <w:rFonts w:ascii="Times New Roman" w:hAnsi="Times New Roman" w:cs="Times New Roman"/>
          <w:sz w:val="24"/>
          <w:szCs w:val="24"/>
        </w:rPr>
        <w:t xml:space="preserve">How hip and whole-body bone mineral density predict hip fracture in elderly women: the EPIDOS Prospective Study. </w:t>
      </w:r>
      <w:r w:rsidRPr="0024762E">
        <w:rPr>
          <w:rFonts w:ascii="Times New Roman" w:hAnsi="Times New Roman" w:cs="Times New Roman"/>
          <w:i/>
          <w:sz w:val="24"/>
          <w:szCs w:val="24"/>
        </w:rPr>
        <w:t>Osteoporos Int</w:t>
      </w:r>
      <w:r w:rsidRPr="00CA19EF">
        <w:rPr>
          <w:rFonts w:ascii="Times New Roman" w:hAnsi="Times New Roman" w:cs="Times New Roman"/>
          <w:sz w:val="24"/>
          <w:szCs w:val="24"/>
        </w:rPr>
        <w:t xml:space="preserve"> 1998;</w:t>
      </w:r>
      <w:r w:rsidRPr="0024762E">
        <w:rPr>
          <w:rFonts w:ascii="Times New Roman" w:hAnsi="Times New Roman" w:cs="Times New Roman"/>
          <w:b/>
          <w:sz w:val="24"/>
          <w:szCs w:val="24"/>
        </w:rPr>
        <w:t>8</w:t>
      </w:r>
      <w:r w:rsidRPr="00CA19EF">
        <w:rPr>
          <w:rFonts w:ascii="Times New Roman" w:hAnsi="Times New Roman" w:cs="Times New Roman"/>
          <w:sz w:val="24"/>
          <w:szCs w:val="24"/>
        </w:rPr>
        <w:t>:247-</w:t>
      </w:r>
      <w:r w:rsidR="0024762E">
        <w:rPr>
          <w:rFonts w:ascii="Times New Roman" w:hAnsi="Times New Roman" w:cs="Times New Roman"/>
          <w:sz w:val="24"/>
          <w:szCs w:val="24"/>
        </w:rPr>
        <w:t>2</w:t>
      </w:r>
      <w:r w:rsidRPr="00CA19EF">
        <w:rPr>
          <w:rFonts w:ascii="Times New Roman" w:hAnsi="Times New Roman" w:cs="Times New Roman"/>
          <w:sz w:val="24"/>
          <w:szCs w:val="24"/>
        </w:rPr>
        <w:t>54.</w:t>
      </w:r>
    </w:p>
    <w:p w14:paraId="0A21E9B8" w14:textId="59061452" w:rsidR="00FF7A42" w:rsidRPr="00CA19EF" w:rsidRDefault="00FF7A42"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Cosman F,</w:t>
      </w:r>
      <w:r w:rsidR="00211A52" w:rsidRPr="00CA19EF">
        <w:rPr>
          <w:rFonts w:ascii="Times New Roman" w:hAnsi="Times New Roman" w:cs="Times New Roman"/>
          <w:sz w:val="24"/>
          <w:szCs w:val="24"/>
        </w:rPr>
        <w:t xml:space="preserve"> Krege JH, Looker AC, et al. Spine fracture prevalence in a nationally representative sample of US women and men aged </w:t>
      </w:r>
      <w:r w:rsidR="00211A52" w:rsidRPr="00CA19EF">
        <w:rPr>
          <w:rFonts w:ascii="Times New Roman" w:hAnsi="Times New Roman" w:cs="Times New Roman"/>
          <w:sz w:val="24"/>
          <w:szCs w:val="24"/>
          <w:u w:val="single"/>
        </w:rPr>
        <w:t>&gt;</w:t>
      </w:r>
      <w:r w:rsidR="00211A52" w:rsidRPr="00CA19EF">
        <w:rPr>
          <w:rFonts w:ascii="Times New Roman" w:hAnsi="Times New Roman" w:cs="Times New Roman"/>
          <w:sz w:val="24"/>
          <w:szCs w:val="24"/>
        </w:rPr>
        <w:t xml:space="preserve">40 years: results from the National Health </w:t>
      </w:r>
      <w:r w:rsidR="00211A52" w:rsidRPr="00CA19EF">
        <w:rPr>
          <w:rFonts w:ascii="Times New Roman" w:hAnsi="Times New Roman" w:cs="Times New Roman"/>
          <w:sz w:val="24"/>
          <w:szCs w:val="24"/>
        </w:rPr>
        <w:lastRenderedPageBreak/>
        <w:t xml:space="preserve">and Nutrition Examination Survey (NHANES) 2013-2014. </w:t>
      </w:r>
      <w:r w:rsidR="00211A52" w:rsidRPr="0024762E">
        <w:rPr>
          <w:rFonts w:ascii="Times New Roman" w:hAnsi="Times New Roman" w:cs="Times New Roman"/>
          <w:i/>
          <w:sz w:val="24"/>
          <w:szCs w:val="24"/>
        </w:rPr>
        <w:t>Osteoporos Int</w:t>
      </w:r>
      <w:r w:rsidR="00211A52" w:rsidRPr="00CA19EF">
        <w:rPr>
          <w:rFonts w:ascii="Times New Roman" w:hAnsi="Times New Roman" w:cs="Times New Roman"/>
          <w:sz w:val="24"/>
          <w:szCs w:val="24"/>
        </w:rPr>
        <w:t xml:space="preserve"> 2017;</w:t>
      </w:r>
      <w:r w:rsidR="00211A52" w:rsidRPr="0024762E">
        <w:rPr>
          <w:rFonts w:ascii="Times New Roman" w:hAnsi="Times New Roman" w:cs="Times New Roman"/>
          <w:b/>
          <w:sz w:val="24"/>
          <w:szCs w:val="24"/>
        </w:rPr>
        <w:t>28</w:t>
      </w:r>
      <w:r w:rsidR="00211A52" w:rsidRPr="00CA19EF">
        <w:rPr>
          <w:rFonts w:ascii="Times New Roman" w:hAnsi="Times New Roman" w:cs="Times New Roman"/>
          <w:sz w:val="24"/>
          <w:szCs w:val="24"/>
        </w:rPr>
        <w:t>:1857-1866.</w:t>
      </w:r>
    </w:p>
    <w:p w14:paraId="46E4F023" w14:textId="4693AD78" w:rsidR="00F66878" w:rsidRPr="00CA19EF" w:rsidRDefault="00F66878"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 xml:space="preserve">McClung MR, Geusens P, Miller PD, </w:t>
      </w:r>
      <w:r w:rsidR="00FA7B5A" w:rsidRPr="00CA19EF">
        <w:rPr>
          <w:rFonts w:ascii="Times New Roman" w:hAnsi="Times New Roman" w:cs="Times New Roman"/>
          <w:sz w:val="24"/>
          <w:szCs w:val="24"/>
        </w:rPr>
        <w:t xml:space="preserve">et al. </w:t>
      </w:r>
      <w:r w:rsidRPr="00CA19EF">
        <w:rPr>
          <w:rFonts w:ascii="Times New Roman" w:hAnsi="Times New Roman" w:cs="Times New Roman"/>
          <w:sz w:val="24"/>
          <w:szCs w:val="24"/>
        </w:rPr>
        <w:t xml:space="preserve">Hip Intervention Program Study Group. Effect of risedronate on the risk of hip fracture in elderly women. </w:t>
      </w:r>
      <w:r w:rsidRPr="0024762E">
        <w:rPr>
          <w:rFonts w:ascii="Times New Roman" w:hAnsi="Times New Roman" w:cs="Times New Roman"/>
          <w:i/>
          <w:sz w:val="24"/>
          <w:szCs w:val="24"/>
        </w:rPr>
        <w:t>N Engl J Med</w:t>
      </w:r>
      <w:r w:rsidRPr="00CA19EF">
        <w:rPr>
          <w:rFonts w:ascii="Times New Roman" w:hAnsi="Times New Roman" w:cs="Times New Roman"/>
          <w:sz w:val="24"/>
          <w:szCs w:val="24"/>
        </w:rPr>
        <w:t xml:space="preserve"> 2001;</w:t>
      </w:r>
      <w:r w:rsidRPr="0024762E">
        <w:rPr>
          <w:rFonts w:ascii="Times New Roman" w:hAnsi="Times New Roman" w:cs="Times New Roman"/>
          <w:b/>
          <w:sz w:val="24"/>
          <w:szCs w:val="24"/>
        </w:rPr>
        <w:t>344</w:t>
      </w:r>
      <w:r w:rsidRPr="00CA19EF">
        <w:rPr>
          <w:rFonts w:ascii="Times New Roman" w:hAnsi="Times New Roman" w:cs="Times New Roman"/>
          <w:sz w:val="24"/>
          <w:szCs w:val="24"/>
        </w:rPr>
        <w:t>:333-</w:t>
      </w:r>
      <w:r w:rsidR="0024762E">
        <w:rPr>
          <w:rFonts w:ascii="Times New Roman" w:hAnsi="Times New Roman" w:cs="Times New Roman"/>
          <w:sz w:val="24"/>
          <w:szCs w:val="24"/>
        </w:rPr>
        <w:t>3</w:t>
      </w:r>
      <w:r w:rsidRPr="00CA19EF">
        <w:rPr>
          <w:rFonts w:ascii="Times New Roman" w:hAnsi="Times New Roman" w:cs="Times New Roman"/>
          <w:sz w:val="24"/>
          <w:szCs w:val="24"/>
        </w:rPr>
        <w:t>40.</w:t>
      </w:r>
    </w:p>
    <w:p w14:paraId="57DD4AF3" w14:textId="4DEC5C99" w:rsidR="001E0E8A" w:rsidRPr="00CA19EF" w:rsidRDefault="001E0E8A"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 xml:space="preserve">Masud T, McClung M, Geusens P. Reducing hip fracture risk with risedronate in elderly women with established osteoporosis. </w:t>
      </w:r>
      <w:r w:rsidR="0047423B" w:rsidRPr="0024762E">
        <w:rPr>
          <w:rFonts w:ascii="Times New Roman" w:hAnsi="Times New Roman" w:cs="Times New Roman"/>
          <w:i/>
          <w:sz w:val="24"/>
          <w:szCs w:val="24"/>
        </w:rPr>
        <w:t>Clin Interv Aging</w:t>
      </w:r>
      <w:r w:rsidR="0047423B" w:rsidRPr="00CA19EF">
        <w:rPr>
          <w:rFonts w:ascii="Times New Roman" w:hAnsi="Times New Roman" w:cs="Times New Roman"/>
          <w:sz w:val="24"/>
          <w:szCs w:val="24"/>
        </w:rPr>
        <w:t xml:space="preserve"> 2009;</w:t>
      </w:r>
      <w:r w:rsidR="0047423B" w:rsidRPr="0024762E">
        <w:rPr>
          <w:rFonts w:ascii="Times New Roman" w:hAnsi="Times New Roman" w:cs="Times New Roman"/>
          <w:b/>
          <w:sz w:val="24"/>
          <w:szCs w:val="24"/>
        </w:rPr>
        <w:t>4</w:t>
      </w:r>
      <w:r w:rsidR="0047423B" w:rsidRPr="00CA19EF">
        <w:rPr>
          <w:rFonts w:ascii="Times New Roman" w:hAnsi="Times New Roman" w:cs="Times New Roman"/>
          <w:sz w:val="24"/>
          <w:szCs w:val="24"/>
        </w:rPr>
        <w:t>:445-</w:t>
      </w:r>
      <w:r w:rsidR="0024762E">
        <w:rPr>
          <w:rFonts w:ascii="Times New Roman" w:hAnsi="Times New Roman" w:cs="Times New Roman"/>
          <w:sz w:val="24"/>
          <w:szCs w:val="24"/>
        </w:rPr>
        <w:t>44</w:t>
      </w:r>
      <w:r w:rsidR="0047423B" w:rsidRPr="00CA19EF">
        <w:rPr>
          <w:rFonts w:ascii="Times New Roman" w:hAnsi="Times New Roman" w:cs="Times New Roman"/>
          <w:sz w:val="24"/>
          <w:szCs w:val="24"/>
        </w:rPr>
        <w:t>9.</w:t>
      </w:r>
    </w:p>
    <w:p w14:paraId="5F913D1E" w14:textId="193AA701" w:rsidR="001D7A39" w:rsidRPr="00CA19EF" w:rsidRDefault="00010891"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 xml:space="preserve">Boonen S, McClung MR, Eastell R, El-Hajj Fuleihan G, Barton IP, Delmas P. Safety and efficacy of risedronate in reducing fracture risk in osteoporotic women aged 80 and older: implications for the use of antiresorptive agents in the old and oldest old. </w:t>
      </w:r>
      <w:r w:rsidRPr="0024762E">
        <w:rPr>
          <w:rFonts w:ascii="Times New Roman" w:hAnsi="Times New Roman" w:cs="Times New Roman"/>
          <w:i/>
          <w:sz w:val="24"/>
          <w:szCs w:val="24"/>
        </w:rPr>
        <w:t>J Am Geriatr Soc</w:t>
      </w:r>
      <w:r w:rsidRPr="00CA19EF">
        <w:rPr>
          <w:rFonts w:ascii="Times New Roman" w:hAnsi="Times New Roman" w:cs="Times New Roman"/>
          <w:sz w:val="24"/>
          <w:szCs w:val="24"/>
        </w:rPr>
        <w:t xml:space="preserve"> 2004;</w:t>
      </w:r>
      <w:r w:rsidRPr="0024762E">
        <w:rPr>
          <w:rFonts w:ascii="Times New Roman" w:hAnsi="Times New Roman" w:cs="Times New Roman"/>
          <w:b/>
          <w:sz w:val="24"/>
          <w:szCs w:val="24"/>
        </w:rPr>
        <w:t>52</w:t>
      </w:r>
      <w:r w:rsidRPr="00CA19EF">
        <w:rPr>
          <w:rFonts w:ascii="Times New Roman" w:hAnsi="Times New Roman" w:cs="Times New Roman"/>
          <w:sz w:val="24"/>
          <w:szCs w:val="24"/>
        </w:rPr>
        <w:t>:1832-</w:t>
      </w:r>
      <w:r w:rsidR="0024762E">
        <w:rPr>
          <w:rFonts w:ascii="Times New Roman" w:hAnsi="Times New Roman" w:cs="Times New Roman"/>
          <w:sz w:val="24"/>
          <w:szCs w:val="24"/>
        </w:rPr>
        <w:t>183</w:t>
      </w:r>
      <w:r w:rsidRPr="00CA19EF">
        <w:rPr>
          <w:rFonts w:ascii="Times New Roman" w:hAnsi="Times New Roman" w:cs="Times New Roman"/>
          <w:sz w:val="24"/>
          <w:szCs w:val="24"/>
        </w:rPr>
        <w:t>9.</w:t>
      </w:r>
      <w:r w:rsidR="001D7A39" w:rsidRPr="00CA19EF">
        <w:rPr>
          <w:rFonts w:ascii="Times New Roman" w:hAnsi="Times New Roman" w:cs="Times New Roman"/>
          <w:sz w:val="24"/>
          <w:szCs w:val="24"/>
        </w:rPr>
        <w:t xml:space="preserve"> </w:t>
      </w:r>
    </w:p>
    <w:p w14:paraId="61E296DE" w14:textId="7A258DFA" w:rsidR="001E0E8A" w:rsidRPr="00CA19EF" w:rsidRDefault="001D7A39"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 xml:space="preserve">Niimi R, Kono T, Nishihara A, </w:t>
      </w:r>
      <w:r w:rsidR="008124DA" w:rsidRPr="00CA19EF">
        <w:rPr>
          <w:rFonts w:ascii="Times New Roman" w:hAnsi="Times New Roman" w:cs="Times New Roman"/>
          <w:sz w:val="24"/>
          <w:szCs w:val="24"/>
        </w:rPr>
        <w:t xml:space="preserve">et al. </w:t>
      </w:r>
      <w:r w:rsidRPr="00CA19EF">
        <w:rPr>
          <w:rFonts w:ascii="Times New Roman" w:hAnsi="Times New Roman" w:cs="Times New Roman"/>
          <w:sz w:val="24"/>
          <w:szCs w:val="24"/>
        </w:rPr>
        <w:t xml:space="preserve">Usefulness of daily teriparatide treatment in elderly patients over 80 years of age. </w:t>
      </w:r>
      <w:r w:rsidRPr="0024762E">
        <w:rPr>
          <w:rFonts w:ascii="Times New Roman" w:hAnsi="Times New Roman" w:cs="Times New Roman"/>
          <w:i/>
          <w:sz w:val="24"/>
          <w:szCs w:val="24"/>
        </w:rPr>
        <w:t>Osteoporos Int</w:t>
      </w:r>
      <w:r w:rsidRPr="00CA19EF">
        <w:rPr>
          <w:rFonts w:ascii="Times New Roman" w:hAnsi="Times New Roman" w:cs="Times New Roman"/>
          <w:sz w:val="24"/>
          <w:szCs w:val="24"/>
        </w:rPr>
        <w:t xml:space="preserve"> 2016;</w:t>
      </w:r>
      <w:r w:rsidRPr="0024762E">
        <w:rPr>
          <w:rFonts w:ascii="Times New Roman" w:hAnsi="Times New Roman" w:cs="Times New Roman"/>
          <w:b/>
          <w:sz w:val="24"/>
          <w:szCs w:val="24"/>
        </w:rPr>
        <w:t>27</w:t>
      </w:r>
      <w:r w:rsidRPr="00CA19EF">
        <w:rPr>
          <w:rFonts w:ascii="Times New Roman" w:hAnsi="Times New Roman" w:cs="Times New Roman"/>
          <w:sz w:val="24"/>
          <w:szCs w:val="24"/>
        </w:rPr>
        <w:t>:1869-</w:t>
      </w:r>
      <w:r w:rsidR="0024762E">
        <w:rPr>
          <w:rFonts w:ascii="Times New Roman" w:hAnsi="Times New Roman" w:cs="Times New Roman"/>
          <w:sz w:val="24"/>
          <w:szCs w:val="24"/>
        </w:rPr>
        <w:t>18</w:t>
      </w:r>
      <w:r w:rsidRPr="00CA19EF">
        <w:rPr>
          <w:rFonts w:ascii="Times New Roman" w:hAnsi="Times New Roman" w:cs="Times New Roman"/>
          <w:sz w:val="24"/>
          <w:szCs w:val="24"/>
        </w:rPr>
        <w:t>74.</w:t>
      </w:r>
    </w:p>
    <w:p w14:paraId="4CC29CDD" w14:textId="0DC4AE01" w:rsidR="002A20FE" w:rsidRPr="00CA19EF" w:rsidRDefault="002A20FE" w:rsidP="00CA19EF">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lastRenderedPageBreak/>
        <w:t xml:space="preserve">Boonen S, Black DM, Colón-Emeric CS, </w:t>
      </w:r>
      <w:r w:rsidR="008124DA" w:rsidRPr="00CA19EF">
        <w:rPr>
          <w:rFonts w:ascii="Times New Roman" w:hAnsi="Times New Roman" w:cs="Times New Roman"/>
          <w:sz w:val="24"/>
          <w:szCs w:val="24"/>
        </w:rPr>
        <w:t xml:space="preserve">et al. </w:t>
      </w:r>
      <w:r w:rsidRPr="00CA19EF">
        <w:rPr>
          <w:rFonts w:ascii="Times New Roman" w:hAnsi="Times New Roman" w:cs="Times New Roman"/>
          <w:sz w:val="24"/>
          <w:szCs w:val="24"/>
        </w:rPr>
        <w:t xml:space="preserve">Efficacy and safety of a once-yearly intravenous zoledronic acid 5 mg for fracture prevention in elderly postmenopausal women with osteoporosis aged 75 and older. </w:t>
      </w:r>
      <w:r w:rsidR="0047423B" w:rsidRPr="0024762E">
        <w:rPr>
          <w:rFonts w:ascii="Times New Roman" w:hAnsi="Times New Roman" w:cs="Times New Roman"/>
          <w:i/>
          <w:sz w:val="24"/>
          <w:szCs w:val="24"/>
        </w:rPr>
        <w:t>J Am Geriatr Soc</w:t>
      </w:r>
      <w:r w:rsidR="0047423B" w:rsidRPr="00CA19EF">
        <w:rPr>
          <w:rFonts w:ascii="Times New Roman" w:hAnsi="Times New Roman" w:cs="Times New Roman"/>
          <w:sz w:val="24"/>
          <w:szCs w:val="24"/>
        </w:rPr>
        <w:t xml:space="preserve"> 2010</w:t>
      </w:r>
      <w:r w:rsidRPr="00CA19EF">
        <w:rPr>
          <w:rFonts w:ascii="Times New Roman" w:hAnsi="Times New Roman" w:cs="Times New Roman"/>
          <w:sz w:val="24"/>
          <w:szCs w:val="24"/>
        </w:rPr>
        <w:t>;</w:t>
      </w:r>
      <w:r w:rsidRPr="0024762E">
        <w:rPr>
          <w:rFonts w:ascii="Times New Roman" w:hAnsi="Times New Roman" w:cs="Times New Roman"/>
          <w:b/>
          <w:sz w:val="24"/>
          <w:szCs w:val="24"/>
        </w:rPr>
        <w:t>58</w:t>
      </w:r>
      <w:r w:rsidRPr="00CA19EF">
        <w:rPr>
          <w:rFonts w:ascii="Times New Roman" w:hAnsi="Times New Roman" w:cs="Times New Roman"/>
          <w:sz w:val="24"/>
          <w:szCs w:val="24"/>
        </w:rPr>
        <w:t>:292-</w:t>
      </w:r>
      <w:r w:rsidR="0024762E">
        <w:rPr>
          <w:rFonts w:ascii="Times New Roman" w:hAnsi="Times New Roman" w:cs="Times New Roman"/>
          <w:sz w:val="24"/>
          <w:szCs w:val="24"/>
        </w:rPr>
        <w:t>29</w:t>
      </w:r>
      <w:r w:rsidRPr="00CA19EF">
        <w:rPr>
          <w:rFonts w:ascii="Times New Roman" w:hAnsi="Times New Roman" w:cs="Times New Roman"/>
          <w:sz w:val="24"/>
          <w:szCs w:val="24"/>
        </w:rPr>
        <w:t>9.</w:t>
      </w:r>
    </w:p>
    <w:p w14:paraId="671C4194" w14:textId="66811B73" w:rsidR="00D51B09" w:rsidRPr="00D51B09" w:rsidRDefault="001E0E8A" w:rsidP="00D51B09">
      <w:pPr>
        <w:pStyle w:val="ListParagraph"/>
        <w:numPr>
          <w:ilvl w:val="0"/>
          <w:numId w:val="2"/>
        </w:numPr>
        <w:spacing w:line="480" w:lineRule="auto"/>
        <w:ind w:left="360"/>
        <w:rPr>
          <w:rFonts w:ascii="Times New Roman" w:hAnsi="Times New Roman" w:cs="Times New Roman"/>
          <w:sz w:val="24"/>
          <w:szCs w:val="24"/>
        </w:rPr>
      </w:pPr>
      <w:r w:rsidRPr="00CA19EF">
        <w:rPr>
          <w:rFonts w:ascii="Times New Roman" w:hAnsi="Times New Roman" w:cs="Times New Roman"/>
          <w:sz w:val="24"/>
          <w:szCs w:val="24"/>
        </w:rPr>
        <w:t xml:space="preserve">Boonen S, Adachi JD, Man Z, </w:t>
      </w:r>
      <w:r w:rsidR="00E178C8" w:rsidRPr="00CA19EF">
        <w:rPr>
          <w:rFonts w:ascii="Times New Roman" w:hAnsi="Times New Roman" w:cs="Times New Roman"/>
          <w:sz w:val="24"/>
          <w:szCs w:val="24"/>
        </w:rPr>
        <w:t xml:space="preserve">et al. </w:t>
      </w:r>
      <w:r w:rsidRPr="00CA19EF">
        <w:rPr>
          <w:rFonts w:ascii="Times New Roman" w:hAnsi="Times New Roman" w:cs="Times New Roman"/>
          <w:sz w:val="24"/>
          <w:szCs w:val="24"/>
        </w:rPr>
        <w:t xml:space="preserve">Treatment with denosumab reduces the incidence of new vertebral and hip fractures in postmenopausal women at high risk. </w:t>
      </w:r>
      <w:r w:rsidRPr="0024762E">
        <w:rPr>
          <w:rFonts w:ascii="Times New Roman" w:hAnsi="Times New Roman" w:cs="Times New Roman"/>
          <w:i/>
          <w:sz w:val="24"/>
          <w:szCs w:val="24"/>
        </w:rPr>
        <w:t>J Clin Endocrinol Metab</w:t>
      </w:r>
      <w:r w:rsidRPr="00CA19EF">
        <w:rPr>
          <w:rFonts w:ascii="Times New Roman" w:hAnsi="Times New Roman" w:cs="Times New Roman"/>
          <w:sz w:val="24"/>
          <w:szCs w:val="24"/>
        </w:rPr>
        <w:t xml:space="preserve"> 2011;</w:t>
      </w:r>
      <w:r w:rsidRPr="0024762E">
        <w:rPr>
          <w:rFonts w:ascii="Times New Roman" w:hAnsi="Times New Roman" w:cs="Times New Roman"/>
          <w:b/>
          <w:sz w:val="24"/>
          <w:szCs w:val="24"/>
        </w:rPr>
        <w:t>96</w:t>
      </w:r>
      <w:r w:rsidRPr="00CA19EF">
        <w:rPr>
          <w:rFonts w:ascii="Times New Roman" w:hAnsi="Times New Roman" w:cs="Times New Roman"/>
          <w:sz w:val="24"/>
          <w:szCs w:val="24"/>
        </w:rPr>
        <w:t>:1727-</w:t>
      </w:r>
      <w:r w:rsidR="0024762E">
        <w:rPr>
          <w:rFonts w:ascii="Times New Roman" w:hAnsi="Times New Roman" w:cs="Times New Roman"/>
          <w:sz w:val="24"/>
          <w:szCs w:val="24"/>
        </w:rPr>
        <w:t>17</w:t>
      </w:r>
      <w:r w:rsidRPr="00CA19EF">
        <w:rPr>
          <w:rFonts w:ascii="Times New Roman" w:hAnsi="Times New Roman" w:cs="Times New Roman"/>
          <w:sz w:val="24"/>
          <w:szCs w:val="24"/>
        </w:rPr>
        <w:t>36.</w:t>
      </w:r>
      <w:r w:rsidR="00D51B09" w:rsidRPr="00D51B09">
        <w:rPr>
          <w:rFonts w:ascii="Times New Roman" w:hAnsi="Times New Roman" w:cs="Times New Roman"/>
          <w:b/>
          <w:bCs/>
          <w:sz w:val="24"/>
          <w:szCs w:val="24"/>
        </w:rPr>
        <w:br w:type="page"/>
      </w:r>
    </w:p>
    <w:p w14:paraId="21D6F944" w14:textId="77777777" w:rsidR="00D51B09" w:rsidRPr="00CA19EF" w:rsidRDefault="00D51B09" w:rsidP="00D51B09">
      <w:pPr>
        <w:rPr>
          <w:rFonts w:ascii="Times New Roman" w:hAnsi="Times New Roman" w:cs="Times New Roman"/>
          <w:sz w:val="24"/>
          <w:szCs w:val="24"/>
        </w:rPr>
      </w:pPr>
      <w:r w:rsidRPr="00CA19EF">
        <w:rPr>
          <w:rFonts w:ascii="Times New Roman" w:hAnsi="Times New Roman" w:cs="Times New Roman"/>
          <w:b/>
          <w:sz w:val="24"/>
          <w:szCs w:val="24"/>
        </w:rPr>
        <w:lastRenderedPageBreak/>
        <w:t>Table 1.</w:t>
      </w:r>
      <w:r w:rsidRPr="00CA19EF">
        <w:rPr>
          <w:rFonts w:ascii="Times New Roman" w:hAnsi="Times New Roman" w:cs="Times New Roman"/>
          <w:sz w:val="24"/>
          <w:szCs w:val="24"/>
        </w:rPr>
        <w:t xml:space="preserve"> Demographics and Baseline Characteristics, ACTIVE Trial</w:t>
      </w:r>
    </w:p>
    <w:tbl>
      <w:tblPr>
        <w:tblW w:w="9360" w:type="dxa"/>
        <w:tblCellMar>
          <w:left w:w="0" w:type="dxa"/>
          <w:right w:w="0" w:type="dxa"/>
        </w:tblCellMar>
        <w:tblLook w:val="0220" w:firstRow="1" w:lastRow="0" w:firstColumn="0" w:lastColumn="0" w:noHBand="1" w:noVBand="0"/>
      </w:tblPr>
      <w:tblGrid>
        <w:gridCol w:w="3564"/>
        <w:gridCol w:w="1434"/>
        <w:gridCol w:w="1418"/>
        <w:gridCol w:w="1491"/>
        <w:gridCol w:w="1453"/>
      </w:tblGrid>
      <w:tr w:rsidR="00D51B09" w:rsidRPr="00851DC3" w14:paraId="75BC34DE" w14:textId="77777777" w:rsidTr="00A237E1">
        <w:tc>
          <w:tcPr>
            <w:tcW w:w="4940" w:type="dxa"/>
            <w:tcBorders>
              <w:top w:val="single" w:sz="8" w:space="0" w:color="000000"/>
              <w:left w:val="nil"/>
              <w:bottom w:val="single" w:sz="8" w:space="0" w:color="000000"/>
              <w:right w:val="nil"/>
            </w:tcBorders>
            <w:shd w:val="clear" w:color="auto" w:fill="auto"/>
            <w:tcMar>
              <w:top w:w="72" w:type="dxa"/>
              <w:left w:w="72" w:type="dxa"/>
              <w:bottom w:w="72" w:type="dxa"/>
              <w:right w:w="72" w:type="dxa"/>
            </w:tcMar>
            <w:vAlign w:val="center"/>
            <w:hideMark/>
          </w:tcPr>
          <w:p w14:paraId="4F25634B"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Characteristic</w:t>
            </w:r>
          </w:p>
        </w:tc>
        <w:tc>
          <w:tcPr>
            <w:tcW w:w="3840" w:type="dxa"/>
            <w:gridSpan w:val="2"/>
            <w:tcBorders>
              <w:top w:val="single" w:sz="8" w:space="0" w:color="000000"/>
              <w:left w:val="nil"/>
              <w:bottom w:val="single" w:sz="8" w:space="0" w:color="000000"/>
              <w:right w:val="nil"/>
            </w:tcBorders>
            <w:shd w:val="clear" w:color="auto" w:fill="auto"/>
            <w:tcMar>
              <w:top w:w="72" w:type="dxa"/>
              <w:left w:w="72" w:type="dxa"/>
              <w:bottom w:w="72" w:type="dxa"/>
              <w:right w:w="72" w:type="dxa"/>
            </w:tcMar>
            <w:vAlign w:val="center"/>
            <w:hideMark/>
          </w:tcPr>
          <w:p w14:paraId="685F19EC"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Placebo</w:t>
            </w:r>
          </w:p>
        </w:tc>
        <w:tc>
          <w:tcPr>
            <w:tcW w:w="3840" w:type="dxa"/>
            <w:gridSpan w:val="2"/>
            <w:tcBorders>
              <w:top w:val="single" w:sz="8" w:space="0" w:color="000000"/>
              <w:left w:val="nil"/>
              <w:bottom w:val="single" w:sz="8" w:space="0" w:color="000000"/>
              <w:right w:val="nil"/>
            </w:tcBorders>
            <w:shd w:val="clear" w:color="auto" w:fill="auto"/>
            <w:tcMar>
              <w:top w:w="72" w:type="dxa"/>
              <w:left w:w="72" w:type="dxa"/>
              <w:bottom w:w="72" w:type="dxa"/>
              <w:right w:w="72" w:type="dxa"/>
            </w:tcMar>
            <w:vAlign w:val="center"/>
            <w:hideMark/>
          </w:tcPr>
          <w:p w14:paraId="23725F3C"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Abaloparatide-SC</w:t>
            </w:r>
          </w:p>
        </w:tc>
      </w:tr>
      <w:tr w:rsidR="00D51B09" w:rsidRPr="00851DC3" w14:paraId="6BF2B30E" w14:textId="77777777" w:rsidTr="00A237E1">
        <w:trPr>
          <w:trHeight w:val="18"/>
        </w:trPr>
        <w:tc>
          <w:tcPr>
            <w:tcW w:w="4940" w:type="dxa"/>
            <w:tcBorders>
              <w:top w:val="single" w:sz="8" w:space="0" w:color="000000"/>
              <w:left w:val="nil"/>
              <w:bottom w:val="nil"/>
              <w:right w:val="nil"/>
            </w:tcBorders>
            <w:shd w:val="clear" w:color="auto" w:fill="auto"/>
            <w:tcMar>
              <w:top w:w="72" w:type="dxa"/>
              <w:left w:w="72" w:type="dxa"/>
              <w:bottom w:w="72" w:type="dxa"/>
              <w:right w:w="72" w:type="dxa"/>
            </w:tcMar>
            <w:vAlign w:val="center"/>
            <w:hideMark/>
          </w:tcPr>
          <w:p w14:paraId="50453211" w14:textId="77777777" w:rsidR="00D51B09" w:rsidRPr="00CA19EF" w:rsidRDefault="00D51B09" w:rsidP="00A237E1">
            <w:pPr>
              <w:spacing w:line="360" w:lineRule="auto"/>
              <w:rPr>
                <w:rFonts w:ascii="Times New Roman" w:hAnsi="Times New Roman" w:cs="Times New Roman"/>
                <w:sz w:val="24"/>
                <w:szCs w:val="24"/>
              </w:rPr>
            </w:pPr>
          </w:p>
        </w:tc>
        <w:tc>
          <w:tcPr>
            <w:tcW w:w="1920" w:type="dxa"/>
            <w:tcBorders>
              <w:top w:val="single" w:sz="8" w:space="0" w:color="000000"/>
              <w:left w:val="nil"/>
              <w:bottom w:val="single" w:sz="8" w:space="0" w:color="000000"/>
              <w:right w:val="nil"/>
            </w:tcBorders>
            <w:shd w:val="clear" w:color="auto" w:fill="F3F3F3"/>
            <w:tcMar>
              <w:top w:w="72" w:type="dxa"/>
              <w:left w:w="72" w:type="dxa"/>
              <w:bottom w:w="72" w:type="dxa"/>
              <w:right w:w="72" w:type="dxa"/>
            </w:tcMar>
            <w:vAlign w:val="center"/>
            <w:hideMark/>
          </w:tcPr>
          <w:p w14:paraId="099E951D"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 xml:space="preserve">All, </w:t>
            </w:r>
            <w:r w:rsidRPr="00CA19EF">
              <w:rPr>
                <w:rFonts w:ascii="Times New Roman" w:hAnsi="Times New Roman" w:cs="Times New Roman"/>
                <w:sz w:val="24"/>
                <w:szCs w:val="24"/>
              </w:rPr>
              <w:br/>
              <w:t>n=821</w:t>
            </w:r>
          </w:p>
        </w:tc>
        <w:tc>
          <w:tcPr>
            <w:tcW w:w="1920" w:type="dxa"/>
            <w:tcBorders>
              <w:top w:val="single" w:sz="8" w:space="0" w:color="000000"/>
              <w:left w:val="nil"/>
              <w:bottom w:val="single" w:sz="8" w:space="0" w:color="000000"/>
              <w:right w:val="nil"/>
            </w:tcBorders>
            <w:shd w:val="clear" w:color="auto" w:fill="auto"/>
            <w:tcMar>
              <w:top w:w="72" w:type="dxa"/>
              <w:left w:w="72" w:type="dxa"/>
              <w:bottom w:w="72" w:type="dxa"/>
              <w:right w:w="72" w:type="dxa"/>
            </w:tcMar>
            <w:vAlign w:val="center"/>
            <w:hideMark/>
          </w:tcPr>
          <w:p w14:paraId="23CB3255"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 xml:space="preserve">≥ 80 yr, </w:t>
            </w:r>
            <w:r w:rsidRPr="00CA19EF">
              <w:rPr>
                <w:rFonts w:ascii="Times New Roman" w:hAnsi="Times New Roman" w:cs="Times New Roman"/>
                <w:b/>
                <w:bCs/>
                <w:sz w:val="24"/>
                <w:szCs w:val="24"/>
              </w:rPr>
              <w:br/>
              <w:t>n=43</w:t>
            </w:r>
          </w:p>
        </w:tc>
        <w:tc>
          <w:tcPr>
            <w:tcW w:w="1920" w:type="dxa"/>
            <w:tcBorders>
              <w:top w:val="single" w:sz="8" w:space="0" w:color="000000"/>
              <w:left w:val="nil"/>
              <w:bottom w:val="single" w:sz="8" w:space="0" w:color="000000"/>
              <w:right w:val="nil"/>
            </w:tcBorders>
            <w:shd w:val="clear" w:color="auto" w:fill="F3F3F3"/>
            <w:tcMar>
              <w:top w:w="72" w:type="dxa"/>
              <w:left w:w="72" w:type="dxa"/>
              <w:bottom w:w="72" w:type="dxa"/>
              <w:right w:w="72" w:type="dxa"/>
            </w:tcMar>
            <w:vAlign w:val="center"/>
            <w:hideMark/>
          </w:tcPr>
          <w:p w14:paraId="4556B494"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 xml:space="preserve">All, </w:t>
            </w:r>
            <w:r w:rsidRPr="00CA19EF">
              <w:rPr>
                <w:rFonts w:ascii="Times New Roman" w:hAnsi="Times New Roman" w:cs="Times New Roman"/>
                <w:sz w:val="24"/>
                <w:szCs w:val="24"/>
              </w:rPr>
              <w:br/>
              <w:t>n=824</w:t>
            </w:r>
          </w:p>
        </w:tc>
        <w:tc>
          <w:tcPr>
            <w:tcW w:w="1920" w:type="dxa"/>
            <w:tcBorders>
              <w:top w:val="single" w:sz="8" w:space="0" w:color="000000"/>
              <w:left w:val="nil"/>
              <w:bottom w:val="single" w:sz="8" w:space="0" w:color="000000"/>
              <w:right w:val="nil"/>
            </w:tcBorders>
            <w:shd w:val="clear" w:color="auto" w:fill="auto"/>
            <w:tcMar>
              <w:top w:w="72" w:type="dxa"/>
              <w:left w:w="72" w:type="dxa"/>
              <w:bottom w:w="72" w:type="dxa"/>
              <w:right w:w="72" w:type="dxa"/>
            </w:tcMar>
            <w:vAlign w:val="center"/>
            <w:hideMark/>
          </w:tcPr>
          <w:p w14:paraId="2A5A7978"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 xml:space="preserve">≥ 80 yr, </w:t>
            </w:r>
            <w:r w:rsidRPr="00CA19EF">
              <w:rPr>
                <w:rFonts w:ascii="Times New Roman" w:hAnsi="Times New Roman" w:cs="Times New Roman"/>
                <w:b/>
                <w:bCs/>
                <w:sz w:val="24"/>
                <w:szCs w:val="24"/>
              </w:rPr>
              <w:br/>
              <w:t>n=51</w:t>
            </w:r>
          </w:p>
        </w:tc>
      </w:tr>
      <w:tr w:rsidR="00D51B09" w:rsidRPr="00851DC3" w14:paraId="26A57BA2" w14:textId="77777777" w:rsidTr="00A237E1">
        <w:trPr>
          <w:trHeight w:val="18"/>
        </w:trPr>
        <w:tc>
          <w:tcPr>
            <w:tcW w:w="4940" w:type="dxa"/>
            <w:tcBorders>
              <w:top w:val="nil"/>
              <w:left w:val="nil"/>
              <w:bottom w:val="nil"/>
              <w:right w:val="nil"/>
            </w:tcBorders>
            <w:shd w:val="clear" w:color="auto" w:fill="auto"/>
            <w:tcMar>
              <w:top w:w="72" w:type="dxa"/>
              <w:left w:w="72" w:type="dxa"/>
              <w:bottom w:w="72" w:type="dxa"/>
              <w:right w:w="72" w:type="dxa"/>
            </w:tcMar>
            <w:vAlign w:val="center"/>
            <w:hideMark/>
          </w:tcPr>
          <w:p w14:paraId="58CBFE58"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Age</w:t>
            </w:r>
            <w:r w:rsidRPr="00CA19EF">
              <w:rPr>
                <w:rFonts w:ascii="Times New Roman" w:hAnsi="Times New Roman" w:cs="Times New Roman"/>
                <w:sz w:val="24"/>
                <w:szCs w:val="24"/>
              </w:rPr>
              <w:t>, mean years (SD)</w:t>
            </w:r>
          </w:p>
        </w:tc>
        <w:tc>
          <w:tcPr>
            <w:tcW w:w="1920" w:type="dxa"/>
            <w:tcBorders>
              <w:top w:val="single" w:sz="8" w:space="0" w:color="000000"/>
              <w:left w:val="nil"/>
              <w:bottom w:val="nil"/>
              <w:right w:val="nil"/>
            </w:tcBorders>
            <w:shd w:val="clear" w:color="auto" w:fill="F3F3F3"/>
            <w:tcMar>
              <w:top w:w="72" w:type="dxa"/>
              <w:left w:w="72" w:type="dxa"/>
              <w:bottom w:w="72" w:type="dxa"/>
              <w:right w:w="72" w:type="dxa"/>
            </w:tcMar>
            <w:vAlign w:val="center"/>
            <w:hideMark/>
          </w:tcPr>
          <w:p w14:paraId="24E9634B"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68.7 (6.5)</w:t>
            </w:r>
          </w:p>
        </w:tc>
        <w:tc>
          <w:tcPr>
            <w:tcW w:w="1920" w:type="dxa"/>
            <w:tcBorders>
              <w:top w:val="single" w:sz="8" w:space="0" w:color="000000"/>
              <w:left w:val="nil"/>
              <w:bottom w:val="nil"/>
              <w:right w:val="nil"/>
            </w:tcBorders>
            <w:shd w:val="clear" w:color="auto" w:fill="auto"/>
            <w:tcMar>
              <w:top w:w="72" w:type="dxa"/>
              <w:left w:w="72" w:type="dxa"/>
              <w:bottom w:w="72" w:type="dxa"/>
              <w:right w:w="72" w:type="dxa"/>
            </w:tcMar>
            <w:vAlign w:val="center"/>
            <w:hideMark/>
          </w:tcPr>
          <w:p w14:paraId="2892E840"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81.9 (1.5)</w:t>
            </w:r>
          </w:p>
        </w:tc>
        <w:tc>
          <w:tcPr>
            <w:tcW w:w="1920" w:type="dxa"/>
            <w:tcBorders>
              <w:top w:val="single" w:sz="8" w:space="0" w:color="000000"/>
              <w:left w:val="nil"/>
              <w:bottom w:val="nil"/>
              <w:right w:val="nil"/>
            </w:tcBorders>
            <w:shd w:val="clear" w:color="auto" w:fill="F3F3F3"/>
            <w:tcMar>
              <w:top w:w="72" w:type="dxa"/>
              <w:left w:w="72" w:type="dxa"/>
              <w:bottom w:w="72" w:type="dxa"/>
              <w:right w:w="72" w:type="dxa"/>
            </w:tcMar>
            <w:vAlign w:val="center"/>
            <w:hideMark/>
          </w:tcPr>
          <w:p w14:paraId="26E494FA"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68.9 (6.5)</w:t>
            </w:r>
          </w:p>
        </w:tc>
        <w:tc>
          <w:tcPr>
            <w:tcW w:w="1920" w:type="dxa"/>
            <w:tcBorders>
              <w:top w:val="single" w:sz="8" w:space="0" w:color="000000"/>
              <w:left w:val="nil"/>
              <w:bottom w:val="nil"/>
              <w:right w:val="nil"/>
            </w:tcBorders>
            <w:shd w:val="clear" w:color="auto" w:fill="auto"/>
            <w:tcMar>
              <w:top w:w="72" w:type="dxa"/>
              <w:left w:w="72" w:type="dxa"/>
              <w:bottom w:w="72" w:type="dxa"/>
              <w:right w:w="72" w:type="dxa"/>
            </w:tcMar>
            <w:vAlign w:val="center"/>
            <w:hideMark/>
          </w:tcPr>
          <w:p w14:paraId="2A33F75D"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81.7 (1.4)</w:t>
            </w:r>
          </w:p>
        </w:tc>
      </w:tr>
      <w:tr w:rsidR="00D51B09" w:rsidRPr="00851DC3" w14:paraId="2324E956" w14:textId="77777777" w:rsidTr="00A237E1">
        <w:tc>
          <w:tcPr>
            <w:tcW w:w="4940" w:type="dxa"/>
            <w:tcBorders>
              <w:top w:val="nil"/>
              <w:left w:val="nil"/>
              <w:bottom w:val="nil"/>
              <w:right w:val="nil"/>
            </w:tcBorders>
            <w:shd w:val="clear" w:color="auto" w:fill="auto"/>
            <w:tcMar>
              <w:top w:w="72" w:type="dxa"/>
              <w:left w:w="72" w:type="dxa"/>
              <w:bottom w:w="72" w:type="dxa"/>
              <w:right w:w="72" w:type="dxa"/>
            </w:tcMar>
            <w:vAlign w:val="center"/>
            <w:hideMark/>
          </w:tcPr>
          <w:p w14:paraId="3584CF51"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BMI</w:t>
            </w:r>
            <w:r w:rsidRPr="00CA19EF">
              <w:rPr>
                <w:rFonts w:ascii="Times New Roman" w:hAnsi="Times New Roman" w:cs="Times New Roman"/>
                <w:sz w:val="24"/>
                <w:szCs w:val="24"/>
              </w:rPr>
              <w:t>, mean kg/m</w:t>
            </w:r>
            <w:r w:rsidRPr="00CA19EF">
              <w:rPr>
                <w:rFonts w:ascii="Times New Roman" w:hAnsi="Times New Roman" w:cs="Times New Roman"/>
                <w:sz w:val="24"/>
                <w:szCs w:val="24"/>
                <w:vertAlign w:val="superscript"/>
              </w:rPr>
              <w:t>2</w:t>
            </w:r>
            <w:r w:rsidRPr="00CA19EF">
              <w:rPr>
                <w:rFonts w:ascii="Times New Roman" w:hAnsi="Times New Roman" w:cs="Times New Roman"/>
                <w:sz w:val="24"/>
                <w:szCs w:val="24"/>
              </w:rPr>
              <w:t xml:space="preserve"> (SD)</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43122B9F"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25.1 (3.6)</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2B203A65"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25.2 (3.8)</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0E6D010C"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25.0 (3.5)</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06CDE05C"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24.7 (3.3)</w:t>
            </w:r>
          </w:p>
        </w:tc>
      </w:tr>
      <w:tr w:rsidR="00D51B09" w:rsidRPr="00851DC3" w14:paraId="4566E821" w14:textId="77777777" w:rsidTr="00A237E1">
        <w:tc>
          <w:tcPr>
            <w:tcW w:w="4940" w:type="dxa"/>
            <w:tcBorders>
              <w:top w:val="nil"/>
              <w:left w:val="nil"/>
              <w:bottom w:val="nil"/>
              <w:right w:val="nil"/>
            </w:tcBorders>
            <w:shd w:val="clear" w:color="auto" w:fill="auto"/>
            <w:tcMar>
              <w:top w:w="72" w:type="dxa"/>
              <w:left w:w="72" w:type="dxa"/>
              <w:bottom w:w="72" w:type="dxa"/>
              <w:right w:w="72" w:type="dxa"/>
            </w:tcMar>
            <w:vAlign w:val="center"/>
            <w:hideMark/>
          </w:tcPr>
          <w:p w14:paraId="5A185FC2"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Race</w:t>
            </w:r>
            <w:r w:rsidRPr="00CA19EF">
              <w:rPr>
                <w:rFonts w:ascii="Times New Roman" w:hAnsi="Times New Roman" w:cs="Times New Roman"/>
                <w:sz w:val="24"/>
                <w:szCs w:val="24"/>
              </w:rPr>
              <w:t>, n (%)</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741E754F" w14:textId="77777777" w:rsidR="00D51B09" w:rsidRPr="00CA19EF" w:rsidRDefault="00D51B09" w:rsidP="00A237E1">
            <w:pPr>
              <w:spacing w:line="360" w:lineRule="auto"/>
              <w:jc w:val="center"/>
              <w:rPr>
                <w:rFonts w:ascii="Times New Roman" w:hAnsi="Times New Roman" w:cs="Times New Roman"/>
                <w:sz w:val="24"/>
                <w:szCs w:val="24"/>
              </w:rPr>
            </w:pP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4F873DC0" w14:textId="77777777" w:rsidR="00D51B09" w:rsidRPr="00CA19EF" w:rsidRDefault="00D51B09" w:rsidP="00A237E1">
            <w:pPr>
              <w:spacing w:line="360" w:lineRule="auto"/>
              <w:jc w:val="center"/>
              <w:rPr>
                <w:rFonts w:ascii="Times New Roman" w:hAnsi="Times New Roman" w:cs="Times New Roman"/>
                <w:sz w:val="24"/>
                <w:szCs w:val="24"/>
              </w:rPr>
            </w:pP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1258D7E1" w14:textId="77777777" w:rsidR="00D51B09" w:rsidRPr="00CA19EF" w:rsidRDefault="00D51B09" w:rsidP="00A237E1">
            <w:pPr>
              <w:spacing w:line="360" w:lineRule="auto"/>
              <w:jc w:val="center"/>
              <w:rPr>
                <w:rFonts w:ascii="Times New Roman" w:hAnsi="Times New Roman" w:cs="Times New Roman"/>
                <w:sz w:val="24"/>
                <w:szCs w:val="24"/>
              </w:rPr>
            </w:pP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755E8024" w14:textId="77777777" w:rsidR="00D51B09" w:rsidRPr="00CA19EF" w:rsidRDefault="00D51B09" w:rsidP="00A237E1">
            <w:pPr>
              <w:spacing w:line="360" w:lineRule="auto"/>
              <w:jc w:val="center"/>
              <w:rPr>
                <w:rFonts w:ascii="Times New Roman" w:hAnsi="Times New Roman" w:cs="Times New Roman"/>
                <w:sz w:val="24"/>
                <w:szCs w:val="24"/>
              </w:rPr>
            </w:pPr>
          </w:p>
        </w:tc>
      </w:tr>
      <w:tr w:rsidR="00D51B09" w:rsidRPr="00851DC3" w14:paraId="190CB50E" w14:textId="77777777" w:rsidTr="00A237E1">
        <w:tc>
          <w:tcPr>
            <w:tcW w:w="4940" w:type="dxa"/>
            <w:tcBorders>
              <w:top w:val="nil"/>
              <w:left w:val="nil"/>
              <w:bottom w:val="nil"/>
              <w:right w:val="nil"/>
            </w:tcBorders>
            <w:shd w:val="clear" w:color="auto" w:fill="auto"/>
            <w:tcMar>
              <w:top w:w="72" w:type="dxa"/>
              <w:left w:w="72" w:type="dxa"/>
              <w:bottom w:w="72" w:type="dxa"/>
              <w:right w:w="72" w:type="dxa"/>
            </w:tcMar>
            <w:vAlign w:val="center"/>
            <w:hideMark/>
          </w:tcPr>
          <w:p w14:paraId="17E407FE"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White</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22135220"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655 (79.8)</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5A42479A"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27 (62.8)</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3BC1BEB4"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663 (80.5)</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12BDDE7A"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34 (66.7)</w:t>
            </w:r>
          </w:p>
        </w:tc>
      </w:tr>
      <w:tr w:rsidR="00D51B09" w:rsidRPr="00851DC3" w14:paraId="10557CDE" w14:textId="77777777" w:rsidTr="00A237E1">
        <w:tc>
          <w:tcPr>
            <w:tcW w:w="4940" w:type="dxa"/>
            <w:tcBorders>
              <w:top w:val="nil"/>
              <w:left w:val="nil"/>
              <w:bottom w:val="nil"/>
              <w:right w:val="nil"/>
            </w:tcBorders>
            <w:shd w:val="clear" w:color="auto" w:fill="auto"/>
            <w:tcMar>
              <w:top w:w="72" w:type="dxa"/>
              <w:left w:w="72" w:type="dxa"/>
              <w:bottom w:w="72" w:type="dxa"/>
              <w:right w:w="72" w:type="dxa"/>
            </w:tcMar>
            <w:vAlign w:val="center"/>
            <w:hideMark/>
          </w:tcPr>
          <w:p w14:paraId="178A9F8C"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Asian</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3C177FF2"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131 (16.0)</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6C9448B1"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14 (32.6)</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0FB5B014"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128 (15.5)</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4830B9D2"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13 (25.5)</w:t>
            </w:r>
          </w:p>
        </w:tc>
      </w:tr>
      <w:tr w:rsidR="00D51B09" w:rsidRPr="00851DC3" w14:paraId="6402354E" w14:textId="77777777" w:rsidTr="00A237E1">
        <w:tc>
          <w:tcPr>
            <w:tcW w:w="4940" w:type="dxa"/>
            <w:tcBorders>
              <w:top w:val="nil"/>
              <w:left w:val="nil"/>
              <w:bottom w:val="nil"/>
              <w:right w:val="nil"/>
            </w:tcBorders>
            <w:shd w:val="clear" w:color="auto" w:fill="auto"/>
            <w:tcMar>
              <w:top w:w="72" w:type="dxa"/>
              <w:left w:w="72" w:type="dxa"/>
              <w:bottom w:w="72" w:type="dxa"/>
              <w:right w:w="72" w:type="dxa"/>
            </w:tcMar>
            <w:vAlign w:val="center"/>
            <w:hideMark/>
          </w:tcPr>
          <w:p w14:paraId="3AA40061"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Black or African-American</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40AF57C3"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23 (2.8)</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21C6BB78"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2 (4.7)</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6012A616"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26 (3.2)</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467A7C5F"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4 (7.8)</w:t>
            </w:r>
          </w:p>
        </w:tc>
      </w:tr>
      <w:tr w:rsidR="00D51B09" w:rsidRPr="00851DC3" w14:paraId="60356A1C" w14:textId="77777777" w:rsidTr="00A237E1">
        <w:tc>
          <w:tcPr>
            <w:tcW w:w="4940" w:type="dxa"/>
            <w:tcBorders>
              <w:top w:val="nil"/>
              <w:left w:val="nil"/>
              <w:bottom w:val="nil"/>
              <w:right w:val="nil"/>
            </w:tcBorders>
            <w:shd w:val="clear" w:color="auto" w:fill="auto"/>
            <w:tcMar>
              <w:top w:w="72" w:type="dxa"/>
              <w:left w:w="72" w:type="dxa"/>
              <w:bottom w:w="72" w:type="dxa"/>
              <w:right w:w="72" w:type="dxa"/>
            </w:tcMar>
            <w:vAlign w:val="center"/>
            <w:hideMark/>
          </w:tcPr>
          <w:p w14:paraId="43C3E7A6"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Other</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4D9A9DE0"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12 (1.5)</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3FA77AA8"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0</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17196888"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7 (0.8)</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44CBF9A8"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0</w:t>
            </w:r>
          </w:p>
        </w:tc>
      </w:tr>
      <w:tr w:rsidR="00D51B09" w:rsidRPr="00851DC3" w14:paraId="225C2C29" w14:textId="77777777" w:rsidTr="00A237E1">
        <w:tc>
          <w:tcPr>
            <w:tcW w:w="4940" w:type="dxa"/>
            <w:tcBorders>
              <w:top w:val="nil"/>
              <w:left w:val="nil"/>
              <w:bottom w:val="nil"/>
              <w:right w:val="nil"/>
            </w:tcBorders>
            <w:shd w:val="clear" w:color="auto" w:fill="auto"/>
            <w:tcMar>
              <w:top w:w="72" w:type="dxa"/>
              <w:left w:w="72" w:type="dxa"/>
              <w:bottom w:w="72" w:type="dxa"/>
              <w:right w:w="72" w:type="dxa"/>
            </w:tcMar>
            <w:vAlign w:val="center"/>
            <w:hideMark/>
          </w:tcPr>
          <w:p w14:paraId="7C34AA55"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Hispanic or Latino</w:t>
            </w:r>
            <w:r w:rsidRPr="00CA19EF">
              <w:rPr>
                <w:rFonts w:ascii="Times New Roman" w:hAnsi="Times New Roman" w:cs="Times New Roman"/>
                <w:sz w:val="24"/>
                <w:szCs w:val="24"/>
              </w:rPr>
              <w:t>, n (%)</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0B7769E1"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199 (24.2)</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7F259EE5"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18 (41.9)</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614DC64E"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199 (24.2)</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7FBD75C6"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21 (41.2)</w:t>
            </w:r>
          </w:p>
        </w:tc>
      </w:tr>
      <w:tr w:rsidR="00D51B09" w:rsidRPr="00851DC3" w14:paraId="46E7EB60" w14:textId="77777777" w:rsidTr="00A237E1">
        <w:tc>
          <w:tcPr>
            <w:tcW w:w="4940" w:type="dxa"/>
            <w:tcBorders>
              <w:top w:val="nil"/>
              <w:left w:val="nil"/>
              <w:bottom w:val="nil"/>
              <w:right w:val="nil"/>
            </w:tcBorders>
            <w:shd w:val="clear" w:color="auto" w:fill="auto"/>
            <w:tcMar>
              <w:top w:w="72" w:type="dxa"/>
              <w:left w:w="72" w:type="dxa"/>
              <w:bottom w:w="72" w:type="dxa"/>
              <w:right w:w="72" w:type="dxa"/>
            </w:tcMar>
            <w:vAlign w:val="center"/>
            <w:hideMark/>
          </w:tcPr>
          <w:p w14:paraId="4516E4DB"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BMD T-score</w:t>
            </w:r>
            <w:r w:rsidRPr="00CA19EF">
              <w:rPr>
                <w:rFonts w:ascii="Times New Roman" w:hAnsi="Times New Roman" w:cs="Times New Roman"/>
                <w:sz w:val="24"/>
                <w:szCs w:val="24"/>
              </w:rPr>
              <w:t>, mean (SD)</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1A5675BC" w14:textId="77777777" w:rsidR="00D51B09" w:rsidRPr="00CA19EF" w:rsidRDefault="00D51B09" w:rsidP="00A237E1">
            <w:pPr>
              <w:spacing w:line="360" w:lineRule="auto"/>
              <w:jc w:val="center"/>
              <w:rPr>
                <w:rFonts w:ascii="Times New Roman" w:hAnsi="Times New Roman" w:cs="Times New Roman"/>
                <w:sz w:val="24"/>
                <w:szCs w:val="24"/>
              </w:rPr>
            </w:pP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01EF6E6A" w14:textId="77777777" w:rsidR="00D51B09" w:rsidRPr="00CA19EF" w:rsidRDefault="00D51B09" w:rsidP="00A237E1">
            <w:pPr>
              <w:spacing w:line="360" w:lineRule="auto"/>
              <w:jc w:val="center"/>
              <w:rPr>
                <w:rFonts w:ascii="Times New Roman" w:hAnsi="Times New Roman" w:cs="Times New Roman"/>
                <w:sz w:val="24"/>
                <w:szCs w:val="24"/>
              </w:rPr>
            </w:pP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596B8610" w14:textId="77777777" w:rsidR="00D51B09" w:rsidRPr="00CA19EF" w:rsidRDefault="00D51B09" w:rsidP="00A237E1">
            <w:pPr>
              <w:spacing w:line="360" w:lineRule="auto"/>
              <w:jc w:val="center"/>
              <w:rPr>
                <w:rFonts w:ascii="Times New Roman" w:hAnsi="Times New Roman" w:cs="Times New Roman"/>
                <w:sz w:val="24"/>
                <w:szCs w:val="24"/>
              </w:rPr>
            </w:pP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0D02FE71" w14:textId="77777777" w:rsidR="00D51B09" w:rsidRPr="00CA19EF" w:rsidRDefault="00D51B09" w:rsidP="00A237E1">
            <w:pPr>
              <w:spacing w:line="360" w:lineRule="auto"/>
              <w:jc w:val="center"/>
              <w:rPr>
                <w:rFonts w:ascii="Times New Roman" w:hAnsi="Times New Roman" w:cs="Times New Roman"/>
                <w:sz w:val="24"/>
                <w:szCs w:val="24"/>
              </w:rPr>
            </w:pPr>
          </w:p>
        </w:tc>
      </w:tr>
      <w:tr w:rsidR="00D51B09" w:rsidRPr="00851DC3" w14:paraId="2C9DF34D" w14:textId="77777777" w:rsidTr="00A237E1">
        <w:tc>
          <w:tcPr>
            <w:tcW w:w="4940" w:type="dxa"/>
            <w:tcBorders>
              <w:top w:val="nil"/>
              <w:left w:val="nil"/>
              <w:bottom w:val="nil"/>
              <w:right w:val="nil"/>
            </w:tcBorders>
            <w:shd w:val="clear" w:color="auto" w:fill="auto"/>
            <w:tcMar>
              <w:top w:w="72" w:type="dxa"/>
              <w:left w:w="72" w:type="dxa"/>
              <w:bottom w:w="72" w:type="dxa"/>
              <w:right w:w="72" w:type="dxa"/>
            </w:tcMar>
            <w:vAlign w:val="center"/>
            <w:hideMark/>
          </w:tcPr>
          <w:p w14:paraId="4A3D8FCD"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Total hip</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36C281B7"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−1.9 (0.8)</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5EF725F1"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−2.4 (0.7)</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4A776DEF"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−1.9 (0.7)</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62C14C6E"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−2.2 (0.8)</w:t>
            </w:r>
          </w:p>
        </w:tc>
      </w:tr>
      <w:tr w:rsidR="00D51B09" w:rsidRPr="00851DC3" w14:paraId="74D63880" w14:textId="77777777" w:rsidTr="00A237E1">
        <w:tc>
          <w:tcPr>
            <w:tcW w:w="4940" w:type="dxa"/>
            <w:tcBorders>
              <w:top w:val="nil"/>
              <w:left w:val="nil"/>
              <w:bottom w:val="nil"/>
              <w:right w:val="nil"/>
            </w:tcBorders>
            <w:shd w:val="clear" w:color="auto" w:fill="auto"/>
            <w:tcMar>
              <w:top w:w="72" w:type="dxa"/>
              <w:left w:w="72" w:type="dxa"/>
              <w:bottom w:w="72" w:type="dxa"/>
              <w:right w:w="72" w:type="dxa"/>
            </w:tcMar>
            <w:vAlign w:val="center"/>
            <w:hideMark/>
          </w:tcPr>
          <w:p w14:paraId="428B948F"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Femoral neck</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7FCF05A4"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−2.2 (0.7)</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441860A9"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−2.6 (0.6)</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76410570"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−2.2 (0.6)</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377A95EB"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−2.5 (0.6)</w:t>
            </w:r>
          </w:p>
        </w:tc>
      </w:tr>
      <w:tr w:rsidR="00D51B09" w:rsidRPr="00851DC3" w14:paraId="2BAB6B1B" w14:textId="77777777" w:rsidTr="00A237E1">
        <w:tc>
          <w:tcPr>
            <w:tcW w:w="4940" w:type="dxa"/>
            <w:tcBorders>
              <w:top w:val="nil"/>
              <w:left w:val="nil"/>
              <w:bottom w:val="nil"/>
              <w:right w:val="nil"/>
            </w:tcBorders>
            <w:shd w:val="clear" w:color="auto" w:fill="auto"/>
            <w:tcMar>
              <w:top w:w="72" w:type="dxa"/>
              <w:left w:w="72" w:type="dxa"/>
              <w:bottom w:w="72" w:type="dxa"/>
              <w:right w:w="72" w:type="dxa"/>
            </w:tcMar>
            <w:vAlign w:val="center"/>
            <w:hideMark/>
          </w:tcPr>
          <w:p w14:paraId="5942886D"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Lumbar spine</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6878963C"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−2.9 (0.8)</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7528776D"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−3.0 (0.9)</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2C7A8590"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−2.9 (0.9)</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7362AD9E"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−2.6 (1.3)</w:t>
            </w:r>
          </w:p>
        </w:tc>
      </w:tr>
      <w:tr w:rsidR="00D51B09" w:rsidRPr="00851DC3" w14:paraId="0032D49A" w14:textId="77777777" w:rsidTr="00A237E1">
        <w:tc>
          <w:tcPr>
            <w:tcW w:w="4940" w:type="dxa"/>
            <w:tcBorders>
              <w:top w:val="nil"/>
              <w:left w:val="nil"/>
              <w:bottom w:val="nil"/>
              <w:right w:val="nil"/>
            </w:tcBorders>
            <w:shd w:val="clear" w:color="auto" w:fill="auto"/>
            <w:tcMar>
              <w:top w:w="72" w:type="dxa"/>
              <w:left w:w="72" w:type="dxa"/>
              <w:bottom w:w="72" w:type="dxa"/>
              <w:right w:w="72" w:type="dxa"/>
            </w:tcMar>
            <w:vAlign w:val="center"/>
            <w:hideMark/>
          </w:tcPr>
          <w:p w14:paraId="6A38A314" w14:textId="77777777" w:rsidR="00D51B09" w:rsidRPr="00CA19EF" w:rsidRDefault="00D51B09" w:rsidP="00A237E1">
            <w:pPr>
              <w:spacing w:line="360" w:lineRule="auto"/>
              <w:ind w:left="180" w:hanging="180"/>
              <w:rPr>
                <w:rFonts w:ascii="Times New Roman" w:hAnsi="Times New Roman" w:cs="Times New Roman"/>
                <w:sz w:val="24"/>
                <w:szCs w:val="24"/>
              </w:rPr>
            </w:pPr>
            <w:r w:rsidRPr="00CA19EF">
              <w:rPr>
                <w:rFonts w:ascii="Times New Roman" w:hAnsi="Times New Roman" w:cs="Times New Roman"/>
                <w:b/>
                <w:bCs/>
                <w:sz w:val="24"/>
                <w:szCs w:val="24"/>
              </w:rPr>
              <w:t>Prevalent vertebral fracture at baseline</w:t>
            </w:r>
            <w:r w:rsidRPr="00CA19EF">
              <w:rPr>
                <w:rFonts w:ascii="Times New Roman" w:hAnsi="Times New Roman" w:cs="Times New Roman"/>
                <w:sz w:val="24"/>
                <w:szCs w:val="24"/>
              </w:rPr>
              <w:t>, n (%)</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19D51FEB"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188 (22.9)</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20363232"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9 (20.9)</w:t>
            </w:r>
          </w:p>
        </w:tc>
        <w:tc>
          <w:tcPr>
            <w:tcW w:w="1920" w:type="dxa"/>
            <w:tcBorders>
              <w:top w:val="nil"/>
              <w:left w:val="nil"/>
              <w:bottom w:val="nil"/>
              <w:right w:val="nil"/>
            </w:tcBorders>
            <w:shd w:val="clear" w:color="auto" w:fill="F3F3F3"/>
            <w:tcMar>
              <w:top w:w="72" w:type="dxa"/>
              <w:left w:w="72" w:type="dxa"/>
              <w:bottom w:w="72" w:type="dxa"/>
              <w:right w:w="72" w:type="dxa"/>
            </w:tcMar>
            <w:vAlign w:val="center"/>
            <w:hideMark/>
          </w:tcPr>
          <w:p w14:paraId="5A306800"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177 (21.5)</w:t>
            </w:r>
          </w:p>
        </w:tc>
        <w:tc>
          <w:tcPr>
            <w:tcW w:w="1920" w:type="dxa"/>
            <w:tcBorders>
              <w:top w:val="nil"/>
              <w:left w:val="nil"/>
              <w:bottom w:val="nil"/>
              <w:right w:val="nil"/>
            </w:tcBorders>
            <w:shd w:val="clear" w:color="auto" w:fill="auto"/>
            <w:tcMar>
              <w:top w:w="72" w:type="dxa"/>
              <w:left w:w="72" w:type="dxa"/>
              <w:bottom w:w="72" w:type="dxa"/>
              <w:right w:w="72" w:type="dxa"/>
            </w:tcMar>
            <w:vAlign w:val="center"/>
            <w:hideMark/>
          </w:tcPr>
          <w:p w14:paraId="0E12BEEA"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19 (37.3)</w:t>
            </w:r>
          </w:p>
        </w:tc>
      </w:tr>
      <w:tr w:rsidR="00D51B09" w:rsidRPr="00851DC3" w14:paraId="58ECC9E1" w14:textId="77777777" w:rsidTr="00A237E1">
        <w:trPr>
          <w:trHeight w:val="449"/>
        </w:trPr>
        <w:tc>
          <w:tcPr>
            <w:tcW w:w="4940" w:type="dxa"/>
            <w:tcBorders>
              <w:top w:val="nil"/>
              <w:left w:val="nil"/>
              <w:bottom w:val="single" w:sz="8" w:space="0" w:color="000000"/>
              <w:right w:val="nil"/>
            </w:tcBorders>
            <w:shd w:val="clear" w:color="auto" w:fill="auto"/>
            <w:tcMar>
              <w:top w:w="72" w:type="dxa"/>
              <w:left w:w="72" w:type="dxa"/>
              <w:bottom w:w="72" w:type="dxa"/>
              <w:right w:w="72" w:type="dxa"/>
            </w:tcMar>
            <w:vAlign w:val="center"/>
            <w:hideMark/>
          </w:tcPr>
          <w:p w14:paraId="3912D743" w14:textId="77777777" w:rsidR="00D51B09" w:rsidRPr="00CA19EF" w:rsidRDefault="00D51B09" w:rsidP="00A237E1">
            <w:pPr>
              <w:spacing w:line="360" w:lineRule="auto"/>
              <w:ind w:left="180" w:hanging="180"/>
              <w:rPr>
                <w:rFonts w:ascii="Times New Roman" w:hAnsi="Times New Roman" w:cs="Times New Roman"/>
                <w:sz w:val="24"/>
                <w:szCs w:val="24"/>
              </w:rPr>
            </w:pPr>
            <w:r w:rsidRPr="00CA19EF">
              <w:rPr>
                <w:rFonts w:ascii="Times New Roman" w:hAnsi="Times New Roman" w:cs="Times New Roman"/>
                <w:b/>
                <w:bCs/>
                <w:sz w:val="24"/>
                <w:szCs w:val="24"/>
              </w:rPr>
              <w:t>Prior nonvertebral fracture within 5 years of study day 1</w:t>
            </w:r>
            <w:r w:rsidRPr="00CA19EF">
              <w:rPr>
                <w:rFonts w:ascii="Times New Roman" w:hAnsi="Times New Roman" w:cs="Times New Roman"/>
                <w:sz w:val="24"/>
                <w:szCs w:val="24"/>
              </w:rPr>
              <w:t>, n (%)</w:t>
            </w:r>
          </w:p>
        </w:tc>
        <w:tc>
          <w:tcPr>
            <w:tcW w:w="1920" w:type="dxa"/>
            <w:tcBorders>
              <w:top w:val="nil"/>
              <w:left w:val="nil"/>
              <w:bottom w:val="single" w:sz="8" w:space="0" w:color="000000"/>
              <w:right w:val="nil"/>
            </w:tcBorders>
            <w:shd w:val="clear" w:color="auto" w:fill="F3F3F3"/>
            <w:tcMar>
              <w:top w:w="72" w:type="dxa"/>
              <w:left w:w="72" w:type="dxa"/>
              <w:bottom w:w="72" w:type="dxa"/>
              <w:right w:w="72" w:type="dxa"/>
            </w:tcMar>
            <w:vAlign w:val="center"/>
            <w:hideMark/>
          </w:tcPr>
          <w:p w14:paraId="22D8EB7A"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266 (32.4)</w:t>
            </w:r>
          </w:p>
        </w:tc>
        <w:tc>
          <w:tcPr>
            <w:tcW w:w="1920" w:type="dxa"/>
            <w:tcBorders>
              <w:top w:val="nil"/>
              <w:left w:val="nil"/>
              <w:bottom w:val="single" w:sz="8" w:space="0" w:color="000000"/>
              <w:right w:val="nil"/>
            </w:tcBorders>
            <w:shd w:val="clear" w:color="auto" w:fill="auto"/>
            <w:tcMar>
              <w:top w:w="72" w:type="dxa"/>
              <w:left w:w="72" w:type="dxa"/>
              <w:bottom w:w="72" w:type="dxa"/>
              <w:right w:w="72" w:type="dxa"/>
            </w:tcMar>
            <w:vAlign w:val="center"/>
            <w:hideMark/>
          </w:tcPr>
          <w:p w14:paraId="76CE69C7"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8 (18.6)</w:t>
            </w:r>
          </w:p>
        </w:tc>
        <w:tc>
          <w:tcPr>
            <w:tcW w:w="1920" w:type="dxa"/>
            <w:tcBorders>
              <w:top w:val="nil"/>
              <w:left w:val="nil"/>
              <w:bottom w:val="single" w:sz="8" w:space="0" w:color="000000"/>
              <w:right w:val="nil"/>
            </w:tcBorders>
            <w:shd w:val="clear" w:color="auto" w:fill="F3F3F3"/>
            <w:tcMar>
              <w:top w:w="72" w:type="dxa"/>
              <w:left w:w="72" w:type="dxa"/>
              <w:bottom w:w="72" w:type="dxa"/>
              <w:right w:w="72" w:type="dxa"/>
            </w:tcMar>
            <w:vAlign w:val="center"/>
            <w:hideMark/>
          </w:tcPr>
          <w:p w14:paraId="67BCFBEA"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248 (30.1)</w:t>
            </w:r>
          </w:p>
        </w:tc>
        <w:tc>
          <w:tcPr>
            <w:tcW w:w="1920" w:type="dxa"/>
            <w:tcBorders>
              <w:top w:val="nil"/>
              <w:left w:val="nil"/>
              <w:bottom w:val="single" w:sz="8" w:space="0" w:color="000000"/>
              <w:right w:val="nil"/>
            </w:tcBorders>
            <w:shd w:val="clear" w:color="auto" w:fill="auto"/>
            <w:tcMar>
              <w:top w:w="72" w:type="dxa"/>
              <w:left w:w="72" w:type="dxa"/>
              <w:bottom w:w="72" w:type="dxa"/>
              <w:right w:w="72" w:type="dxa"/>
            </w:tcMar>
            <w:vAlign w:val="center"/>
            <w:hideMark/>
          </w:tcPr>
          <w:p w14:paraId="58192D54"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7 (13.7)</w:t>
            </w:r>
          </w:p>
        </w:tc>
      </w:tr>
      <w:tr w:rsidR="00D51B09" w:rsidRPr="00851DC3" w14:paraId="7E38B98E" w14:textId="77777777" w:rsidTr="00A237E1">
        <w:trPr>
          <w:trHeight w:val="655"/>
        </w:trPr>
        <w:tc>
          <w:tcPr>
            <w:tcW w:w="12620" w:type="dxa"/>
            <w:gridSpan w:val="5"/>
            <w:tcBorders>
              <w:top w:val="single" w:sz="8" w:space="0" w:color="000000"/>
              <w:left w:val="nil"/>
              <w:bottom w:val="single" w:sz="8" w:space="0" w:color="000000"/>
              <w:right w:val="nil"/>
            </w:tcBorders>
            <w:shd w:val="clear" w:color="auto" w:fill="auto"/>
            <w:tcMar>
              <w:top w:w="72" w:type="dxa"/>
              <w:left w:w="72" w:type="dxa"/>
              <w:bottom w:w="72" w:type="dxa"/>
              <w:right w:w="72" w:type="dxa"/>
            </w:tcMar>
            <w:vAlign w:val="center"/>
            <w:hideMark/>
          </w:tcPr>
          <w:p w14:paraId="0F0998D4"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BMD</w:t>
            </w:r>
            <w:r w:rsidRPr="00CA19EF">
              <w:rPr>
                <w:rFonts w:ascii="Times New Roman" w:hAnsi="Times New Roman" w:cs="Times New Roman"/>
                <w:sz w:val="24"/>
                <w:szCs w:val="24"/>
              </w:rPr>
              <w:t xml:space="preserve">, bone mineral density; </w:t>
            </w:r>
            <w:r w:rsidRPr="00CA19EF">
              <w:rPr>
                <w:rFonts w:ascii="Times New Roman" w:hAnsi="Times New Roman" w:cs="Times New Roman"/>
                <w:b/>
                <w:bCs/>
                <w:sz w:val="24"/>
                <w:szCs w:val="24"/>
              </w:rPr>
              <w:t>BMI</w:t>
            </w:r>
            <w:r w:rsidRPr="00CA19EF">
              <w:rPr>
                <w:rFonts w:ascii="Times New Roman" w:hAnsi="Times New Roman" w:cs="Times New Roman"/>
                <w:sz w:val="24"/>
                <w:szCs w:val="24"/>
              </w:rPr>
              <w:t xml:space="preserve">, body mass index; </w:t>
            </w:r>
            <w:r w:rsidRPr="00CA19EF">
              <w:rPr>
                <w:rFonts w:ascii="Times New Roman" w:hAnsi="Times New Roman" w:cs="Times New Roman"/>
                <w:b/>
                <w:sz w:val="24"/>
                <w:szCs w:val="24"/>
              </w:rPr>
              <w:t>yr</w:t>
            </w:r>
            <w:r w:rsidRPr="00CA19EF">
              <w:rPr>
                <w:rFonts w:ascii="Times New Roman" w:hAnsi="Times New Roman" w:cs="Times New Roman"/>
                <w:sz w:val="24"/>
                <w:szCs w:val="24"/>
              </w:rPr>
              <w:t>, years. Values for overall population from reference 6.</w:t>
            </w:r>
          </w:p>
        </w:tc>
      </w:tr>
    </w:tbl>
    <w:p w14:paraId="613373CC" w14:textId="77777777" w:rsidR="00D51B09" w:rsidRPr="00CA19EF" w:rsidRDefault="00D51B09" w:rsidP="00D51B09">
      <w:pPr>
        <w:rPr>
          <w:rFonts w:ascii="Times New Roman" w:hAnsi="Times New Roman" w:cs="Times New Roman"/>
          <w:sz w:val="24"/>
          <w:szCs w:val="24"/>
        </w:rPr>
      </w:pPr>
      <w:r w:rsidRPr="00CA19EF">
        <w:rPr>
          <w:rFonts w:ascii="Times New Roman" w:hAnsi="Times New Roman" w:cs="Times New Roman"/>
          <w:sz w:val="24"/>
          <w:szCs w:val="24"/>
        </w:rPr>
        <w:br w:type="page"/>
      </w:r>
    </w:p>
    <w:p w14:paraId="0DEE32A7" w14:textId="77777777" w:rsidR="00D51B09" w:rsidRPr="00CA19EF" w:rsidRDefault="00D51B09" w:rsidP="00D51B09">
      <w:pPr>
        <w:rPr>
          <w:rFonts w:ascii="Times New Roman" w:hAnsi="Times New Roman" w:cs="Times New Roman"/>
          <w:sz w:val="24"/>
          <w:szCs w:val="24"/>
        </w:rPr>
      </w:pPr>
      <w:r w:rsidRPr="00CA19EF">
        <w:rPr>
          <w:rFonts w:ascii="Times New Roman" w:hAnsi="Times New Roman" w:cs="Times New Roman"/>
          <w:b/>
          <w:bCs/>
          <w:sz w:val="24"/>
          <w:szCs w:val="24"/>
        </w:rPr>
        <w:lastRenderedPageBreak/>
        <w:t>Table 2</w:t>
      </w:r>
      <w:r w:rsidRPr="00CA19EF">
        <w:rPr>
          <w:rFonts w:ascii="Times New Roman" w:hAnsi="Times New Roman" w:cs="Times New Roman"/>
          <w:sz w:val="24"/>
          <w:szCs w:val="24"/>
        </w:rPr>
        <w:t>. Safety and Adverse Events, ACTIVE Trial</w:t>
      </w:r>
    </w:p>
    <w:tbl>
      <w:tblPr>
        <w:tblW w:w="9360" w:type="dxa"/>
        <w:tblCellMar>
          <w:left w:w="0" w:type="dxa"/>
          <w:right w:w="0" w:type="dxa"/>
        </w:tblCellMar>
        <w:tblLook w:val="0220" w:firstRow="1" w:lastRow="0" w:firstColumn="0" w:lastColumn="0" w:noHBand="1" w:noVBand="0"/>
      </w:tblPr>
      <w:tblGrid>
        <w:gridCol w:w="3769"/>
        <w:gridCol w:w="1380"/>
        <w:gridCol w:w="1362"/>
        <w:gridCol w:w="1447"/>
        <w:gridCol w:w="1402"/>
      </w:tblGrid>
      <w:tr w:rsidR="00D51B09" w:rsidRPr="00851DC3" w14:paraId="5BA84E9B" w14:textId="77777777" w:rsidTr="00A237E1">
        <w:tc>
          <w:tcPr>
            <w:tcW w:w="3741" w:type="dxa"/>
            <w:tcBorders>
              <w:top w:val="single" w:sz="8" w:space="0" w:color="000000"/>
              <w:left w:val="nil"/>
              <w:bottom w:val="single" w:sz="8" w:space="0" w:color="000000"/>
              <w:right w:val="nil"/>
            </w:tcBorders>
            <w:shd w:val="clear" w:color="auto" w:fill="auto"/>
            <w:tcMar>
              <w:top w:w="72" w:type="dxa"/>
              <w:left w:w="72" w:type="dxa"/>
              <w:bottom w:w="72" w:type="dxa"/>
              <w:right w:w="72" w:type="dxa"/>
            </w:tcMar>
            <w:vAlign w:val="center"/>
            <w:hideMark/>
          </w:tcPr>
          <w:p w14:paraId="0619E678"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Event, n (%)</w:t>
            </w:r>
          </w:p>
        </w:tc>
        <w:tc>
          <w:tcPr>
            <w:tcW w:w="2808" w:type="dxa"/>
            <w:gridSpan w:val="2"/>
            <w:tcBorders>
              <w:top w:val="single" w:sz="8" w:space="0" w:color="000000"/>
              <w:left w:val="nil"/>
              <w:bottom w:val="single" w:sz="8" w:space="0" w:color="000000"/>
              <w:right w:val="nil"/>
            </w:tcBorders>
            <w:shd w:val="clear" w:color="auto" w:fill="auto"/>
            <w:tcMar>
              <w:top w:w="72" w:type="dxa"/>
              <w:left w:w="72" w:type="dxa"/>
              <w:bottom w:w="72" w:type="dxa"/>
              <w:right w:w="72" w:type="dxa"/>
            </w:tcMar>
            <w:vAlign w:val="center"/>
            <w:hideMark/>
          </w:tcPr>
          <w:p w14:paraId="2AAB4D1B"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Placebo</w:t>
            </w:r>
          </w:p>
        </w:tc>
        <w:tc>
          <w:tcPr>
            <w:tcW w:w="2811" w:type="dxa"/>
            <w:gridSpan w:val="2"/>
            <w:tcBorders>
              <w:top w:val="single" w:sz="8" w:space="0" w:color="000000"/>
              <w:left w:val="nil"/>
              <w:bottom w:val="single" w:sz="8" w:space="0" w:color="000000"/>
              <w:right w:val="nil"/>
            </w:tcBorders>
            <w:shd w:val="clear" w:color="auto" w:fill="auto"/>
            <w:tcMar>
              <w:top w:w="72" w:type="dxa"/>
              <w:left w:w="72" w:type="dxa"/>
              <w:bottom w:w="72" w:type="dxa"/>
              <w:right w:w="72" w:type="dxa"/>
            </w:tcMar>
            <w:vAlign w:val="center"/>
            <w:hideMark/>
          </w:tcPr>
          <w:p w14:paraId="08B9D18A"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Abaloparatide-SC</w:t>
            </w:r>
          </w:p>
        </w:tc>
      </w:tr>
      <w:tr w:rsidR="00D51B09" w:rsidRPr="00851DC3" w14:paraId="062D75A2" w14:textId="77777777" w:rsidTr="00A237E1">
        <w:tc>
          <w:tcPr>
            <w:tcW w:w="3741" w:type="dxa"/>
            <w:tcBorders>
              <w:top w:val="single" w:sz="8" w:space="0" w:color="000000"/>
              <w:left w:val="nil"/>
              <w:bottom w:val="nil"/>
              <w:right w:val="nil"/>
            </w:tcBorders>
            <w:shd w:val="clear" w:color="auto" w:fill="auto"/>
            <w:tcMar>
              <w:top w:w="72" w:type="dxa"/>
              <w:left w:w="72" w:type="dxa"/>
              <w:bottom w:w="72" w:type="dxa"/>
              <w:right w:w="72" w:type="dxa"/>
            </w:tcMar>
            <w:vAlign w:val="center"/>
            <w:hideMark/>
          </w:tcPr>
          <w:p w14:paraId="62DC8858" w14:textId="77777777" w:rsidR="00D51B09" w:rsidRPr="00CA19EF" w:rsidRDefault="00D51B09" w:rsidP="00A237E1">
            <w:pPr>
              <w:spacing w:line="360" w:lineRule="auto"/>
              <w:rPr>
                <w:rFonts w:ascii="Times New Roman" w:hAnsi="Times New Roman" w:cs="Times New Roman"/>
                <w:sz w:val="24"/>
                <w:szCs w:val="24"/>
              </w:rPr>
            </w:pPr>
          </w:p>
        </w:tc>
        <w:tc>
          <w:tcPr>
            <w:tcW w:w="1441" w:type="dxa"/>
            <w:tcBorders>
              <w:top w:val="single" w:sz="8" w:space="0" w:color="000000"/>
              <w:left w:val="nil"/>
              <w:bottom w:val="single" w:sz="8" w:space="0" w:color="000000"/>
              <w:right w:val="nil"/>
            </w:tcBorders>
            <w:shd w:val="clear" w:color="auto" w:fill="F3F3F3"/>
            <w:tcMar>
              <w:top w:w="72" w:type="dxa"/>
              <w:left w:w="72" w:type="dxa"/>
              <w:bottom w:w="72" w:type="dxa"/>
              <w:right w:w="72" w:type="dxa"/>
            </w:tcMar>
            <w:vAlign w:val="center"/>
            <w:hideMark/>
          </w:tcPr>
          <w:p w14:paraId="4167715C"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 xml:space="preserve">All, </w:t>
            </w:r>
            <w:r w:rsidRPr="00CA19EF">
              <w:rPr>
                <w:rFonts w:ascii="Times New Roman" w:hAnsi="Times New Roman" w:cs="Times New Roman"/>
                <w:sz w:val="24"/>
                <w:szCs w:val="24"/>
              </w:rPr>
              <w:br/>
              <w:t>n=820</w:t>
            </w:r>
          </w:p>
        </w:tc>
        <w:tc>
          <w:tcPr>
            <w:tcW w:w="1367" w:type="dxa"/>
            <w:tcBorders>
              <w:top w:val="single" w:sz="8" w:space="0" w:color="000000"/>
              <w:left w:val="nil"/>
              <w:bottom w:val="single" w:sz="8" w:space="0" w:color="000000"/>
              <w:right w:val="nil"/>
            </w:tcBorders>
            <w:shd w:val="clear" w:color="auto" w:fill="auto"/>
            <w:tcMar>
              <w:top w:w="72" w:type="dxa"/>
              <w:left w:w="72" w:type="dxa"/>
              <w:bottom w:w="72" w:type="dxa"/>
              <w:right w:w="72" w:type="dxa"/>
            </w:tcMar>
            <w:vAlign w:val="center"/>
            <w:hideMark/>
          </w:tcPr>
          <w:p w14:paraId="3874A4A6"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 xml:space="preserve">≥ 80 yr, </w:t>
            </w:r>
            <w:r w:rsidRPr="00CA19EF">
              <w:rPr>
                <w:rFonts w:ascii="Times New Roman" w:hAnsi="Times New Roman" w:cs="Times New Roman"/>
                <w:b/>
                <w:bCs/>
                <w:sz w:val="24"/>
                <w:szCs w:val="24"/>
              </w:rPr>
              <w:br/>
              <w:t>n=43</w:t>
            </w:r>
          </w:p>
        </w:tc>
        <w:tc>
          <w:tcPr>
            <w:tcW w:w="1443" w:type="dxa"/>
            <w:tcBorders>
              <w:top w:val="single" w:sz="8" w:space="0" w:color="000000"/>
              <w:left w:val="nil"/>
              <w:bottom w:val="single" w:sz="8" w:space="0" w:color="000000"/>
              <w:right w:val="nil"/>
            </w:tcBorders>
            <w:shd w:val="clear" w:color="auto" w:fill="F3F3F3"/>
            <w:tcMar>
              <w:top w:w="72" w:type="dxa"/>
              <w:left w:w="72" w:type="dxa"/>
              <w:bottom w:w="72" w:type="dxa"/>
              <w:right w:w="72" w:type="dxa"/>
            </w:tcMar>
            <w:vAlign w:val="center"/>
            <w:hideMark/>
          </w:tcPr>
          <w:p w14:paraId="6DDD400E"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 xml:space="preserve">All, </w:t>
            </w:r>
            <w:r w:rsidRPr="00CA19EF">
              <w:rPr>
                <w:rFonts w:ascii="Times New Roman" w:hAnsi="Times New Roman" w:cs="Times New Roman"/>
                <w:sz w:val="24"/>
                <w:szCs w:val="24"/>
              </w:rPr>
              <w:br/>
              <w:t>n=822</w:t>
            </w:r>
          </w:p>
        </w:tc>
        <w:tc>
          <w:tcPr>
            <w:tcW w:w="1368" w:type="dxa"/>
            <w:tcBorders>
              <w:top w:val="single" w:sz="8" w:space="0" w:color="000000"/>
              <w:left w:val="nil"/>
              <w:bottom w:val="single" w:sz="8" w:space="0" w:color="000000"/>
              <w:right w:val="nil"/>
            </w:tcBorders>
            <w:shd w:val="clear" w:color="auto" w:fill="auto"/>
            <w:tcMar>
              <w:top w:w="72" w:type="dxa"/>
              <w:left w:w="72" w:type="dxa"/>
              <w:bottom w:w="72" w:type="dxa"/>
              <w:right w:w="72" w:type="dxa"/>
            </w:tcMar>
            <w:vAlign w:val="center"/>
            <w:hideMark/>
          </w:tcPr>
          <w:p w14:paraId="5BEF4B6D"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 xml:space="preserve">≥ 80 yr, </w:t>
            </w:r>
            <w:r w:rsidRPr="00CA19EF">
              <w:rPr>
                <w:rFonts w:ascii="Times New Roman" w:hAnsi="Times New Roman" w:cs="Times New Roman"/>
                <w:b/>
                <w:bCs/>
                <w:sz w:val="24"/>
                <w:szCs w:val="24"/>
              </w:rPr>
              <w:br/>
              <w:t>n=51</w:t>
            </w:r>
          </w:p>
        </w:tc>
      </w:tr>
      <w:tr w:rsidR="00D51B09" w:rsidRPr="00851DC3" w14:paraId="77F8BFF4" w14:textId="77777777" w:rsidTr="00A237E1">
        <w:tc>
          <w:tcPr>
            <w:tcW w:w="3741" w:type="dxa"/>
            <w:tcBorders>
              <w:top w:val="nil"/>
              <w:left w:val="nil"/>
              <w:bottom w:val="nil"/>
              <w:right w:val="nil"/>
            </w:tcBorders>
            <w:shd w:val="clear" w:color="auto" w:fill="auto"/>
            <w:tcMar>
              <w:top w:w="72" w:type="dxa"/>
              <w:left w:w="72" w:type="dxa"/>
              <w:bottom w:w="72" w:type="dxa"/>
              <w:right w:w="72" w:type="dxa"/>
            </w:tcMar>
            <w:vAlign w:val="center"/>
            <w:hideMark/>
          </w:tcPr>
          <w:p w14:paraId="190683F2"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≥1 TEAE</w:t>
            </w:r>
          </w:p>
        </w:tc>
        <w:tc>
          <w:tcPr>
            <w:tcW w:w="1441" w:type="dxa"/>
            <w:tcBorders>
              <w:top w:val="single" w:sz="8" w:space="0" w:color="000000"/>
              <w:left w:val="nil"/>
              <w:bottom w:val="nil"/>
              <w:right w:val="nil"/>
            </w:tcBorders>
            <w:shd w:val="clear" w:color="auto" w:fill="F3F3F3"/>
            <w:tcMar>
              <w:top w:w="72" w:type="dxa"/>
              <w:left w:w="72" w:type="dxa"/>
              <w:bottom w:w="72" w:type="dxa"/>
              <w:right w:w="72" w:type="dxa"/>
            </w:tcMar>
            <w:vAlign w:val="center"/>
            <w:hideMark/>
          </w:tcPr>
          <w:p w14:paraId="2A00A851"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718 (87.6)</w:t>
            </w:r>
          </w:p>
        </w:tc>
        <w:tc>
          <w:tcPr>
            <w:tcW w:w="1367" w:type="dxa"/>
            <w:tcBorders>
              <w:top w:val="single" w:sz="8" w:space="0" w:color="000000"/>
              <w:left w:val="nil"/>
              <w:bottom w:val="nil"/>
              <w:right w:val="nil"/>
            </w:tcBorders>
            <w:shd w:val="clear" w:color="auto" w:fill="auto"/>
            <w:tcMar>
              <w:top w:w="72" w:type="dxa"/>
              <w:left w:w="72" w:type="dxa"/>
              <w:bottom w:w="72" w:type="dxa"/>
              <w:right w:w="72" w:type="dxa"/>
            </w:tcMar>
            <w:vAlign w:val="center"/>
            <w:hideMark/>
          </w:tcPr>
          <w:p w14:paraId="7645F740"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34 (79.1)</w:t>
            </w:r>
          </w:p>
        </w:tc>
        <w:tc>
          <w:tcPr>
            <w:tcW w:w="1443" w:type="dxa"/>
            <w:tcBorders>
              <w:top w:val="single" w:sz="8" w:space="0" w:color="000000"/>
              <w:left w:val="nil"/>
              <w:bottom w:val="nil"/>
              <w:right w:val="nil"/>
            </w:tcBorders>
            <w:shd w:val="clear" w:color="auto" w:fill="F3F3F3"/>
            <w:tcMar>
              <w:top w:w="72" w:type="dxa"/>
              <w:left w:w="72" w:type="dxa"/>
              <w:bottom w:w="72" w:type="dxa"/>
              <w:right w:w="72" w:type="dxa"/>
            </w:tcMar>
            <w:vAlign w:val="center"/>
            <w:hideMark/>
          </w:tcPr>
          <w:p w14:paraId="752B4B8E"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735 (89.4)</w:t>
            </w:r>
          </w:p>
        </w:tc>
        <w:tc>
          <w:tcPr>
            <w:tcW w:w="1368" w:type="dxa"/>
            <w:tcBorders>
              <w:top w:val="single" w:sz="8" w:space="0" w:color="000000"/>
              <w:left w:val="nil"/>
              <w:bottom w:val="nil"/>
              <w:right w:val="nil"/>
            </w:tcBorders>
            <w:shd w:val="clear" w:color="auto" w:fill="auto"/>
            <w:tcMar>
              <w:top w:w="72" w:type="dxa"/>
              <w:left w:w="72" w:type="dxa"/>
              <w:bottom w:w="72" w:type="dxa"/>
              <w:right w:w="72" w:type="dxa"/>
            </w:tcMar>
            <w:vAlign w:val="center"/>
            <w:hideMark/>
          </w:tcPr>
          <w:p w14:paraId="18FE89CA"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44 (86.3)</w:t>
            </w:r>
          </w:p>
        </w:tc>
      </w:tr>
      <w:tr w:rsidR="00D51B09" w:rsidRPr="00851DC3" w14:paraId="743305CA" w14:textId="77777777" w:rsidTr="00A237E1">
        <w:tc>
          <w:tcPr>
            <w:tcW w:w="3741" w:type="dxa"/>
            <w:tcBorders>
              <w:top w:val="nil"/>
              <w:left w:val="nil"/>
              <w:bottom w:val="nil"/>
              <w:right w:val="nil"/>
            </w:tcBorders>
            <w:shd w:val="clear" w:color="auto" w:fill="auto"/>
            <w:tcMar>
              <w:top w:w="72" w:type="dxa"/>
              <w:left w:w="72" w:type="dxa"/>
              <w:bottom w:w="72" w:type="dxa"/>
              <w:right w:w="72" w:type="dxa"/>
            </w:tcMar>
            <w:vAlign w:val="center"/>
            <w:hideMark/>
          </w:tcPr>
          <w:p w14:paraId="1CE8EEFA"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≥1 Serious TEAE</w:t>
            </w:r>
          </w:p>
        </w:tc>
        <w:tc>
          <w:tcPr>
            <w:tcW w:w="1441" w:type="dxa"/>
            <w:tcBorders>
              <w:top w:val="nil"/>
              <w:left w:val="nil"/>
              <w:bottom w:val="nil"/>
              <w:right w:val="nil"/>
            </w:tcBorders>
            <w:shd w:val="clear" w:color="auto" w:fill="F3F3F3"/>
            <w:tcMar>
              <w:top w:w="72" w:type="dxa"/>
              <w:left w:w="72" w:type="dxa"/>
              <w:bottom w:w="72" w:type="dxa"/>
              <w:right w:w="72" w:type="dxa"/>
            </w:tcMar>
            <w:vAlign w:val="center"/>
            <w:hideMark/>
          </w:tcPr>
          <w:p w14:paraId="2F249FB3"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90 (11.0)</w:t>
            </w:r>
          </w:p>
        </w:tc>
        <w:tc>
          <w:tcPr>
            <w:tcW w:w="1367" w:type="dxa"/>
            <w:tcBorders>
              <w:top w:val="nil"/>
              <w:left w:val="nil"/>
              <w:bottom w:val="nil"/>
              <w:right w:val="nil"/>
            </w:tcBorders>
            <w:shd w:val="clear" w:color="auto" w:fill="auto"/>
            <w:tcMar>
              <w:top w:w="72" w:type="dxa"/>
              <w:left w:w="72" w:type="dxa"/>
              <w:bottom w:w="72" w:type="dxa"/>
              <w:right w:w="72" w:type="dxa"/>
            </w:tcMar>
            <w:vAlign w:val="center"/>
            <w:hideMark/>
          </w:tcPr>
          <w:p w14:paraId="2B0F5651"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8 (18.6)</w:t>
            </w:r>
          </w:p>
        </w:tc>
        <w:tc>
          <w:tcPr>
            <w:tcW w:w="1443" w:type="dxa"/>
            <w:tcBorders>
              <w:top w:val="nil"/>
              <w:left w:val="nil"/>
              <w:bottom w:val="nil"/>
              <w:right w:val="nil"/>
            </w:tcBorders>
            <w:shd w:val="clear" w:color="auto" w:fill="F3F3F3"/>
            <w:tcMar>
              <w:top w:w="72" w:type="dxa"/>
              <w:left w:w="72" w:type="dxa"/>
              <w:bottom w:w="72" w:type="dxa"/>
              <w:right w:w="72" w:type="dxa"/>
            </w:tcMar>
            <w:vAlign w:val="center"/>
            <w:hideMark/>
          </w:tcPr>
          <w:p w14:paraId="066F356D"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80 (9.7)</w:t>
            </w:r>
          </w:p>
        </w:tc>
        <w:tc>
          <w:tcPr>
            <w:tcW w:w="1368" w:type="dxa"/>
            <w:tcBorders>
              <w:top w:val="nil"/>
              <w:left w:val="nil"/>
              <w:bottom w:val="nil"/>
              <w:right w:val="nil"/>
            </w:tcBorders>
            <w:shd w:val="clear" w:color="auto" w:fill="auto"/>
            <w:tcMar>
              <w:top w:w="72" w:type="dxa"/>
              <w:left w:w="72" w:type="dxa"/>
              <w:bottom w:w="72" w:type="dxa"/>
              <w:right w:w="72" w:type="dxa"/>
            </w:tcMar>
            <w:vAlign w:val="center"/>
            <w:hideMark/>
          </w:tcPr>
          <w:p w14:paraId="73613B76"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11 (21.6)</w:t>
            </w:r>
          </w:p>
        </w:tc>
      </w:tr>
      <w:tr w:rsidR="00D51B09" w:rsidRPr="00851DC3" w14:paraId="0D60601C" w14:textId="77777777" w:rsidTr="00A237E1">
        <w:tc>
          <w:tcPr>
            <w:tcW w:w="5060" w:type="dxa"/>
            <w:tcBorders>
              <w:top w:val="nil"/>
              <w:left w:val="nil"/>
              <w:bottom w:val="nil"/>
              <w:right w:val="nil"/>
            </w:tcBorders>
            <w:shd w:val="clear" w:color="auto" w:fill="auto"/>
            <w:tcMar>
              <w:top w:w="72" w:type="dxa"/>
              <w:left w:w="72" w:type="dxa"/>
              <w:bottom w:w="72" w:type="dxa"/>
              <w:right w:w="72" w:type="dxa"/>
            </w:tcMar>
            <w:vAlign w:val="center"/>
            <w:hideMark/>
          </w:tcPr>
          <w:p w14:paraId="6472142F"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 xml:space="preserve">≥1 TEAE </w:t>
            </w:r>
            <w:r>
              <w:rPr>
                <w:rFonts w:ascii="Times New Roman" w:hAnsi="Times New Roman" w:cs="Times New Roman"/>
                <w:b/>
                <w:bCs/>
                <w:sz w:val="24"/>
                <w:szCs w:val="24"/>
              </w:rPr>
              <w:t>Leading to Death</w:t>
            </w:r>
            <w:r w:rsidRPr="00CA19EF">
              <w:rPr>
                <w:rFonts w:ascii="Times New Roman" w:hAnsi="Times New Roman" w:cs="Times New Roman"/>
                <w:b/>
                <w:bCs/>
                <w:sz w:val="24"/>
                <w:szCs w:val="24"/>
                <w:vertAlign w:val="superscript"/>
              </w:rPr>
              <w:t>a</w:t>
            </w:r>
          </w:p>
        </w:tc>
        <w:tc>
          <w:tcPr>
            <w:tcW w:w="1960" w:type="dxa"/>
            <w:tcBorders>
              <w:top w:val="nil"/>
              <w:left w:val="nil"/>
              <w:bottom w:val="nil"/>
              <w:right w:val="nil"/>
            </w:tcBorders>
            <w:shd w:val="clear" w:color="auto" w:fill="F3F3F3"/>
            <w:tcMar>
              <w:top w:w="72" w:type="dxa"/>
              <w:left w:w="72" w:type="dxa"/>
              <w:bottom w:w="72" w:type="dxa"/>
              <w:right w:w="72" w:type="dxa"/>
            </w:tcMar>
            <w:vAlign w:val="center"/>
            <w:hideMark/>
          </w:tcPr>
          <w:p w14:paraId="077D4E62"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5 (0.6)</w:t>
            </w:r>
          </w:p>
        </w:tc>
        <w:tc>
          <w:tcPr>
            <w:tcW w:w="1960" w:type="dxa"/>
            <w:tcBorders>
              <w:top w:val="nil"/>
              <w:left w:val="nil"/>
              <w:bottom w:val="nil"/>
              <w:right w:val="nil"/>
            </w:tcBorders>
            <w:shd w:val="clear" w:color="auto" w:fill="auto"/>
            <w:tcMar>
              <w:top w:w="72" w:type="dxa"/>
              <w:left w:w="72" w:type="dxa"/>
              <w:bottom w:w="72" w:type="dxa"/>
              <w:right w:w="72" w:type="dxa"/>
            </w:tcMar>
            <w:vAlign w:val="center"/>
            <w:hideMark/>
          </w:tcPr>
          <w:p w14:paraId="6D34AA04"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0</w:t>
            </w:r>
          </w:p>
        </w:tc>
        <w:tc>
          <w:tcPr>
            <w:tcW w:w="1960" w:type="dxa"/>
            <w:tcBorders>
              <w:top w:val="nil"/>
              <w:left w:val="nil"/>
              <w:bottom w:val="nil"/>
              <w:right w:val="nil"/>
            </w:tcBorders>
            <w:shd w:val="clear" w:color="auto" w:fill="F3F3F3"/>
            <w:tcMar>
              <w:top w:w="72" w:type="dxa"/>
              <w:left w:w="72" w:type="dxa"/>
              <w:bottom w:w="72" w:type="dxa"/>
              <w:right w:w="72" w:type="dxa"/>
            </w:tcMar>
            <w:vAlign w:val="center"/>
            <w:hideMark/>
          </w:tcPr>
          <w:p w14:paraId="186B3FEF"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3 (0.4)</w:t>
            </w:r>
          </w:p>
        </w:tc>
        <w:tc>
          <w:tcPr>
            <w:tcW w:w="1960" w:type="dxa"/>
            <w:tcBorders>
              <w:top w:val="nil"/>
              <w:left w:val="nil"/>
              <w:bottom w:val="nil"/>
              <w:right w:val="nil"/>
            </w:tcBorders>
            <w:shd w:val="clear" w:color="auto" w:fill="auto"/>
            <w:tcMar>
              <w:top w:w="72" w:type="dxa"/>
              <w:left w:w="72" w:type="dxa"/>
              <w:bottom w:w="72" w:type="dxa"/>
              <w:right w:w="72" w:type="dxa"/>
            </w:tcMar>
            <w:vAlign w:val="center"/>
            <w:hideMark/>
          </w:tcPr>
          <w:p w14:paraId="65807DA0"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3 (5.9)</w:t>
            </w:r>
          </w:p>
        </w:tc>
      </w:tr>
      <w:tr w:rsidR="00D51B09" w:rsidRPr="00851DC3" w14:paraId="2918B4CF" w14:textId="77777777" w:rsidTr="00A237E1">
        <w:tc>
          <w:tcPr>
            <w:tcW w:w="5060" w:type="dxa"/>
            <w:tcBorders>
              <w:top w:val="nil"/>
              <w:left w:val="nil"/>
              <w:bottom w:val="nil"/>
              <w:right w:val="nil"/>
            </w:tcBorders>
            <w:shd w:val="clear" w:color="auto" w:fill="auto"/>
            <w:tcMar>
              <w:top w:w="72" w:type="dxa"/>
              <w:left w:w="72" w:type="dxa"/>
              <w:bottom w:w="72" w:type="dxa"/>
              <w:right w:w="72" w:type="dxa"/>
            </w:tcMar>
            <w:vAlign w:val="center"/>
            <w:hideMark/>
          </w:tcPr>
          <w:p w14:paraId="4553C4C0"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≥1 TEAE leading to discontinuation</w:t>
            </w:r>
          </w:p>
        </w:tc>
        <w:tc>
          <w:tcPr>
            <w:tcW w:w="1960" w:type="dxa"/>
            <w:tcBorders>
              <w:top w:val="nil"/>
              <w:left w:val="nil"/>
              <w:bottom w:val="nil"/>
              <w:right w:val="nil"/>
            </w:tcBorders>
            <w:shd w:val="clear" w:color="auto" w:fill="F3F3F3"/>
            <w:tcMar>
              <w:top w:w="72" w:type="dxa"/>
              <w:left w:w="72" w:type="dxa"/>
              <w:bottom w:w="72" w:type="dxa"/>
              <w:right w:w="72" w:type="dxa"/>
            </w:tcMar>
            <w:vAlign w:val="center"/>
            <w:hideMark/>
          </w:tcPr>
          <w:p w14:paraId="39AFC487"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50 (6.1)</w:t>
            </w:r>
          </w:p>
        </w:tc>
        <w:tc>
          <w:tcPr>
            <w:tcW w:w="1960" w:type="dxa"/>
            <w:tcBorders>
              <w:top w:val="nil"/>
              <w:left w:val="nil"/>
              <w:bottom w:val="nil"/>
              <w:right w:val="nil"/>
            </w:tcBorders>
            <w:shd w:val="clear" w:color="auto" w:fill="auto"/>
            <w:tcMar>
              <w:top w:w="72" w:type="dxa"/>
              <w:left w:w="72" w:type="dxa"/>
              <w:bottom w:w="72" w:type="dxa"/>
              <w:right w:w="72" w:type="dxa"/>
            </w:tcMar>
            <w:vAlign w:val="center"/>
            <w:hideMark/>
          </w:tcPr>
          <w:p w14:paraId="27135386"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1 (2.3)</w:t>
            </w:r>
          </w:p>
        </w:tc>
        <w:tc>
          <w:tcPr>
            <w:tcW w:w="1960" w:type="dxa"/>
            <w:tcBorders>
              <w:top w:val="nil"/>
              <w:left w:val="nil"/>
              <w:bottom w:val="nil"/>
              <w:right w:val="nil"/>
            </w:tcBorders>
            <w:shd w:val="clear" w:color="auto" w:fill="F3F3F3"/>
            <w:tcMar>
              <w:top w:w="72" w:type="dxa"/>
              <w:left w:w="72" w:type="dxa"/>
              <w:bottom w:w="72" w:type="dxa"/>
              <w:right w:w="72" w:type="dxa"/>
            </w:tcMar>
            <w:vAlign w:val="center"/>
            <w:hideMark/>
          </w:tcPr>
          <w:p w14:paraId="2B780569"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81 (9.9)</w:t>
            </w:r>
          </w:p>
        </w:tc>
        <w:tc>
          <w:tcPr>
            <w:tcW w:w="1960" w:type="dxa"/>
            <w:tcBorders>
              <w:top w:val="nil"/>
              <w:left w:val="nil"/>
              <w:bottom w:val="nil"/>
              <w:right w:val="nil"/>
            </w:tcBorders>
            <w:shd w:val="clear" w:color="auto" w:fill="auto"/>
            <w:tcMar>
              <w:top w:w="72" w:type="dxa"/>
              <w:left w:w="72" w:type="dxa"/>
              <w:bottom w:w="72" w:type="dxa"/>
              <w:right w:w="72" w:type="dxa"/>
            </w:tcMar>
            <w:vAlign w:val="center"/>
            <w:hideMark/>
          </w:tcPr>
          <w:p w14:paraId="36745CCB"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6 (11.8)</w:t>
            </w:r>
          </w:p>
        </w:tc>
      </w:tr>
      <w:tr w:rsidR="00D51B09" w:rsidRPr="00851DC3" w14:paraId="36F08689" w14:textId="77777777" w:rsidTr="00A237E1">
        <w:tc>
          <w:tcPr>
            <w:tcW w:w="5060" w:type="dxa"/>
            <w:tcBorders>
              <w:top w:val="nil"/>
              <w:left w:val="nil"/>
              <w:bottom w:val="nil"/>
              <w:right w:val="nil"/>
            </w:tcBorders>
            <w:shd w:val="clear" w:color="auto" w:fill="auto"/>
            <w:tcMar>
              <w:top w:w="72" w:type="dxa"/>
              <w:left w:w="72" w:type="dxa"/>
              <w:bottom w:w="72" w:type="dxa"/>
              <w:right w:w="72" w:type="dxa"/>
            </w:tcMar>
            <w:vAlign w:val="center"/>
            <w:hideMark/>
          </w:tcPr>
          <w:p w14:paraId="33DD339B"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Common TEAEs</w:t>
            </w:r>
            <w:r w:rsidRPr="00CA19EF">
              <w:rPr>
                <w:rFonts w:ascii="Times New Roman" w:hAnsi="Times New Roman" w:cs="Times New Roman"/>
                <w:b/>
                <w:bCs/>
                <w:sz w:val="24"/>
                <w:szCs w:val="24"/>
                <w:vertAlign w:val="superscript"/>
              </w:rPr>
              <w:t>b</w:t>
            </w:r>
          </w:p>
        </w:tc>
        <w:tc>
          <w:tcPr>
            <w:tcW w:w="1960" w:type="dxa"/>
            <w:tcBorders>
              <w:top w:val="nil"/>
              <w:left w:val="nil"/>
              <w:bottom w:val="nil"/>
              <w:right w:val="nil"/>
            </w:tcBorders>
            <w:shd w:val="clear" w:color="auto" w:fill="F3F3F3"/>
            <w:tcMar>
              <w:top w:w="72" w:type="dxa"/>
              <w:left w:w="72" w:type="dxa"/>
              <w:bottom w:w="72" w:type="dxa"/>
              <w:right w:w="72" w:type="dxa"/>
            </w:tcMar>
            <w:vAlign w:val="center"/>
            <w:hideMark/>
          </w:tcPr>
          <w:p w14:paraId="481182F2" w14:textId="77777777" w:rsidR="00D51B09" w:rsidRPr="00CA19EF" w:rsidRDefault="00D51B09" w:rsidP="00A237E1">
            <w:pPr>
              <w:spacing w:line="360" w:lineRule="auto"/>
              <w:jc w:val="center"/>
              <w:rPr>
                <w:rFonts w:ascii="Times New Roman" w:hAnsi="Times New Roman" w:cs="Times New Roman"/>
                <w:sz w:val="24"/>
                <w:szCs w:val="24"/>
              </w:rPr>
            </w:pPr>
          </w:p>
        </w:tc>
        <w:tc>
          <w:tcPr>
            <w:tcW w:w="1960" w:type="dxa"/>
            <w:tcBorders>
              <w:top w:val="nil"/>
              <w:left w:val="nil"/>
              <w:bottom w:val="nil"/>
              <w:right w:val="nil"/>
            </w:tcBorders>
            <w:shd w:val="clear" w:color="auto" w:fill="auto"/>
            <w:tcMar>
              <w:top w:w="72" w:type="dxa"/>
              <w:left w:w="72" w:type="dxa"/>
              <w:bottom w:w="72" w:type="dxa"/>
              <w:right w:w="72" w:type="dxa"/>
            </w:tcMar>
            <w:vAlign w:val="center"/>
            <w:hideMark/>
          </w:tcPr>
          <w:p w14:paraId="62D95C3F" w14:textId="77777777" w:rsidR="00D51B09" w:rsidRPr="00CA19EF" w:rsidRDefault="00D51B09" w:rsidP="00A237E1">
            <w:pPr>
              <w:spacing w:line="360" w:lineRule="auto"/>
              <w:jc w:val="center"/>
              <w:rPr>
                <w:rFonts w:ascii="Times New Roman" w:hAnsi="Times New Roman" w:cs="Times New Roman"/>
                <w:sz w:val="24"/>
                <w:szCs w:val="24"/>
              </w:rPr>
            </w:pPr>
          </w:p>
        </w:tc>
        <w:tc>
          <w:tcPr>
            <w:tcW w:w="1960" w:type="dxa"/>
            <w:tcBorders>
              <w:top w:val="nil"/>
              <w:left w:val="nil"/>
              <w:bottom w:val="nil"/>
              <w:right w:val="nil"/>
            </w:tcBorders>
            <w:shd w:val="clear" w:color="auto" w:fill="F3F3F3"/>
            <w:tcMar>
              <w:top w:w="72" w:type="dxa"/>
              <w:left w:w="72" w:type="dxa"/>
              <w:bottom w:w="72" w:type="dxa"/>
              <w:right w:w="72" w:type="dxa"/>
            </w:tcMar>
            <w:vAlign w:val="center"/>
            <w:hideMark/>
          </w:tcPr>
          <w:p w14:paraId="47B4D107" w14:textId="77777777" w:rsidR="00D51B09" w:rsidRPr="00CA19EF" w:rsidRDefault="00D51B09" w:rsidP="00A237E1">
            <w:pPr>
              <w:spacing w:line="360" w:lineRule="auto"/>
              <w:jc w:val="center"/>
              <w:rPr>
                <w:rFonts w:ascii="Times New Roman" w:hAnsi="Times New Roman" w:cs="Times New Roman"/>
                <w:sz w:val="24"/>
                <w:szCs w:val="24"/>
              </w:rPr>
            </w:pPr>
          </w:p>
        </w:tc>
        <w:tc>
          <w:tcPr>
            <w:tcW w:w="1960" w:type="dxa"/>
            <w:tcBorders>
              <w:top w:val="nil"/>
              <w:left w:val="nil"/>
              <w:bottom w:val="nil"/>
              <w:right w:val="nil"/>
            </w:tcBorders>
            <w:shd w:val="clear" w:color="auto" w:fill="auto"/>
            <w:tcMar>
              <w:top w:w="72" w:type="dxa"/>
              <w:left w:w="72" w:type="dxa"/>
              <w:bottom w:w="72" w:type="dxa"/>
              <w:right w:w="72" w:type="dxa"/>
            </w:tcMar>
            <w:vAlign w:val="center"/>
            <w:hideMark/>
          </w:tcPr>
          <w:p w14:paraId="7EC3C1D8" w14:textId="77777777" w:rsidR="00D51B09" w:rsidRPr="00CA19EF" w:rsidRDefault="00D51B09" w:rsidP="00A237E1">
            <w:pPr>
              <w:spacing w:line="360" w:lineRule="auto"/>
              <w:jc w:val="center"/>
              <w:rPr>
                <w:rFonts w:ascii="Times New Roman" w:hAnsi="Times New Roman" w:cs="Times New Roman"/>
                <w:sz w:val="24"/>
                <w:szCs w:val="24"/>
              </w:rPr>
            </w:pPr>
          </w:p>
        </w:tc>
      </w:tr>
      <w:tr w:rsidR="00D51B09" w:rsidRPr="00851DC3" w14:paraId="74E7B270" w14:textId="77777777" w:rsidTr="00A237E1">
        <w:tc>
          <w:tcPr>
            <w:tcW w:w="5060" w:type="dxa"/>
            <w:tcBorders>
              <w:top w:val="nil"/>
              <w:left w:val="nil"/>
              <w:bottom w:val="nil"/>
              <w:right w:val="nil"/>
            </w:tcBorders>
            <w:shd w:val="clear" w:color="auto" w:fill="auto"/>
            <w:tcMar>
              <w:top w:w="72" w:type="dxa"/>
              <w:left w:w="72" w:type="dxa"/>
              <w:bottom w:w="72" w:type="dxa"/>
              <w:right w:w="72" w:type="dxa"/>
            </w:tcMar>
            <w:vAlign w:val="center"/>
            <w:hideMark/>
          </w:tcPr>
          <w:p w14:paraId="44661467"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Upper respiratory tract infection</w:t>
            </w:r>
          </w:p>
        </w:tc>
        <w:tc>
          <w:tcPr>
            <w:tcW w:w="1960" w:type="dxa"/>
            <w:tcBorders>
              <w:top w:val="nil"/>
              <w:left w:val="nil"/>
              <w:bottom w:val="nil"/>
              <w:right w:val="nil"/>
            </w:tcBorders>
            <w:shd w:val="clear" w:color="auto" w:fill="F3F3F3"/>
            <w:tcMar>
              <w:top w:w="72" w:type="dxa"/>
              <w:left w:w="72" w:type="dxa"/>
              <w:bottom w:w="72" w:type="dxa"/>
              <w:right w:w="72" w:type="dxa"/>
            </w:tcMar>
            <w:vAlign w:val="center"/>
            <w:hideMark/>
          </w:tcPr>
          <w:p w14:paraId="1B299D12"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63 (7.7)</w:t>
            </w:r>
          </w:p>
        </w:tc>
        <w:tc>
          <w:tcPr>
            <w:tcW w:w="1960" w:type="dxa"/>
            <w:tcBorders>
              <w:top w:val="nil"/>
              <w:left w:val="nil"/>
              <w:bottom w:val="nil"/>
              <w:right w:val="nil"/>
            </w:tcBorders>
            <w:shd w:val="clear" w:color="auto" w:fill="auto"/>
            <w:tcMar>
              <w:top w:w="72" w:type="dxa"/>
              <w:left w:w="72" w:type="dxa"/>
              <w:bottom w:w="72" w:type="dxa"/>
              <w:right w:w="72" w:type="dxa"/>
            </w:tcMar>
            <w:vAlign w:val="center"/>
            <w:hideMark/>
          </w:tcPr>
          <w:p w14:paraId="267B735D"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6 (14.0)</w:t>
            </w:r>
          </w:p>
        </w:tc>
        <w:tc>
          <w:tcPr>
            <w:tcW w:w="1960" w:type="dxa"/>
            <w:tcBorders>
              <w:top w:val="nil"/>
              <w:left w:val="nil"/>
              <w:bottom w:val="nil"/>
              <w:right w:val="nil"/>
            </w:tcBorders>
            <w:shd w:val="clear" w:color="auto" w:fill="F3F3F3"/>
            <w:tcMar>
              <w:top w:w="72" w:type="dxa"/>
              <w:left w:w="72" w:type="dxa"/>
              <w:bottom w:w="72" w:type="dxa"/>
              <w:right w:w="72" w:type="dxa"/>
            </w:tcMar>
            <w:vAlign w:val="center"/>
            <w:hideMark/>
          </w:tcPr>
          <w:p w14:paraId="6905769F"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68 (8.3)</w:t>
            </w:r>
          </w:p>
        </w:tc>
        <w:tc>
          <w:tcPr>
            <w:tcW w:w="1960" w:type="dxa"/>
            <w:tcBorders>
              <w:top w:val="nil"/>
              <w:left w:val="nil"/>
              <w:bottom w:val="nil"/>
              <w:right w:val="nil"/>
            </w:tcBorders>
            <w:shd w:val="clear" w:color="auto" w:fill="auto"/>
            <w:tcMar>
              <w:top w:w="72" w:type="dxa"/>
              <w:left w:w="72" w:type="dxa"/>
              <w:bottom w:w="72" w:type="dxa"/>
              <w:right w:w="72" w:type="dxa"/>
            </w:tcMar>
            <w:vAlign w:val="center"/>
            <w:hideMark/>
          </w:tcPr>
          <w:p w14:paraId="11A4A8AD"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10 (19.6)</w:t>
            </w:r>
          </w:p>
        </w:tc>
      </w:tr>
      <w:tr w:rsidR="00D51B09" w:rsidRPr="00851DC3" w14:paraId="5BA8BCF1" w14:textId="77777777" w:rsidTr="00A237E1">
        <w:tc>
          <w:tcPr>
            <w:tcW w:w="5060" w:type="dxa"/>
            <w:tcBorders>
              <w:top w:val="nil"/>
              <w:left w:val="nil"/>
              <w:bottom w:val="nil"/>
              <w:right w:val="nil"/>
            </w:tcBorders>
            <w:shd w:val="clear" w:color="auto" w:fill="auto"/>
            <w:tcMar>
              <w:top w:w="72" w:type="dxa"/>
              <w:left w:w="72" w:type="dxa"/>
              <w:bottom w:w="72" w:type="dxa"/>
              <w:right w:w="72" w:type="dxa"/>
            </w:tcMar>
            <w:vAlign w:val="center"/>
            <w:hideMark/>
          </w:tcPr>
          <w:p w14:paraId="77B5585D"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Dizziness</w:t>
            </w:r>
          </w:p>
        </w:tc>
        <w:tc>
          <w:tcPr>
            <w:tcW w:w="1960" w:type="dxa"/>
            <w:tcBorders>
              <w:top w:val="nil"/>
              <w:left w:val="nil"/>
              <w:bottom w:val="nil"/>
              <w:right w:val="nil"/>
            </w:tcBorders>
            <w:shd w:val="clear" w:color="auto" w:fill="F3F3F3"/>
            <w:tcMar>
              <w:top w:w="72" w:type="dxa"/>
              <w:left w:w="72" w:type="dxa"/>
              <w:bottom w:w="72" w:type="dxa"/>
              <w:right w:w="72" w:type="dxa"/>
            </w:tcMar>
            <w:vAlign w:val="center"/>
            <w:hideMark/>
          </w:tcPr>
          <w:p w14:paraId="030BD45C"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50 (6.1)</w:t>
            </w:r>
          </w:p>
        </w:tc>
        <w:tc>
          <w:tcPr>
            <w:tcW w:w="1960" w:type="dxa"/>
            <w:tcBorders>
              <w:top w:val="nil"/>
              <w:left w:val="nil"/>
              <w:bottom w:val="nil"/>
              <w:right w:val="nil"/>
            </w:tcBorders>
            <w:shd w:val="clear" w:color="auto" w:fill="auto"/>
            <w:tcMar>
              <w:top w:w="72" w:type="dxa"/>
              <w:left w:w="72" w:type="dxa"/>
              <w:bottom w:w="72" w:type="dxa"/>
              <w:right w:w="72" w:type="dxa"/>
            </w:tcMar>
            <w:vAlign w:val="center"/>
            <w:hideMark/>
          </w:tcPr>
          <w:p w14:paraId="77DE888A"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5 (11.6)</w:t>
            </w:r>
          </w:p>
        </w:tc>
        <w:tc>
          <w:tcPr>
            <w:tcW w:w="1960" w:type="dxa"/>
            <w:tcBorders>
              <w:top w:val="nil"/>
              <w:left w:val="nil"/>
              <w:bottom w:val="nil"/>
              <w:right w:val="nil"/>
            </w:tcBorders>
            <w:shd w:val="clear" w:color="auto" w:fill="F3F3F3"/>
            <w:tcMar>
              <w:top w:w="72" w:type="dxa"/>
              <w:left w:w="72" w:type="dxa"/>
              <w:bottom w:w="72" w:type="dxa"/>
              <w:right w:w="72" w:type="dxa"/>
            </w:tcMar>
            <w:vAlign w:val="center"/>
            <w:hideMark/>
          </w:tcPr>
          <w:p w14:paraId="2F28FC0A"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82 (10.0)</w:t>
            </w:r>
          </w:p>
        </w:tc>
        <w:tc>
          <w:tcPr>
            <w:tcW w:w="1960" w:type="dxa"/>
            <w:tcBorders>
              <w:top w:val="nil"/>
              <w:left w:val="nil"/>
              <w:bottom w:val="nil"/>
              <w:right w:val="nil"/>
            </w:tcBorders>
            <w:shd w:val="clear" w:color="auto" w:fill="auto"/>
            <w:tcMar>
              <w:top w:w="72" w:type="dxa"/>
              <w:left w:w="72" w:type="dxa"/>
              <w:bottom w:w="72" w:type="dxa"/>
              <w:right w:w="72" w:type="dxa"/>
            </w:tcMar>
            <w:vAlign w:val="center"/>
            <w:hideMark/>
          </w:tcPr>
          <w:p w14:paraId="5259D762"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7 (13.7)</w:t>
            </w:r>
          </w:p>
        </w:tc>
      </w:tr>
      <w:tr w:rsidR="00D51B09" w:rsidRPr="00851DC3" w14:paraId="57231987" w14:textId="77777777" w:rsidTr="00A237E1">
        <w:tc>
          <w:tcPr>
            <w:tcW w:w="5060" w:type="dxa"/>
            <w:tcBorders>
              <w:top w:val="nil"/>
              <w:left w:val="nil"/>
              <w:bottom w:val="nil"/>
              <w:right w:val="nil"/>
            </w:tcBorders>
            <w:shd w:val="clear" w:color="auto" w:fill="auto"/>
            <w:tcMar>
              <w:top w:w="72" w:type="dxa"/>
              <w:left w:w="72" w:type="dxa"/>
              <w:bottom w:w="72" w:type="dxa"/>
              <w:right w:w="72" w:type="dxa"/>
            </w:tcMar>
            <w:vAlign w:val="center"/>
            <w:hideMark/>
          </w:tcPr>
          <w:p w14:paraId="73654A6E"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Hypertension</w:t>
            </w:r>
          </w:p>
        </w:tc>
        <w:tc>
          <w:tcPr>
            <w:tcW w:w="1960" w:type="dxa"/>
            <w:tcBorders>
              <w:top w:val="nil"/>
              <w:left w:val="nil"/>
              <w:bottom w:val="nil"/>
              <w:right w:val="nil"/>
            </w:tcBorders>
            <w:shd w:val="clear" w:color="auto" w:fill="F3F3F3"/>
            <w:tcMar>
              <w:top w:w="72" w:type="dxa"/>
              <w:left w:w="72" w:type="dxa"/>
              <w:bottom w:w="72" w:type="dxa"/>
              <w:right w:w="72" w:type="dxa"/>
            </w:tcMar>
            <w:vAlign w:val="center"/>
            <w:hideMark/>
          </w:tcPr>
          <w:p w14:paraId="0FE558D9"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54 (6.6)</w:t>
            </w:r>
          </w:p>
        </w:tc>
        <w:tc>
          <w:tcPr>
            <w:tcW w:w="1960" w:type="dxa"/>
            <w:tcBorders>
              <w:top w:val="nil"/>
              <w:left w:val="nil"/>
              <w:bottom w:val="nil"/>
              <w:right w:val="nil"/>
            </w:tcBorders>
            <w:shd w:val="clear" w:color="auto" w:fill="auto"/>
            <w:tcMar>
              <w:top w:w="72" w:type="dxa"/>
              <w:left w:w="72" w:type="dxa"/>
              <w:bottom w:w="72" w:type="dxa"/>
              <w:right w:w="72" w:type="dxa"/>
            </w:tcMar>
            <w:vAlign w:val="center"/>
            <w:hideMark/>
          </w:tcPr>
          <w:p w14:paraId="6C8E2C1C"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3 (7.0)</w:t>
            </w:r>
          </w:p>
        </w:tc>
        <w:tc>
          <w:tcPr>
            <w:tcW w:w="1960" w:type="dxa"/>
            <w:tcBorders>
              <w:top w:val="nil"/>
              <w:left w:val="nil"/>
              <w:bottom w:val="nil"/>
              <w:right w:val="nil"/>
            </w:tcBorders>
            <w:shd w:val="clear" w:color="auto" w:fill="F3F3F3"/>
            <w:tcMar>
              <w:top w:w="72" w:type="dxa"/>
              <w:left w:w="72" w:type="dxa"/>
              <w:bottom w:w="72" w:type="dxa"/>
              <w:right w:w="72" w:type="dxa"/>
            </w:tcMar>
            <w:vAlign w:val="center"/>
            <w:hideMark/>
          </w:tcPr>
          <w:p w14:paraId="253F1F9E"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59 (7.2)</w:t>
            </w:r>
          </w:p>
        </w:tc>
        <w:tc>
          <w:tcPr>
            <w:tcW w:w="1960" w:type="dxa"/>
            <w:tcBorders>
              <w:top w:val="nil"/>
              <w:left w:val="nil"/>
              <w:bottom w:val="nil"/>
              <w:right w:val="nil"/>
            </w:tcBorders>
            <w:shd w:val="clear" w:color="auto" w:fill="auto"/>
            <w:tcMar>
              <w:top w:w="72" w:type="dxa"/>
              <w:left w:w="72" w:type="dxa"/>
              <w:bottom w:w="72" w:type="dxa"/>
              <w:right w:w="72" w:type="dxa"/>
            </w:tcMar>
            <w:vAlign w:val="center"/>
            <w:hideMark/>
          </w:tcPr>
          <w:p w14:paraId="01ACA42E"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7 (13.7)</w:t>
            </w:r>
          </w:p>
        </w:tc>
      </w:tr>
      <w:tr w:rsidR="00D51B09" w:rsidRPr="00851DC3" w14:paraId="361EC8B3" w14:textId="77777777" w:rsidTr="00A237E1">
        <w:tc>
          <w:tcPr>
            <w:tcW w:w="5060" w:type="dxa"/>
            <w:tcBorders>
              <w:top w:val="nil"/>
              <w:left w:val="nil"/>
              <w:bottom w:val="nil"/>
              <w:right w:val="nil"/>
            </w:tcBorders>
            <w:shd w:val="clear" w:color="auto" w:fill="auto"/>
            <w:tcMar>
              <w:top w:w="72" w:type="dxa"/>
              <w:left w:w="72" w:type="dxa"/>
              <w:bottom w:w="72" w:type="dxa"/>
              <w:right w:w="72" w:type="dxa"/>
            </w:tcMar>
            <w:vAlign w:val="center"/>
          </w:tcPr>
          <w:p w14:paraId="78973F50"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eastAsia="Times New Roman" w:hAnsi="Times New Roman" w:cs="Times New Roman"/>
                <w:sz w:val="24"/>
                <w:szCs w:val="24"/>
              </w:rPr>
              <w:t>Nasopharyngitis</w:t>
            </w:r>
          </w:p>
        </w:tc>
        <w:tc>
          <w:tcPr>
            <w:tcW w:w="1960" w:type="dxa"/>
            <w:tcBorders>
              <w:top w:val="nil"/>
              <w:left w:val="nil"/>
              <w:bottom w:val="nil"/>
              <w:right w:val="nil"/>
            </w:tcBorders>
            <w:shd w:val="clear" w:color="auto" w:fill="F3F3F3"/>
            <w:tcMar>
              <w:top w:w="72" w:type="dxa"/>
              <w:left w:w="72" w:type="dxa"/>
              <w:bottom w:w="72" w:type="dxa"/>
              <w:right w:w="72" w:type="dxa"/>
            </w:tcMar>
            <w:vAlign w:val="center"/>
          </w:tcPr>
          <w:p w14:paraId="5D64C6CA"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66 (8.0)</w:t>
            </w:r>
          </w:p>
        </w:tc>
        <w:tc>
          <w:tcPr>
            <w:tcW w:w="1960" w:type="dxa"/>
            <w:tcBorders>
              <w:top w:val="nil"/>
              <w:left w:val="nil"/>
              <w:bottom w:val="nil"/>
              <w:right w:val="nil"/>
            </w:tcBorders>
            <w:shd w:val="clear" w:color="auto" w:fill="auto"/>
            <w:tcMar>
              <w:top w:w="72" w:type="dxa"/>
              <w:left w:w="72" w:type="dxa"/>
              <w:bottom w:w="72" w:type="dxa"/>
              <w:right w:w="72" w:type="dxa"/>
            </w:tcMar>
            <w:vAlign w:val="center"/>
          </w:tcPr>
          <w:p w14:paraId="7E2B0E6B"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2 (4.7)</w:t>
            </w:r>
          </w:p>
        </w:tc>
        <w:tc>
          <w:tcPr>
            <w:tcW w:w="1960" w:type="dxa"/>
            <w:tcBorders>
              <w:top w:val="nil"/>
              <w:left w:val="nil"/>
              <w:bottom w:val="nil"/>
              <w:right w:val="nil"/>
            </w:tcBorders>
            <w:shd w:val="clear" w:color="auto" w:fill="F3F3F3"/>
            <w:tcMar>
              <w:top w:w="72" w:type="dxa"/>
              <w:left w:w="72" w:type="dxa"/>
              <w:bottom w:w="72" w:type="dxa"/>
              <w:right w:w="72" w:type="dxa"/>
            </w:tcMar>
            <w:vAlign w:val="center"/>
          </w:tcPr>
          <w:p w14:paraId="54D5134F"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48 (5.8)</w:t>
            </w:r>
          </w:p>
        </w:tc>
        <w:tc>
          <w:tcPr>
            <w:tcW w:w="1960" w:type="dxa"/>
            <w:tcBorders>
              <w:top w:val="nil"/>
              <w:left w:val="nil"/>
              <w:bottom w:val="nil"/>
              <w:right w:val="nil"/>
            </w:tcBorders>
            <w:shd w:val="clear" w:color="auto" w:fill="auto"/>
            <w:tcMar>
              <w:top w:w="72" w:type="dxa"/>
              <w:left w:w="72" w:type="dxa"/>
              <w:bottom w:w="72" w:type="dxa"/>
              <w:right w:w="72" w:type="dxa"/>
            </w:tcMar>
            <w:vAlign w:val="center"/>
          </w:tcPr>
          <w:p w14:paraId="0D52A208"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4 (7.8)</w:t>
            </w:r>
          </w:p>
        </w:tc>
      </w:tr>
      <w:tr w:rsidR="00D51B09" w:rsidRPr="00851DC3" w14:paraId="5A0CD9F6" w14:textId="77777777" w:rsidTr="00A237E1">
        <w:tc>
          <w:tcPr>
            <w:tcW w:w="3741" w:type="dxa"/>
            <w:tcBorders>
              <w:top w:val="nil"/>
              <w:left w:val="nil"/>
              <w:bottom w:val="nil"/>
              <w:right w:val="nil"/>
            </w:tcBorders>
            <w:shd w:val="clear" w:color="auto" w:fill="auto"/>
            <w:tcMar>
              <w:top w:w="72" w:type="dxa"/>
              <w:left w:w="72" w:type="dxa"/>
              <w:bottom w:w="72" w:type="dxa"/>
              <w:right w:w="72" w:type="dxa"/>
            </w:tcMar>
            <w:vAlign w:val="center"/>
          </w:tcPr>
          <w:p w14:paraId="560652EB" w14:textId="77777777" w:rsidR="00D51B09" w:rsidRPr="00CA19EF" w:rsidRDefault="00D51B09" w:rsidP="00A237E1">
            <w:pPr>
              <w:spacing w:line="360" w:lineRule="auto"/>
              <w:ind w:left="180"/>
              <w:rPr>
                <w:rFonts w:ascii="Times New Roman" w:eastAsia="Times New Roman" w:hAnsi="Times New Roman" w:cs="Times New Roman"/>
                <w:sz w:val="24"/>
                <w:szCs w:val="24"/>
              </w:rPr>
            </w:pPr>
            <w:r w:rsidRPr="00CA19EF">
              <w:rPr>
                <w:rFonts w:ascii="Times New Roman" w:eastAsia="Times New Roman" w:hAnsi="Times New Roman" w:cs="Times New Roman"/>
                <w:sz w:val="24"/>
                <w:szCs w:val="24"/>
              </w:rPr>
              <w:t>Influenza</w:t>
            </w:r>
          </w:p>
        </w:tc>
        <w:tc>
          <w:tcPr>
            <w:tcW w:w="1441" w:type="dxa"/>
            <w:tcBorders>
              <w:top w:val="nil"/>
              <w:left w:val="nil"/>
              <w:bottom w:val="nil"/>
              <w:right w:val="nil"/>
            </w:tcBorders>
            <w:shd w:val="clear" w:color="auto" w:fill="F3F3F3"/>
            <w:tcMar>
              <w:top w:w="72" w:type="dxa"/>
              <w:left w:w="72" w:type="dxa"/>
              <w:bottom w:w="72" w:type="dxa"/>
              <w:right w:w="72" w:type="dxa"/>
            </w:tcMar>
            <w:vAlign w:val="center"/>
          </w:tcPr>
          <w:p w14:paraId="4BA7DDAF"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39 (4.8)</w:t>
            </w:r>
          </w:p>
        </w:tc>
        <w:tc>
          <w:tcPr>
            <w:tcW w:w="1367" w:type="dxa"/>
            <w:tcBorders>
              <w:top w:val="nil"/>
              <w:left w:val="nil"/>
              <w:bottom w:val="nil"/>
              <w:right w:val="nil"/>
            </w:tcBorders>
            <w:shd w:val="clear" w:color="auto" w:fill="auto"/>
            <w:tcMar>
              <w:top w:w="72" w:type="dxa"/>
              <w:left w:w="72" w:type="dxa"/>
              <w:bottom w:w="72" w:type="dxa"/>
              <w:right w:w="72" w:type="dxa"/>
            </w:tcMar>
            <w:vAlign w:val="center"/>
          </w:tcPr>
          <w:p w14:paraId="01F05406"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1 (2.3)</w:t>
            </w:r>
          </w:p>
        </w:tc>
        <w:tc>
          <w:tcPr>
            <w:tcW w:w="1443" w:type="dxa"/>
            <w:tcBorders>
              <w:top w:val="nil"/>
              <w:left w:val="nil"/>
              <w:bottom w:val="nil"/>
              <w:right w:val="nil"/>
            </w:tcBorders>
            <w:shd w:val="clear" w:color="auto" w:fill="F3F3F3"/>
            <w:tcMar>
              <w:top w:w="72" w:type="dxa"/>
              <w:left w:w="72" w:type="dxa"/>
              <w:bottom w:w="72" w:type="dxa"/>
              <w:right w:w="72" w:type="dxa"/>
            </w:tcMar>
            <w:vAlign w:val="center"/>
          </w:tcPr>
          <w:p w14:paraId="7BD42EA9"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52 (6.3)</w:t>
            </w:r>
          </w:p>
        </w:tc>
        <w:tc>
          <w:tcPr>
            <w:tcW w:w="1368" w:type="dxa"/>
            <w:tcBorders>
              <w:top w:val="nil"/>
              <w:left w:val="nil"/>
              <w:bottom w:val="nil"/>
              <w:right w:val="nil"/>
            </w:tcBorders>
            <w:shd w:val="clear" w:color="auto" w:fill="auto"/>
            <w:tcMar>
              <w:top w:w="72" w:type="dxa"/>
              <w:left w:w="72" w:type="dxa"/>
              <w:bottom w:w="72" w:type="dxa"/>
              <w:right w:w="72" w:type="dxa"/>
            </w:tcMar>
            <w:vAlign w:val="center"/>
          </w:tcPr>
          <w:p w14:paraId="160F0A5A"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4 (7.8)</w:t>
            </w:r>
          </w:p>
        </w:tc>
      </w:tr>
      <w:tr w:rsidR="00D51B09" w:rsidRPr="00851DC3" w14:paraId="23215EC2" w14:textId="77777777" w:rsidTr="00A237E1">
        <w:tc>
          <w:tcPr>
            <w:tcW w:w="3741" w:type="dxa"/>
            <w:tcBorders>
              <w:top w:val="nil"/>
              <w:left w:val="nil"/>
              <w:bottom w:val="nil"/>
              <w:right w:val="nil"/>
            </w:tcBorders>
            <w:shd w:val="clear" w:color="auto" w:fill="auto"/>
            <w:tcMar>
              <w:top w:w="72" w:type="dxa"/>
              <w:left w:w="72" w:type="dxa"/>
              <w:bottom w:w="72" w:type="dxa"/>
              <w:right w:w="72" w:type="dxa"/>
            </w:tcMar>
            <w:vAlign w:val="center"/>
          </w:tcPr>
          <w:p w14:paraId="3A12A635"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Muscle spasms</w:t>
            </w:r>
          </w:p>
        </w:tc>
        <w:tc>
          <w:tcPr>
            <w:tcW w:w="1441" w:type="dxa"/>
            <w:tcBorders>
              <w:top w:val="nil"/>
              <w:left w:val="nil"/>
              <w:bottom w:val="nil"/>
              <w:right w:val="nil"/>
            </w:tcBorders>
            <w:shd w:val="clear" w:color="auto" w:fill="F3F3F3"/>
            <w:tcMar>
              <w:top w:w="72" w:type="dxa"/>
              <w:left w:w="72" w:type="dxa"/>
              <w:bottom w:w="72" w:type="dxa"/>
              <w:right w:w="72" w:type="dxa"/>
            </w:tcMar>
            <w:vAlign w:val="center"/>
          </w:tcPr>
          <w:p w14:paraId="787F120C"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16 (2.0)</w:t>
            </w:r>
          </w:p>
        </w:tc>
        <w:tc>
          <w:tcPr>
            <w:tcW w:w="1367" w:type="dxa"/>
            <w:tcBorders>
              <w:top w:val="nil"/>
              <w:left w:val="nil"/>
              <w:bottom w:val="nil"/>
              <w:right w:val="nil"/>
            </w:tcBorders>
            <w:shd w:val="clear" w:color="auto" w:fill="auto"/>
            <w:tcMar>
              <w:top w:w="72" w:type="dxa"/>
              <w:left w:w="72" w:type="dxa"/>
              <w:bottom w:w="72" w:type="dxa"/>
              <w:right w:w="72" w:type="dxa"/>
            </w:tcMar>
            <w:vAlign w:val="center"/>
          </w:tcPr>
          <w:p w14:paraId="3DE44B8C"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1 (2.3)</w:t>
            </w:r>
          </w:p>
        </w:tc>
        <w:tc>
          <w:tcPr>
            <w:tcW w:w="1443" w:type="dxa"/>
            <w:tcBorders>
              <w:top w:val="nil"/>
              <w:left w:val="nil"/>
              <w:bottom w:val="nil"/>
              <w:right w:val="nil"/>
            </w:tcBorders>
            <w:shd w:val="clear" w:color="auto" w:fill="F3F3F3"/>
            <w:tcMar>
              <w:top w:w="72" w:type="dxa"/>
              <w:left w:w="72" w:type="dxa"/>
              <w:bottom w:w="72" w:type="dxa"/>
              <w:right w:w="72" w:type="dxa"/>
            </w:tcMar>
            <w:vAlign w:val="center"/>
          </w:tcPr>
          <w:p w14:paraId="7A3316FE"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22 (2.7)</w:t>
            </w:r>
          </w:p>
        </w:tc>
        <w:tc>
          <w:tcPr>
            <w:tcW w:w="1368" w:type="dxa"/>
            <w:tcBorders>
              <w:top w:val="nil"/>
              <w:left w:val="nil"/>
              <w:bottom w:val="nil"/>
              <w:right w:val="nil"/>
            </w:tcBorders>
            <w:shd w:val="clear" w:color="auto" w:fill="auto"/>
            <w:tcMar>
              <w:top w:w="72" w:type="dxa"/>
              <w:left w:w="72" w:type="dxa"/>
              <w:bottom w:w="72" w:type="dxa"/>
              <w:right w:w="72" w:type="dxa"/>
            </w:tcMar>
            <w:vAlign w:val="center"/>
          </w:tcPr>
          <w:p w14:paraId="15060603"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4 (7.8)</w:t>
            </w:r>
          </w:p>
        </w:tc>
      </w:tr>
      <w:tr w:rsidR="00D51B09" w:rsidRPr="00851DC3" w14:paraId="0D252F6A" w14:textId="77777777" w:rsidTr="00A237E1">
        <w:tc>
          <w:tcPr>
            <w:tcW w:w="3741" w:type="dxa"/>
            <w:tcBorders>
              <w:top w:val="nil"/>
              <w:left w:val="nil"/>
              <w:bottom w:val="nil"/>
              <w:right w:val="nil"/>
            </w:tcBorders>
            <w:shd w:val="clear" w:color="auto" w:fill="auto"/>
            <w:tcMar>
              <w:top w:w="72" w:type="dxa"/>
              <w:left w:w="72" w:type="dxa"/>
              <w:bottom w:w="72" w:type="dxa"/>
              <w:right w:w="72" w:type="dxa"/>
            </w:tcMar>
            <w:vAlign w:val="center"/>
          </w:tcPr>
          <w:p w14:paraId="523CFEC2" w14:textId="77777777" w:rsidR="00D51B09" w:rsidRPr="00CA19EF" w:rsidRDefault="00D51B09" w:rsidP="00A237E1">
            <w:pPr>
              <w:spacing w:line="360" w:lineRule="auto"/>
              <w:ind w:left="180"/>
              <w:rPr>
                <w:rFonts w:ascii="Times New Roman" w:eastAsia="Times New Roman" w:hAnsi="Times New Roman" w:cs="Times New Roman"/>
                <w:sz w:val="24"/>
                <w:szCs w:val="24"/>
              </w:rPr>
            </w:pPr>
            <w:r w:rsidRPr="00CA19EF">
              <w:rPr>
                <w:rFonts w:ascii="Times New Roman" w:eastAsia="Times New Roman" w:hAnsi="Times New Roman" w:cs="Times New Roman"/>
                <w:sz w:val="24"/>
                <w:szCs w:val="24"/>
              </w:rPr>
              <w:t>Osteoarthritis</w:t>
            </w:r>
          </w:p>
        </w:tc>
        <w:tc>
          <w:tcPr>
            <w:tcW w:w="1441" w:type="dxa"/>
            <w:tcBorders>
              <w:top w:val="nil"/>
              <w:left w:val="nil"/>
              <w:bottom w:val="nil"/>
              <w:right w:val="nil"/>
            </w:tcBorders>
            <w:shd w:val="clear" w:color="auto" w:fill="F3F3F3"/>
            <w:tcMar>
              <w:top w:w="72" w:type="dxa"/>
              <w:left w:w="72" w:type="dxa"/>
              <w:bottom w:w="72" w:type="dxa"/>
              <w:right w:w="72" w:type="dxa"/>
            </w:tcMar>
            <w:vAlign w:val="center"/>
          </w:tcPr>
          <w:p w14:paraId="090640DB"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31 (3.8)</w:t>
            </w:r>
          </w:p>
        </w:tc>
        <w:tc>
          <w:tcPr>
            <w:tcW w:w="1367" w:type="dxa"/>
            <w:tcBorders>
              <w:top w:val="nil"/>
              <w:left w:val="nil"/>
              <w:bottom w:val="nil"/>
              <w:right w:val="nil"/>
            </w:tcBorders>
            <w:shd w:val="clear" w:color="auto" w:fill="auto"/>
            <w:tcMar>
              <w:top w:w="72" w:type="dxa"/>
              <w:left w:w="72" w:type="dxa"/>
              <w:bottom w:w="72" w:type="dxa"/>
              <w:right w:w="72" w:type="dxa"/>
            </w:tcMar>
            <w:vAlign w:val="center"/>
          </w:tcPr>
          <w:p w14:paraId="4FF2C602"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1 (2.3)</w:t>
            </w:r>
          </w:p>
        </w:tc>
        <w:tc>
          <w:tcPr>
            <w:tcW w:w="1443" w:type="dxa"/>
            <w:tcBorders>
              <w:top w:val="nil"/>
              <w:left w:val="nil"/>
              <w:bottom w:val="nil"/>
              <w:right w:val="nil"/>
            </w:tcBorders>
            <w:shd w:val="clear" w:color="auto" w:fill="F3F3F3"/>
            <w:tcMar>
              <w:top w:w="72" w:type="dxa"/>
              <w:left w:w="72" w:type="dxa"/>
              <w:bottom w:w="72" w:type="dxa"/>
              <w:right w:w="72" w:type="dxa"/>
            </w:tcMar>
            <w:vAlign w:val="center"/>
          </w:tcPr>
          <w:p w14:paraId="2FA31A43"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34 (4.1)</w:t>
            </w:r>
          </w:p>
        </w:tc>
        <w:tc>
          <w:tcPr>
            <w:tcW w:w="1368" w:type="dxa"/>
            <w:tcBorders>
              <w:top w:val="nil"/>
              <w:left w:val="nil"/>
              <w:bottom w:val="nil"/>
              <w:right w:val="nil"/>
            </w:tcBorders>
            <w:shd w:val="clear" w:color="auto" w:fill="auto"/>
            <w:tcMar>
              <w:top w:w="72" w:type="dxa"/>
              <w:left w:w="72" w:type="dxa"/>
              <w:bottom w:w="72" w:type="dxa"/>
              <w:right w:w="72" w:type="dxa"/>
            </w:tcMar>
            <w:vAlign w:val="center"/>
          </w:tcPr>
          <w:p w14:paraId="1F334685"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4 (7.8)</w:t>
            </w:r>
          </w:p>
        </w:tc>
      </w:tr>
      <w:tr w:rsidR="00D51B09" w:rsidRPr="00851DC3" w14:paraId="6DF24440" w14:textId="77777777" w:rsidTr="00A237E1">
        <w:tc>
          <w:tcPr>
            <w:tcW w:w="3741" w:type="dxa"/>
            <w:tcBorders>
              <w:top w:val="nil"/>
              <w:left w:val="nil"/>
              <w:bottom w:val="nil"/>
              <w:right w:val="nil"/>
            </w:tcBorders>
            <w:shd w:val="clear" w:color="auto" w:fill="auto"/>
            <w:tcMar>
              <w:top w:w="72" w:type="dxa"/>
              <w:left w:w="72" w:type="dxa"/>
              <w:bottom w:w="72" w:type="dxa"/>
              <w:right w:w="72" w:type="dxa"/>
            </w:tcMar>
            <w:vAlign w:val="center"/>
          </w:tcPr>
          <w:p w14:paraId="6698B9D7" w14:textId="77777777" w:rsidR="00D51B09" w:rsidRPr="00CA19EF" w:rsidRDefault="00D51B09" w:rsidP="00A237E1">
            <w:pPr>
              <w:spacing w:line="360" w:lineRule="auto"/>
              <w:ind w:left="180"/>
              <w:rPr>
                <w:rFonts w:ascii="Times New Roman" w:eastAsia="Times New Roman" w:hAnsi="Times New Roman" w:cs="Times New Roman"/>
                <w:sz w:val="24"/>
                <w:szCs w:val="24"/>
              </w:rPr>
            </w:pPr>
            <w:r w:rsidRPr="00CA19EF">
              <w:rPr>
                <w:rFonts w:ascii="Times New Roman" w:eastAsia="Times New Roman" w:hAnsi="Times New Roman" w:cs="Times New Roman"/>
                <w:sz w:val="24"/>
                <w:szCs w:val="24"/>
              </w:rPr>
              <w:t>Pain in extremity</w:t>
            </w:r>
          </w:p>
        </w:tc>
        <w:tc>
          <w:tcPr>
            <w:tcW w:w="1441" w:type="dxa"/>
            <w:tcBorders>
              <w:top w:val="nil"/>
              <w:left w:val="nil"/>
              <w:bottom w:val="nil"/>
              <w:right w:val="nil"/>
            </w:tcBorders>
            <w:shd w:val="clear" w:color="auto" w:fill="F3F3F3"/>
            <w:tcMar>
              <w:top w:w="72" w:type="dxa"/>
              <w:left w:w="72" w:type="dxa"/>
              <w:bottom w:w="72" w:type="dxa"/>
              <w:right w:w="72" w:type="dxa"/>
            </w:tcMar>
            <w:vAlign w:val="center"/>
          </w:tcPr>
          <w:p w14:paraId="0C1E6020"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49 (6.0)</w:t>
            </w:r>
          </w:p>
        </w:tc>
        <w:tc>
          <w:tcPr>
            <w:tcW w:w="1367" w:type="dxa"/>
            <w:tcBorders>
              <w:top w:val="nil"/>
              <w:left w:val="nil"/>
              <w:bottom w:val="nil"/>
              <w:right w:val="nil"/>
            </w:tcBorders>
            <w:shd w:val="clear" w:color="auto" w:fill="auto"/>
            <w:tcMar>
              <w:top w:w="72" w:type="dxa"/>
              <w:left w:w="72" w:type="dxa"/>
              <w:bottom w:w="72" w:type="dxa"/>
              <w:right w:w="72" w:type="dxa"/>
            </w:tcMar>
            <w:vAlign w:val="center"/>
          </w:tcPr>
          <w:p w14:paraId="045A5823"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3 (7.0)</w:t>
            </w:r>
          </w:p>
        </w:tc>
        <w:tc>
          <w:tcPr>
            <w:tcW w:w="1443" w:type="dxa"/>
            <w:tcBorders>
              <w:top w:val="nil"/>
              <w:left w:val="nil"/>
              <w:bottom w:val="nil"/>
              <w:right w:val="nil"/>
            </w:tcBorders>
            <w:shd w:val="clear" w:color="auto" w:fill="F3F3F3"/>
            <w:tcMar>
              <w:top w:w="72" w:type="dxa"/>
              <w:left w:w="72" w:type="dxa"/>
              <w:bottom w:w="72" w:type="dxa"/>
              <w:right w:w="72" w:type="dxa"/>
            </w:tcMar>
            <w:vAlign w:val="center"/>
          </w:tcPr>
          <w:p w14:paraId="18F3E626"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40 (4.9)</w:t>
            </w:r>
          </w:p>
        </w:tc>
        <w:tc>
          <w:tcPr>
            <w:tcW w:w="1368" w:type="dxa"/>
            <w:tcBorders>
              <w:top w:val="nil"/>
              <w:left w:val="nil"/>
              <w:bottom w:val="nil"/>
              <w:right w:val="nil"/>
            </w:tcBorders>
            <w:shd w:val="clear" w:color="auto" w:fill="auto"/>
            <w:tcMar>
              <w:top w:w="72" w:type="dxa"/>
              <w:left w:w="72" w:type="dxa"/>
              <w:bottom w:w="72" w:type="dxa"/>
              <w:right w:w="72" w:type="dxa"/>
            </w:tcMar>
            <w:vAlign w:val="center"/>
          </w:tcPr>
          <w:p w14:paraId="5FD0F274"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3 (5.9)</w:t>
            </w:r>
          </w:p>
        </w:tc>
      </w:tr>
      <w:tr w:rsidR="00D51B09" w:rsidRPr="00851DC3" w14:paraId="6F2D9754" w14:textId="77777777" w:rsidTr="00A237E1">
        <w:tc>
          <w:tcPr>
            <w:tcW w:w="3741" w:type="dxa"/>
            <w:tcBorders>
              <w:top w:val="nil"/>
              <w:left w:val="nil"/>
              <w:bottom w:val="nil"/>
              <w:right w:val="nil"/>
            </w:tcBorders>
            <w:shd w:val="clear" w:color="auto" w:fill="auto"/>
            <w:tcMar>
              <w:top w:w="72" w:type="dxa"/>
              <w:left w:w="72" w:type="dxa"/>
              <w:bottom w:w="72" w:type="dxa"/>
              <w:right w:w="72" w:type="dxa"/>
            </w:tcMar>
            <w:vAlign w:val="center"/>
          </w:tcPr>
          <w:p w14:paraId="02312B9D" w14:textId="77777777" w:rsidR="00D51B09" w:rsidRPr="00CA19EF" w:rsidRDefault="00D51B09" w:rsidP="00A237E1">
            <w:pPr>
              <w:spacing w:line="360" w:lineRule="auto"/>
              <w:ind w:left="180"/>
              <w:rPr>
                <w:rFonts w:ascii="Times New Roman" w:eastAsia="Times New Roman" w:hAnsi="Times New Roman" w:cs="Times New Roman"/>
                <w:sz w:val="24"/>
                <w:szCs w:val="24"/>
              </w:rPr>
            </w:pPr>
            <w:r w:rsidRPr="00CA19EF">
              <w:rPr>
                <w:rFonts w:ascii="Times New Roman" w:eastAsia="Times New Roman" w:hAnsi="Times New Roman" w:cs="Times New Roman"/>
                <w:sz w:val="24"/>
                <w:szCs w:val="24"/>
              </w:rPr>
              <w:t>Hypercalciuria</w:t>
            </w:r>
          </w:p>
        </w:tc>
        <w:tc>
          <w:tcPr>
            <w:tcW w:w="1441" w:type="dxa"/>
            <w:tcBorders>
              <w:top w:val="nil"/>
              <w:left w:val="nil"/>
              <w:bottom w:val="nil"/>
              <w:right w:val="nil"/>
            </w:tcBorders>
            <w:shd w:val="clear" w:color="auto" w:fill="F3F3F3"/>
            <w:tcMar>
              <w:top w:w="72" w:type="dxa"/>
              <w:left w:w="72" w:type="dxa"/>
              <w:bottom w:w="72" w:type="dxa"/>
              <w:right w:w="72" w:type="dxa"/>
            </w:tcMar>
            <w:vAlign w:val="center"/>
          </w:tcPr>
          <w:p w14:paraId="3362C9ED"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74 (9.0)</w:t>
            </w:r>
          </w:p>
        </w:tc>
        <w:tc>
          <w:tcPr>
            <w:tcW w:w="1367" w:type="dxa"/>
            <w:tcBorders>
              <w:top w:val="nil"/>
              <w:left w:val="nil"/>
              <w:bottom w:val="nil"/>
              <w:right w:val="nil"/>
            </w:tcBorders>
            <w:shd w:val="clear" w:color="auto" w:fill="auto"/>
            <w:tcMar>
              <w:top w:w="72" w:type="dxa"/>
              <w:left w:w="72" w:type="dxa"/>
              <w:bottom w:w="72" w:type="dxa"/>
              <w:right w:w="72" w:type="dxa"/>
            </w:tcMar>
            <w:vAlign w:val="center"/>
          </w:tcPr>
          <w:p w14:paraId="6FE96329"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4 (9.3)</w:t>
            </w:r>
          </w:p>
        </w:tc>
        <w:tc>
          <w:tcPr>
            <w:tcW w:w="1443" w:type="dxa"/>
            <w:tcBorders>
              <w:top w:val="nil"/>
              <w:left w:val="nil"/>
              <w:bottom w:val="nil"/>
              <w:right w:val="nil"/>
            </w:tcBorders>
            <w:shd w:val="clear" w:color="auto" w:fill="F3F3F3"/>
            <w:tcMar>
              <w:top w:w="72" w:type="dxa"/>
              <w:left w:w="72" w:type="dxa"/>
              <w:bottom w:w="72" w:type="dxa"/>
              <w:right w:w="72" w:type="dxa"/>
            </w:tcMar>
            <w:vAlign w:val="center"/>
          </w:tcPr>
          <w:p w14:paraId="678E1979"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93 (11.3)</w:t>
            </w:r>
          </w:p>
        </w:tc>
        <w:tc>
          <w:tcPr>
            <w:tcW w:w="1368" w:type="dxa"/>
            <w:tcBorders>
              <w:top w:val="nil"/>
              <w:left w:val="nil"/>
              <w:bottom w:val="nil"/>
              <w:right w:val="nil"/>
            </w:tcBorders>
            <w:shd w:val="clear" w:color="auto" w:fill="auto"/>
            <w:tcMar>
              <w:top w:w="72" w:type="dxa"/>
              <w:left w:w="72" w:type="dxa"/>
              <w:bottom w:w="72" w:type="dxa"/>
              <w:right w:w="72" w:type="dxa"/>
            </w:tcMar>
            <w:vAlign w:val="center"/>
          </w:tcPr>
          <w:p w14:paraId="51742148"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3 (5.9)</w:t>
            </w:r>
          </w:p>
        </w:tc>
      </w:tr>
      <w:tr w:rsidR="00D51B09" w:rsidRPr="00851DC3" w14:paraId="73BDF497" w14:textId="77777777" w:rsidTr="00A237E1">
        <w:tc>
          <w:tcPr>
            <w:tcW w:w="3741" w:type="dxa"/>
            <w:tcBorders>
              <w:top w:val="nil"/>
              <w:left w:val="nil"/>
              <w:bottom w:val="nil"/>
              <w:right w:val="nil"/>
            </w:tcBorders>
            <w:shd w:val="clear" w:color="auto" w:fill="auto"/>
            <w:tcMar>
              <w:top w:w="72" w:type="dxa"/>
              <w:left w:w="72" w:type="dxa"/>
              <w:bottom w:w="72" w:type="dxa"/>
              <w:right w:w="72" w:type="dxa"/>
            </w:tcMar>
            <w:vAlign w:val="center"/>
            <w:hideMark/>
          </w:tcPr>
          <w:p w14:paraId="431358FE"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Urinary tract infection</w:t>
            </w:r>
          </w:p>
        </w:tc>
        <w:tc>
          <w:tcPr>
            <w:tcW w:w="1441" w:type="dxa"/>
            <w:tcBorders>
              <w:top w:val="nil"/>
              <w:left w:val="nil"/>
              <w:bottom w:val="nil"/>
              <w:right w:val="nil"/>
            </w:tcBorders>
            <w:shd w:val="clear" w:color="auto" w:fill="F3F3F3"/>
            <w:tcMar>
              <w:top w:w="72" w:type="dxa"/>
              <w:left w:w="72" w:type="dxa"/>
              <w:bottom w:w="72" w:type="dxa"/>
              <w:right w:w="72" w:type="dxa"/>
            </w:tcMar>
            <w:vAlign w:val="center"/>
            <w:hideMark/>
          </w:tcPr>
          <w:p w14:paraId="5849DC44"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38 (4.6)</w:t>
            </w:r>
          </w:p>
        </w:tc>
        <w:tc>
          <w:tcPr>
            <w:tcW w:w="1367" w:type="dxa"/>
            <w:tcBorders>
              <w:top w:val="nil"/>
              <w:left w:val="nil"/>
              <w:bottom w:val="nil"/>
              <w:right w:val="nil"/>
            </w:tcBorders>
            <w:shd w:val="clear" w:color="auto" w:fill="auto"/>
            <w:tcMar>
              <w:top w:w="72" w:type="dxa"/>
              <w:left w:w="72" w:type="dxa"/>
              <w:bottom w:w="72" w:type="dxa"/>
              <w:right w:w="72" w:type="dxa"/>
            </w:tcMar>
            <w:vAlign w:val="center"/>
            <w:hideMark/>
          </w:tcPr>
          <w:p w14:paraId="24940E4C"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4 (9.3)</w:t>
            </w:r>
          </w:p>
        </w:tc>
        <w:tc>
          <w:tcPr>
            <w:tcW w:w="1443" w:type="dxa"/>
            <w:tcBorders>
              <w:top w:val="nil"/>
              <w:left w:val="nil"/>
              <w:bottom w:val="nil"/>
              <w:right w:val="nil"/>
            </w:tcBorders>
            <w:shd w:val="clear" w:color="auto" w:fill="F3F3F3"/>
            <w:tcMar>
              <w:top w:w="72" w:type="dxa"/>
              <w:left w:w="72" w:type="dxa"/>
              <w:bottom w:w="72" w:type="dxa"/>
              <w:right w:w="72" w:type="dxa"/>
            </w:tcMar>
            <w:vAlign w:val="center"/>
            <w:hideMark/>
          </w:tcPr>
          <w:p w14:paraId="5EF53B2C"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43 (5.2)</w:t>
            </w:r>
          </w:p>
        </w:tc>
        <w:tc>
          <w:tcPr>
            <w:tcW w:w="1368" w:type="dxa"/>
            <w:tcBorders>
              <w:top w:val="nil"/>
              <w:left w:val="nil"/>
              <w:bottom w:val="nil"/>
              <w:right w:val="nil"/>
            </w:tcBorders>
            <w:shd w:val="clear" w:color="auto" w:fill="auto"/>
            <w:tcMar>
              <w:top w:w="72" w:type="dxa"/>
              <w:left w:w="72" w:type="dxa"/>
              <w:bottom w:w="72" w:type="dxa"/>
              <w:right w:w="72" w:type="dxa"/>
            </w:tcMar>
            <w:vAlign w:val="center"/>
            <w:hideMark/>
          </w:tcPr>
          <w:p w14:paraId="00EBDE5B"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2 (3.9)</w:t>
            </w:r>
          </w:p>
        </w:tc>
      </w:tr>
      <w:tr w:rsidR="00D51B09" w:rsidRPr="00851DC3" w14:paraId="3BE70014" w14:textId="77777777" w:rsidTr="00A237E1">
        <w:tc>
          <w:tcPr>
            <w:tcW w:w="3741" w:type="dxa"/>
            <w:tcBorders>
              <w:top w:val="nil"/>
              <w:left w:val="nil"/>
              <w:bottom w:val="nil"/>
              <w:right w:val="nil"/>
            </w:tcBorders>
            <w:shd w:val="clear" w:color="auto" w:fill="auto"/>
            <w:tcMar>
              <w:top w:w="72" w:type="dxa"/>
              <w:left w:w="72" w:type="dxa"/>
              <w:bottom w:w="72" w:type="dxa"/>
              <w:right w:w="72" w:type="dxa"/>
            </w:tcMar>
            <w:vAlign w:val="center"/>
            <w:hideMark/>
          </w:tcPr>
          <w:p w14:paraId="595D3326"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Back pain</w:t>
            </w:r>
          </w:p>
        </w:tc>
        <w:tc>
          <w:tcPr>
            <w:tcW w:w="1441" w:type="dxa"/>
            <w:tcBorders>
              <w:top w:val="nil"/>
              <w:left w:val="nil"/>
              <w:bottom w:val="nil"/>
              <w:right w:val="nil"/>
            </w:tcBorders>
            <w:shd w:val="clear" w:color="auto" w:fill="F3F3F3"/>
            <w:tcMar>
              <w:top w:w="72" w:type="dxa"/>
              <w:left w:w="72" w:type="dxa"/>
              <w:bottom w:w="72" w:type="dxa"/>
              <w:right w:w="72" w:type="dxa"/>
            </w:tcMar>
            <w:vAlign w:val="center"/>
            <w:hideMark/>
          </w:tcPr>
          <w:p w14:paraId="67802C91"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82 (10.0)</w:t>
            </w:r>
          </w:p>
        </w:tc>
        <w:tc>
          <w:tcPr>
            <w:tcW w:w="1367" w:type="dxa"/>
            <w:tcBorders>
              <w:top w:val="nil"/>
              <w:left w:val="nil"/>
              <w:bottom w:val="nil"/>
              <w:right w:val="nil"/>
            </w:tcBorders>
            <w:shd w:val="clear" w:color="auto" w:fill="auto"/>
            <w:tcMar>
              <w:top w:w="72" w:type="dxa"/>
              <w:left w:w="72" w:type="dxa"/>
              <w:bottom w:w="72" w:type="dxa"/>
              <w:right w:w="72" w:type="dxa"/>
            </w:tcMar>
            <w:vAlign w:val="center"/>
            <w:hideMark/>
          </w:tcPr>
          <w:p w14:paraId="3B3AA8DE"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4 (9.3)</w:t>
            </w:r>
          </w:p>
        </w:tc>
        <w:tc>
          <w:tcPr>
            <w:tcW w:w="1443" w:type="dxa"/>
            <w:tcBorders>
              <w:top w:val="nil"/>
              <w:left w:val="nil"/>
              <w:bottom w:val="nil"/>
              <w:right w:val="nil"/>
            </w:tcBorders>
            <w:shd w:val="clear" w:color="auto" w:fill="F3F3F3"/>
            <w:tcMar>
              <w:top w:w="72" w:type="dxa"/>
              <w:left w:w="72" w:type="dxa"/>
              <w:bottom w:w="72" w:type="dxa"/>
              <w:right w:w="72" w:type="dxa"/>
            </w:tcMar>
            <w:vAlign w:val="center"/>
            <w:hideMark/>
          </w:tcPr>
          <w:p w14:paraId="546D1F98"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70 (8.5)</w:t>
            </w:r>
          </w:p>
        </w:tc>
        <w:tc>
          <w:tcPr>
            <w:tcW w:w="1368" w:type="dxa"/>
            <w:tcBorders>
              <w:top w:val="nil"/>
              <w:left w:val="nil"/>
              <w:bottom w:val="nil"/>
              <w:right w:val="nil"/>
            </w:tcBorders>
            <w:shd w:val="clear" w:color="auto" w:fill="auto"/>
            <w:tcMar>
              <w:top w:w="72" w:type="dxa"/>
              <w:left w:w="72" w:type="dxa"/>
              <w:bottom w:w="72" w:type="dxa"/>
              <w:right w:w="72" w:type="dxa"/>
            </w:tcMar>
            <w:vAlign w:val="center"/>
            <w:hideMark/>
          </w:tcPr>
          <w:p w14:paraId="7961E6FA"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2 (3.9)</w:t>
            </w:r>
          </w:p>
        </w:tc>
      </w:tr>
      <w:tr w:rsidR="00D51B09" w:rsidRPr="00851DC3" w14:paraId="2AA7DE5D" w14:textId="77777777" w:rsidTr="00A237E1">
        <w:tc>
          <w:tcPr>
            <w:tcW w:w="3741" w:type="dxa"/>
            <w:tcBorders>
              <w:top w:val="nil"/>
              <w:left w:val="nil"/>
              <w:bottom w:val="nil"/>
              <w:right w:val="nil"/>
            </w:tcBorders>
            <w:shd w:val="clear" w:color="auto" w:fill="auto"/>
            <w:tcMar>
              <w:top w:w="72" w:type="dxa"/>
              <w:left w:w="72" w:type="dxa"/>
              <w:bottom w:w="72" w:type="dxa"/>
              <w:right w:w="72" w:type="dxa"/>
            </w:tcMar>
            <w:vAlign w:val="center"/>
          </w:tcPr>
          <w:p w14:paraId="27FAD177"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eastAsia="Times New Roman" w:hAnsi="Times New Roman" w:cs="Times New Roman"/>
                <w:sz w:val="24"/>
                <w:szCs w:val="24"/>
              </w:rPr>
              <w:t>Anemia</w:t>
            </w:r>
          </w:p>
        </w:tc>
        <w:tc>
          <w:tcPr>
            <w:tcW w:w="1441" w:type="dxa"/>
            <w:tcBorders>
              <w:top w:val="nil"/>
              <w:left w:val="nil"/>
              <w:bottom w:val="nil"/>
              <w:right w:val="nil"/>
            </w:tcBorders>
            <w:shd w:val="clear" w:color="auto" w:fill="F3F3F3"/>
            <w:tcMar>
              <w:top w:w="72" w:type="dxa"/>
              <w:left w:w="72" w:type="dxa"/>
              <w:bottom w:w="72" w:type="dxa"/>
              <w:right w:w="72" w:type="dxa"/>
            </w:tcMar>
            <w:vAlign w:val="center"/>
          </w:tcPr>
          <w:p w14:paraId="5C427FAC"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15 (1.8)</w:t>
            </w:r>
          </w:p>
        </w:tc>
        <w:tc>
          <w:tcPr>
            <w:tcW w:w="1367" w:type="dxa"/>
            <w:tcBorders>
              <w:top w:val="nil"/>
              <w:left w:val="nil"/>
              <w:bottom w:val="nil"/>
              <w:right w:val="nil"/>
            </w:tcBorders>
            <w:shd w:val="clear" w:color="auto" w:fill="auto"/>
            <w:tcMar>
              <w:top w:w="72" w:type="dxa"/>
              <w:left w:w="72" w:type="dxa"/>
              <w:bottom w:w="72" w:type="dxa"/>
              <w:right w:w="72" w:type="dxa"/>
            </w:tcMar>
            <w:vAlign w:val="center"/>
          </w:tcPr>
          <w:p w14:paraId="7E28C139"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3 (7.0)</w:t>
            </w:r>
          </w:p>
        </w:tc>
        <w:tc>
          <w:tcPr>
            <w:tcW w:w="1443" w:type="dxa"/>
            <w:tcBorders>
              <w:top w:val="nil"/>
              <w:left w:val="nil"/>
              <w:bottom w:val="nil"/>
              <w:right w:val="nil"/>
            </w:tcBorders>
            <w:shd w:val="clear" w:color="auto" w:fill="F3F3F3"/>
            <w:tcMar>
              <w:top w:w="72" w:type="dxa"/>
              <w:left w:w="72" w:type="dxa"/>
              <w:bottom w:w="72" w:type="dxa"/>
              <w:right w:w="72" w:type="dxa"/>
            </w:tcMar>
            <w:vAlign w:val="center"/>
          </w:tcPr>
          <w:p w14:paraId="7C899C71"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23 (2.8)</w:t>
            </w:r>
          </w:p>
        </w:tc>
        <w:tc>
          <w:tcPr>
            <w:tcW w:w="1368" w:type="dxa"/>
            <w:tcBorders>
              <w:top w:val="nil"/>
              <w:left w:val="nil"/>
              <w:bottom w:val="nil"/>
              <w:right w:val="nil"/>
            </w:tcBorders>
            <w:shd w:val="clear" w:color="auto" w:fill="auto"/>
            <w:tcMar>
              <w:top w:w="72" w:type="dxa"/>
              <w:left w:w="72" w:type="dxa"/>
              <w:bottom w:w="72" w:type="dxa"/>
              <w:right w:w="72" w:type="dxa"/>
            </w:tcMar>
            <w:vAlign w:val="center"/>
          </w:tcPr>
          <w:p w14:paraId="46439B41"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2 (3.9)</w:t>
            </w:r>
          </w:p>
        </w:tc>
      </w:tr>
      <w:tr w:rsidR="00D51B09" w:rsidRPr="00851DC3" w14:paraId="7EF9B8E4" w14:textId="77777777" w:rsidTr="00A237E1">
        <w:tc>
          <w:tcPr>
            <w:tcW w:w="3741" w:type="dxa"/>
            <w:tcBorders>
              <w:top w:val="nil"/>
              <w:left w:val="nil"/>
              <w:bottom w:val="nil"/>
              <w:right w:val="nil"/>
            </w:tcBorders>
            <w:shd w:val="clear" w:color="auto" w:fill="auto"/>
            <w:tcMar>
              <w:top w:w="72" w:type="dxa"/>
              <w:left w:w="72" w:type="dxa"/>
              <w:bottom w:w="72" w:type="dxa"/>
              <w:right w:w="72" w:type="dxa"/>
            </w:tcMar>
            <w:vAlign w:val="center"/>
          </w:tcPr>
          <w:p w14:paraId="050A4FC9"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eastAsia="Times New Roman" w:hAnsi="Times New Roman" w:cs="Times New Roman"/>
                <w:sz w:val="24"/>
                <w:szCs w:val="24"/>
              </w:rPr>
              <w:t>Bronchitis</w:t>
            </w:r>
          </w:p>
        </w:tc>
        <w:tc>
          <w:tcPr>
            <w:tcW w:w="1441" w:type="dxa"/>
            <w:tcBorders>
              <w:top w:val="nil"/>
              <w:left w:val="nil"/>
              <w:bottom w:val="nil"/>
              <w:right w:val="nil"/>
            </w:tcBorders>
            <w:shd w:val="clear" w:color="auto" w:fill="F3F3F3"/>
            <w:tcMar>
              <w:top w:w="72" w:type="dxa"/>
              <w:left w:w="72" w:type="dxa"/>
              <w:bottom w:w="72" w:type="dxa"/>
              <w:right w:w="72" w:type="dxa"/>
            </w:tcMar>
            <w:vAlign w:val="center"/>
          </w:tcPr>
          <w:p w14:paraId="77A375C2"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20 (2.4)</w:t>
            </w:r>
          </w:p>
        </w:tc>
        <w:tc>
          <w:tcPr>
            <w:tcW w:w="1367" w:type="dxa"/>
            <w:tcBorders>
              <w:top w:val="nil"/>
              <w:left w:val="nil"/>
              <w:bottom w:val="nil"/>
              <w:right w:val="nil"/>
            </w:tcBorders>
            <w:shd w:val="clear" w:color="auto" w:fill="auto"/>
            <w:tcMar>
              <w:top w:w="72" w:type="dxa"/>
              <w:left w:w="72" w:type="dxa"/>
              <w:bottom w:w="72" w:type="dxa"/>
              <w:right w:w="72" w:type="dxa"/>
            </w:tcMar>
            <w:vAlign w:val="center"/>
          </w:tcPr>
          <w:p w14:paraId="54E985F7"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3 (7.0)</w:t>
            </w:r>
          </w:p>
        </w:tc>
        <w:tc>
          <w:tcPr>
            <w:tcW w:w="1443" w:type="dxa"/>
            <w:tcBorders>
              <w:top w:val="nil"/>
              <w:left w:val="nil"/>
              <w:bottom w:val="nil"/>
              <w:right w:val="nil"/>
            </w:tcBorders>
            <w:shd w:val="clear" w:color="auto" w:fill="F3F3F3"/>
            <w:tcMar>
              <w:top w:w="72" w:type="dxa"/>
              <w:left w:w="72" w:type="dxa"/>
              <w:bottom w:w="72" w:type="dxa"/>
              <w:right w:w="72" w:type="dxa"/>
            </w:tcMar>
            <w:vAlign w:val="center"/>
          </w:tcPr>
          <w:p w14:paraId="1DC5438D"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19 (2.3)</w:t>
            </w:r>
          </w:p>
        </w:tc>
        <w:tc>
          <w:tcPr>
            <w:tcW w:w="1368" w:type="dxa"/>
            <w:tcBorders>
              <w:top w:val="nil"/>
              <w:left w:val="nil"/>
              <w:bottom w:val="nil"/>
              <w:right w:val="nil"/>
            </w:tcBorders>
            <w:shd w:val="clear" w:color="auto" w:fill="auto"/>
            <w:tcMar>
              <w:top w:w="72" w:type="dxa"/>
              <w:left w:w="72" w:type="dxa"/>
              <w:bottom w:w="72" w:type="dxa"/>
              <w:right w:w="72" w:type="dxa"/>
            </w:tcMar>
            <w:vAlign w:val="center"/>
          </w:tcPr>
          <w:p w14:paraId="33BD4480"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2 (3.9)</w:t>
            </w:r>
          </w:p>
        </w:tc>
      </w:tr>
      <w:tr w:rsidR="00D51B09" w:rsidRPr="00851DC3" w14:paraId="0AB595A4" w14:textId="77777777" w:rsidTr="00A237E1">
        <w:tc>
          <w:tcPr>
            <w:tcW w:w="3741" w:type="dxa"/>
            <w:tcBorders>
              <w:top w:val="nil"/>
              <w:left w:val="nil"/>
              <w:bottom w:val="nil"/>
              <w:right w:val="nil"/>
            </w:tcBorders>
            <w:shd w:val="clear" w:color="auto" w:fill="auto"/>
            <w:tcMar>
              <w:top w:w="72" w:type="dxa"/>
              <w:left w:w="72" w:type="dxa"/>
              <w:bottom w:w="72" w:type="dxa"/>
              <w:right w:w="72" w:type="dxa"/>
            </w:tcMar>
            <w:vAlign w:val="center"/>
          </w:tcPr>
          <w:p w14:paraId="4D36ED3A"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eastAsia="Times New Roman" w:hAnsi="Times New Roman" w:cs="Times New Roman"/>
                <w:sz w:val="24"/>
                <w:szCs w:val="24"/>
              </w:rPr>
              <w:t>Constipation</w:t>
            </w:r>
          </w:p>
        </w:tc>
        <w:tc>
          <w:tcPr>
            <w:tcW w:w="1441" w:type="dxa"/>
            <w:tcBorders>
              <w:top w:val="nil"/>
              <w:left w:val="nil"/>
              <w:bottom w:val="nil"/>
              <w:right w:val="nil"/>
            </w:tcBorders>
            <w:shd w:val="clear" w:color="auto" w:fill="F3F3F3"/>
            <w:tcMar>
              <w:top w:w="72" w:type="dxa"/>
              <w:left w:w="72" w:type="dxa"/>
              <w:bottom w:w="72" w:type="dxa"/>
              <w:right w:w="72" w:type="dxa"/>
            </w:tcMar>
            <w:vAlign w:val="center"/>
          </w:tcPr>
          <w:p w14:paraId="4F37A136"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42 (5.1)</w:t>
            </w:r>
          </w:p>
        </w:tc>
        <w:tc>
          <w:tcPr>
            <w:tcW w:w="1367" w:type="dxa"/>
            <w:tcBorders>
              <w:top w:val="nil"/>
              <w:left w:val="nil"/>
              <w:bottom w:val="nil"/>
              <w:right w:val="nil"/>
            </w:tcBorders>
            <w:shd w:val="clear" w:color="auto" w:fill="auto"/>
            <w:tcMar>
              <w:top w:w="72" w:type="dxa"/>
              <w:left w:w="72" w:type="dxa"/>
              <w:bottom w:w="72" w:type="dxa"/>
              <w:right w:w="72" w:type="dxa"/>
            </w:tcMar>
            <w:vAlign w:val="center"/>
          </w:tcPr>
          <w:p w14:paraId="243077F9"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3 (7.0)</w:t>
            </w:r>
          </w:p>
        </w:tc>
        <w:tc>
          <w:tcPr>
            <w:tcW w:w="1443" w:type="dxa"/>
            <w:tcBorders>
              <w:top w:val="nil"/>
              <w:left w:val="nil"/>
              <w:bottom w:val="nil"/>
              <w:right w:val="nil"/>
            </w:tcBorders>
            <w:shd w:val="clear" w:color="auto" w:fill="F3F3F3"/>
            <w:tcMar>
              <w:top w:w="72" w:type="dxa"/>
              <w:left w:w="72" w:type="dxa"/>
              <w:bottom w:w="72" w:type="dxa"/>
              <w:right w:w="72" w:type="dxa"/>
            </w:tcMar>
            <w:vAlign w:val="center"/>
          </w:tcPr>
          <w:p w14:paraId="72775FC0"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37 (4.5)</w:t>
            </w:r>
          </w:p>
        </w:tc>
        <w:tc>
          <w:tcPr>
            <w:tcW w:w="1368" w:type="dxa"/>
            <w:tcBorders>
              <w:top w:val="nil"/>
              <w:left w:val="nil"/>
              <w:bottom w:val="nil"/>
              <w:right w:val="nil"/>
            </w:tcBorders>
            <w:shd w:val="clear" w:color="auto" w:fill="auto"/>
            <w:tcMar>
              <w:top w:w="72" w:type="dxa"/>
              <w:left w:w="72" w:type="dxa"/>
              <w:bottom w:w="72" w:type="dxa"/>
              <w:right w:w="72" w:type="dxa"/>
            </w:tcMar>
            <w:vAlign w:val="center"/>
          </w:tcPr>
          <w:p w14:paraId="68A12FD9"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eastAsia="Times New Roman" w:hAnsi="Times New Roman" w:cs="Times New Roman"/>
                <w:b/>
                <w:sz w:val="24"/>
                <w:szCs w:val="24"/>
              </w:rPr>
              <w:t>1 (2.0)</w:t>
            </w:r>
          </w:p>
        </w:tc>
      </w:tr>
      <w:tr w:rsidR="00D51B09" w:rsidRPr="00851DC3" w14:paraId="0C777C77" w14:textId="77777777" w:rsidTr="00A237E1">
        <w:tc>
          <w:tcPr>
            <w:tcW w:w="3741" w:type="dxa"/>
            <w:tcBorders>
              <w:top w:val="nil"/>
              <w:left w:val="nil"/>
              <w:right w:val="nil"/>
            </w:tcBorders>
            <w:shd w:val="clear" w:color="auto" w:fill="auto"/>
            <w:tcMar>
              <w:top w:w="72" w:type="dxa"/>
              <w:left w:w="72" w:type="dxa"/>
              <w:bottom w:w="72" w:type="dxa"/>
              <w:right w:w="72" w:type="dxa"/>
            </w:tcMar>
            <w:vAlign w:val="center"/>
            <w:hideMark/>
          </w:tcPr>
          <w:p w14:paraId="733A6714"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Arthralgia</w:t>
            </w:r>
          </w:p>
        </w:tc>
        <w:tc>
          <w:tcPr>
            <w:tcW w:w="1441" w:type="dxa"/>
            <w:tcBorders>
              <w:top w:val="nil"/>
              <w:left w:val="nil"/>
              <w:right w:val="nil"/>
            </w:tcBorders>
            <w:shd w:val="clear" w:color="auto" w:fill="F3F3F3"/>
            <w:tcMar>
              <w:top w:w="72" w:type="dxa"/>
              <w:left w:w="72" w:type="dxa"/>
              <w:bottom w:w="72" w:type="dxa"/>
              <w:right w:w="72" w:type="dxa"/>
            </w:tcMar>
            <w:vAlign w:val="center"/>
            <w:hideMark/>
          </w:tcPr>
          <w:p w14:paraId="22915471"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80 (9.8)</w:t>
            </w:r>
          </w:p>
        </w:tc>
        <w:tc>
          <w:tcPr>
            <w:tcW w:w="1367" w:type="dxa"/>
            <w:tcBorders>
              <w:top w:val="nil"/>
              <w:left w:val="nil"/>
              <w:right w:val="nil"/>
            </w:tcBorders>
            <w:shd w:val="clear" w:color="auto" w:fill="auto"/>
            <w:tcMar>
              <w:top w:w="72" w:type="dxa"/>
              <w:left w:w="72" w:type="dxa"/>
              <w:bottom w:w="72" w:type="dxa"/>
              <w:right w:w="72" w:type="dxa"/>
            </w:tcMar>
            <w:vAlign w:val="center"/>
            <w:hideMark/>
          </w:tcPr>
          <w:p w14:paraId="3C61355D"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5 (11.6)</w:t>
            </w:r>
          </w:p>
        </w:tc>
        <w:tc>
          <w:tcPr>
            <w:tcW w:w="1443" w:type="dxa"/>
            <w:tcBorders>
              <w:top w:val="nil"/>
              <w:left w:val="nil"/>
              <w:right w:val="nil"/>
            </w:tcBorders>
            <w:shd w:val="clear" w:color="auto" w:fill="F3F3F3"/>
            <w:tcMar>
              <w:top w:w="72" w:type="dxa"/>
              <w:left w:w="72" w:type="dxa"/>
              <w:bottom w:w="72" w:type="dxa"/>
              <w:right w:w="72" w:type="dxa"/>
            </w:tcMar>
            <w:vAlign w:val="center"/>
            <w:hideMark/>
          </w:tcPr>
          <w:p w14:paraId="7849011B"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71 (8.6)</w:t>
            </w:r>
          </w:p>
        </w:tc>
        <w:tc>
          <w:tcPr>
            <w:tcW w:w="1368" w:type="dxa"/>
            <w:tcBorders>
              <w:top w:val="nil"/>
              <w:left w:val="nil"/>
              <w:right w:val="nil"/>
            </w:tcBorders>
            <w:shd w:val="clear" w:color="auto" w:fill="auto"/>
            <w:tcMar>
              <w:top w:w="72" w:type="dxa"/>
              <w:left w:w="72" w:type="dxa"/>
              <w:bottom w:w="72" w:type="dxa"/>
              <w:right w:w="72" w:type="dxa"/>
            </w:tcMar>
            <w:vAlign w:val="center"/>
            <w:hideMark/>
          </w:tcPr>
          <w:p w14:paraId="23BC5E39"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b/>
                <w:bCs/>
                <w:sz w:val="24"/>
                <w:szCs w:val="24"/>
              </w:rPr>
              <w:t>0</w:t>
            </w:r>
          </w:p>
        </w:tc>
      </w:tr>
      <w:tr w:rsidR="00D51B09" w:rsidRPr="00851DC3" w14:paraId="2B9032E2" w14:textId="77777777" w:rsidTr="00A237E1">
        <w:tc>
          <w:tcPr>
            <w:tcW w:w="3741" w:type="dxa"/>
            <w:tcBorders>
              <w:left w:val="nil"/>
              <w:bottom w:val="single" w:sz="8" w:space="0" w:color="000000"/>
              <w:right w:val="nil"/>
            </w:tcBorders>
            <w:shd w:val="clear" w:color="auto" w:fill="auto"/>
            <w:tcMar>
              <w:top w:w="72" w:type="dxa"/>
              <w:left w:w="72" w:type="dxa"/>
              <w:bottom w:w="72" w:type="dxa"/>
              <w:right w:w="72" w:type="dxa"/>
            </w:tcMar>
            <w:vAlign w:val="center"/>
          </w:tcPr>
          <w:p w14:paraId="5EEE86D8" w14:textId="77777777" w:rsidR="00D51B09" w:rsidRPr="00CA19EF" w:rsidRDefault="00D51B09" w:rsidP="00A237E1">
            <w:pPr>
              <w:spacing w:line="360" w:lineRule="auto"/>
              <w:ind w:left="180"/>
              <w:rPr>
                <w:rFonts w:ascii="Times New Roman" w:hAnsi="Times New Roman" w:cs="Times New Roman"/>
                <w:sz w:val="24"/>
                <w:szCs w:val="24"/>
              </w:rPr>
            </w:pPr>
            <w:r w:rsidRPr="00CA19EF">
              <w:rPr>
                <w:rFonts w:ascii="Times New Roman" w:hAnsi="Times New Roman" w:cs="Times New Roman"/>
                <w:sz w:val="24"/>
                <w:szCs w:val="24"/>
              </w:rPr>
              <w:t>Hypertriglyceridemia</w:t>
            </w:r>
          </w:p>
        </w:tc>
        <w:tc>
          <w:tcPr>
            <w:tcW w:w="1441" w:type="dxa"/>
            <w:tcBorders>
              <w:left w:val="nil"/>
              <w:bottom w:val="single" w:sz="8" w:space="0" w:color="000000"/>
              <w:right w:val="nil"/>
            </w:tcBorders>
            <w:shd w:val="clear" w:color="auto" w:fill="F3F3F3"/>
            <w:tcMar>
              <w:top w:w="72" w:type="dxa"/>
              <w:left w:w="72" w:type="dxa"/>
              <w:bottom w:w="72" w:type="dxa"/>
              <w:right w:w="72" w:type="dxa"/>
            </w:tcMar>
            <w:vAlign w:val="center"/>
          </w:tcPr>
          <w:p w14:paraId="7FB7ED59"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21 (2.6)</w:t>
            </w:r>
          </w:p>
        </w:tc>
        <w:tc>
          <w:tcPr>
            <w:tcW w:w="1367" w:type="dxa"/>
            <w:tcBorders>
              <w:left w:val="nil"/>
              <w:bottom w:val="single" w:sz="8" w:space="0" w:color="000000"/>
              <w:right w:val="nil"/>
            </w:tcBorders>
            <w:shd w:val="clear" w:color="auto" w:fill="auto"/>
            <w:tcMar>
              <w:top w:w="72" w:type="dxa"/>
              <w:left w:w="72" w:type="dxa"/>
              <w:bottom w:w="72" w:type="dxa"/>
              <w:right w:w="72" w:type="dxa"/>
            </w:tcMar>
            <w:vAlign w:val="center"/>
          </w:tcPr>
          <w:p w14:paraId="4E196A37"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hAnsi="Times New Roman" w:cs="Times New Roman"/>
                <w:b/>
                <w:bCs/>
                <w:sz w:val="24"/>
                <w:szCs w:val="24"/>
              </w:rPr>
              <w:t>3 (7.0)</w:t>
            </w:r>
          </w:p>
        </w:tc>
        <w:tc>
          <w:tcPr>
            <w:tcW w:w="1443" w:type="dxa"/>
            <w:tcBorders>
              <w:left w:val="nil"/>
              <w:bottom w:val="single" w:sz="8" w:space="0" w:color="000000"/>
              <w:right w:val="nil"/>
            </w:tcBorders>
            <w:shd w:val="clear" w:color="auto" w:fill="F3F3F3"/>
            <w:tcMar>
              <w:top w:w="72" w:type="dxa"/>
              <w:left w:w="72" w:type="dxa"/>
              <w:bottom w:w="72" w:type="dxa"/>
              <w:right w:w="72" w:type="dxa"/>
            </w:tcMar>
            <w:vAlign w:val="center"/>
          </w:tcPr>
          <w:p w14:paraId="400C95A0" w14:textId="77777777" w:rsidR="00D51B09" w:rsidRPr="00CA19EF" w:rsidRDefault="00D51B09" w:rsidP="00A237E1">
            <w:pPr>
              <w:spacing w:line="360" w:lineRule="auto"/>
              <w:jc w:val="center"/>
              <w:rPr>
                <w:rFonts w:ascii="Times New Roman" w:hAnsi="Times New Roman" w:cs="Times New Roman"/>
                <w:sz w:val="24"/>
                <w:szCs w:val="24"/>
              </w:rPr>
            </w:pPr>
            <w:r w:rsidRPr="00CA19EF">
              <w:rPr>
                <w:rFonts w:ascii="Times New Roman" w:hAnsi="Times New Roman" w:cs="Times New Roman"/>
                <w:sz w:val="24"/>
                <w:szCs w:val="24"/>
              </w:rPr>
              <w:t>20 (2.4)</w:t>
            </w:r>
          </w:p>
        </w:tc>
        <w:tc>
          <w:tcPr>
            <w:tcW w:w="1368" w:type="dxa"/>
            <w:tcBorders>
              <w:left w:val="nil"/>
              <w:bottom w:val="single" w:sz="8" w:space="0" w:color="000000"/>
              <w:right w:val="nil"/>
            </w:tcBorders>
            <w:shd w:val="clear" w:color="auto" w:fill="auto"/>
            <w:tcMar>
              <w:top w:w="72" w:type="dxa"/>
              <w:left w:w="72" w:type="dxa"/>
              <w:bottom w:w="72" w:type="dxa"/>
              <w:right w:w="72" w:type="dxa"/>
            </w:tcMar>
            <w:vAlign w:val="center"/>
          </w:tcPr>
          <w:p w14:paraId="3DD4E634" w14:textId="77777777" w:rsidR="00D51B09" w:rsidRPr="00CA19EF" w:rsidRDefault="00D51B09" w:rsidP="00A237E1">
            <w:pPr>
              <w:spacing w:line="360" w:lineRule="auto"/>
              <w:jc w:val="center"/>
              <w:rPr>
                <w:rFonts w:ascii="Times New Roman" w:hAnsi="Times New Roman" w:cs="Times New Roman"/>
                <w:b/>
                <w:bCs/>
                <w:sz w:val="24"/>
                <w:szCs w:val="24"/>
              </w:rPr>
            </w:pPr>
            <w:r w:rsidRPr="00CA19EF">
              <w:rPr>
                <w:rFonts w:ascii="Times New Roman" w:hAnsi="Times New Roman" w:cs="Times New Roman"/>
                <w:b/>
                <w:bCs/>
                <w:sz w:val="24"/>
                <w:szCs w:val="24"/>
              </w:rPr>
              <w:t>0</w:t>
            </w:r>
          </w:p>
        </w:tc>
      </w:tr>
      <w:tr w:rsidR="00D51B09" w:rsidRPr="00851DC3" w14:paraId="7F98A51A" w14:textId="77777777" w:rsidTr="00A237E1">
        <w:trPr>
          <w:trHeight w:val="449"/>
        </w:trPr>
        <w:tc>
          <w:tcPr>
            <w:tcW w:w="9360" w:type="dxa"/>
            <w:gridSpan w:val="5"/>
            <w:tcBorders>
              <w:top w:val="single" w:sz="8" w:space="0" w:color="000000"/>
              <w:left w:val="nil"/>
              <w:bottom w:val="single" w:sz="8" w:space="0" w:color="000000"/>
              <w:right w:val="nil"/>
            </w:tcBorders>
            <w:shd w:val="clear" w:color="auto" w:fill="auto"/>
            <w:tcMar>
              <w:top w:w="72" w:type="dxa"/>
              <w:left w:w="72" w:type="dxa"/>
              <w:bottom w:w="72" w:type="dxa"/>
              <w:right w:w="72" w:type="dxa"/>
            </w:tcMar>
            <w:vAlign w:val="center"/>
            <w:hideMark/>
          </w:tcPr>
          <w:p w14:paraId="55FCC159"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sz w:val="24"/>
                <w:szCs w:val="24"/>
                <w:vertAlign w:val="superscript"/>
              </w:rPr>
              <w:lastRenderedPageBreak/>
              <w:t>a</w:t>
            </w:r>
            <w:r w:rsidRPr="00CA19EF">
              <w:rPr>
                <w:rFonts w:ascii="Times New Roman" w:hAnsi="Times New Roman" w:cs="Times New Roman"/>
                <w:sz w:val="24"/>
                <w:szCs w:val="24"/>
              </w:rPr>
              <w:t>Causes of death among the overall population in the placebo group: bowel cancer, intestinal obstruction, myocardial infarction, dissecting aneurysm of the aorta, sudden death; in the abaloparatide group: sepsis, bronchiectasis, ischemic heart disease.</w:t>
            </w:r>
          </w:p>
          <w:p w14:paraId="5C92447A" w14:textId="77777777" w:rsidR="00D51B09" w:rsidRPr="00CA19EF" w:rsidRDefault="00D51B09" w:rsidP="00A237E1">
            <w:pPr>
              <w:spacing w:line="360" w:lineRule="auto"/>
              <w:rPr>
                <w:rFonts w:ascii="Times New Roman" w:hAnsi="Times New Roman" w:cs="Times New Roman"/>
                <w:sz w:val="24"/>
                <w:szCs w:val="24"/>
              </w:rPr>
            </w:pPr>
            <w:bookmarkStart w:id="1" w:name="_Hlk488739723"/>
            <w:r w:rsidRPr="00CA19EF">
              <w:rPr>
                <w:rFonts w:ascii="Times New Roman" w:hAnsi="Times New Roman" w:cs="Times New Roman"/>
                <w:sz w:val="24"/>
                <w:szCs w:val="24"/>
                <w:vertAlign w:val="superscript"/>
              </w:rPr>
              <w:t>b</w:t>
            </w:r>
            <w:r w:rsidRPr="00CA19EF">
              <w:rPr>
                <w:rFonts w:ascii="Times New Roman" w:hAnsi="Times New Roman" w:cs="Times New Roman"/>
                <w:sz w:val="24"/>
                <w:szCs w:val="24"/>
              </w:rPr>
              <w:t xml:space="preserve">Occurring in ≥5% in either of the </w:t>
            </w:r>
            <w:r w:rsidRPr="00CA19EF">
              <w:rPr>
                <w:rFonts w:ascii="Times New Roman" w:hAnsi="Times New Roman" w:cs="Times New Roman"/>
                <w:bCs/>
                <w:sz w:val="24"/>
                <w:szCs w:val="24"/>
              </w:rPr>
              <w:t>≥ 80 years</w:t>
            </w:r>
            <w:r w:rsidRPr="00CA19EF">
              <w:rPr>
                <w:rFonts w:ascii="Times New Roman" w:hAnsi="Times New Roman" w:cs="Times New Roman"/>
                <w:sz w:val="24"/>
                <w:szCs w:val="24"/>
              </w:rPr>
              <w:t xml:space="preserve"> treatment groups. </w:t>
            </w:r>
          </w:p>
          <w:bookmarkEnd w:id="1"/>
          <w:p w14:paraId="7259F1A8" w14:textId="77777777" w:rsidR="00D51B09" w:rsidRPr="00CA19EF" w:rsidRDefault="00D51B09" w:rsidP="00A237E1">
            <w:pPr>
              <w:spacing w:line="360" w:lineRule="auto"/>
              <w:rPr>
                <w:rFonts w:ascii="Times New Roman" w:hAnsi="Times New Roman" w:cs="Times New Roman"/>
                <w:sz w:val="24"/>
                <w:szCs w:val="24"/>
              </w:rPr>
            </w:pPr>
            <w:r w:rsidRPr="00CA19EF">
              <w:rPr>
                <w:rFonts w:ascii="Times New Roman" w:hAnsi="Times New Roman" w:cs="Times New Roman"/>
                <w:b/>
                <w:bCs/>
                <w:sz w:val="24"/>
                <w:szCs w:val="24"/>
              </w:rPr>
              <w:t>TEAE</w:t>
            </w:r>
            <w:r w:rsidRPr="00CA19EF">
              <w:rPr>
                <w:rFonts w:ascii="Times New Roman" w:hAnsi="Times New Roman" w:cs="Times New Roman"/>
                <w:sz w:val="24"/>
                <w:szCs w:val="24"/>
              </w:rPr>
              <w:t xml:space="preserve">, treatment-emergent adverse event; </w:t>
            </w:r>
            <w:r w:rsidRPr="00CA19EF">
              <w:rPr>
                <w:rFonts w:ascii="Times New Roman" w:hAnsi="Times New Roman" w:cs="Times New Roman"/>
                <w:b/>
                <w:sz w:val="24"/>
                <w:szCs w:val="24"/>
              </w:rPr>
              <w:t>yr</w:t>
            </w:r>
            <w:r w:rsidRPr="00CA19EF">
              <w:rPr>
                <w:rFonts w:ascii="Times New Roman" w:hAnsi="Times New Roman" w:cs="Times New Roman"/>
                <w:sz w:val="24"/>
                <w:szCs w:val="24"/>
              </w:rPr>
              <w:t>, years. Values for overall population from reference 6 and data on file.</w:t>
            </w:r>
          </w:p>
        </w:tc>
      </w:tr>
    </w:tbl>
    <w:p w14:paraId="7BB74D18" w14:textId="77777777" w:rsidR="00D51B09" w:rsidRDefault="00D51B09" w:rsidP="00C82319">
      <w:pPr>
        <w:spacing w:line="480" w:lineRule="auto"/>
        <w:rPr>
          <w:rFonts w:ascii="Times New Roman" w:hAnsi="Times New Roman" w:cs="Times New Roman"/>
          <w:b/>
          <w:bCs/>
          <w:sz w:val="24"/>
          <w:szCs w:val="24"/>
        </w:rPr>
      </w:pPr>
    </w:p>
    <w:p w14:paraId="53AC5D6C" w14:textId="77777777" w:rsidR="00D51B09" w:rsidRDefault="00D51B09">
      <w:pPr>
        <w:rPr>
          <w:rFonts w:ascii="Times New Roman" w:hAnsi="Times New Roman" w:cs="Times New Roman"/>
          <w:b/>
          <w:bCs/>
          <w:sz w:val="24"/>
          <w:szCs w:val="24"/>
        </w:rPr>
      </w:pPr>
      <w:r>
        <w:rPr>
          <w:rFonts w:ascii="Times New Roman" w:hAnsi="Times New Roman" w:cs="Times New Roman"/>
          <w:b/>
          <w:bCs/>
          <w:sz w:val="24"/>
          <w:szCs w:val="24"/>
        </w:rPr>
        <w:br w:type="page"/>
      </w:r>
    </w:p>
    <w:p w14:paraId="1A846181" w14:textId="0CBD427D" w:rsidR="00FA12A3" w:rsidRPr="00CA19EF" w:rsidRDefault="00C26215" w:rsidP="00C82319">
      <w:pPr>
        <w:spacing w:line="480" w:lineRule="auto"/>
        <w:rPr>
          <w:rFonts w:ascii="Times New Roman" w:hAnsi="Times New Roman" w:cs="Times New Roman"/>
          <w:sz w:val="24"/>
          <w:szCs w:val="24"/>
        </w:rPr>
      </w:pPr>
      <w:r w:rsidRPr="00CA19EF">
        <w:rPr>
          <w:rFonts w:ascii="Times New Roman" w:hAnsi="Times New Roman" w:cs="Times New Roman"/>
          <w:b/>
          <w:bCs/>
          <w:sz w:val="24"/>
          <w:szCs w:val="24"/>
        </w:rPr>
        <w:lastRenderedPageBreak/>
        <w:t>Figure 1</w:t>
      </w:r>
      <w:r w:rsidR="00161A86" w:rsidRPr="00CA19EF">
        <w:rPr>
          <w:rFonts w:ascii="Times New Roman" w:hAnsi="Times New Roman" w:cs="Times New Roman"/>
          <w:sz w:val="24"/>
          <w:szCs w:val="24"/>
        </w:rPr>
        <w:t>.</w:t>
      </w:r>
      <w:r w:rsidR="00E8720F" w:rsidRPr="00CA19EF">
        <w:rPr>
          <w:rFonts w:ascii="Times New Roman" w:hAnsi="Times New Roman" w:cs="Times New Roman"/>
          <w:sz w:val="24"/>
          <w:szCs w:val="24"/>
        </w:rPr>
        <w:t xml:space="preserve"> Mean percent change (95% confidence interval) in BMD at total hip, femoral neck, and lumbar spine among </w:t>
      </w:r>
      <w:r w:rsidR="0091536A">
        <w:rPr>
          <w:rFonts w:ascii="Times New Roman" w:hAnsi="Times New Roman" w:cs="Times New Roman"/>
          <w:sz w:val="24"/>
          <w:szCs w:val="24"/>
        </w:rPr>
        <w:t>patient</w:t>
      </w:r>
      <w:r w:rsidR="0091536A" w:rsidRPr="00CA19EF">
        <w:rPr>
          <w:rFonts w:ascii="Times New Roman" w:hAnsi="Times New Roman" w:cs="Times New Roman"/>
          <w:sz w:val="24"/>
          <w:szCs w:val="24"/>
        </w:rPr>
        <w:t xml:space="preserve">s </w:t>
      </w:r>
      <w:r w:rsidR="00E8720F" w:rsidRPr="00CA19EF">
        <w:rPr>
          <w:rFonts w:ascii="Times New Roman" w:hAnsi="Times New Roman" w:cs="Times New Roman"/>
          <w:sz w:val="24"/>
          <w:szCs w:val="24"/>
        </w:rPr>
        <w:t xml:space="preserve">aged  </w:t>
      </w:r>
      <w:r w:rsidR="00E8720F" w:rsidRPr="00CA19EF">
        <w:rPr>
          <w:rFonts w:ascii="Times New Roman" w:hAnsi="Times New Roman" w:cs="Times New Roman"/>
          <w:sz w:val="24"/>
          <w:szCs w:val="24"/>
          <w:u w:val="single"/>
        </w:rPr>
        <w:t>&gt;</w:t>
      </w:r>
      <w:r w:rsidR="00E8720F" w:rsidRPr="00CA19EF">
        <w:rPr>
          <w:rFonts w:ascii="Times New Roman" w:hAnsi="Times New Roman" w:cs="Times New Roman"/>
          <w:sz w:val="24"/>
          <w:szCs w:val="24"/>
        </w:rPr>
        <w:t xml:space="preserve">80 years. </w:t>
      </w:r>
    </w:p>
    <w:p w14:paraId="552A566A" w14:textId="79CEE0C4" w:rsidR="00C4746B" w:rsidRDefault="00C4746B" w:rsidP="00CA19EF">
      <w:pPr>
        <w:spacing w:line="480" w:lineRule="auto"/>
        <w:rPr>
          <w:rFonts w:ascii="Times New Roman" w:hAnsi="Times New Roman" w:cs="Times New Roman"/>
          <w:sz w:val="24"/>
          <w:szCs w:val="24"/>
        </w:rPr>
      </w:pPr>
    </w:p>
    <w:p w14:paraId="1091B764" w14:textId="14EEE8E1" w:rsidR="00C82319" w:rsidRDefault="00C82319" w:rsidP="00CA19EF">
      <w:pPr>
        <w:spacing w:line="480" w:lineRule="auto"/>
        <w:rPr>
          <w:rFonts w:ascii="Times New Roman" w:hAnsi="Times New Roman" w:cs="Times New Roman"/>
          <w:sz w:val="24"/>
          <w:szCs w:val="24"/>
        </w:rPr>
      </w:pPr>
      <w:r>
        <w:rPr>
          <w:noProof/>
          <w:lang w:val="en-GB" w:eastAsia="en-GB"/>
        </w:rPr>
        <w:drawing>
          <wp:inline distT="0" distB="0" distL="0" distR="0" wp14:anchorId="31BD5B3B" wp14:editId="4861B2EF">
            <wp:extent cx="5942965" cy="3590290"/>
            <wp:effectExtent l="0" t="0" r="635"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9">
                      <a:extLst>
                        <a:ext uri="{28A0092B-C50C-407E-A947-70E740481C1C}">
                          <a14:useLocalDpi xmlns:a14="http://schemas.microsoft.com/office/drawing/2010/main" val="0"/>
                        </a:ext>
                      </a:extLst>
                    </a:blip>
                    <a:stretch>
                      <a:fillRect/>
                    </a:stretch>
                  </pic:blipFill>
                  <pic:spPr>
                    <a:xfrm>
                      <a:off x="0" y="0"/>
                      <a:ext cx="5942965" cy="3590290"/>
                    </a:xfrm>
                    <a:prstGeom prst="rect">
                      <a:avLst/>
                    </a:prstGeom>
                  </pic:spPr>
                </pic:pic>
              </a:graphicData>
            </a:graphic>
          </wp:inline>
        </w:drawing>
      </w:r>
    </w:p>
    <w:p w14:paraId="19EE8701" w14:textId="77777777" w:rsidR="00C82319" w:rsidRPr="00CA19EF" w:rsidRDefault="00C82319" w:rsidP="00C82319">
      <w:pPr>
        <w:spacing w:line="480" w:lineRule="auto"/>
        <w:rPr>
          <w:rFonts w:ascii="Times New Roman" w:hAnsi="Times New Roman" w:cs="Times New Roman"/>
          <w:sz w:val="24"/>
          <w:szCs w:val="24"/>
        </w:rPr>
      </w:pPr>
      <w:r w:rsidRPr="00CA19EF">
        <w:rPr>
          <w:rFonts w:ascii="Times New Roman" w:hAnsi="Times New Roman" w:cs="Times New Roman"/>
          <w:sz w:val="24"/>
          <w:szCs w:val="24"/>
        </w:rPr>
        <w:t>*P &lt;0.001 vs placebo, **P &lt;0.01 vs placebo.</w:t>
      </w:r>
    </w:p>
    <w:p w14:paraId="6EBDE8E2" w14:textId="77777777" w:rsidR="00C82319" w:rsidRPr="00CA19EF" w:rsidRDefault="00C82319" w:rsidP="00C82319">
      <w:pPr>
        <w:spacing w:line="480" w:lineRule="auto"/>
        <w:rPr>
          <w:rFonts w:ascii="Times New Roman" w:hAnsi="Times New Roman" w:cs="Times New Roman"/>
          <w:sz w:val="24"/>
          <w:szCs w:val="24"/>
        </w:rPr>
      </w:pPr>
      <w:r w:rsidRPr="00CA19EF">
        <w:rPr>
          <w:rFonts w:ascii="Times New Roman" w:hAnsi="Times New Roman" w:cs="Times New Roman"/>
          <w:sz w:val="24"/>
          <w:szCs w:val="24"/>
        </w:rPr>
        <w:t>ABL-SC, abaloparatide-SC; CI, confidence interval</w:t>
      </w:r>
    </w:p>
    <w:p w14:paraId="2C68B251" w14:textId="77777777" w:rsidR="00C82319" w:rsidRDefault="00C82319">
      <w:pPr>
        <w:rPr>
          <w:rFonts w:ascii="Times New Roman" w:hAnsi="Times New Roman" w:cs="Times New Roman"/>
          <w:sz w:val="24"/>
          <w:szCs w:val="24"/>
        </w:rPr>
      </w:pPr>
      <w:r>
        <w:rPr>
          <w:rFonts w:ascii="Times New Roman" w:hAnsi="Times New Roman" w:cs="Times New Roman"/>
          <w:sz w:val="24"/>
          <w:szCs w:val="24"/>
        </w:rPr>
        <w:br w:type="page"/>
      </w:r>
    </w:p>
    <w:p w14:paraId="1DF72934" w14:textId="5CBFA72C" w:rsidR="00C4746B" w:rsidRPr="00CA19EF" w:rsidRDefault="00C4746B" w:rsidP="00CA19EF">
      <w:pPr>
        <w:spacing w:line="480" w:lineRule="auto"/>
        <w:rPr>
          <w:rFonts w:ascii="Times New Roman" w:hAnsi="Times New Roman" w:cs="Times New Roman"/>
          <w:sz w:val="24"/>
          <w:szCs w:val="24"/>
        </w:rPr>
      </w:pPr>
      <w:r w:rsidRPr="00CA19EF">
        <w:rPr>
          <w:rFonts w:ascii="Times New Roman" w:hAnsi="Times New Roman" w:cs="Times New Roman"/>
          <w:b/>
          <w:sz w:val="24"/>
          <w:szCs w:val="24"/>
        </w:rPr>
        <w:lastRenderedPageBreak/>
        <w:t>Figure 2</w:t>
      </w:r>
      <w:r w:rsidRPr="00CA19EF">
        <w:rPr>
          <w:rFonts w:ascii="Times New Roman" w:hAnsi="Times New Roman" w:cs="Times New Roman"/>
          <w:sz w:val="24"/>
          <w:szCs w:val="24"/>
        </w:rPr>
        <w:t xml:space="preserve">. Fracture risk reduction after 18 months of treatment among (A) the overall population and (B) </w:t>
      </w:r>
      <w:r w:rsidR="0091536A">
        <w:rPr>
          <w:rFonts w:ascii="Times New Roman" w:hAnsi="Times New Roman" w:cs="Times New Roman"/>
          <w:sz w:val="24"/>
          <w:szCs w:val="24"/>
        </w:rPr>
        <w:t>patient</w:t>
      </w:r>
      <w:r w:rsidR="0091536A" w:rsidRPr="00CA19EF">
        <w:rPr>
          <w:rFonts w:ascii="Times New Roman" w:hAnsi="Times New Roman" w:cs="Times New Roman"/>
          <w:sz w:val="24"/>
          <w:szCs w:val="24"/>
        </w:rPr>
        <w:t xml:space="preserve">s </w:t>
      </w:r>
      <w:r w:rsidRPr="00CA19EF">
        <w:rPr>
          <w:rFonts w:ascii="Times New Roman" w:hAnsi="Times New Roman" w:cs="Times New Roman"/>
          <w:sz w:val="24"/>
          <w:szCs w:val="24"/>
        </w:rPr>
        <w:t xml:space="preserve">aged </w:t>
      </w:r>
      <w:r w:rsidRPr="00CA19EF">
        <w:rPr>
          <w:rFonts w:ascii="Times New Roman" w:hAnsi="Times New Roman" w:cs="Times New Roman"/>
          <w:sz w:val="24"/>
          <w:szCs w:val="24"/>
          <w:u w:val="single"/>
        </w:rPr>
        <w:t>&gt;</w:t>
      </w:r>
      <w:r w:rsidRPr="00CA19EF">
        <w:rPr>
          <w:rFonts w:ascii="Times New Roman" w:hAnsi="Times New Roman" w:cs="Times New Roman"/>
          <w:sz w:val="24"/>
          <w:szCs w:val="24"/>
        </w:rPr>
        <w:t xml:space="preserve">80 years. </w:t>
      </w:r>
      <w:r w:rsidR="005561B4">
        <w:rPr>
          <w:rFonts w:ascii="Times New Roman" w:hAnsi="Times New Roman" w:cs="Times New Roman"/>
          <w:sz w:val="24"/>
          <w:szCs w:val="24"/>
        </w:rPr>
        <w:t>Percentages for new vertebral fractures were calculated using the modified intent-to-treat population. Percentages of nonvertebral fractures were Kaplan-Meier estimates using the intent-to-treat populations.</w:t>
      </w:r>
    </w:p>
    <w:p w14:paraId="563FEDF9" w14:textId="77777777" w:rsidR="00C82319" w:rsidRDefault="00C82319" w:rsidP="008067DF">
      <w:pPr>
        <w:spacing w:line="480" w:lineRule="auto"/>
        <w:rPr>
          <w:rFonts w:ascii="Times New Roman" w:hAnsi="Times New Roman" w:cs="Times New Roman"/>
          <w:sz w:val="24"/>
          <w:szCs w:val="24"/>
        </w:rPr>
      </w:pPr>
      <w:r>
        <w:rPr>
          <w:noProof/>
          <w:lang w:val="en-GB" w:eastAsia="en-GB"/>
        </w:rPr>
        <w:lastRenderedPageBreak/>
        <w:drawing>
          <wp:inline distT="0" distB="0" distL="0" distR="0" wp14:anchorId="7B3AB368" wp14:editId="60251D9F">
            <wp:extent cx="5124450" cy="2886075"/>
            <wp:effectExtent l="0" t="0" r="0" b="9525"/>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0">
                      <a:extLst>
                        <a:ext uri="{28A0092B-C50C-407E-A947-70E740481C1C}">
                          <a14:useLocalDpi xmlns:a14="http://schemas.microsoft.com/office/drawing/2010/main" val="0"/>
                        </a:ext>
                      </a:extLst>
                    </a:blip>
                    <a:stretch>
                      <a:fillRect/>
                    </a:stretch>
                  </pic:blipFill>
                  <pic:spPr>
                    <a:xfrm>
                      <a:off x="0" y="0"/>
                      <a:ext cx="5124450" cy="2886075"/>
                    </a:xfrm>
                    <a:prstGeom prst="rect">
                      <a:avLst/>
                    </a:prstGeom>
                  </pic:spPr>
                </pic:pic>
              </a:graphicData>
            </a:graphic>
          </wp:inline>
        </w:drawing>
      </w:r>
      <w:r>
        <w:rPr>
          <w:noProof/>
          <w:lang w:val="en-GB" w:eastAsia="en-GB"/>
        </w:rPr>
        <w:drawing>
          <wp:inline distT="0" distB="0" distL="0" distR="0" wp14:anchorId="59DAB42D" wp14:editId="2F6951A0">
            <wp:extent cx="4991100" cy="280987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a:xfrm>
                      <a:off x="0" y="0"/>
                      <a:ext cx="4991100" cy="2809875"/>
                    </a:xfrm>
                    <a:prstGeom prst="rect">
                      <a:avLst/>
                    </a:prstGeom>
                  </pic:spPr>
                </pic:pic>
              </a:graphicData>
            </a:graphic>
          </wp:inline>
        </w:drawing>
      </w:r>
    </w:p>
    <w:p w14:paraId="4FFE0857" w14:textId="766D32BA" w:rsidR="0047423B" w:rsidRPr="00CA19EF" w:rsidRDefault="00C4746B" w:rsidP="008067DF">
      <w:pPr>
        <w:spacing w:line="480" w:lineRule="auto"/>
        <w:rPr>
          <w:rFonts w:ascii="Times New Roman" w:hAnsi="Times New Roman" w:cs="Times New Roman"/>
          <w:sz w:val="24"/>
          <w:szCs w:val="24"/>
        </w:rPr>
      </w:pPr>
      <w:r w:rsidRPr="00CA19EF">
        <w:rPr>
          <w:rFonts w:ascii="Times New Roman" w:hAnsi="Times New Roman" w:cs="Times New Roman"/>
          <w:sz w:val="24"/>
          <w:szCs w:val="24"/>
        </w:rPr>
        <w:t>ABL-SC, abaloparatide-SC; CI, confidence interval; HR, hazard ratio; NS, not significant; RR, relative risk.</w:t>
      </w:r>
    </w:p>
    <w:sectPr w:rsidR="0047423B" w:rsidRPr="00CA19EF" w:rsidSect="00E872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3F71B" w14:textId="77777777" w:rsidR="00CE5089" w:rsidRDefault="00CE5089" w:rsidP="00D265B0">
      <w:r>
        <w:separator/>
      </w:r>
    </w:p>
  </w:endnote>
  <w:endnote w:type="continuationSeparator" w:id="0">
    <w:p w14:paraId="2AA120AA" w14:textId="77777777" w:rsidR="00CE5089" w:rsidRDefault="00CE5089" w:rsidP="00D2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033799"/>
      <w:docPartObj>
        <w:docPartGallery w:val="Page Numbers (Bottom of Page)"/>
        <w:docPartUnique/>
      </w:docPartObj>
    </w:sdtPr>
    <w:sdtEndPr>
      <w:rPr>
        <w:noProof/>
      </w:rPr>
    </w:sdtEndPr>
    <w:sdtContent>
      <w:p w14:paraId="39E9573F" w14:textId="0D8A107B" w:rsidR="00153665" w:rsidRDefault="00153665">
        <w:pPr>
          <w:pStyle w:val="Footer"/>
          <w:jc w:val="right"/>
        </w:pPr>
        <w:r>
          <w:fldChar w:fldCharType="begin"/>
        </w:r>
        <w:r>
          <w:instrText xml:space="preserve"> PAGE   \* MERGEFORMAT </w:instrText>
        </w:r>
        <w:r>
          <w:fldChar w:fldCharType="separate"/>
        </w:r>
        <w:r w:rsidR="00711F92">
          <w:rPr>
            <w:noProof/>
          </w:rPr>
          <w:t>2</w:t>
        </w:r>
        <w:r>
          <w:rPr>
            <w:noProof/>
          </w:rPr>
          <w:fldChar w:fldCharType="end"/>
        </w:r>
      </w:p>
    </w:sdtContent>
  </w:sdt>
  <w:p w14:paraId="5B3CA53E" w14:textId="77777777" w:rsidR="00153665" w:rsidRDefault="00153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6FFFE" w14:textId="77777777" w:rsidR="00CE5089" w:rsidRDefault="00CE5089" w:rsidP="00D265B0">
      <w:r>
        <w:separator/>
      </w:r>
    </w:p>
  </w:footnote>
  <w:footnote w:type="continuationSeparator" w:id="0">
    <w:p w14:paraId="2D29C4BE" w14:textId="77777777" w:rsidR="00CE5089" w:rsidRDefault="00CE5089" w:rsidP="00D26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6581"/>
    <w:multiLevelType w:val="hybridMultilevel"/>
    <w:tmpl w:val="C2E2E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D0EC5"/>
    <w:multiLevelType w:val="hybridMultilevel"/>
    <w:tmpl w:val="B610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F0"/>
    <w:rsid w:val="00000038"/>
    <w:rsid w:val="00001094"/>
    <w:rsid w:val="000072D4"/>
    <w:rsid w:val="000073DC"/>
    <w:rsid w:val="00010891"/>
    <w:rsid w:val="000119C0"/>
    <w:rsid w:val="00036E7D"/>
    <w:rsid w:val="00040557"/>
    <w:rsid w:val="00047DCE"/>
    <w:rsid w:val="00050F65"/>
    <w:rsid w:val="00055ECF"/>
    <w:rsid w:val="000641FB"/>
    <w:rsid w:val="00064F9C"/>
    <w:rsid w:val="00071105"/>
    <w:rsid w:val="00087C51"/>
    <w:rsid w:val="00095834"/>
    <w:rsid w:val="000A5C2F"/>
    <w:rsid w:val="000A5F78"/>
    <w:rsid w:val="000B01D4"/>
    <w:rsid w:val="000B05CE"/>
    <w:rsid w:val="000B0612"/>
    <w:rsid w:val="000B45C2"/>
    <w:rsid w:val="000B748C"/>
    <w:rsid w:val="000C3C24"/>
    <w:rsid w:val="000C4B33"/>
    <w:rsid w:val="000C630E"/>
    <w:rsid w:val="000D0C63"/>
    <w:rsid w:val="000D1F41"/>
    <w:rsid w:val="000E72B7"/>
    <w:rsid w:val="00102E12"/>
    <w:rsid w:val="00113B39"/>
    <w:rsid w:val="00113E00"/>
    <w:rsid w:val="0011633B"/>
    <w:rsid w:val="0014151B"/>
    <w:rsid w:val="001527EB"/>
    <w:rsid w:val="00153665"/>
    <w:rsid w:val="00153CC4"/>
    <w:rsid w:val="00161A86"/>
    <w:rsid w:val="00166CB4"/>
    <w:rsid w:val="0017044B"/>
    <w:rsid w:val="0017360E"/>
    <w:rsid w:val="00176BE7"/>
    <w:rsid w:val="00180217"/>
    <w:rsid w:val="00193F38"/>
    <w:rsid w:val="001950B2"/>
    <w:rsid w:val="001A2977"/>
    <w:rsid w:val="001C7761"/>
    <w:rsid w:val="001D2AF4"/>
    <w:rsid w:val="001D3BA2"/>
    <w:rsid w:val="001D4DD6"/>
    <w:rsid w:val="001D7A39"/>
    <w:rsid w:val="001E0E8A"/>
    <w:rsid w:val="001E547C"/>
    <w:rsid w:val="001E5601"/>
    <w:rsid w:val="002049E6"/>
    <w:rsid w:val="00207715"/>
    <w:rsid w:val="00211A52"/>
    <w:rsid w:val="0022312B"/>
    <w:rsid w:val="002272C8"/>
    <w:rsid w:val="00243D74"/>
    <w:rsid w:val="00246141"/>
    <w:rsid w:val="0024762E"/>
    <w:rsid w:val="00251F40"/>
    <w:rsid w:val="00254668"/>
    <w:rsid w:val="00255D4F"/>
    <w:rsid w:val="0026121A"/>
    <w:rsid w:val="00264A20"/>
    <w:rsid w:val="00267140"/>
    <w:rsid w:val="002742E2"/>
    <w:rsid w:val="00280110"/>
    <w:rsid w:val="00281508"/>
    <w:rsid w:val="00281F02"/>
    <w:rsid w:val="002A20FE"/>
    <w:rsid w:val="002A2E5E"/>
    <w:rsid w:val="002B7F88"/>
    <w:rsid w:val="002C46A5"/>
    <w:rsid w:val="002C772E"/>
    <w:rsid w:val="002D15BA"/>
    <w:rsid w:val="002D3D55"/>
    <w:rsid w:val="002D5DEE"/>
    <w:rsid w:val="002D780F"/>
    <w:rsid w:val="002E3241"/>
    <w:rsid w:val="002E5E0E"/>
    <w:rsid w:val="003026F7"/>
    <w:rsid w:val="00326E8E"/>
    <w:rsid w:val="00334879"/>
    <w:rsid w:val="003412B1"/>
    <w:rsid w:val="00341E60"/>
    <w:rsid w:val="00345C70"/>
    <w:rsid w:val="00345E66"/>
    <w:rsid w:val="003546D1"/>
    <w:rsid w:val="003562C5"/>
    <w:rsid w:val="00357493"/>
    <w:rsid w:val="00364B6A"/>
    <w:rsid w:val="00374473"/>
    <w:rsid w:val="00390BF9"/>
    <w:rsid w:val="003A36DD"/>
    <w:rsid w:val="003A5930"/>
    <w:rsid w:val="003A5CA4"/>
    <w:rsid w:val="003C36DC"/>
    <w:rsid w:val="003C7287"/>
    <w:rsid w:val="003D1E93"/>
    <w:rsid w:val="003D244D"/>
    <w:rsid w:val="003D2FFA"/>
    <w:rsid w:val="003E0060"/>
    <w:rsid w:val="003E72E7"/>
    <w:rsid w:val="003F06A4"/>
    <w:rsid w:val="003F5A6C"/>
    <w:rsid w:val="00402B04"/>
    <w:rsid w:val="0041222E"/>
    <w:rsid w:val="00413844"/>
    <w:rsid w:val="004141CD"/>
    <w:rsid w:val="0041572E"/>
    <w:rsid w:val="004159AA"/>
    <w:rsid w:val="004234EA"/>
    <w:rsid w:val="00426381"/>
    <w:rsid w:val="0043280F"/>
    <w:rsid w:val="00435BE2"/>
    <w:rsid w:val="00442237"/>
    <w:rsid w:val="00443F52"/>
    <w:rsid w:val="004513A2"/>
    <w:rsid w:val="004540D1"/>
    <w:rsid w:val="00454103"/>
    <w:rsid w:val="00456E65"/>
    <w:rsid w:val="00457316"/>
    <w:rsid w:val="0045784C"/>
    <w:rsid w:val="00461C03"/>
    <w:rsid w:val="0047423B"/>
    <w:rsid w:val="004814A2"/>
    <w:rsid w:val="00481ADF"/>
    <w:rsid w:val="004908BB"/>
    <w:rsid w:val="004A0F33"/>
    <w:rsid w:val="004A2148"/>
    <w:rsid w:val="004A5E20"/>
    <w:rsid w:val="004D2211"/>
    <w:rsid w:val="004D36EE"/>
    <w:rsid w:val="004D4511"/>
    <w:rsid w:val="0050081A"/>
    <w:rsid w:val="00524E6C"/>
    <w:rsid w:val="00540E17"/>
    <w:rsid w:val="0054353E"/>
    <w:rsid w:val="005453A1"/>
    <w:rsid w:val="005460F9"/>
    <w:rsid w:val="0054636D"/>
    <w:rsid w:val="005505FB"/>
    <w:rsid w:val="005561B4"/>
    <w:rsid w:val="0056181C"/>
    <w:rsid w:val="005650B0"/>
    <w:rsid w:val="00567837"/>
    <w:rsid w:val="0057711F"/>
    <w:rsid w:val="00597A46"/>
    <w:rsid w:val="005B2B6C"/>
    <w:rsid w:val="005B2EDC"/>
    <w:rsid w:val="005B5DB0"/>
    <w:rsid w:val="005B70D2"/>
    <w:rsid w:val="005B7A54"/>
    <w:rsid w:val="005C2058"/>
    <w:rsid w:val="005C328F"/>
    <w:rsid w:val="005C645E"/>
    <w:rsid w:val="005D0886"/>
    <w:rsid w:val="005D29A5"/>
    <w:rsid w:val="005D41D4"/>
    <w:rsid w:val="005E3CE2"/>
    <w:rsid w:val="005E6288"/>
    <w:rsid w:val="005F04C1"/>
    <w:rsid w:val="00600E00"/>
    <w:rsid w:val="00601D58"/>
    <w:rsid w:val="00612D8A"/>
    <w:rsid w:val="0061567B"/>
    <w:rsid w:val="0062579F"/>
    <w:rsid w:val="006340A9"/>
    <w:rsid w:val="006367D0"/>
    <w:rsid w:val="00651E90"/>
    <w:rsid w:val="00654EB7"/>
    <w:rsid w:val="00670B6D"/>
    <w:rsid w:val="00674B5D"/>
    <w:rsid w:val="00676FF0"/>
    <w:rsid w:val="00690EB8"/>
    <w:rsid w:val="00692BF4"/>
    <w:rsid w:val="006A05A2"/>
    <w:rsid w:val="006A12AC"/>
    <w:rsid w:val="006C58B9"/>
    <w:rsid w:val="006C6214"/>
    <w:rsid w:val="006D7BC4"/>
    <w:rsid w:val="006E7C9E"/>
    <w:rsid w:val="006F6DB2"/>
    <w:rsid w:val="00711F92"/>
    <w:rsid w:val="00716C38"/>
    <w:rsid w:val="00721C45"/>
    <w:rsid w:val="007221D1"/>
    <w:rsid w:val="007225D1"/>
    <w:rsid w:val="0072424F"/>
    <w:rsid w:val="0072439B"/>
    <w:rsid w:val="00732F1E"/>
    <w:rsid w:val="007417A5"/>
    <w:rsid w:val="00745872"/>
    <w:rsid w:val="00750297"/>
    <w:rsid w:val="00751825"/>
    <w:rsid w:val="00752FDC"/>
    <w:rsid w:val="00754E72"/>
    <w:rsid w:val="007708DB"/>
    <w:rsid w:val="0077121C"/>
    <w:rsid w:val="00772420"/>
    <w:rsid w:val="0077333B"/>
    <w:rsid w:val="007871A4"/>
    <w:rsid w:val="00794676"/>
    <w:rsid w:val="00795AE1"/>
    <w:rsid w:val="00796131"/>
    <w:rsid w:val="00797779"/>
    <w:rsid w:val="007A41A4"/>
    <w:rsid w:val="007C5B09"/>
    <w:rsid w:val="007D2216"/>
    <w:rsid w:val="007D3C27"/>
    <w:rsid w:val="007F73D6"/>
    <w:rsid w:val="007F7A5E"/>
    <w:rsid w:val="00801A77"/>
    <w:rsid w:val="008039AF"/>
    <w:rsid w:val="008067DF"/>
    <w:rsid w:val="00811D64"/>
    <w:rsid w:val="008124DA"/>
    <w:rsid w:val="0081297F"/>
    <w:rsid w:val="00814140"/>
    <w:rsid w:val="00827460"/>
    <w:rsid w:val="00833AB1"/>
    <w:rsid w:val="0083559E"/>
    <w:rsid w:val="00836759"/>
    <w:rsid w:val="00844250"/>
    <w:rsid w:val="0084795B"/>
    <w:rsid w:val="00851DC3"/>
    <w:rsid w:val="00852FAA"/>
    <w:rsid w:val="0085602A"/>
    <w:rsid w:val="0086408B"/>
    <w:rsid w:val="0087209D"/>
    <w:rsid w:val="00874989"/>
    <w:rsid w:val="0087638F"/>
    <w:rsid w:val="008A06FB"/>
    <w:rsid w:val="008A51C9"/>
    <w:rsid w:val="008B5084"/>
    <w:rsid w:val="008C5123"/>
    <w:rsid w:val="008E428C"/>
    <w:rsid w:val="008E6A36"/>
    <w:rsid w:val="008E75E1"/>
    <w:rsid w:val="008F4BBA"/>
    <w:rsid w:val="009010DA"/>
    <w:rsid w:val="00902D0B"/>
    <w:rsid w:val="0091536A"/>
    <w:rsid w:val="009321AE"/>
    <w:rsid w:val="00932F29"/>
    <w:rsid w:val="00934BA5"/>
    <w:rsid w:val="009456CC"/>
    <w:rsid w:val="00952C1B"/>
    <w:rsid w:val="00956147"/>
    <w:rsid w:val="0096161D"/>
    <w:rsid w:val="0096771F"/>
    <w:rsid w:val="00970C14"/>
    <w:rsid w:val="009809CB"/>
    <w:rsid w:val="00995E38"/>
    <w:rsid w:val="009A0539"/>
    <w:rsid w:val="009A2F40"/>
    <w:rsid w:val="009B18C2"/>
    <w:rsid w:val="009B4A42"/>
    <w:rsid w:val="009B58F0"/>
    <w:rsid w:val="009C0E46"/>
    <w:rsid w:val="009D1E1E"/>
    <w:rsid w:val="009E6AF0"/>
    <w:rsid w:val="009E6BB8"/>
    <w:rsid w:val="009E762B"/>
    <w:rsid w:val="00A02D04"/>
    <w:rsid w:val="00A031A5"/>
    <w:rsid w:val="00A04407"/>
    <w:rsid w:val="00A11554"/>
    <w:rsid w:val="00A118EE"/>
    <w:rsid w:val="00A2129F"/>
    <w:rsid w:val="00A240ED"/>
    <w:rsid w:val="00A25CDD"/>
    <w:rsid w:val="00A25E69"/>
    <w:rsid w:val="00A3132B"/>
    <w:rsid w:val="00A32A88"/>
    <w:rsid w:val="00A37917"/>
    <w:rsid w:val="00A4621B"/>
    <w:rsid w:val="00A4760E"/>
    <w:rsid w:val="00A600E1"/>
    <w:rsid w:val="00A76C28"/>
    <w:rsid w:val="00A95F37"/>
    <w:rsid w:val="00AA6FCF"/>
    <w:rsid w:val="00AC2557"/>
    <w:rsid w:val="00AC265A"/>
    <w:rsid w:val="00AF2368"/>
    <w:rsid w:val="00AF3437"/>
    <w:rsid w:val="00AF37C3"/>
    <w:rsid w:val="00AF47C7"/>
    <w:rsid w:val="00AF7C1B"/>
    <w:rsid w:val="00B013DA"/>
    <w:rsid w:val="00B20195"/>
    <w:rsid w:val="00B24861"/>
    <w:rsid w:val="00B27470"/>
    <w:rsid w:val="00B3684F"/>
    <w:rsid w:val="00B55710"/>
    <w:rsid w:val="00B61988"/>
    <w:rsid w:val="00B75AE1"/>
    <w:rsid w:val="00B76DDF"/>
    <w:rsid w:val="00B83980"/>
    <w:rsid w:val="00B87393"/>
    <w:rsid w:val="00B93C84"/>
    <w:rsid w:val="00BA1EB6"/>
    <w:rsid w:val="00BA2E30"/>
    <w:rsid w:val="00BB5843"/>
    <w:rsid w:val="00BB73C7"/>
    <w:rsid w:val="00BC1652"/>
    <w:rsid w:val="00BC5741"/>
    <w:rsid w:val="00BC6DBA"/>
    <w:rsid w:val="00BC78F0"/>
    <w:rsid w:val="00BD33A5"/>
    <w:rsid w:val="00BE6C78"/>
    <w:rsid w:val="00BF52EA"/>
    <w:rsid w:val="00C01B01"/>
    <w:rsid w:val="00C060FD"/>
    <w:rsid w:val="00C26215"/>
    <w:rsid w:val="00C26B2A"/>
    <w:rsid w:val="00C31690"/>
    <w:rsid w:val="00C4746B"/>
    <w:rsid w:val="00C47D21"/>
    <w:rsid w:val="00C47F7A"/>
    <w:rsid w:val="00C6535F"/>
    <w:rsid w:val="00C66985"/>
    <w:rsid w:val="00C82319"/>
    <w:rsid w:val="00C84750"/>
    <w:rsid w:val="00C9386D"/>
    <w:rsid w:val="00CA19EF"/>
    <w:rsid w:val="00CA22E7"/>
    <w:rsid w:val="00CA67DA"/>
    <w:rsid w:val="00CB27A1"/>
    <w:rsid w:val="00CB4DC6"/>
    <w:rsid w:val="00CE4145"/>
    <w:rsid w:val="00CE5089"/>
    <w:rsid w:val="00D115A9"/>
    <w:rsid w:val="00D22DA0"/>
    <w:rsid w:val="00D265B0"/>
    <w:rsid w:val="00D2687C"/>
    <w:rsid w:val="00D2721D"/>
    <w:rsid w:val="00D3489B"/>
    <w:rsid w:val="00D37BC7"/>
    <w:rsid w:val="00D43AAB"/>
    <w:rsid w:val="00D51B09"/>
    <w:rsid w:val="00D521D1"/>
    <w:rsid w:val="00D52C51"/>
    <w:rsid w:val="00D5587E"/>
    <w:rsid w:val="00D638F8"/>
    <w:rsid w:val="00D6390C"/>
    <w:rsid w:val="00D65F36"/>
    <w:rsid w:val="00D72B77"/>
    <w:rsid w:val="00D7449E"/>
    <w:rsid w:val="00D81D02"/>
    <w:rsid w:val="00D86C5F"/>
    <w:rsid w:val="00DA1EE8"/>
    <w:rsid w:val="00DA45B0"/>
    <w:rsid w:val="00DA4E0D"/>
    <w:rsid w:val="00DA5D2A"/>
    <w:rsid w:val="00DA737A"/>
    <w:rsid w:val="00DB4667"/>
    <w:rsid w:val="00DD2DE5"/>
    <w:rsid w:val="00DE27DC"/>
    <w:rsid w:val="00DE583A"/>
    <w:rsid w:val="00DF5ADD"/>
    <w:rsid w:val="00E1718B"/>
    <w:rsid w:val="00E178C8"/>
    <w:rsid w:val="00E315AB"/>
    <w:rsid w:val="00E35E87"/>
    <w:rsid w:val="00E40C5D"/>
    <w:rsid w:val="00E4347F"/>
    <w:rsid w:val="00E476A9"/>
    <w:rsid w:val="00E5192C"/>
    <w:rsid w:val="00E51DD7"/>
    <w:rsid w:val="00E52669"/>
    <w:rsid w:val="00E67561"/>
    <w:rsid w:val="00E77028"/>
    <w:rsid w:val="00E82ADC"/>
    <w:rsid w:val="00E8720F"/>
    <w:rsid w:val="00E97480"/>
    <w:rsid w:val="00E97707"/>
    <w:rsid w:val="00EB2583"/>
    <w:rsid w:val="00EB305E"/>
    <w:rsid w:val="00EB60ED"/>
    <w:rsid w:val="00EB7A1C"/>
    <w:rsid w:val="00EC0478"/>
    <w:rsid w:val="00ED4869"/>
    <w:rsid w:val="00ED54B0"/>
    <w:rsid w:val="00EE11B4"/>
    <w:rsid w:val="00EE486C"/>
    <w:rsid w:val="00EF7DEA"/>
    <w:rsid w:val="00F05B0F"/>
    <w:rsid w:val="00F22198"/>
    <w:rsid w:val="00F2365A"/>
    <w:rsid w:val="00F2515C"/>
    <w:rsid w:val="00F2713B"/>
    <w:rsid w:val="00F42B97"/>
    <w:rsid w:val="00F4678C"/>
    <w:rsid w:val="00F51CD1"/>
    <w:rsid w:val="00F520B0"/>
    <w:rsid w:val="00F528E5"/>
    <w:rsid w:val="00F53EB4"/>
    <w:rsid w:val="00F548E9"/>
    <w:rsid w:val="00F62B38"/>
    <w:rsid w:val="00F633B6"/>
    <w:rsid w:val="00F66878"/>
    <w:rsid w:val="00F72EFC"/>
    <w:rsid w:val="00F75FAE"/>
    <w:rsid w:val="00F90740"/>
    <w:rsid w:val="00F9337A"/>
    <w:rsid w:val="00FA12A3"/>
    <w:rsid w:val="00FA4589"/>
    <w:rsid w:val="00FA7B5A"/>
    <w:rsid w:val="00FB0C84"/>
    <w:rsid w:val="00FB425E"/>
    <w:rsid w:val="00FB579A"/>
    <w:rsid w:val="00FD6F39"/>
    <w:rsid w:val="00FE5A45"/>
    <w:rsid w:val="00FF2244"/>
    <w:rsid w:val="00FF226C"/>
    <w:rsid w:val="00FF63CF"/>
    <w:rsid w:val="00FF7A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DFA271"/>
  <w15:docId w15:val="{1FA37EEA-EFCA-42CD-8BA7-CF171FE7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E30"/>
    <w:rPr>
      <w:color w:val="0563C1" w:themeColor="hyperlink"/>
      <w:u w:val="single"/>
    </w:rPr>
  </w:style>
  <w:style w:type="character" w:customStyle="1" w:styleId="Mention1">
    <w:name w:val="Mention1"/>
    <w:basedOn w:val="DefaultParagraphFont"/>
    <w:uiPriority w:val="99"/>
    <w:semiHidden/>
    <w:unhideWhenUsed/>
    <w:rsid w:val="00BA2E30"/>
    <w:rPr>
      <w:color w:val="2B579A"/>
      <w:shd w:val="clear" w:color="auto" w:fill="E6E6E6"/>
    </w:rPr>
  </w:style>
  <w:style w:type="paragraph" w:styleId="ListParagraph">
    <w:name w:val="List Paragraph"/>
    <w:basedOn w:val="Normal"/>
    <w:uiPriority w:val="34"/>
    <w:qFormat/>
    <w:rsid w:val="00A2129F"/>
    <w:pPr>
      <w:ind w:left="720"/>
      <w:contextualSpacing/>
    </w:pPr>
  </w:style>
  <w:style w:type="paragraph" w:styleId="BalloonText">
    <w:name w:val="Balloon Text"/>
    <w:basedOn w:val="Normal"/>
    <w:link w:val="BalloonTextChar"/>
    <w:uiPriority w:val="99"/>
    <w:semiHidden/>
    <w:unhideWhenUsed/>
    <w:rsid w:val="0026714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714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B18C2"/>
    <w:rPr>
      <w:sz w:val="16"/>
      <w:szCs w:val="16"/>
    </w:rPr>
  </w:style>
  <w:style w:type="paragraph" w:styleId="CommentText">
    <w:name w:val="annotation text"/>
    <w:basedOn w:val="Normal"/>
    <w:link w:val="CommentTextChar"/>
    <w:uiPriority w:val="99"/>
    <w:unhideWhenUsed/>
    <w:rsid w:val="009B18C2"/>
    <w:rPr>
      <w:sz w:val="20"/>
      <w:szCs w:val="20"/>
    </w:rPr>
  </w:style>
  <w:style w:type="character" w:customStyle="1" w:styleId="CommentTextChar">
    <w:name w:val="Comment Text Char"/>
    <w:basedOn w:val="DefaultParagraphFont"/>
    <w:link w:val="CommentText"/>
    <w:uiPriority w:val="99"/>
    <w:rsid w:val="009B18C2"/>
    <w:rPr>
      <w:sz w:val="20"/>
      <w:szCs w:val="20"/>
    </w:rPr>
  </w:style>
  <w:style w:type="paragraph" w:styleId="CommentSubject">
    <w:name w:val="annotation subject"/>
    <w:basedOn w:val="CommentText"/>
    <w:next w:val="CommentText"/>
    <w:link w:val="CommentSubjectChar"/>
    <w:uiPriority w:val="99"/>
    <w:semiHidden/>
    <w:unhideWhenUsed/>
    <w:rsid w:val="009B18C2"/>
    <w:rPr>
      <w:b/>
      <w:bCs/>
    </w:rPr>
  </w:style>
  <w:style w:type="character" w:customStyle="1" w:styleId="CommentSubjectChar">
    <w:name w:val="Comment Subject Char"/>
    <w:basedOn w:val="CommentTextChar"/>
    <w:link w:val="CommentSubject"/>
    <w:uiPriority w:val="99"/>
    <w:semiHidden/>
    <w:rsid w:val="009B18C2"/>
    <w:rPr>
      <w:b/>
      <w:bCs/>
      <w:sz w:val="20"/>
      <w:szCs w:val="20"/>
    </w:rPr>
  </w:style>
  <w:style w:type="paragraph" w:styleId="Revision">
    <w:name w:val="Revision"/>
    <w:hidden/>
    <w:uiPriority w:val="99"/>
    <w:semiHidden/>
    <w:rsid w:val="006E7C9E"/>
  </w:style>
  <w:style w:type="paragraph" w:styleId="Header">
    <w:name w:val="header"/>
    <w:basedOn w:val="Normal"/>
    <w:link w:val="HeaderChar"/>
    <w:uiPriority w:val="99"/>
    <w:unhideWhenUsed/>
    <w:rsid w:val="00D265B0"/>
    <w:pPr>
      <w:tabs>
        <w:tab w:val="center" w:pos="4680"/>
        <w:tab w:val="right" w:pos="9360"/>
      </w:tabs>
    </w:pPr>
  </w:style>
  <w:style w:type="character" w:customStyle="1" w:styleId="HeaderChar">
    <w:name w:val="Header Char"/>
    <w:basedOn w:val="DefaultParagraphFont"/>
    <w:link w:val="Header"/>
    <w:uiPriority w:val="99"/>
    <w:rsid w:val="00D265B0"/>
  </w:style>
  <w:style w:type="paragraph" w:styleId="Footer">
    <w:name w:val="footer"/>
    <w:basedOn w:val="Normal"/>
    <w:link w:val="FooterChar"/>
    <w:uiPriority w:val="99"/>
    <w:unhideWhenUsed/>
    <w:rsid w:val="00D265B0"/>
    <w:pPr>
      <w:tabs>
        <w:tab w:val="center" w:pos="4680"/>
        <w:tab w:val="right" w:pos="9360"/>
      </w:tabs>
    </w:pPr>
  </w:style>
  <w:style w:type="character" w:customStyle="1" w:styleId="FooterChar">
    <w:name w:val="Footer Char"/>
    <w:basedOn w:val="DefaultParagraphFont"/>
    <w:link w:val="Footer"/>
    <w:uiPriority w:val="99"/>
    <w:rsid w:val="00D265B0"/>
  </w:style>
  <w:style w:type="character" w:styleId="LineNumber">
    <w:name w:val="line number"/>
    <w:basedOn w:val="DefaultParagraphFont"/>
    <w:uiPriority w:val="99"/>
    <w:semiHidden/>
    <w:unhideWhenUsed/>
    <w:rsid w:val="00EE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649962">
      <w:bodyDiv w:val="1"/>
      <w:marLeft w:val="0"/>
      <w:marRight w:val="0"/>
      <w:marTop w:val="0"/>
      <w:marBottom w:val="0"/>
      <w:divBdr>
        <w:top w:val="none" w:sz="0" w:space="0" w:color="auto"/>
        <w:left w:val="none" w:sz="0" w:space="0" w:color="auto"/>
        <w:bottom w:val="none" w:sz="0" w:space="0" w:color="auto"/>
        <w:right w:val="none" w:sz="0" w:space="0" w:color="auto"/>
      </w:divBdr>
    </w:div>
    <w:div w:id="579828136">
      <w:bodyDiv w:val="1"/>
      <w:marLeft w:val="0"/>
      <w:marRight w:val="0"/>
      <w:marTop w:val="0"/>
      <w:marBottom w:val="0"/>
      <w:divBdr>
        <w:top w:val="none" w:sz="0" w:space="0" w:color="auto"/>
        <w:left w:val="none" w:sz="0" w:space="0" w:color="auto"/>
        <w:bottom w:val="none" w:sz="0" w:space="0" w:color="auto"/>
        <w:right w:val="none" w:sz="0" w:space="0" w:color="auto"/>
      </w:divBdr>
    </w:div>
    <w:div w:id="1055738391">
      <w:bodyDiv w:val="1"/>
      <w:marLeft w:val="0"/>
      <w:marRight w:val="0"/>
      <w:marTop w:val="0"/>
      <w:marBottom w:val="0"/>
      <w:divBdr>
        <w:top w:val="none" w:sz="0" w:space="0" w:color="auto"/>
        <w:left w:val="none" w:sz="0" w:space="0" w:color="auto"/>
        <w:bottom w:val="none" w:sz="0" w:space="0" w:color="auto"/>
        <w:right w:val="none" w:sz="0" w:space="0" w:color="auto"/>
      </w:divBdr>
    </w:div>
    <w:div w:id="135923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hattersley@radiusphar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3270</Words>
  <Characters>18640</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McClung</dc:creator>
  <cp:keywords/>
  <dc:description/>
  <cp:lastModifiedBy>Karen Drake</cp:lastModifiedBy>
  <cp:revision>2</cp:revision>
  <dcterms:created xsi:type="dcterms:W3CDTF">2018-02-27T10:03:00Z</dcterms:created>
  <dcterms:modified xsi:type="dcterms:W3CDTF">2018-02-27T10:03:00Z</dcterms:modified>
</cp:coreProperties>
</file>