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7F0CA" w14:textId="77777777" w:rsidR="00A23D77" w:rsidRPr="00A175AA" w:rsidRDefault="00A23D77" w:rsidP="00A23D77">
      <w:pPr>
        <w:jc w:val="both"/>
        <w:rPr>
          <w:rFonts w:asciiTheme="majorBidi" w:hAnsiTheme="majorBidi" w:cstheme="majorBidi"/>
          <w:sz w:val="32"/>
          <w:szCs w:val="28"/>
          <w:lang w:val="en-GB"/>
        </w:rPr>
      </w:pPr>
      <w:r w:rsidRPr="00A175AA">
        <w:rPr>
          <w:rFonts w:asciiTheme="majorBidi" w:hAnsiTheme="majorBidi" w:cstheme="majorBidi"/>
          <w:sz w:val="32"/>
          <w:szCs w:val="28"/>
          <w:lang w:val="en-GB"/>
        </w:rPr>
        <w:t>Core Outcome Set in IAD Research (CONSIDER): international and multidisciplinary consensus on a core set of outcome domains in incontinence-associated dermatitis research</w:t>
      </w:r>
    </w:p>
    <w:p w14:paraId="5230B0F8" w14:textId="77777777" w:rsidR="00832480" w:rsidRPr="00A175AA" w:rsidRDefault="00832480" w:rsidP="00832480">
      <w:pPr>
        <w:jc w:val="both"/>
        <w:rPr>
          <w:rFonts w:asciiTheme="majorBidi" w:hAnsiTheme="majorBidi" w:cstheme="majorBidi"/>
          <w:sz w:val="24"/>
          <w:szCs w:val="24"/>
          <w:lang w:val="en-GB"/>
        </w:rPr>
      </w:pPr>
    </w:p>
    <w:p w14:paraId="3101F62F" w14:textId="7CA0DB13" w:rsidR="00832480" w:rsidRPr="00A175AA" w:rsidRDefault="00832480" w:rsidP="00A7646E">
      <w:pPr>
        <w:jc w:val="both"/>
        <w:rPr>
          <w:rFonts w:asciiTheme="majorBidi" w:hAnsiTheme="majorBidi" w:cstheme="majorBidi"/>
          <w:sz w:val="24"/>
          <w:szCs w:val="24"/>
          <w:lang w:val="de-DE"/>
        </w:rPr>
      </w:pPr>
      <w:r w:rsidRPr="00A175AA">
        <w:rPr>
          <w:rFonts w:asciiTheme="majorBidi" w:hAnsiTheme="majorBidi" w:cstheme="majorBidi"/>
          <w:sz w:val="24"/>
          <w:szCs w:val="24"/>
          <w:lang w:val="de-DE"/>
        </w:rPr>
        <w:t>VAN den BUSSCHE, K.,</w:t>
      </w:r>
      <w:r w:rsidR="00F57CA6" w:rsidRPr="00A175AA">
        <w:rPr>
          <w:rFonts w:asciiTheme="majorBidi" w:hAnsiTheme="majorBidi" w:cstheme="majorBidi"/>
          <w:sz w:val="24"/>
          <w:szCs w:val="24"/>
          <w:lang w:val="de-DE"/>
        </w:rPr>
        <w:t xml:space="preserve"> KOTTNER, J.,</w:t>
      </w:r>
      <w:r w:rsidR="00A7646E" w:rsidRPr="00A175AA">
        <w:rPr>
          <w:rFonts w:asciiTheme="majorBidi" w:hAnsiTheme="majorBidi" w:cstheme="majorBidi"/>
          <w:sz w:val="24"/>
          <w:szCs w:val="24"/>
          <w:lang w:val="de-DE"/>
        </w:rPr>
        <w:t xml:space="preserve"> </w:t>
      </w:r>
      <w:r w:rsidR="00CF4DDE" w:rsidRPr="00A175AA">
        <w:rPr>
          <w:rFonts w:asciiTheme="majorBidi" w:hAnsiTheme="majorBidi" w:cstheme="majorBidi"/>
          <w:sz w:val="24"/>
          <w:szCs w:val="24"/>
          <w:lang w:val="de-DE"/>
        </w:rPr>
        <w:t>BEELE, H.,</w:t>
      </w:r>
      <w:r w:rsidRPr="00A175AA">
        <w:rPr>
          <w:rFonts w:asciiTheme="majorBidi" w:hAnsiTheme="majorBidi" w:cstheme="majorBidi"/>
          <w:sz w:val="24"/>
          <w:szCs w:val="24"/>
          <w:lang w:val="de-DE"/>
        </w:rPr>
        <w:t xml:space="preserve"> DE MEYER, D., DUNK, AM., ERSSER, S., </w:t>
      </w:r>
      <w:r w:rsidR="00F82AC7" w:rsidRPr="00A175AA">
        <w:rPr>
          <w:rFonts w:asciiTheme="majorBidi" w:hAnsiTheme="majorBidi" w:cstheme="majorBidi"/>
          <w:sz w:val="24"/>
          <w:szCs w:val="24"/>
          <w:lang w:val="de-DE"/>
        </w:rPr>
        <w:t xml:space="preserve">LANGE, T., </w:t>
      </w:r>
      <w:r w:rsidRPr="00A175AA">
        <w:rPr>
          <w:rFonts w:asciiTheme="majorBidi" w:hAnsiTheme="majorBidi" w:cstheme="majorBidi"/>
          <w:sz w:val="24"/>
          <w:szCs w:val="24"/>
          <w:lang w:val="de-DE"/>
        </w:rPr>
        <w:t xml:space="preserve">PETROVIC, M., SCHOONHOVEN, L., SMET, S., VAN DAMME, N., </w:t>
      </w:r>
      <w:r w:rsidR="00F57CA6" w:rsidRPr="00A175AA">
        <w:rPr>
          <w:rFonts w:asciiTheme="majorBidi" w:hAnsiTheme="majorBidi" w:cstheme="majorBidi"/>
          <w:sz w:val="24"/>
          <w:szCs w:val="24"/>
          <w:lang w:val="de-DE"/>
        </w:rPr>
        <w:t xml:space="preserve">VERHAEGHE, S., VAN HECKE, A. </w:t>
      </w:r>
      <w:r w:rsidRPr="00A175AA">
        <w:rPr>
          <w:rFonts w:asciiTheme="majorBidi" w:hAnsiTheme="majorBidi" w:cstheme="majorBidi"/>
          <w:sz w:val="24"/>
          <w:szCs w:val="24"/>
          <w:lang w:val="de-DE"/>
        </w:rPr>
        <w:t>&amp; BEECKMAN, D.</w:t>
      </w:r>
    </w:p>
    <w:p w14:paraId="3E7D24CE" w14:textId="77777777" w:rsidR="00F5140A" w:rsidRPr="00045A37" w:rsidRDefault="00F5140A" w:rsidP="00F5140A">
      <w:pPr>
        <w:spacing w:after="0"/>
        <w:rPr>
          <w:rFonts w:asciiTheme="majorBidi" w:hAnsiTheme="majorBidi" w:cstheme="majorBidi"/>
          <w:b/>
          <w:bCs/>
          <w:sz w:val="24"/>
          <w:szCs w:val="24"/>
        </w:rPr>
      </w:pPr>
    </w:p>
    <w:p w14:paraId="0E4B22D9" w14:textId="62D27270" w:rsidR="00F5140A" w:rsidRPr="00A175AA" w:rsidRDefault="00F5140A" w:rsidP="00F24F47">
      <w:pPr>
        <w:spacing w:after="0"/>
        <w:outlineLvl w:val="0"/>
        <w:rPr>
          <w:rFonts w:asciiTheme="majorBidi" w:hAnsiTheme="majorBidi" w:cstheme="majorBidi"/>
          <w:b/>
          <w:bCs/>
          <w:sz w:val="24"/>
          <w:szCs w:val="24"/>
          <w:lang w:val="en-GB"/>
        </w:rPr>
      </w:pPr>
      <w:r w:rsidRPr="00A175AA">
        <w:rPr>
          <w:rFonts w:asciiTheme="majorBidi" w:hAnsiTheme="majorBidi" w:cstheme="majorBidi"/>
          <w:b/>
          <w:bCs/>
          <w:sz w:val="24"/>
          <w:szCs w:val="24"/>
          <w:lang w:val="en-GB"/>
        </w:rPr>
        <w:t xml:space="preserve">Correspondence to </w:t>
      </w:r>
    </w:p>
    <w:p w14:paraId="73849A8C" w14:textId="77777777" w:rsidR="00F5140A" w:rsidRPr="00A175AA" w:rsidRDefault="00F5140A" w:rsidP="00F24F47">
      <w:pPr>
        <w:spacing w:after="0"/>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D. Beeckman</w:t>
      </w:r>
    </w:p>
    <w:p w14:paraId="4129E425" w14:textId="77777777" w:rsidR="00F5140A" w:rsidRPr="00A175AA" w:rsidRDefault="00F5140A" w:rsidP="00F5140A">
      <w:pPr>
        <w:spacing w:after="0"/>
        <w:rPr>
          <w:rFonts w:asciiTheme="majorBidi" w:hAnsiTheme="majorBidi" w:cstheme="majorBidi"/>
          <w:sz w:val="24"/>
          <w:szCs w:val="24"/>
          <w:lang w:val="en-GB"/>
        </w:rPr>
      </w:pPr>
      <w:r w:rsidRPr="00A175AA">
        <w:rPr>
          <w:rFonts w:asciiTheme="majorBidi" w:hAnsiTheme="majorBidi" w:cstheme="majorBidi"/>
          <w:sz w:val="24"/>
          <w:szCs w:val="24"/>
          <w:lang w:val="en-GB"/>
        </w:rPr>
        <w:t>Skin Integrity Research Group (SKINT)</w:t>
      </w:r>
    </w:p>
    <w:p w14:paraId="7F223FDF" w14:textId="77777777" w:rsidR="00F5140A" w:rsidRPr="00A175AA" w:rsidRDefault="00F5140A" w:rsidP="00F5140A">
      <w:pPr>
        <w:spacing w:after="0"/>
        <w:rPr>
          <w:rFonts w:asciiTheme="majorBidi" w:hAnsiTheme="majorBidi" w:cstheme="majorBidi"/>
          <w:sz w:val="24"/>
          <w:szCs w:val="24"/>
          <w:lang w:val="en-GB"/>
        </w:rPr>
      </w:pPr>
      <w:r w:rsidRPr="00A175AA">
        <w:rPr>
          <w:rFonts w:asciiTheme="majorBidi" w:hAnsiTheme="majorBidi" w:cstheme="majorBidi"/>
          <w:sz w:val="24"/>
          <w:szCs w:val="24"/>
          <w:lang w:val="en-GB"/>
        </w:rPr>
        <w:t>University Centre for Nursing and Midwifery</w:t>
      </w:r>
    </w:p>
    <w:p w14:paraId="5FF94572" w14:textId="77777777" w:rsidR="00F5140A" w:rsidRPr="00A175AA" w:rsidRDefault="00F5140A" w:rsidP="00F5140A">
      <w:pPr>
        <w:spacing w:after="0"/>
        <w:rPr>
          <w:rFonts w:asciiTheme="majorBidi" w:hAnsiTheme="majorBidi" w:cstheme="majorBidi"/>
          <w:sz w:val="24"/>
          <w:szCs w:val="24"/>
        </w:rPr>
      </w:pPr>
      <w:r w:rsidRPr="00A175AA">
        <w:rPr>
          <w:rFonts w:asciiTheme="majorBidi" w:hAnsiTheme="majorBidi" w:cstheme="majorBidi"/>
          <w:sz w:val="24"/>
          <w:szCs w:val="24"/>
        </w:rPr>
        <w:t>Ghent University</w:t>
      </w:r>
    </w:p>
    <w:p w14:paraId="78EA14EE" w14:textId="77777777" w:rsidR="00F5140A" w:rsidRPr="00A175AA" w:rsidRDefault="00F5140A" w:rsidP="00F5140A">
      <w:pPr>
        <w:spacing w:after="0"/>
        <w:rPr>
          <w:rFonts w:asciiTheme="majorBidi" w:hAnsiTheme="majorBidi" w:cstheme="majorBidi"/>
          <w:sz w:val="24"/>
          <w:szCs w:val="24"/>
        </w:rPr>
      </w:pPr>
      <w:r w:rsidRPr="00A175AA">
        <w:rPr>
          <w:rFonts w:asciiTheme="majorBidi" w:hAnsiTheme="majorBidi" w:cstheme="majorBidi"/>
          <w:sz w:val="24"/>
          <w:szCs w:val="24"/>
        </w:rPr>
        <w:t>UZGent, 5K3</w:t>
      </w:r>
    </w:p>
    <w:p w14:paraId="4731EB97" w14:textId="73E59D3D" w:rsidR="00F5140A" w:rsidRPr="00A175AA" w:rsidRDefault="00F5140A" w:rsidP="00F5140A">
      <w:pPr>
        <w:spacing w:after="0"/>
        <w:rPr>
          <w:rFonts w:asciiTheme="majorBidi" w:hAnsiTheme="majorBidi" w:cstheme="majorBidi"/>
          <w:sz w:val="24"/>
          <w:szCs w:val="24"/>
        </w:rPr>
      </w:pPr>
      <w:r w:rsidRPr="00A175AA">
        <w:rPr>
          <w:rFonts w:asciiTheme="majorBidi" w:hAnsiTheme="majorBidi" w:cstheme="majorBidi"/>
          <w:sz w:val="24"/>
          <w:szCs w:val="24"/>
        </w:rPr>
        <w:t>Corneel Heymanslaan 10</w:t>
      </w:r>
    </w:p>
    <w:p w14:paraId="6127E6E1" w14:textId="77777777" w:rsidR="00F5140A" w:rsidRPr="00A175AA" w:rsidRDefault="00F5140A" w:rsidP="00F5140A">
      <w:pPr>
        <w:spacing w:after="0"/>
        <w:rPr>
          <w:rFonts w:asciiTheme="majorBidi" w:hAnsiTheme="majorBidi" w:cstheme="majorBidi"/>
          <w:sz w:val="24"/>
          <w:szCs w:val="24"/>
          <w:lang w:val="en-GB"/>
        </w:rPr>
      </w:pPr>
      <w:r w:rsidRPr="00A175AA">
        <w:rPr>
          <w:rFonts w:asciiTheme="majorBidi" w:hAnsiTheme="majorBidi" w:cstheme="majorBidi"/>
          <w:sz w:val="24"/>
          <w:szCs w:val="24"/>
          <w:lang w:val="en-GB"/>
        </w:rPr>
        <w:t>9000 Ghent</w:t>
      </w:r>
    </w:p>
    <w:p w14:paraId="52D13C93" w14:textId="77777777" w:rsidR="00F5140A" w:rsidRPr="00A175AA" w:rsidRDefault="00F5140A" w:rsidP="00F5140A">
      <w:pPr>
        <w:spacing w:after="0"/>
        <w:rPr>
          <w:rFonts w:asciiTheme="majorBidi" w:hAnsiTheme="majorBidi" w:cstheme="majorBidi"/>
          <w:sz w:val="24"/>
          <w:szCs w:val="24"/>
          <w:lang w:val="en-GB"/>
        </w:rPr>
      </w:pPr>
      <w:r w:rsidRPr="00A175AA">
        <w:rPr>
          <w:rFonts w:asciiTheme="majorBidi" w:hAnsiTheme="majorBidi" w:cstheme="majorBidi"/>
          <w:sz w:val="24"/>
          <w:szCs w:val="24"/>
          <w:lang w:val="en-GB"/>
        </w:rPr>
        <w:t>Belgium</w:t>
      </w:r>
    </w:p>
    <w:p w14:paraId="334E259E" w14:textId="400DB064" w:rsidR="00832480" w:rsidRPr="00A175AA" w:rsidRDefault="00F5140A" w:rsidP="00F5140A">
      <w:pPr>
        <w:spacing w:after="0"/>
        <w:rPr>
          <w:rFonts w:asciiTheme="majorBidi" w:hAnsiTheme="majorBidi" w:cstheme="majorBidi"/>
          <w:sz w:val="24"/>
          <w:szCs w:val="24"/>
          <w:lang w:val="en-GB"/>
        </w:rPr>
      </w:pPr>
      <w:r w:rsidRPr="00A175AA">
        <w:rPr>
          <w:rFonts w:asciiTheme="majorBidi" w:hAnsiTheme="majorBidi" w:cstheme="majorBidi"/>
          <w:sz w:val="24"/>
          <w:szCs w:val="24"/>
          <w:lang w:val="en-GB"/>
        </w:rPr>
        <w:t>E-mail: Dimitri.Beeckman@UGent.be</w:t>
      </w:r>
    </w:p>
    <w:p w14:paraId="104ADAE4" w14:textId="63278324" w:rsidR="00832480" w:rsidRPr="00A175AA" w:rsidRDefault="00F5140A" w:rsidP="00832480">
      <w:pPr>
        <w:spacing w:after="0"/>
        <w:jc w:val="both"/>
        <w:rPr>
          <w:rFonts w:asciiTheme="majorBidi" w:hAnsiTheme="majorBidi" w:cstheme="majorBidi"/>
          <w:sz w:val="24"/>
          <w:szCs w:val="24"/>
          <w:lang w:val="de-DE"/>
        </w:rPr>
      </w:pPr>
      <w:r w:rsidRPr="00045A37">
        <w:rPr>
          <w:rFonts w:asciiTheme="majorBidi" w:hAnsiTheme="majorBidi" w:cstheme="majorBidi"/>
          <w:sz w:val="24"/>
          <w:szCs w:val="24"/>
        </w:rPr>
        <w:t xml:space="preserve">Twitter: </w:t>
      </w:r>
      <w:r w:rsidR="00DD6A40" w:rsidRPr="00A175AA">
        <w:rPr>
          <w:rFonts w:asciiTheme="majorBidi" w:hAnsiTheme="majorBidi" w:cstheme="majorBidi"/>
          <w:sz w:val="24"/>
          <w:szCs w:val="24"/>
          <w:lang w:val="de-DE"/>
        </w:rPr>
        <w:t>@</w:t>
      </w:r>
      <w:proofErr w:type="spellStart"/>
      <w:r w:rsidR="00DD6A40" w:rsidRPr="00A175AA">
        <w:rPr>
          <w:rFonts w:asciiTheme="majorBidi" w:hAnsiTheme="majorBidi" w:cstheme="majorBidi"/>
          <w:sz w:val="24"/>
          <w:szCs w:val="24"/>
          <w:lang w:val="de-DE"/>
        </w:rPr>
        <w:t>DimitriBeeckman</w:t>
      </w:r>
      <w:proofErr w:type="spellEnd"/>
      <w:r w:rsidR="00832480" w:rsidRPr="00A175AA">
        <w:rPr>
          <w:rFonts w:asciiTheme="majorBidi" w:hAnsiTheme="majorBidi" w:cstheme="majorBidi"/>
          <w:sz w:val="24"/>
          <w:szCs w:val="24"/>
          <w:lang w:val="de-DE"/>
        </w:rPr>
        <w:t xml:space="preserve"> @</w:t>
      </w:r>
      <w:proofErr w:type="spellStart"/>
      <w:r w:rsidR="00832480" w:rsidRPr="00A175AA">
        <w:rPr>
          <w:rFonts w:asciiTheme="majorBidi" w:hAnsiTheme="majorBidi" w:cstheme="majorBidi"/>
          <w:sz w:val="24"/>
          <w:szCs w:val="24"/>
          <w:lang w:val="de-DE"/>
        </w:rPr>
        <w:t>UCVVGent</w:t>
      </w:r>
      <w:proofErr w:type="spellEnd"/>
    </w:p>
    <w:p w14:paraId="22BC2489" w14:textId="77777777" w:rsidR="00832480" w:rsidRPr="00A175AA" w:rsidRDefault="00832480" w:rsidP="00832480">
      <w:pPr>
        <w:spacing w:after="60" w:line="240" w:lineRule="auto"/>
        <w:jc w:val="both"/>
        <w:rPr>
          <w:rFonts w:asciiTheme="majorBidi" w:hAnsiTheme="majorBidi" w:cstheme="majorBidi"/>
          <w:sz w:val="24"/>
          <w:szCs w:val="24"/>
          <w:lang w:val="de-DE"/>
        </w:rPr>
      </w:pPr>
    </w:p>
    <w:p w14:paraId="12E0BFA7" w14:textId="0F057871" w:rsidR="00E364F4" w:rsidRPr="00A175AA" w:rsidRDefault="00832480" w:rsidP="00F24F47">
      <w:pPr>
        <w:spacing w:after="60" w:line="240" w:lineRule="auto"/>
        <w:jc w:val="both"/>
        <w:outlineLvl w:val="0"/>
        <w:rPr>
          <w:rFonts w:asciiTheme="majorBidi" w:hAnsiTheme="majorBidi" w:cstheme="majorBidi"/>
          <w:sz w:val="24"/>
          <w:szCs w:val="24"/>
          <w:lang w:val="de-DE"/>
        </w:rPr>
      </w:pPr>
      <w:r w:rsidRPr="00A175AA">
        <w:rPr>
          <w:rFonts w:asciiTheme="majorBidi" w:hAnsiTheme="majorBidi" w:cstheme="majorBidi"/>
          <w:sz w:val="24"/>
          <w:szCs w:val="24"/>
          <w:lang w:val="de-DE"/>
        </w:rPr>
        <w:t xml:space="preserve">Karen VAN </w:t>
      </w:r>
      <w:r w:rsidR="00D27168" w:rsidRPr="00A175AA">
        <w:rPr>
          <w:rFonts w:asciiTheme="majorBidi" w:hAnsiTheme="majorBidi" w:cstheme="majorBidi"/>
          <w:sz w:val="24"/>
          <w:szCs w:val="24"/>
          <w:lang w:val="de-DE"/>
        </w:rPr>
        <w:t>den</w:t>
      </w:r>
      <w:r w:rsidRPr="00A175AA">
        <w:rPr>
          <w:rFonts w:asciiTheme="majorBidi" w:hAnsiTheme="majorBidi" w:cstheme="majorBidi"/>
          <w:sz w:val="24"/>
          <w:szCs w:val="24"/>
          <w:lang w:val="de-DE"/>
        </w:rPr>
        <w:t xml:space="preserve"> BUSSCHE </w:t>
      </w:r>
      <w:r w:rsidR="00E364F4" w:rsidRPr="00A175AA">
        <w:rPr>
          <w:rFonts w:asciiTheme="majorBidi" w:hAnsiTheme="majorBidi" w:cstheme="majorBidi"/>
          <w:sz w:val="24"/>
          <w:szCs w:val="24"/>
          <w:lang w:val="de-DE"/>
        </w:rPr>
        <w:t xml:space="preserve">RN </w:t>
      </w:r>
      <w:proofErr w:type="spellStart"/>
      <w:r w:rsidRPr="00A175AA">
        <w:rPr>
          <w:rFonts w:asciiTheme="majorBidi" w:hAnsiTheme="majorBidi" w:cstheme="majorBidi"/>
          <w:sz w:val="24"/>
          <w:szCs w:val="24"/>
          <w:lang w:val="de-DE"/>
        </w:rPr>
        <w:t>MSc</w:t>
      </w:r>
      <w:proofErr w:type="spellEnd"/>
      <w:r w:rsidRPr="00A175AA">
        <w:rPr>
          <w:rFonts w:asciiTheme="majorBidi" w:hAnsiTheme="majorBidi" w:cstheme="majorBidi"/>
          <w:sz w:val="24"/>
          <w:szCs w:val="24"/>
          <w:lang w:val="de-DE"/>
        </w:rPr>
        <w:t xml:space="preserve"> </w:t>
      </w:r>
    </w:p>
    <w:p w14:paraId="71FC9E98" w14:textId="20DB29D6" w:rsidR="00832480" w:rsidRPr="00A175AA" w:rsidRDefault="00832480" w:rsidP="00E364F4">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PhD Candidate</w:t>
      </w:r>
    </w:p>
    <w:p w14:paraId="035D13E0" w14:textId="063B77F0" w:rsidR="00832480" w:rsidRPr="00A175AA" w:rsidRDefault="002244D5" w:rsidP="00832480">
      <w:pPr>
        <w:spacing w:after="6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Skin Integrity Research Group (SKINT), </w:t>
      </w:r>
      <w:r w:rsidRPr="00873548">
        <w:rPr>
          <w:rFonts w:asciiTheme="majorBidi" w:hAnsiTheme="majorBidi" w:cstheme="majorBidi"/>
          <w:sz w:val="24"/>
          <w:szCs w:val="24"/>
          <w:lang w:val="en-GB"/>
        </w:rPr>
        <w:t>University Centre for Nursing and Midwifery</w:t>
      </w:r>
      <w:r w:rsidR="00832480" w:rsidRPr="00A175AA">
        <w:rPr>
          <w:rFonts w:asciiTheme="majorBidi" w:hAnsiTheme="majorBidi" w:cstheme="majorBidi"/>
          <w:sz w:val="24"/>
          <w:szCs w:val="24"/>
          <w:lang w:val="en-GB"/>
        </w:rPr>
        <w:t>, Department of Public Health, Ghent University, Belgium</w:t>
      </w:r>
    </w:p>
    <w:p w14:paraId="24D02628" w14:textId="77777777" w:rsidR="00832480" w:rsidRPr="00A175AA" w:rsidRDefault="00832480" w:rsidP="00832480">
      <w:pPr>
        <w:spacing w:after="60" w:line="240" w:lineRule="auto"/>
        <w:jc w:val="both"/>
        <w:rPr>
          <w:rFonts w:asciiTheme="majorBidi" w:hAnsiTheme="majorBidi" w:cstheme="majorBidi"/>
          <w:sz w:val="24"/>
          <w:szCs w:val="24"/>
          <w:lang w:val="en-GB"/>
        </w:rPr>
      </w:pPr>
    </w:p>
    <w:p w14:paraId="18F4224B" w14:textId="43948D2E" w:rsidR="00F57CA6" w:rsidRPr="00A175AA" w:rsidRDefault="00F57CA6"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Jan KOTTNER </w:t>
      </w:r>
      <w:r w:rsidR="00E364F4" w:rsidRPr="00A175AA">
        <w:rPr>
          <w:rFonts w:asciiTheme="majorBidi" w:hAnsiTheme="majorBidi" w:cstheme="majorBidi"/>
          <w:sz w:val="24"/>
          <w:szCs w:val="24"/>
          <w:lang w:val="en-GB"/>
        </w:rPr>
        <w:t xml:space="preserve">RN </w:t>
      </w:r>
      <w:r w:rsidRPr="00A175AA">
        <w:rPr>
          <w:rFonts w:asciiTheme="majorBidi" w:hAnsiTheme="majorBidi" w:cstheme="majorBidi"/>
          <w:sz w:val="24"/>
          <w:szCs w:val="24"/>
          <w:lang w:val="en-GB"/>
        </w:rPr>
        <w:t>PhD</w:t>
      </w:r>
    </w:p>
    <w:p w14:paraId="68D45882" w14:textId="05FC4016" w:rsidR="00F57CA6" w:rsidRPr="00A175AA" w:rsidRDefault="00F57CA6" w:rsidP="00F57CA6">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Scientific Director</w:t>
      </w:r>
      <w:r w:rsidR="00204E76" w:rsidRPr="00A175AA">
        <w:rPr>
          <w:rFonts w:asciiTheme="majorBidi" w:hAnsiTheme="majorBidi" w:cstheme="majorBidi"/>
          <w:sz w:val="24"/>
          <w:szCs w:val="24"/>
          <w:lang w:val="en-GB"/>
        </w:rPr>
        <w:t xml:space="preserve"> / V</w:t>
      </w:r>
      <w:r w:rsidR="00A7646E" w:rsidRPr="00A175AA">
        <w:rPr>
          <w:rFonts w:asciiTheme="majorBidi" w:hAnsiTheme="majorBidi" w:cstheme="majorBidi"/>
          <w:sz w:val="24"/>
          <w:szCs w:val="24"/>
          <w:lang w:val="en-GB"/>
        </w:rPr>
        <w:t>isiting professor</w:t>
      </w:r>
    </w:p>
    <w:p w14:paraId="08EBE6DD" w14:textId="77777777" w:rsidR="0073715D" w:rsidRPr="00A175AA" w:rsidRDefault="00F57CA6" w:rsidP="00F81191">
      <w:pPr>
        <w:pStyle w:val="ListParagraph"/>
        <w:numPr>
          <w:ilvl w:val="0"/>
          <w:numId w:val="1"/>
        </w:num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Clin</w:t>
      </w:r>
      <w:r w:rsidR="00A21033" w:rsidRPr="00A175AA">
        <w:rPr>
          <w:rFonts w:asciiTheme="majorBidi" w:hAnsiTheme="majorBidi" w:cstheme="majorBidi"/>
          <w:sz w:val="24"/>
          <w:szCs w:val="24"/>
          <w:lang w:val="en-GB"/>
        </w:rPr>
        <w:t xml:space="preserve">ical Research </w:t>
      </w:r>
      <w:proofErr w:type="spellStart"/>
      <w:r w:rsidR="00A21033" w:rsidRPr="00A175AA">
        <w:rPr>
          <w:rFonts w:asciiTheme="majorBidi" w:hAnsiTheme="majorBidi" w:cstheme="majorBidi"/>
          <w:sz w:val="24"/>
          <w:szCs w:val="24"/>
          <w:lang w:val="en-GB"/>
        </w:rPr>
        <w:t>Center</w:t>
      </w:r>
      <w:proofErr w:type="spellEnd"/>
      <w:r w:rsidR="00A21033" w:rsidRPr="00A175AA">
        <w:rPr>
          <w:rFonts w:asciiTheme="majorBidi" w:hAnsiTheme="majorBidi" w:cstheme="majorBidi"/>
          <w:sz w:val="24"/>
          <w:szCs w:val="24"/>
          <w:lang w:val="en-GB"/>
        </w:rPr>
        <w:t xml:space="preserve"> for Hair and</w:t>
      </w:r>
      <w:r w:rsidRPr="00A175AA">
        <w:rPr>
          <w:rFonts w:asciiTheme="majorBidi" w:hAnsiTheme="majorBidi" w:cstheme="majorBidi"/>
          <w:sz w:val="24"/>
          <w:szCs w:val="24"/>
          <w:lang w:val="en-GB"/>
        </w:rPr>
        <w:t xml:space="preserve"> Skin Science, Department of Dermatology, </w:t>
      </w:r>
      <w:proofErr w:type="spellStart"/>
      <w:r w:rsidRPr="00A175AA">
        <w:rPr>
          <w:rFonts w:asciiTheme="majorBidi" w:hAnsiTheme="majorBidi" w:cstheme="majorBidi"/>
          <w:sz w:val="24"/>
          <w:szCs w:val="24"/>
          <w:lang w:val="en-GB"/>
        </w:rPr>
        <w:t>Charité-Universtitätsmedizin</w:t>
      </w:r>
      <w:proofErr w:type="spellEnd"/>
      <w:r w:rsidRPr="00A175AA">
        <w:rPr>
          <w:rFonts w:asciiTheme="majorBidi" w:hAnsiTheme="majorBidi" w:cstheme="majorBidi"/>
          <w:sz w:val="24"/>
          <w:szCs w:val="24"/>
          <w:lang w:val="en-GB"/>
        </w:rPr>
        <w:t>, Berlin, Germany</w:t>
      </w:r>
    </w:p>
    <w:p w14:paraId="01402817" w14:textId="184E1219" w:rsidR="00A7646E" w:rsidRPr="00A175AA" w:rsidRDefault="002244D5" w:rsidP="00F81191">
      <w:pPr>
        <w:pStyle w:val="ListParagraph"/>
        <w:numPr>
          <w:ilvl w:val="0"/>
          <w:numId w:val="1"/>
        </w:numPr>
        <w:spacing w:after="6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Skin Integrity Research Group (SKINT), </w:t>
      </w:r>
      <w:r w:rsidRPr="00873548">
        <w:rPr>
          <w:rFonts w:asciiTheme="majorBidi" w:hAnsiTheme="majorBidi" w:cstheme="majorBidi"/>
          <w:sz w:val="24"/>
          <w:szCs w:val="24"/>
          <w:lang w:val="en-GB"/>
        </w:rPr>
        <w:t>University Centre for Nursing and Midwifery</w:t>
      </w:r>
      <w:r w:rsidR="00A7646E" w:rsidRPr="00A175AA">
        <w:rPr>
          <w:rFonts w:asciiTheme="majorBidi" w:hAnsiTheme="majorBidi" w:cstheme="majorBidi"/>
          <w:sz w:val="24"/>
          <w:szCs w:val="24"/>
          <w:lang w:val="en-GB"/>
        </w:rPr>
        <w:t>, Department of Public Health, Ghent University, Belgium</w:t>
      </w:r>
    </w:p>
    <w:p w14:paraId="08670A11" w14:textId="77777777" w:rsidR="00F57CA6" w:rsidRPr="00A175AA" w:rsidRDefault="00F57CA6" w:rsidP="00832480">
      <w:pPr>
        <w:spacing w:after="60" w:line="240" w:lineRule="auto"/>
        <w:jc w:val="both"/>
        <w:rPr>
          <w:rFonts w:asciiTheme="majorBidi" w:hAnsiTheme="majorBidi" w:cstheme="majorBidi"/>
          <w:sz w:val="24"/>
          <w:szCs w:val="24"/>
          <w:lang w:val="en-GB"/>
        </w:rPr>
      </w:pPr>
    </w:p>
    <w:p w14:paraId="2D731EB0" w14:textId="3B2A8120" w:rsidR="00A7646E" w:rsidRPr="00A175AA" w:rsidRDefault="00A7646E"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Hilde BEELE </w:t>
      </w:r>
      <w:r w:rsidR="00E364F4" w:rsidRPr="00A175AA">
        <w:rPr>
          <w:rFonts w:asciiTheme="majorBidi" w:hAnsiTheme="majorBidi" w:cstheme="majorBidi"/>
          <w:sz w:val="24"/>
          <w:szCs w:val="24"/>
          <w:lang w:val="en-GB"/>
        </w:rPr>
        <w:t xml:space="preserve">MD </w:t>
      </w:r>
      <w:r w:rsidRPr="00A175AA">
        <w:rPr>
          <w:rFonts w:asciiTheme="majorBidi" w:hAnsiTheme="majorBidi" w:cstheme="majorBidi"/>
          <w:sz w:val="24"/>
          <w:szCs w:val="24"/>
          <w:lang w:val="en-GB"/>
        </w:rPr>
        <w:t>PhD</w:t>
      </w:r>
    </w:p>
    <w:p w14:paraId="346D1C68" w14:textId="5D6FA955" w:rsidR="00A7646E" w:rsidRPr="00A175AA" w:rsidRDefault="00A7646E" w:rsidP="00376061">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 xml:space="preserve">Professor / Head of </w:t>
      </w:r>
      <w:r w:rsidR="00376061" w:rsidRPr="00A175AA">
        <w:rPr>
          <w:rFonts w:asciiTheme="majorBidi" w:hAnsiTheme="majorBidi" w:cstheme="majorBidi"/>
          <w:sz w:val="24"/>
          <w:szCs w:val="24"/>
          <w:lang w:val="en-GB"/>
        </w:rPr>
        <w:t>department</w:t>
      </w:r>
    </w:p>
    <w:p w14:paraId="58E78CC9" w14:textId="77777777" w:rsidR="00A7646E" w:rsidRPr="00A175AA" w:rsidRDefault="00A7646E" w:rsidP="00A7646E">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Department of Dermatology, Ghent University Hospital, Ghent, Belgium</w:t>
      </w:r>
    </w:p>
    <w:p w14:paraId="54E7BCC0" w14:textId="77777777" w:rsidR="00A7646E" w:rsidRPr="00A175AA" w:rsidRDefault="00A7646E" w:rsidP="00832480">
      <w:pPr>
        <w:spacing w:after="60" w:line="240" w:lineRule="auto"/>
        <w:jc w:val="both"/>
        <w:rPr>
          <w:rFonts w:asciiTheme="majorBidi" w:hAnsiTheme="majorBidi" w:cstheme="majorBidi"/>
          <w:sz w:val="24"/>
          <w:szCs w:val="24"/>
          <w:lang w:val="en-GB"/>
        </w:rPr>
      </w:pPr>
    </w:p>
    <w:p w14:paraId="4802A5B8" w14:textId="35088244" w:rsidR="00832480" w:rsidRPr="00A175AA" w:rsidRDefault="00832480" w:rsidP="00F24F47">
      <w:pPr>
        <w:spacing w:after="60" w:line="240" w:lineRule="auto"/>
        <w:jc w:val="both"/>
        <w:outlineLvl w:val="0"/>
        <w:rPr>
          <w:rFonts w:asciiTheme="majorBidi" w:hAnsiTheme="majorBidi" w:cstheme="majorBidi"/>
          <w:sz w:val="24"/>
          <w:szCs w:val="24"/>
          <w:lang w:val="en-GB"/>
        </w:rPr>
      </w:pPr>
      <w:proofErr w:type="spellStart"/>
      <w:r w:rsidRPr="00A175AA">
        <w:rPr>
          <w:rFonts w:asciiTheme="majorBidi" w:hAnsiTheme="majorBidi" w:cstheme="majorBidi"/>
          <w:sz w:val="24"/>
          <w:szCs w:val="24"/>
          <w:lang w:val="en-GB"/>
        </w:rPr>
        <w:t>Dorien</w:t>
      </w:r>
      <w:proofErr w:type="spellEnd"/>
      <w:r w:rsidRPr="00A175AA">
        <w:rPr>
          <w:rFonts w:asciiTheme="majorBidi" w:hAnsiTheme="majorBidi" w:cstheme="majorBidi"/>
          <w:sz w:val="24"/>
          <w:szCs w:val="24"/>
          <w:lang w:val="en-GB"/>
        </w:rPr>
        <w:t xml:space="preserve"> DE MEYER </w:t>
      </w:r>
      <w:r w:rsidR="00E364F4" w:rsidRPr="00A175AA">
        <w:rPr>
          <w:rFonts w:asciiTheme="majorBidi" w:hAnsiTheme="majorBidi" w:cstheme="majorBidi"/>
          <w:sz w:val="24"/>
          <w:szCs w:val="24"/>
          <w:lang w:val="en-GB"/>
        </w:rPr>
        <w:t xml:space="preserve">RN </w:t>
      </w:r>
      <w:r w:rsidRPr="00A175AA">
        <w:rPr>
          <w:rFonts w:asciiTheme="majorBidi" w:hAnsiTheme="majorBidi" w:cstheme="majorBidi"/>
          <w:sz w:val="24"/>
          <w:szCs w:val="24"/>
          <w:lang w:val="en-GB"/>
        </w:rPr>
        <w:t>MSc</w:t>
      </w:r>
    </w:p>
    <w:p w14:paraId="289C64BA"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PhD Candidate</w:t>
      </w:r>
    </w:p>
    <w:p w14:paraId="12D10818" w14:textId="16F4D8F5" w:rsidR="00832480" w:rsidRPr="00A175AA" w:rsidRDefault="002244D5" w:rsidP="00832480">
      <w:pPr>
        <w:spacing w:after="6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Skin Integrity Research Group (SKINT), </w:t>
      </w:r>
      <w:r w:rsidRPr="00873548">
        <w:rPr>
          <w:rFonts w:asciiTheme="majorBidi" w:hAnsiTheme="majorBidi" w:cstheme="majorBidi"/>
          <w:sz w:val="24"/>
          <w:szCs w:val="24"/>
          <w:lang w:val="en-GB"/>
        </w:rPr>
        <w:t>University Centre for Nursing and Midwifery</w:t>
      </w:r>
      <w:r w:rsidR="00832480" w:rsidRPr="00A175AA">
        <w:rPr>
          <w:rFonts w:asciiTheme="majorBidi" w:hAnsiTheme="majorBidi" w:cstheme="majorBidi"/>
          <w:sz w:val="24"/>
          <w:szCs w:val="24"/>
          <w:lang w:val="en-GB"/>
        </w:rPr>
        <w:t>, Department of Public Health, Ghent University, Belgium</w:t>
      </w:r>
    </w:p>
    <w:p w14:paraId="46D37974" w14:textId="77777777" w:rsidR="00832480" w:rsidRPr="00A175AA" w:rsidRDefault="00832480" w:rsidP="00832480">
      <w:pPr>
        <w:spacing w:after="60" w:line="240" w:lineRule="auto"/>
        <w:jc w:val="both"/>
        <w:rPr>
          <w:rFonts w:asciiTheme="majorBidi" w:hAnsiTheme="majorBidi" w:cstheme="majorBidi"/>
          <w:sz w:val="24"/>
          <w:szCs w:val="24"/>
          <w:lang w:val="en-GB"/>
        </w:rPr>
      </w:pPr>
    </w:p>
    <w:p w14:paraId="6DDDE3A0" w14:textId="4848E85C" w:rsidR="00E364F4" w:rsidRPr="00A175AA" w:rsidRDefault="00832480" w:rsidP="00F24F47">
      <w:pPr>
        <w:spacing w:after="60" w:line="240" w:lineRule="auto"/>
        <w:jc w:val="both"/>
        <w:outlineLvl w:val="0"/>
        <w:rPr>
          <w:lang w:val="de-DE"/>
        </w:rPr>
      </w:pPr>
      <w:r w:rsidRPr="00A175AA">
        <w:rPr>
          <w:rFonts w:asciiTheme="majorBidi" w:hAnsiTheme="majorBidi" w:cstheme="majorBidi"/>
          <w:sz w:val="24"/>
          <w:szCs w:val="24"/>
          <w:lang w:val="de-DE"/>
        </w:rPr>
        <w:lastRenderedPageBreak/>
        <w:t xml:space="preserve">Ann Marie DUNK </w:t>
      </w:r>
      <w:r w:rsidR="00FE4641" w:rsidRPr="00A175AA">
        <w:rPr>
          <w:rFonts w:asciiTheme="majorBidi" w:hAnsiTheme="majorBidi" w:cstheme="majorBidi"/>
          <w:sz w:val="24"/>
          <w:szCs w:val="24"/>
          <w:lang w:val="de-DE"/>
        </w:rPr>
        <w:t xml:space="preserve">RN </w:t>
      </w:r>
      <w:proofErr w:type="spellStart"/>
      <w:r w:rsidR="00FE4641" w:rsidRPr="00A175AA">
        <w:rPr>
          <w:rFonts w:asciiTheme="majorBidi" w:hAnsiTheme="majorBidi" w:cstheme="majorBidi"/>
          <w:sz w:val="24"/>
          <w:szCs w:val="24"/>
          <w:lang w:val="de-DE"/>
        </w:rPr>
        <w:t>BHlthSc</w:t>
      </w:r>
      <w:proofErr w:type="spellEnd"/>
      <w:r w:rsidR="00FE4641" w:rsidRPr="00A175AA">
        <w:rPr>
          <w:rFonts w:asciiTheme="majorBidi" w:hAnsiTheme="majorBidi" w:cstheme="majorBidi"/>
          <w:sz w:val="24"/>
          <w:szCs w:val="24"/>
          <w:lang w:val="de-DE"/>
        </w:rPr>
        <w:t xml:space="preserve"> MN</w:t>
      </w:r>
    </w:p>
    <w:p w14:paraId="4F2318FC" w14:textId="44A7A125" w:rsidR="00832480" w:rsidRPr="00A175AA" w:rsidRDefault="00832480" w:rsidP="00E364F4">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Clinical Nurse Consultant</w:t>
      </w:r>
    </w:p>
    <w:p w14:paraId="10826B1E"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Tissue Viability Unit, Canberra Hospital, ACT Health, Canberra, Australia</w:t>
      </w:r>
    </w:p>
    <w:p w14:paraId="76542321" w14:textId="77777777" w:rsidR="00832480" w:rsidRPr="00A175AA" w:rsidRDefault="00832480" w:rsidP="00832480">
      <w:pPr>
        <w:spacing w:after="60" w:line="240" w:lineRule="auto"/>
        <w:jc w:val="both"/>
        <w:rPr>
          <w:rFonts w:asciiTheme="majorBidi" w:hAnsiTheme="majorBidi" w:cstheme="majorBidi"/>
          <w:sz w:val="24"/>
          <w:szCs w:val="24"/>
          <w:lang w:val="en-GB"/>
        </w:rPr>
      </w:pPr>
    </w:p>
    <w:p w14:paraId="14D4A2E6" w14:textId="7AAB8295" w:rsidR="00832480" w:rsidRPr="00A175AA" w:rsidRDefault="00832480"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Steven ERSSER </w:t>
      </w:r>
      <w:r w:rsidR="00FE4641" w:rsidRPr="00A175AA">
        <w:rPr>
          <w:rFonts w:asciiTheme="majorBidi" w:hAnsiTheme="majorBidi" w:cstheme="majorBidi"/>
          <w:sz w:val="24"/>
          <w:szCs w:val="24"/>
          <w:lang w:val="en-GB"/>
        </w:rPr>
        <w:t xml:space="preserve">RN </w:t>
      </w:r>
      <w:r w:rsidRPr="00A175AA">
        <w:rPr>
          <w:rFonts w:asciiTheme="majorBidi" w:hAnsiTheme="majorBidi" w:cstheme="majorBidi"/>
          <w:sz w:val="24"/>
          <w:szCs w:val="24"/>
          <w:lang w:val="en-GB"/>
        </w:rPr>
        <w:t>PhD</w:t>
      </w:r>
    </w:p>
    <w:p w14:paraId="3C7A1969"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Professor</w:t>
      </w:r>
    </w:p>
    <w:p w14:paraId="332DB267"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Department of Health Sciences, University of York, York, United Kingdom</w:t>
      </w:r>
    </w:p>
    <w:p w14:paraId="7B21EA6A" w14:textId="77777777" w:rsidR="00832480" w:rsidRPr="00A175AA" w:rsidRDefault="00832480" w:rsidP="00832480">
      <w:pPr>
        <w:spacing w:after="60" w:line="240" w:lineRule="auto"/>
        <w:jc w:val="both"/>
        <w:rPr>
          <w:rFonts w:asciiTheme="majorBidi" w:hAnsiTheme="majorBidi" w:cstheme="majorBidi"/>
          <w:sz w:val="24"/>
          <w:szCs w:val="24"/>
          <w:lang w:val="en-GB"/>
        </w:rPr>
      </w:pPr>
    </w:p>
    <w:p w14:paraId="28EBC608" w14:textId="5CD87ADB" w:rsidR="00F82AC7" w:rsidRPr="00A175AA" w:rsidRDefault="00F82AC7"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Toni </w:t>
      </w:r>
      <w:r w:rsidR="0073715D" w:rsidRPr="00A175AA">
        <w:rPr>
          <w:rFonts w:asciiTheme="majorBidi" w:hAnsiTheme="majorBidi" w:cstheme="majorBidi"/>
          <w:sz w:val="24"/>
          <w:szCs w:val="24"/>
          <w:lang w:val="en-GB"/>
        </w:rPr>
        <w:t>LANGE</w:t>
      </w:r>
      <w:r w:rsidR="003E511A" w:rsidRPr="00A175AA">
        <w:rPr>
          <w:rFonts w:asciiTheme="majorBidi" w:hAnsiTheme="majorBidi" w:cstheme="majorBidi"/>
          <w:sz w:val="24"/>
          <w:szCs w:val="24"/>
          <w:lang w:val="en-GB"/>
        </w:rPr>
        <w:t xml:space="preserve"> </w:t>
      </w:r>
      <w:r w:rsidR="00D40A46" w:rsidRPr="00A175AA">
        <w:rPr>
          <w:rFonts w:asciiTheme="majorBidi" w:hAnsiTheme="majorBidi" w:cstheme="majorBidi"/>
          <w:sz w:val="24"/>
          <w:szCs w:val="24"/>
          <w:lang w:val="en-GB"/>
        </w:rPr>
        <w:t>MPH</w:t>
      </w:r>
    </w:p>
    <w:p w14:paraId="66CD0A69" w14:textId="156B4B71" w:rsidR="003E511A" w:rsidRPr="00A175AA" w:rsidRDefault="00D40A46" w:rsidP="003E511A">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Research associate</w:t>
      </w:r>
    </w:p>
    <w:p w14:paraId="2A9B6335" w14:textId="2135DAE9" w:rsidR="00F82AC7" w:rsidRPr="00A175AA" w:rsidRDefault="00E624E8" w:rsidP="00832480">
      <w:pPr>
        <w:spacing w:after="60" w:line="240" w:lineRule="auto"/>
        <w:jc w:val="both"/>
        <w:rPr>
          <w:rFonts w:asciiTheme="majorBidi" w:hAnsiTheme="majorBidi" w:cstheme="majorBidi"/>
          <w:sz w:val="24"/>
          <w:szCs w:val="24"/>
          <w:lang w:val="en-GB"/>
        </w:rPr>
      </w:pPr>
      <w:proofErr w:type="spellStart"/>
      <w:r w:rsidRPr="00A175AA">
        <w:rPr>
          <w:rFonts w:asciiTheme="majorBidi" w:hAnsiTheme="majorBidi" w:cstheme="majorBidi"/>
          <w:sz w:val="24"/>
          <w:szCs w:val="24"/>
          <w:lang w:val="en-GB"/>
        </w:rPr>
        <w:t>Center</w:t>
      </w:r>
      <w:proofErr w:type="spellEnd"/>
      <w:r w:rsidRPr="00A175AA">
        <w:rPr>
          <w:rFonts w:asciiTheme="majorBidi" w:hAnsiTheme="majorBidi" w:cstheme="majorBidi"/>
          <w:sz w:val="24"/>
          <w:szCs w:val="24"/>
          <w:lang w:val="en-GB"/>
        </w:rPr>
        <w:t xml:space="preserve"> for Evidence-Based Healthcare, </w:t>
      </w:r>
      <w:proofErr w:type="spellStart"/>
      <w:r w:rsidRPr="00A175AA">
        <w:rPr>
          <w:rFonts w:asciiTheme="majorBidi" w:hAnsiTheme="majorBidi" w:cstheme="majorBidi"/>
          <w:sz w:val="24"/>
          <w:szCs w:val="24"/>
          <w:lang w:val="en-GB"/>
        </w:rPr>
        <w:t>Medizinsche</w:t>
      </w:r>
      <w:proofErr w:type="spellEnd"/>
      <w:r w:rsidRPr="00A175AA">
        <w:rPr>
          <w:rFonts w:asciiTheme="majorBidi" w:hAnsiTheme="majorBidi" w:cstheme="majorBidi"/>
          <w:sz w:val="24"/>
          <w:szCs w:val="24"/>
          <w:lang w:val="en-GB"/>
        </w:rPr>
        <w:t xml:space="preserve"> </w:t>
      </w:r>
      <w:proofErr w:type="spellStart"/>
      <w:proofErr w:type="gramStart"/>
      <w:r w:rsidRPr="00A175AA">
        <w:rPr>
          <w:rFonts w:asciiTheme="majorBidi" w:hAnsiTheme="majorBidi" w:cstheme="majorBidi"/>
          <w:sz w:val="24"/>
          <w:szCs w:val="24"/>
          <w:lang w:val="en-GB"/>
        </w:rPr>
        <w:t>Fakultät</w:t>
      </w:r>
      <w:proofErr w:type="spellEnd"/>
      <w:r w:rsidRPr="00A175AA">
        <w:rPr>
          <w:rFonts w:asciiTheme="majorBidi" w:hAnsiTheme="majorBidi" w:cstheme="majorBidi"/>
          <w:sz w:val="24"/>
          <w:szCs w:val="24"/>
          <w:lang w:val="en-GB"/>
        </w:rPr>
        <w:t xml:space="preserve">  Carl</w:t>
      </w:r>
      <w:proofErr w:type="gramEnd"/>
      <w:r w:rsidRPr="00A175AA">
        <w:rPr>
          <w:rFonts w:asciiTheme="majorBidi" w:hAnsiTheme="majorBidi" w:cstheme="majorBidi"/>
          <w:sz w:val="24"/>
          <w:szCs w:val="24"/>
          <w:lang w:val="en-GB"/>
        </w:rPr>
        <w:t xml:space="preserve"> Gustav </w:t>
      </w:r>
      <w:proofErr w:type="spellStart"/>
      <w:r w:rsidRPr="00A175AA">
        <w:rPr>
          <w:rFonts w:asciiTheme="majorBidi" w:hAnsiTheme="majorBidi" w:cstheme="majorBidi"/>
          <w:sz w:val="24"/>
          <w:szCs w:val="24"/>
          <w:lang w:val="en-GB"/>
        </w:rPr>
        <w:t>Carus</w:t>
      </w:r>
      <w:proofErr w:type="spellEnd"/>
      <w:r w:rsidRPr="00A175AA">
        <w:rPr>
          <w:rFonts w:asciiTheme="majorBidi" w:hAnsiTheme="majorBidi" w:cstheme="majorBidi"/>
          <w:sz w:val="24"/>
          <w:szCs w:val="24"/>
          <w:lang w:val="en-GB"/>
        </w:rPr>
        <w:t xml:space="preserve"> TU Dresden, Dresden, Germany</w:t>
      </w:r>
    </w:p>
    <w:p w14:paraId="2A1BE4E1" w14:textId="77777777" w:rsidR="00E624E8" w:rsidRPr="00A175AA" w:rsidRDefault="00E624E8" w:rsidP="00832480">
      <w:pPr>
        <w:spacing w:after="60" w:line="240" w:lineRule="auto"/>
        <w:jc w:val="both"/>
        <w:rPr>
          <w:rFonts w:asciiTheme="majorBidi" w:hAnsiTheme="majorBidi" w:cstheme="majorBidi"/>
          <w:sz w:val="24"/>
          <w:szCs w:val="24"/>
          <w:lang w:val="en-GB"/>
        </w:rPr>
      </w:pPr>
    </w:p>
    <w:p w14:paraId="5F2ACBE8" w14:textId="644DFFAF" w:rsidR="00832480" w:rsidRPr="00A175AA" w:rsidRDefault="00832480"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Mirko PETROVIC </w:t>
      </w:r>
      <w:r w:rsidR="00FE4641" w:rsidRPr="00A175AA">
        <w:rPr>
          <w:rFonts w:asciiTheme="majorBidi" w:hAnsiTheme="majorBidi" w:cstheme="majorBidi"/>
          <w:sz w:val="24"/>
          <w:szCs w:val="24"/>
          <w:lang w:val="en-GB"/>
        </w:rPr>
        <w:t>MD PhD</w:t>
      </w:r>
    </w:p>
    <w:p w14:paraId="07DD769A"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Professor</w:t>
      </w:r>
    </w:p>
    <w:p w14:paraId="561B93F6"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Department of Geriatrics, Ghent University Hospital, Ghent, Belgium</w:t>
      </w:r>
    </w:p>
    <w:p w14:paraId="7B083009" w14:textId="77777777" w:rsidR="00832480" w:rsidRPr="00A175AA" w:rsidRDefault="00832480" w:rsidP="00832480">
      <w:pPr>
        <w:spacing w:after="60" w:line="240" w:lineRule="auto"/>
        <w:jc w:val="both"/>
        <w:rPr>
          <w:rFonts w:asciiTheme="majorBidi" w:hAnsiTheme="majorBidi" w:cstheme="majorBidi"/>
          <w:sz w:val="24"/>
          <w:szCs w:val="24"/>
          <w:lang w:val="en-GB"/>
        </w:rPr>
      </w:pPr>
    </w:p>
    <w:p w14:paraId="0427CA26" w14:textId="79CE3D1C" w:rsidR="00832480" w:rsidRPr="00A175AA" w:rsidRDefault="00832480"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Lisette SCHOONHOVEN </w:t>
      </w:r>
      <w:r w:rsidR="00FE4641" w:rsidRPr="00A175AA">
        <w:rPr>
          <w:rFonts w:asciiTheme="majorBidi" w:hAnsiTheme="majorBidi" w:cstheme="majorBidi"/>
          <w:sz w:val="24"/>
          <w:szCs w:val="24"/>
          <w:lang w:val="en-GB"/>
        </w:rPr>
        <w:t>RN PhD</w:t>
      </w:r>
    </w:p>
    <w:p w14:paraId="0582D778"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Professor</w:t>
      </w:r>
    </w:p>
    <w:p w14:paraId="0790CAE6" w14:textId="5DAA1121" w:rsidR="00832480" w:rsidRPr="00A175AA" w:rsidRDefault="00832480" w:rsidP="00F81191">
      <w:pPr>
        <w:pStyle w:val="ListParagraph"/>
        <w:numPr>
          <w:ilvl w:val="0"/>
          <w:numId w:val="1"/>
        </w:num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Faculty of Health Sciences, University of Southampton, Southampton, United Kingdom</w:t>
      </w:r>
    </w:p>
    <w:p w14:paraId="02D46A06" w14:textId="77777777" w:rsidR="00C310CD" w:rsidRPr="00A175AA" w:rsidRDefault="00C310CD" w:rsidP="00F81191">
      <w:pPr>
        <w:pStyle w:val="ListParagraph"/>
        <w:numPr>
          <w:ilvl w:val="0"/>
          <w:numId w:val="1"/>
        </w:numPr>
        <w:spacing w:after="60" w:line="240" w:lineRule="auto"/>
        <w:jc w:val="both"/>
        <w:rPr>
          <w:rFonts w:asciiTheme="majorBidi" w:hAnsiTheme="majorBidi" w:cstheme="majorBidi"/>
          <w:sz w:val="24"/>
          <w:szCs w:val="24"/>
          <w:lang w:val="en-GB"/>
        </w:rPr>
      </w:pPr>
      <w:proofErr w:type="spellStart"/>
      <w:r w:rsidRPr="00A175AA">
        <w:rPr>
          <w:rFonts w:asciiTheme="majorBidi" w:hAnsiTheme="majorBidi" w:cstheme="majorBidi"/>
          <w:sz w:val="24"/>
          <w:szCs w:val="24"/>
          <w:lang w:val="en-GB"/>
        </w:rPr>
        <w:t>Radboud</w:t>
      </w:r>
      <w:proofErr w:type="spellEnd"/>
      <w:r w:rsidRPr="00A175AA">
        <w:rPr>
          <w:rFonts w:asciiTheme="majorBidi" w:hAnsiTheme="majorBidi" w:cstheme="majorBidi"/>
          <w:sz w:val="24"/>
          <w:szCs w:val="24"/>
          <w:lang w:val="en-GB"/>
        </w:rPr>
        <w:t xml:space="preserve"> university medical </w:t>
      </w:r>
      <w:proofErr w:type="spellStart"/>
      <w:r w:rsidRPr="00A175AA">
        <w:rPr>
          <w:rFonts w:asciiTheme="majorBidi" w:hAnsiTheme="majorBidi" w:cstheme="majorBidi"/>
          <w:sz w:val="24"/>
          <w:szCs w:val="24"/>
          <w:lang w:val="en-GB"/>
        </w:rPr>
        <w:t>center</w:t>
      </w:r>
      <w:proofErr w:type="spellEnd"/>
      <w:r w:rsidRPr="00A175AA">
        <w:rPr>
          <w:rFonts w:asciiTheme="majorBidi" w:hAnsiTheme="majorBidi" w:cstheme="majorBidi"/>
          <w:sz w:val="24"/>
          <w:szCs w:val="24"/>
          <w:lang w:val="en-GB"/>
        </w:rPr>
        <w:t>, Scientific Institute for Quality of Healthcare, Nijmegen, The Netherlands</w:t>
      </w:r>
      <w:r w:rsidRPr="00A175AA">
        <w:rPr>
          <w:rFonts w:asciiTheme="majorBidi" w:hAnsiTheme="majorBidi" w:cstheme="majorBidi"/>
          <w:lang w:val="en-GB"/>
        </w:rPr>
        <w:t> </w:t>
      </w:r>
    </w:p>
    <w:p w14:paraId="606014C6" w14:textId="77777777" w:rsidR="00C310CD" w:rsidRPr="00A175AA" w:rsidRDefault="00C310CD" w:rsidP="00832480">
      <w:pPr>
        <w:spacing w:after="60" w:line="240" w:lineRule="auto"/>
        <w:jc w:val="both"/>
        <w:rPr>
          <w:rFonts w:asciiTheme="majorBidi" w:hAnsiTheme="majorBidi" w:cstheme="majorBidi"/>
          <w:sz w:val="24"/>
          <w:szCs w:val="24"/>
          <w:lang w:val="en-GB"/>
        </w:rPr>
      </w:pPr>
    </w:p>
    <w:p w14:paraId="06270BCF" w14:textId="7DB2A3EC" w:rsidR="00832480" w:rsidRPr="00A175AA" w:rsidRDefault="00832480"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Steven SMET </w:t>
      </w:r>
      <w:r w:rsidR="00FE4641" w:rsidRPr="00A175AA">
        <w:rPr>
          <w:rFonts w:asciiTheme="majorBidi" w:hAnsiTheme="majorBidi" w:cstheme="majorBidi"/>
          <w:sz w:val="24"/>
          <w:szCs w:val="24"/>
          <w:lang w:val="en-GB"/>
        </w:rPr>
        <w:t xml:space="preserve">RN </w:t>
      </w:r>
      <w:r w:rsidRPr="00A175AA">
        <w:rPr>
          <w:rFonts w:asciiTheme="majorBidi" w:hAnsiTheme="majorBidi" w:cstheme="majorBidi"/>
          <w:sz w:val="24"/>
          <w:szCs w:val="24"/>
          <w:lang w:val="en-GB"/>
        </w:rPr>
        <w:t>MSc</w:t>
      </w:r>
    </w:p>
    <w:p w14:paraId="22FCB02F"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Advanced practice nurse wound care</w:t>
      </w:r>
    </w:p>
    <w:p w14:paraId="52FFC674"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 xml:space="preserve">Wound Care </w:t>
      </w:r>
      <w:proofErr w:type="spellStart"/>
      <w:r w:rsidRPr="00A175AA">
        <w:rPr>
          <w:rFonts w:asciiTheme="majorBidi" w:hAnsiTheme="majorBidi" w:cstheme="majorBidi"/>
          <w:sz w:val="24"/>
          <w:szCs w:val="24"/>
          <w:lang w:val="en-GB"/>
        </w:rPr>
        <w:t>Center</w:t>
      </w:r>
      <w:proofErr w:type="spellEnd"/>
      <w:r w:rsidRPr="00A175AA">
        <w:rPr>
          <w:rFonts w:asciiTheme="majorBidi" w:hAnsiTheme="majorBidi" w:cstheme="majorBidi"/>
          <w:sz w:val="24"/>
          <w:szCs w:val="24"/>
          <w:lang w:val="en-GB"/>
        </w:rPr>
        <w:t>, Ghent University Hospital, Ghent, Belgium</w:t>
      </w:r>
    </w:p>
    <w:p w14:paraId="396D1FA4" w14:textId="77777777" w:rsidR="00832480" w:rsidRPr="00A175AA" w:rsidRDefault="00832480" w:rsidP="00832480">
      <w:pPr>
        <w:spacing w:after="60" w:line="240" w:lineRule="auto"/>
        <w:jc w:val="both"/>
        <w:rPr>
          <w:rFonts w:asciiTheme="majorBidi" w:hAnsiTheme="majorBidi" w:cstheme="majorBidi"/>
          <w:sz w:val="24"/>
          <w:szCs w:val="24"/>
          <w:lang w:val="en-GB"/>
        </w:rPr>
      </w:pPr>
    </w:p>
    <w:p w14:paraId="2A63A5B4" w14:textId="5E6363AB" w:rsidR="00832480" w:rsidRPr="00A175AA" w:rsidRDefault="00832480"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Nele VAN DAMME </w:t>
      </w:r>
      <w:r w:rsidR="00FE4641" w:rsidRPr="00A175AA">
        <w:rPr>
          <w:rFonts w:asciiTheme="majorBidi" w:hAnsiTheme="majorBidi" w:cstheme="majorBidi"/>
          <w:sz w:val="24"/>
          <w:szCs w:val="24"/>
          <w:lang w:val="en-GB"/>
        </w:rPr>
        <w:t>RN MSc</w:t>
      </w:r>
    </w:p>
    <w:p w14:paraId="4BD8BD09"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PhD Candidate</w:t>
      </w:r>
    </w:p>
    <w:p w14:paraId="54D8E985" w14:textId="494514DA" w:rsidR="00832480" w:rsidRPr="00A175AA" w:rsidRDefault="002244D5" w:rsidP="00832480">
      <w:pPr>
        <w:spacing w:after="6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Skin Integrity Research Group (SKINT), </w:t>
      </w:r>
      <w:r w:rsidRPr="00873548">
        <w:rPr>
          <w:rFonts w:asciiTheme="majorBidi" w:hAnsiTheme="majorBidi" w:cstheme="majorBidi"/>
          <w:sz w:val="24"/>
          <w:szCs w:val="24"/>
          <w:lang w:val="en-GB"/>
        </w:rPr>
        <w:t>University Centre for Nursing and Midwifery</w:t>
      </w:r>
      <w:r w:rsidR="00832480" w:rsidRPr="00A175AA">
        <w:rPr>
          <w:rFonts w:asciiTheme="majorBidi" w:hAnsiTheme="majorBidi" w:cstheme="majorBidi"/>
          <w:sz w:val="24"/>
          <w:szCs w:val="24"/>
          <w:lang w:val="en-GB"/>
        </w:rPr>
        <w:t>, Department of Public Health, Ghent University, Belgium</w:t>
      </w:r>
    </w:p>
    <w:p w14:paraId="208378B2" w14:textId="77777777" w:rsidR="00832480" w:rsidRPr="00A175AA" w:rsidRDefault="00832480" w:rsidP="00832480">
      <w:pPr>
        <w:spacing w:after="60" w:line="240" w:lineRule="auto"/>
        <w:jc w:val="both"/>
        <w:rPr>
          <w:rFonts w:asciiTheme="majorBidi" w:hAnsiTheme="majorBidi" w:cstheme="majorBidi"/>
          <w:sz w:val="24"/>
          <w:szCs w:val="24"/>
          <w:lang w:val="en-GB"/>
        </w:rPr>
      </w:pPr>
    </w:p>
    <w:p w14:paraId="64BDE91B" w14:textId="43C59C6F" w:rsidR="00A7646E" w:rsidRPr="00A175AA" w:rsidRDefault="00A7646E"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Sofie VERHAEGHE </w:t>
      </w:r>
      <w:r w:rsidR="00FE4641" w:rsidRPr="00A175AA">
        <w:rPr>
          <w:rFonts w:asciiTheme="majorBidi" w:hAnsiTheme="majorBidi" w:cstheme="majorBidi"/>
          <w:sz w:val="24"/>
          <w:szCs w:val="24"/>
          <w:lang w:val="en-GB"/>
        </w:rPr>
        <w:t xml:space="preserve">RN </w:t>
      </w:r>
      <w:r w:rsidRPr="00A175AA">
        <w:rPr>
          <w:rFonts w:asciiTheme="majorBidi" w:hAnsiTheme="majorBidi" w:cstheme="majorBidi"/>
          <w:sz w:val="24"/>
          <w:szCs w:val="24"/>
          <w:lang w:val="en-GB"/>
        </w:rPr>
        <w:t>PhD</w:t>
      </w:r>
    </w:p>
    <w:p w14:paraId="64A48ACC" w14:textId="77777777" w:rsidR="00A7646E" w:rsidRPr="00A175AA" w:rsidRDefault="00A7646E" w:rsidP="00A7646E">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Professor</w:t>
      </w:r>
    </w:p>
    <w:p w14:paraId="176D93B8" w14:textId="77777777" w:rsidR="00A7646E" w:rsidRPr="00A175AA" w:rsidRDefault="00A7646E" w:rsidP="00A7646E">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University Centre for Nursing and Midwifery, Department of Public Health, Ghent University, Belgium</w:t>
      </w:r>
    </w:p>
    <w:p w14:paraId="558FF890" w14:textId="77777777" w:rsidR="00A7646E" w:rsidRPr="00A175AA" w:rsidRDefault="00A7646E" w:rsidP="00A7646E">
      <w:pPr>
        <w:spacing w:after="60" w:line="240" w:lineRule="auto"/>
        <w:jc w:val="both"/>
        <w:rPr>
          <w:rFonts w:asciiTheme="majorBidi" w:hAnsiTheme="majorBidi" w:cstheme="majorBidi"/>
          <w:sz w:val="24"/>
          <w:szCs w:val="24"/>
          <w:lang w:val="en-GB"/>
        </w:rPr>
      </w:pPr>
    </w:p>
    <w:p w14:paraId="47D640F4" w14:textId="46DCC0BF" w:rsidR="00A7646E" w:rsidRPr="00A175AA" w:rsidRDefault="00A7646E" w:rsidP="00F24F47">
      <w:pPr>
        <w:spacing w:after="60" w:line="240" w:lineRule="auto"/>
        <w:jc w:val="both"/>
        <w:outlineLvl w:val="0"/>
        <w:rPr>
          <w:rFonts w:asciiTheme="majorBidi" w:hAnsiTheme="majorBidi" w:cstheme="majorBidi"/>
          <w:sz w:val="24"/>
          <w:szCs w:val="24"/>
          <w:lang w:val="de-DE"/>
        </w:rPr>
      </w:pPr>
      <w:r w:rsidRPr="00A175AA">
        <w:rPr>
          <w:rFonts w:asciiTheme="majorBidi" w:hAnsiTheme="majorBidi" w:cstheme="majorBidi"/>
          <w:sz w:val="24"/>
          <w:szCs w:val="24"/>
          <w:lang w:val="de-DE"/>
        </w:rPr>
        <w:t xml:space="preserve">Ann VAN HECKE </w:t>
      </w:r>
      <w:r w:rsidR="00FE4641" w:rsidRPr="00A175AA">
        <w:rPr>
          <w:rFonts w:asciiTheme="majorBidi" w:hAnsiTheme="majorBidi" w:cstheme="majorBidi"/>
          <w:sz w:val="24"/>
          <w:szCs w:val="24"/>
          <w:lang w:val="de-DE"/>
        </w:rPr>
        <w:t xml:space="preserve">RN </w:t>
      </w:r>
      <w:r w:rsidRPr="00A175AA">
        <w:rPr>
          <w:rFonts w:asciiTheme="majorBidi" w:hAnsiTheme="majorBidi" w:cstheme="majorBidi"/>
          <w:sz w:val="24"/>
          <w:szCs w:val="24"/>
          <w:lang w:val="de-DE"/>
        </w:rPr>
        <w:t>PhD</w:t>
      </w:r>
    </w:p>
    <w:p w14:paraId="0186A3AA" w14:textId="77777777" w:rsidR="00A7646E" w:rsidRPr="00A175AA" w:rsidRDefault="00A7646E" w:rsidP="00A7646E">
      <w:pPr>
        <w:spacing w:after="60" w:line="240" w:lineRule="auto"/>
        <w:jc w:val="both"/>
        <w:rPr>
          <w:rFonts w:asciiTheme="majorBidi" w:hAnsiTheme="majorBidi" w:cstheme="majorBidi"/>
          <w:sz w:val="24"/>
          <w:szCs w:val="24"/>
          <w:lang w:val="de-DE"/>
        </w:rPr>
      </w:pPr>
      <w:r w:rsidRPr="00A175AA">
        <w:rPr>
          <w:rFonts w:asciiTheme="majorBidi" w:hAnsiTheme="majorBidi" w:cstheme="majorBidi"/>
          <w:sz w:val="24"/>
          <w:szCs w:val="24"/>
          <w:lang w:val="de-DE"/>
        </w:rPr>
        <w:t>Professor</w:t>
      </w:r>
    </w:p>
    <w:p w14:paraId="354A5AA4" w14:textId="77777777" w:rsidR="00F81191" w:rsidRPr="00A175AA" w:rsidRDefault="00A7646E" w:rsidP="00F81191">
      <w:pPr>
        <w:pStyle w:val="ListParagraph"/>
        <w:numPr>
          <w:ilvl w:val="0"/>
          <w:numId w:val="3"/>
        </w:numPr>
        <w:spacing w:after="60" w:line="240" w:lineRule="auto"/>
        <w:jc w:val="both"/>
        <w:rPr>
          <w:lang w:val="en-GB"/>
        </w:rPr>
      </w:pPr>
      <w:r w:rsidRPr="00A175AA">
        <w:rPr>
          <w:rFonts w:asciiTheme="majorBidi" w:hAnsiTheme="majorBidi" w:cstheme="majorBidi"/>
          <w:sz w:val="24"/>
          <w:szCs w:val="24"/>
          <w:lang w:val="en-GB"/>
        </w:rPr>
        <w:t>University Centre for Nursing and Midwifery, Department of Public Health, Ghent University, Belgium</w:t>
      </w:r>
      <w:r w:rsidR="00F81191" w:rsidRPr="00A175AA">
        <w:rPr>
          <w:lang w:val="en-GB"/>
        </w:rPr>
        <w:t xml:space="preserve"> </w:t>
      </w:r>
    </w:p>
    <w:p w14:paraId="25416E20" w14:textId="34D6F38E" w:rsidR="00A7646E" w:rsidRPr="00A175AA" w:rsidRDefault="00F81191" w:rsidP="00F81191">
      <w:pPr>
        <w:pStyle w:val="ListParagraph"/>
        <w:numPr>
          <w:ilvl w:val="0"/>
          <w:numId w:val="3"/>
        </w:num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Nursing Department, Ghent University Hospital, Ghent, Belgium</w:t>
      </w:r>
    </w:p>
    <w:p w14:paraId="2FFD47DB" w14:textId="77777777" w:rsidR="00A7646E" w:rsidRPr="00A175AA" w:rsidRDefault="00A7646E" w:rsidP="00832480">
      <w:pPr>
        <w:spacing w:after="60" w:line="240" w:lineRule="auto"/>
        <w:jc w:val="both"/>
        <w:rPr>
          <w:rFonts w:asciiTheme="majorBidi" w:hAnsiTheme="majorBidi" w:cstheme="majorBidi"/>
          <w:sz w:val="24"/>
          <w:szCs w:val="24"/>
          <w:lang w:val="en-GB"/>
        </w:rPr>
      </w:pPr>
    </w:p>
    <w:p w14:paraId="502EEC77" w14:textId="1279E50A" w:rsidR="00832480" w:rsidRPr="00A175AA" w:rsidRDefault="00832480" w:rsidP="00F24F47">
      <w:pPr>
        <w:spacing w:after="60" w:line="240" w:lineRule="auto"/>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lastRenderedPageBreak/>
        <w:t xml:space="preserve">Dimitri BEECKMAN </w:t>
      </w:r>
      <w:r w:rsidR="00FE4641" w:rsidRPr="00A175AA">
        <w:rPr>
          <w:rFonts w:asciiTheme="majorBidi" w:hAnsiTheme="majorBidi" w:cstheme="majorBidi"/>
          <w:sz w:val="24"/>
          <w:szCs w:val="24"/>
          <w:lang w:val="en-GB"/>
        </w:rPr>
        <w:t xml:space="preserve">RN </w:t>
      </w:r>
      <w:r w:rsidRPr="00A175AA">
        <w:rPr>
          <w:rFonts w:asciiTheme="majorBidi" w:hAnsiTheme="majorBidi" w:cstheme="majorBidi"/>
          <w:sz w:val="24"/>
          <w:szCs w:val="24"/>
          <w:lang w:val="en-GB"/>
        </w:rPr>
        <w:t>PhD</w:t>
      </w:r>
    </w:p>
    <w:p w14:paraId="333262E8" w14:textId="77777777" w:rsidR="00832480" w:rsidRPr="00A175AA" w:rsidRDefault="00832480" w:rsidP="00832480">
      <w:p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Professor</w:t>
      </w:r>
    </w:p>
    <w:p w14:paraId="2F092850" w14:textId="2D4E2B28" w:rsidR="00832480" w:rsidRPr="00A175AA" w:rsidRDefault="002244D5" w:rsidP="00F81191">
      <w:pPr>
        <w:pStyle w:val="ListParagraph"/>
        <w:numPr>
          <w:ilvl w:val="0"/>
          <w:numId w:val="2"/>
        </w:numPr>
        <w:spacing w:after="6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Skin Integrity Research Group (SKINT), </w:t>
      </w:r>
      <w:r w:rsidRPr="00873548">
        <w:rPr>
          <w:rFonts w:asciiTheme="majorBidi" w:hAnsiTheme="majorBidi" w:cstheme="majorBidi"/>
          <w:sz w:val="24"/>
          <w:szCs w:val="24"/>
          <w:lang w:val="en-GB"/>
        </w:rPr>
        <w:t>University Centre for Nursing and Midwifery</w:t>
      </w:r>
      <w:r w:rsidR="00832480" w:rsidRPr="00A175AA">
        <w:rPr>
          <w:rFonts w:asciiTheme="majorBidi" w:hAnsiTheme="majorBidi" w:cstheme="majorBidi"/>
          <w:sz w:val="24"/>
          <w:szCs w:val="24"/>
          <w:lang w:val="en-GB"/>
        </w:rPr>
        <w:t>, Department of Public Health, Ghent University, Belgium</w:t>
      </w:r>
    </w:p>
    <w:p w14:paraId="220C42F7" w14:textId="6968085A" w:rsidR="00204E76" w:rsidRPr="00A175AA" w:rsidRDefault="00EC23A2" w:rsidP="00F81191">
      <w:pPr>
        <w:pStyle w:val="ListParagraph"/>
        <w:numPr>
          <w:ilvl w:val="0"/>
          <w:numId w:val="2"/>
        </w:numPr>
        <w:spacing w:after="60" w:line="24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 xml:space="preserve">School of Nursing &amp; Midwifery, </w:t>
      </w:r>
      <w:r w:rsidR="00204E76" w:rsidRPr="00A175AA">
        <w:rPr>
          <w:rFonts w:asciiTheme="majorBidi" w:hAnsiTheme="majorBidi" w:cstheme="majorBidi"/>
          <w:sz w:val="24"/>
          <w:szCs w:val="24"/>
          <w:lang w:val="en-GB"/>
        </w:rPr>
        <w:t>Royal College of Surgeons in Ireland, Ireland</w:t>
      </w:r>
    </w:p>
    <w:p w14:paraId="27A798DB" w14:textId="3A0E1EA9" w:rsidR="00F80857" w:rsidRPr="00A175AA" w:rsidRDefault="00F80857">
      <w:pPr>
        <w:rPr>
          <w:rFonts w:asciiTheme="majorBidi" w:hAnsiTheme="majorBidi" w:cstheme="majorBidi"/>
          <w:b/>
          <w:sz w:val="24"/>
          <w:szCs w:val="24"/>
          <w:lang w:val="en-GB"/>
        </w:rPr>
      </w:pPr>
    </w:p>
    <w:p w14:paraId="70A5ABE2" w14:textId="77777777" w:rsidR="002453CA" w:rsidRPr="00A175AA" w:rsidRDefault="00832480" w:rsidP="00F24F47">
      <w:pPr>
        <w:jc w:val="both"/>
        <w:outlineLvl w:val="0"/>
        <w:rPr>
          <w:rFonts w:asciiTheme="majorBidi" w:hAnsiTheme="majorBidi" w:cstheme="majorBidi"/>
          <w:b/>
          <w:sz w:val="24"/>
          <w:szCs w:val="24"/>
          <w:lang w:val="en-GB"/>
        </w:rPr>
      </w:pPr>
      <w:r w:rsidRPr="00A175AA">
        <w:rPr>
          <w:rFonts w:asciiTheme="majorBidi" w:hAnsiTheme="majorBidi" w:cstheme="majorBidi"/>
          <w:b/>
          <w:sz w:val="24"/>
          <w:szCs w:val="24"/>
          <w:lang w:val="en-GB"/>
        </w:rPr>
        <w:t xml:space="preserve">Running head </w:t>
      </w:r>
    </w:p>
    <w:p w14:paraId="72DA716B" w14:textId="1189DB10" w:rsidR="00832480" w:rsidRPr="00A175AA" w:rsidRDefault="00832480" w:rsidP="00F24F47">
      <w:pPr>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 xml:space="preserve">Core </w:t>
      </w:r>
      <w:r w:rsidR="00FE3D3E" w:rsidRPr="00A175AA">
        <w:rPr>
          <w:rFonts w:asciiTheme="majorBidi" w:hAnsiTheme="majorBidi" w:cstheme="majorBidi"/>
          <w:sz w:val="24"/>
          <w:szCs w:val="24"/>
          <w:lang w:val="en-GB"/>
        </w:rPr>
        <w:t>set of o</w:t>
      </w:r>
      <w:r w:rsidRPr="00A175AA">
        <w:rPr>
          <w:rFonts w:asciiTheme="majorBidi" w:hAnsiTheme="majorBidi" w:cstheme="majorBidi"/>
          <w:sz w:val="24"/>
          <w:szCs w:val="24"/>
          <w:lang w:val="en-GB"/>
        </w:rPr>
        <w:t>utcome</w:t>
      </w:r>
      <w:r w:rsidR="00FE3D3E" w:rsidRPr="00A175AA">
        <w:rPr>
          <w:rFonts w:asciiTheme="majorBidi" w:hAnsiTheme="majorBidi" w:cstheme="majorBidi"/>
          <w:sz w:val="24"/>
          <w:szCs w:val="24"/>
          <w:lang w:val="en-GB"/>
        </w:rPr>
        <w:t xml:space="preserve"> d</w:t>
      </w:r>
      <w:r w:rsidR="00FA11CE" w:rsidRPr="00A175AA">
        <w:rPr>
          <w:rFonts w:asciiTheme="majorBidi" w:hAnsiTheme="majorBidi" w:cstheme="majorBidi"/>
          <w:sz w:val="24"/>
          <w:szCs w:val="24"/>
          <w:lang w:val="en-GB"/>
        </w:rPr>
        <w:t>omain</w:t>
      </w:r>
      <w:r w:rsidR="00FE3D3E" w:rsidRPr="00A175AA">
        <w:rPr>
          <w:rFonts w:asciiTheme="majorBidi" w:hAnsiTheme="majorBidi" w:cstheme="majorBidi"/>
          <w:sz w:val="24"/>
          <w:szCs w:val="24"/>
          <w:lang w:val="en-GB"/>
        </w:rPr>
        <w:t>s in i</w:t>
      </w:r>
      <w:r w:rsidRPr="00A175AA">
        <w:rPr>
          <w:rFonts w:asciiTheme="majorBidi" w:hAnsiTheme="majorBidi" w:cstheme="majorBidi"/>
          <w:sz w:val="24"/>
          <w:szCs w:val="24"/>
          <w:lang w:val="en-GB"/>
        </w:rPr>
        <w:t>ncontinence-</w:t>
      </w:r>
      <w:r w:rsidR="00FE3D3E" w:rsidRPr="00A175AA">
        <w:rPr>
          <w:rFonts w:asciiTheme="majorBidi" w:hAnsiTheme="majorBidi" w:cstheme="majorBidi"/>
          <w:sz w:val="24"/>
          <w:szCs w:val="24"/>
          <w:lang w:val="en-GB"/>
        </w:rPr>
        <w:t>a</w:t>
      </w:r>
      <w:r w:rsidRPr="00A175AA">
        <w:rPr>
          <w:rFonts w:asciiTheme="majorBidi" w:hAnsiTheme="majorBidi" w:cstheme="majorBidi"/>
          <w:sz w:val="24"/>
          <w:szCs w:val="24"/>
          <w:lang w:val="en-GB"/>
        </w:rPr>
        <w:t xml:space="preserve">ssociated </w:t>
      </w:r>
      <w:r w:rsidR="00FE3D3E" w:rsidRPr="00A175AA">
        <w:rPr>
          <w:rFonts w:asciiTheme="majorBidi" w:hAnsiTheme="majorBidi" w:cstheme="majorBidi"/>
          <w:sz w:val="24"/>
          <w:szCs w:val="24"/>
          <w:lang w:val="en-GB"/>
        </w:rPr>
        <w:t>d</w:t>
      </w:r>
      <w:r w:rsidRPr="00A175AA">
        <w:rPr>
          <w:rFonts w:asciiTheme="majorBidi" w:hAnsiTheme="majorBidi" w:cstheme="majorBidi"/>
          <w:sz w:val="24"/>
          <w:szCs w:val="24"/>
          <w:lang w:val="en-GB"/>
        </w:rPr>
        <w:t xml:space="preserve">ermatitis </w:t>
      </w:r>
      <w:r w:rsidR="00FE3D3E" w:rsidRPr="00A175AA">
        <w:rPr>
          <w:rFonts w:asciiTheme="majorBidi" w:hAnsiTheme="majorBidi" w:cstheme="majorBidi"/>
          <w:sz w:val="24"/>
          <w:szCs w:val="24"/>
          <w:lang w:val="en-GB"/>
        </w:rPr>
        <w:t>r</w:t>
      </w:r>
      <w:r w:rsidRPr="00A175AA">
        <w:rPr>
          <w:rFonts w:asciiTheme="majorBidi" w:hAnsiTheme="majorBidi" w:cstheme="majorBidi"/>
          <w:sz w:val="24"/>
          <w:szCs w:val="24"/>
          <w:lang w:val="en-GB"/>
        </w:rPr>
        <w:t>esearch</w:t>
      </w:r>
    </w:p>
    <w:p w14:paraId="2335B7EA" w14:textId="77777777" w:rsidR="002453CA" w:rsidRPr="00A175AA" w:rsidRDefault="002453CA" w:rsidP="002453CA">
      <w:pPr>
        <w:spacing w:line="360" w:lineRule="auto"/>
        <w:jc w:val="both"/>
        <w:rPr>
          <w:rFonts w:asciiTheme="majorBidi" w:hAnsiTheme="majorBidi" w:cstheme="majorBidi"/>
          <w:b/>
          <w:bCs/>
          <w:sz w:val="24"/>
          <w:szCs w:val="24"/>
          <w:lang w:val="en-GB"/>
        </w:rPr>
      </w:pPr>
    </w:p>
    <w:p w14:paraId="2D73D690" w14:textId="77777777" w:rsidR="002453CA" w:rsidRPr="00A175AA" w:rsidRDefault="002453CA" w:rsidP="00F24F47">
      <w:pPr>
        <w:spacing w:line="360" w:lineRule="auto"/>
        <w:jc w:val="both"/>
        <w:outlineLvl w:val="0"/>
        <w:rPr>
          <w:rFonts w:asciiTheme="majorBidi" w:hAnsiTheme="majorBidi" w:cstheme="majorBidi"/>
          <w:b/>
          <w:bCs/>
          <w:sz w:val="24"/>
          <w:szCs w:val="24"/>
          <w:lang w:val="en-GB"/>
        </w:rPr>
      </w:pPr>
      <w:r w:rsidRPr="00A175AA">
        <w:rPr>
          <w:rFonts w:asciiTheme="majorBidi" w:hAnsiTheme="majorBidi" w:cstheme="majorBidi"/>
          <w:b/>
          <w:bCs/>
          <w:sz w:val="24"/>
          <w:szCs w:val="24"/>
          <w:lang w:val="en-GB"/>
        </w:rPr>
        <w:t xml:space="preserve">Acknowledgements </w:t>
      </w:r>
    </w:p>
    <w:p w14:paraId="68C73054" w14:textId="2D7164B0" w:rsidR="002453CA" w:rsidRPr="00A175AA" w:rsidRDefault="002453CA" w:rsidP="002453CA">
      <w:pPr>
        <w:spacing w:line="36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 xml:space="preserve">We would like to acknowledge following panellists because of their contribution to the Delphi procedure: </w:t>
      </w:r>
      <w:proofErr w:type="spellStart"/>
      <w:r w:rsidRPr="00A175AA">
        <w:rPr>
          <w:rFonts w:asciiTheme="majorBidi" w:hAnsiTheme="majorBidi" w:cstheme="majorBidi"/>
          <w:sz w:val="24"/>
          <w:szCs w:val="24"/>
          <w:lang w:val="en-GB"/>
        </w:rPr>
        <w:t>Asmus</w:t>
      </w:r>
      <w:proofErr w:type="spellEnd"/>
      <w:r w:rsidRPr="00A175AA">
        <w:rPr>
          <w:rFonts w:asciiTheme="majorBidi" w:hAnsiTheme="majorBidi" w:cstheme="majorBidi"/>
          <w:sz w:val="24"/>
          <w:szCs w:val="24"/>
          <w:lang w:val="en-GB"/>
        </w:rPr>
        <w:t xml:space="preserve"> R., </w:t>
      </w:r>
      <w:proofErr w:type="spellStart"/>
      <w:r w:rsidRPr="00A175AA">
        <w:rPr>
          <w:rFonts w:asciiTheme="majorBidi" w:hAnsiTheme="majorBidi" w:cstheme="majorBidi"/>
          <w:sz w:val="24"/>
          <w:szCs w:val="24"/>
          <w:lang w:val="en-GB"/>
        </w:rPr>
        <w:t>Backaert</w:t>
      </w:r>
      <w:proofErr w:type="spellEnd"/>
      <w:r w:rsidRPr="00A175AA">
        <w:rPr>
          <w:rFonts w:asciiTheme="majorBidi" w:hAnsiTheme="majorBidi" w:cstheme="majorBidi"/>
          <w:sz w:val="24"/>
          <w:szCs w:val="24"/>
          <w:lang w:val="en-GB"/>
        </w:rPr>
        <w:t xml:space="preserve"> D., </w:t>
      </w:r>
      <w:proofErr w:type="spellStart"/>
      <w:r w:rsidRPr="00A175AA">
        <w:rPr>
          <w:rFonts w:asciiTheme="majorBidi" w:hAnsiTheme="majorBidi" w:cstheme="majorBidi"/>
          <w:sz w:val="24"/>
          <w:szCs w:val="24"/>
          <w:lang w:val="en-GB"/>
        </w:rPr>
        <w:t>Maene</w:t>
      </w:r>
      <w:proofErr w:type="spellEnd"/>
      <w:r w:rsidRPr="00A175AA">
        <w:rPr>
          <w:rFonts w:asciiTheme="majorBidi" w:hAnsiTheme="majorBidi" w:cstheme="majorBidi"/>
          <w:sz w:val="24"/>
          <w:szCs w:val="24"/>
          <w:lang w:val="en-GB"/>
        </w:rPr>
        <w:t xml:space="preserve"> B., Bernaerts K., Bliss D.Z., Campbell J., Campbell K.E., Campos H.H., Coleman S., Coyer F., </w:t>
      </w:r>
      <w:proofErr w:type="spellStart"/>
      <w:r w:rsidRPr="00A175AA">
        <w:rPr>
          <w:rFonts w:asciiTheme="majorBidi" w:hAnsiTheme="majorBidi" w:cstheme="majorBidi"/>
          <w:sz w:val="24"/>
          <w:szCs w:val="24"/>
          <w:lang w:val="en-GB"/>
        </w:rPr>
        <w:t>Drolshagen</w:t>
      </w:r>
      <w:proofErr w:type="spellEnd"/>
      <w:r w:rsidRPr="00A175AA">
        <w:rPr>
          <w:rFonts w:asciiTheme="majorBidi" w:hAnsiTheme="majorBidi" w:cstheme="majorBidi"/>
          <w:sz w:val="24"/>
          <w:szCs w:val="24"/>
          <w:lang w:val="en-GB"/>
        </w:rPr>
        <w:t xml:space="preserve"> C., </w:t>
      </w:r>
      <w:proofErr w:type="spellStart"/>
      <w:r w:rsidRPr="00A175AA">
        <w:rPr>
          <w:rFonts w:asciiTheme="majorBidi" w:hAnsiTheme="majorBidi" w:cstheme="majorBidi"/>
          <w:sz w:val="24"/>
          <w:szCs w:val="24"/>
          <w:lang w:val="en-GB"/>
        </w:rPr>
        <w:t>Feys</w:t>
      </w:r>
      <w:proofErr w:type="spellEnd"/>
      <w:r w:rsidRPr="00A175AA">
        <w:rPr>
          <w:rFonts w:asciiTheme="majorBidi" w:hAnsiTheme="majorBidi" w:cstheme="majorBidi"/>
          <w:sz w:val="24"/>
          <w:szCs w:val="24"/>
          <w:lang w:val="en-GB"/>
        </w:rPr>
        <w:t xml:space="preserve"> J., </w:t>
      </w:r>
      <w:proofErr w:type="spellStart"/>
      <w:r w:rsidRPr="00A175AA">
        <w:rPr>
          <w:rFonts w:asciiTheme="majorBidi" w:hAnsiTheme="majorBidi" w:cstheme="majorBidi"/>
          <w:sz w:val="24"/>
          <w:szCs w:val="24"/>
          <w:lang w:val="en-GB"/>
        </w:rPr>
        <w:t>Fourie</w:t>
      </w:r>
      <w:proofErr w:type="spellEnd"/>
      <w:r w:rsidRPr="00A175AA">
        <w:rPr>
          <w:rFonts w:asciiTheme="majorBidi" w:hAnsiTheme="majorBidi" w:cstheme="majorBidi"/>
          <w:sz w:val="24"/>
          <w:szCs w:val="24"/>
          <w:lang w:val="en-GB"/>
        </w:rPr>
        <w:t xml:space="preserve"> A., </w:t>
      </w:r>
      <w:proofErr w:type="spellStart"/>
      <w:r w:rsidRPr="00A175AA">
        <w:rPr>
          <w:rFonts w:asciiTheme="majorBidi" w:hAnsiTheme="majorBidi" w:cstheme="majorBidi"/>
          <w:sz w:val="24"/>
          <w:szCs w:val="24"/>
          <w:lang w:val="en-GB"/>
        </w:rPr>
        <w:t>García</w:t>
      </w:r>
      <w:proofErr w:type="spellEnd"/>
      <w:r w:rsidRPr="00A175AA">
        <w:rPr>
          <w:rFonts w:asciiTheme="majorBidi" w:hAnsiTheme="majorBidi" w:cstheme="majorBidi"/>
          <w:sz w:val="24"/>
          <w:szCs w:val="24"/>
          <w:lang w:val="en-GB"/>
        </w:rPr>
        <w:t xml:space="preserve">-Molina P., Grandin J., Johansen E., </w:t>
      </w:r>
      <w:r w:rsidR="009E3234" w:rsidRPr="00A175AA">
        <w:rPr>
          <w:rFonts w:asciiTheme="majorBidi" w:hAnsiTheme="majorBidi" w:cstheme="majorBidi"/>
          <w:sz w:val="24"/>
          <w:szCs w:val="24"/>
          <w:lang w:val="en-GB"/>
        </w:rPr>
        <w:t xml:space="preserve">Jukic M., </w:t>
      </w:r>
      <w:r w:rsidRPr="00A175AA">
        <w:rPr>
          <w:rFonts w:asciiTheme="majorBidi" w:hAnsiTheme="majorBidi" w:cstheme="majorBidi"/>
          <w:sz w:val="24"/>
          <w:szCs w:val="24"/>
          <w:lang w:val="en-GB"/>
        </w:rPr>
        <w:t xml:space="preserve">Junkin J., </w:t>
      </w:r>
      <w:proofErr w:type="spellStart"/>
      <w:r w:rsidRPr="00A175AA">
        <w:rPr>
          <w:rFonts w:asciiTheme="majorBidi" w:hAnsiTheme="majorBidi" w:cstheme="majorBidi"/>
          <w:sz w:val="24"/>
          <w:szCs w:val="24"/>
          <w:lang w:val="en-GB"/>
        </w:rPr>
        <w:t>Karadag</w:t>
      </w:r>
      <w:proofErr w:type="spellEnd"/>
      <w:r w:rsidRPr="00A175AA">
        <w:rPr>
          <w:rFonts w:asciiTheme="majorBidi" w:hAnsiTheme="majorBidi" w:cstheme="majorBidi"/>
          <w:sz w:val="24"/>
          <w:szCs w:val="24"/>
          <w:lang w:val="en-GB"/>
        </w:rPr>
        <w:t xml:space="preserve"> A., </w:t>
      </w:r>
      <w:proofErr w:type="spellStart"/>
      <w:r w:rsidRPr="00A175AA">
        <w:rPr>
          <w:rFonts w:asciiTheme="majorBidi" w:hAnsiTheme="majorBidi" w:cstheme="majorBidi"/>
          <w:sz w:val="24"/>
          <w:szCs w:val="24"/>
          <w:lang w:val="en-GB"/>
        </w:rPr>
        <w:t>Kis</w:t>
      </w:r>
      <w:proofErr w:type="spellEnd"/>
      <w:r w:rsidRPr="00A175AA">
        <w:rPr>
          <w:rFonts w:asciiTheme="majorBidi" w:hAnsiTheme="majorBidi" w:cstheme="majorBidi"/>
          <w:sz w:val="24"/>
          <w:szCs w:val="24"/>
          <w:lang w:val="en-GB"/>
        </w:rPr>
        <w:t xml:space="preserve"> </w:t>
      </w:r>
      <w:proofErr w:type="spellStart"/>
      <w:r w:rsidRPr="00A175AA">
        <w:rPr>
          <w:rFonts w:asciiTheme="majorBidi" w:hAnsiTheme="majorBidi" w:cstheme="majorBidi"/>
          <w:sz w:val="24"/>
          <w:szCs w:val="24"/>
          <w:lang w:val="en-GB"/>
        </w:rPr>
        <w:t>Dadara</w:t>
      </w:r>
      <w:proofErr w:type="spellEnd"/>
      <w:r w:rsidRPr="00A175AA">
        <w:rPr>
          <w:rFonts w:asciiTheme="majorBidi" w:hAnsiTheme="majorBidi" w:cstheme="majorBidi"/>
          <w:sz w:val="24"/>
          <w:szCs w:val="24"/>
          <w:lang w:val="en-GB"/>
        </w:rPr>
        <w:t xml:space="preserve"> Z., Lichterfeld-Kottner A., Long M.A., </w:t>
      </w:r>
      <w:proofErr w:type="spellStart"/>
      <w:r w:rsidRPr="00A175AA">
        <w:rPr>
          <w:rFonts w:asciiTheme="majorBidi" w:hAnsiTheme="majorBidi" w:cstheme="majorBidi"/>
          <w:sz w:val="24"/>
          <w:szCs w:val="24"/>
          <w:lang w:val="en-GB"/>
        </w:rPr>
        <w:t>Meaume</w:t>
      </w:r>
      <w:proofErr w:type="spellEnd"/>
      <w:r w:rsidRPr="00A175AA">
        <w:rPr>
          <w:rFonts w:asciiTheme="majorBidi" w:hAnsiTheme="majorBidi" w:cstheme="majorBidi"/>
          <w:sz w:val="24"/>
          <w:szCs w:val="24"/>
          <w:lang w:val="en-GB"/>
        </w:rPr>
        <w:t xml:space="preserve"> S., Mueller G., Mulder M., Nix D., O'Meara S., Pather P., </w:t>
      </w:r>
      <w:proofErr w:type="spellStart"/>
      <w:r w:rsidRPr="00A175AA">
        <w:rPr>
          <w:rFonts w:asciiTheme="majorBidi" w:hAnsiTheme="majorBidi" w:cstheme="majorBidi"/>
          <w:sz w:val="24"/>
          <w:szCs w:val="24"/>
          <w:lang w:val="en-GB"/>
        </w:rPr>
        <w:t>Pokorna</w:t>
      </w:r>
      <w:proofErr w:type="spellEnd"/>
      <w:r w:rsidRPr="00A175AA">
        <w:rPr>
          <w:rFonts w:asciiTheme="majorBidi" w:hAnsiTheme="majorBidi" w:cstheme="majorBidi"/>
          <w:sz w:val="24"/>
          <w:szCs w:val="24"/>
          <w:lang w:val="en-GB"/>
        </w:rPr>
        <w:t xml:space="preserve"> A., Ratliff C.R., Romanelli M., </w:t>
      </w:r>
      <w:proofErr w:type="spellStart"/>
      <w:r w:rsidRPr="00A175AA">
        <w:rPr>
          <w:rFonts w:asciiTheme="majorBidi" w:hAnsiTheme="majorBidi" w:cstheme="majorBidi"/>
          <w:sz w:val="24"/>
          <w:szCs w:val="24"/>
          <w:lang w:val="en-GB"/>
        </w:rPr>
        <w:t>Ruppert</w:t>
      </w:r>
      <w:proofErr w:type="spellEnd"/>
      <w:r w:rsidRPr="00A175AA">
        <w:rPr>
          <w:rFonts w:asciiTheme="majorBidi" w:hAnsiTheme="majorBidi" w:cstheme="majorBidi"/>
          <w:sz w:val="24"/>
          <w:szCs w:val="24"/>
          <w:lang w:val="en-GB"/>
        </w:rPr>
        <w:t xml:space="preserve"> R., </w:t>
      </w:r>
      <w:proofErr w:type="spellStart"/>
      <w:r w:rsidRPr="00A175AA">
        <w:rPr>
          <w:rFonts w:asciiTheme="majorBidi" w:hAnsiTheme="majorBidi" w:cstheme="majorBidi"/>
          <w:sz w:val="24"/>
          <w:szCs w:val="24"/>
          <w:lang w:val="en-GB"/>
        </w:rPr>
        <w:t>Sköld</w:t>
      </w:r>
      <w:proofErr w:type="spellEnd"/>
      <w:r w:rsidRPr="00A175AA">
        <w:rPr>
          <w:rFonts w:asciiTheme="majorBidi" w:hAnsiTheme="majorBidi" w:cstheme="majorBidi"/>
          <w:sz w:val="24"/>
          <w:szCs w:val="24"/>
          <w:lang w:val="en-GB"/>
        </w:rPr>
        <w:t xml:space="preserve"> M., Steininger A., </w:t>
      </w:r>
      <w:proofErr w:type="spellStart"/>
      <w:r w:rsidRPr="00A175AA">
        <w:rPr>
          <w:rFonts w:asciiTheme="majorBidi" w:hAnsiTheme="majorBidi" w:cstheme="majorBidi"/>
          <w:sz w:val="24"/>
          <w:szCs w:val="24"/>
          <w:lang w:val="en-GB"/>
        </w:rPr>
        <w:t>Stockmayr</w:t>
      </w:r>
      <w:proofErr w:type="spellEnd"/>
      <w:r w:rsidRPr="00A175AA">
        <w:rPr>
          <w:rFonts w:asciiTheme="majorBidi" w:hAnsiTheme="majorBidi" w:cstheme="majorBidi"/>
          <w:sz w:val="24"/>
          <w:szCs w:val="24"/>
          <w:lang w:val="en-GB"/>
        </w:rPr>
        <w:t xml:space="preserve"> M., Toppets A., </w:t>
      </w:r>
      <w:proofErr w:type="spellStart"/>
      <w:r w:rsidRPr="00A175AA">
        <w:rPr>
          <w:rFonts w:asciiTheme="majorBidi" w:hAnsiTheme="majorBidi" w:cstheme="majorBidi"/>
          <w:sz w:val="24"/>
          <w:szCs w:val="24"/>
          <w:lang w:val="en-GB"/>
        </w:rPr>
        <w:t>Trevellini</w:t>
      </w:r>
      <w:proofErr w:type="spellEnd"/>
      <w:r w:rsidRPr="00A175AA">
        <w:rPr>
          <w:rFonts w:asciiTheme="majorBidi" w:hAnsiTheme="majorBidi" w:cstheme="majorBidi"/>
          <w:sz w:val="24"/>
          <w:szCs w:val="24"/>
          <w:lang w:val="en-GB"/>
        </w:rPr>
        <w:t xml:space="preserve"> C., Yu Po-</w:t>
      </w:r>
      <w:proofErr w:type="spellStart"/>
      <w:r w:rsidRPr="00A175AA">
        <w:rPr>
          <w:rFonts w:asciiTheme="majorBidi" w:hAnsiTheme="majorBidi" w:cstheme="majorBidi"/>
          <w:sz w:val="24"/>
          <w:szCs w:val="24"/>
          <w:lang w:val="en-GB"/>
        </w:rPr>
        <w:t>Jui</w:t>
      </w:r>
      <w:proofErr w:type="spellEnd"/>
    </w:p>
    <w:p w14:paraId="56E810B8" w14:textId="77777777" w:rsidR="00832480" w:rsidRPr="00A175AA" w:rsidRDefault="00832480" w:rsidP="00832480">
      <w:pPr>
        <w:jc w:val="both"/>
        <w:rPr>
          <w:rFonts w:asciiTheme="majorBidi" w:hAnsiTheme="majorBidi" w:cstheme="majorBidi"/>
          <w:b/>
          <w:sz w:val="24"/>
          <w:szCs w:val="24"/>
          <w:lang w:val="en-GB"/>
        </w:rPr>
      </w:pPr>
    </w:p>
    <w:p w14:paraId="4610098E" w14:textId="77777777" w:rsidR="002453CA" w:rsidRPr="00A175AA" w:rsidRDefault="00832480" w:rsidP="00F24F47">
      <w:pPr>
        <w:jc w:val="both"/>
        <w:outlineLvl w:val="0"/>
        <w:rPr>
          <w:rFonts w:asciiTheme="majorBidi" w:hAnsiTheme="majorBidi" w:cstheme="majorBidi"/>
          <w:b/>
          <w:sz w:val="24"/>
          <w:szCs w:val="24"/>
          <w:lang w:val="en-GB"/>
        </w:rPr>
      </w:pPr>
      <w:r w:rsidRPr="00A175AA">
        <w:rPr>
          <w:rFonts w:asciiTheme="majorBidi" w:hAnsiTheme="majorBidi" w:cstheme="majorBidi"/>
          <w:b/>
          <w:sz w:val="24"/>
          <w:szCs w:val="24"/>
          <w:lang w:val="en-GB"/>
        </w:rPr>
        <w:t xml:space="preserve">Conflict of Interest statement </w:t>
      </w:r>
    </w:p>
    <w:p w14:paraId="7966D093" w14:textId="26953B48" w:rsidR="00832480" w:rsidRPr="00A175AA" w:rsidRDefault="00832480" w:rsidP="00F24F47">
      <w:pPr>
        <w:jc w:val="both"/>
        <w:outlineLvl w:val="0"/>
        <w:rPr>
          <w:rFonts w:asciiTheme="majorBidi" w:hAnsiTheme="majorBidi" w:cstheme="majorBidi"/>
          <w:sz w:val="24"/>
          <w:szCs w:val="24"/>
          <w:lang w:val="en-GB"/>
        </w:rPr>
      </w:pPr>
      <w:r w:rsidRPr="00A175AA">
        <w:rPr>
          <w:rFonts w:asciiTheme="majorBidi" w:hAnsiTheme="majorBidi" w:cstheme="majorBidi"/>
          <w:sz w:val="24"/>
          <w:szCs w:val="24"/>
          <w:lang w:val="en-GB"/>
        </w:rPr>
        <w:t>No conflict of interest has been declared by the authors.</w:t>
      </w:r>
    </w:p>
    <w:p w14:paraId="453D6395" w14:textId="77777777" w:rsidR="00832480" w:rsidRPr="00A175AA" w:rsidRDefault="00832480" w:rsidP="00832480">
      <w:pPr>
        <w:jc w:val="both"/>
        <w:rPr>
          <w:rFonts w:asciiTheme="majorBidi" w:hAnsiTheme="majorBidi" w:cstheme="majorBidi"/>
          <w:b/>
          <w:sz w:val="24"/>
          <w:szCs w:val="24"/>
          <w:lang w:val="en-GB"/>
        </w:rPr>
      </w:pPr>
    </w:p>
    <w:p w14:paraId="68F4F1E7" w14:textId="77777777" w:rsidR="002453CA" w:rsidRPr="00A175AA" w:rsidRDefault="00832480" w:rsidP="00F24F47">
      <w:pPr>
        <w:spacing w:line="360" w:lineRule="auto"/>
        <w:jc w:val="both"/>
        <w:outlineLvl w:val="0"/>
        <w:rPr>
          <w:rFonts w:asciiTheme="majorBidi" w:hAnsiTheme="majorBidi" w:cstheme="majorBidi"/>
          <w:sz w:val="24"/>
          <w:szCs w:val="24"/>
          <w:lang w:val="en-GB"/>
        </w:rPr>
      </w:pPr>
      <w:r w:rsidRPr="00A175AA">
        <w:rPr>
          <w:rFonts w:asciiTheme="majorBidi" w:hAnsiTheme="majorBidi" w:cstheme="majorBidi"/>
          <w:b/>
          <w:bCs/>
          <w:sz w:val="24"/>
          <w:szCs w:val="24"/>
          <w:lang w:val="en-GB"/>
        </w:rPr>
        <w:t>Funding Statement</w:t>
      </w:r>
      <w:r w:rsidRPr="00A175AA">
        <w:rPr>
          <w:rFonts w:asciiTheme="majorBidi" w:hAnsiTheme="majorBidi" w:cstheme="majorBidi"/>
          <w:sz w:val="24"/>
          <w:szCs w:val="24"/>
          <w:lang w:val="en-GB"/>
        </w:rPr>
        <w:t xml:space="preserve"> </w:t>
      </w:r>
    </w:p>
    <w:p w14:paraId="083B2F85" w14:textId="2DB78BA8" w:rsidR="00532FA1" w:rsidRPr="00A175AA" w:rsidRDefault="00832480" w:rsidP="002453CA">
      <w:pPr>
        <w:spacing w:line="36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 xml:space="preserve">This research is partly supported through a doctoral fellowship from the </w:t>
      </w:r>
      <w:r w:rsidR="00691BCA" w:rsidRPr="00A175AA">
        <w:rPr>
          <w:rFonts w:asciiTheme="majorBidi" w:hAnsiTheme="majorBidi" w:cstheme="majorBidi"/>
          <w:sz w:val="24"/>
          <w:szCs w:val="24"/>
          <w:lang w:val="en-GB"/>
        </w:rPr>
        <w:t>Ghent University Special Research Fund.</w:t>
      </w:r>
    </w:p>
    <w:p w14:paraId="75757B01" w14:textId="77777777" w:rsidR="0022144D" w:rsidRPr="00A175AA" w:rsidRDefault="0022144D" w:rsidP="002453CA">
      <w:pPr>
        <w:spacing w:line="360" w:lineRule="auto"/>
        <w:jc w:val="both"/>
        <w:rPr>
          <w:rFonts w:asciiTheme="majorBidi" w:hAnsiTheme="majorBidi" w:cstheme="majorBidi"/>
          <w:sz w:val="24"/>
          <w:szCs w:val="24"/>
          <w:lang w:val="en-GB"/>
        </w:rPr>
      </w:pPr>
    </w:p>
    <w:p w14:paraId="2204FC36" w14:textId="5EA9C8EF" w:rsidR="00F5140A" w:rsidRPr="00A175AA" w:rsidRDefault="00F5140A" w:rsidP="00F24F47">
      <w:pPr>
        <w:spacing w:line="360" w:lineRule="auto"/>
        <w:jc w:val="both"/>
        <w:outlineLvl w:val="0"/>
        <w:rPr>
          <w:rFonts w:asciiTheme="majorBidi" w:hAnsiTheme="majorBidi" w:cstheme="majorBidi"/>
          <w:b/>
          <w:bCs/>
          <w:sz w:val="24"/>
          <w:szCs w:val="24"/>
          <w:lang w:val="en-GB"/>
        </w:rPr>
      </w:pPr>
      <w:r w:rsidRPr="00A175AA">
        <w:rPr>
          <w:rFonts w:asciiTheme="majorBidi" w:hAnsiTheme="majorBidi" w:cstheme="majorBidi"/>
          <w:b/>
          <w:bCs/>
          <w:sz w:val="24"/>
          <w:szCs w:val="24"/>
          <w:lang w:val="en-GB"/>
        </w:rPr>
        <w:t>Author contributions</w:t>
      </w:r>
    </w:p>
    <w:p w14:paraId="1CA53B6F" w14:textId="494C41BD" w:rsidR="0022144D" w:rsidRPr="00A175AA" w:rsidRDefault="0022144D" w:rsidP="0022144D">
      <w:pPr>
        <w:spacing w:line="360" w:lineRule="auto"/>
        <w:rPr>
          <w:rFonts w:asciiTheme="majorBidi" w:hAnsiTheme="majorBidi" w:cstheme="majorBidi"/>
          <w:sz w:val="24"/>
          <w:szCs w:val="24"/>
          <w:lang w:val="en-GB"/>
        </w:rPr>
      </w:pPr>
      <w:r w:rsidRPr="00A175AA">
        <w:rPr>
          <w:rFonts w:asciiTheme="majorBidi" w:hAnsiTheme="majorBidi" w:cstheme="majorBidi"/>
          <w:sz w:val="24"/>
          <w:szCs w:val="24"/>
          <w:lang w:val="en-GB"/>
        </w:rPr>
        <w:t>All authors have agreed on the final version and meet at least one of the following criteria [recommended by the ICMJE (</w:t>
      </w:r>
      <w:hyperlink r:id="rId9" w:history="1">
        <w:r w:rsidRPr="00A175AA">
          <w:rPr>
            <w:rStyle w:val="Hyperlink"/>
            <w:color w:val="auto"/>
            <w:lang w:val="en-GB"/>
          </w:rPr>
          <w:t>http://www.icmje.org/recommendations/</w:t>
        </w:r>
      </w:hyperlink>
      <w:r w:rsidRPr="00A175AA">
        <w:rPr>
          <w:rFonts w:asciiTheme="majorBidi" w:hAnsiTheme="majorBidi" w:cstheme="majorBidi"/>
          <w:sz w:val="24"/>
          <w:szCs w:val="24"/>
          <w:lang w:val="en-GB"/>
        </w:rPr>
        <w:t>)]:</w:t>
      </w:r>
    </w:p>
    <w:p w14:paraId="09E5DA15" w14:textId="77777777" w:rsidR="0022144D" w:rsidRPr="00A175AA" w:rsidRDefault="0022144D" w:rsidP="0022144D">
      <w:pPr>
        <w:spacing w:line="360" w:lineRule="auto"/>
        <w:rPr>
          <w:rFonts w:asciiTheme="majorBidi" w:hAnsiTheme="majorBidi" w:cstheme="majorBidi"/>
          <w:sz w:val="24"/>
          <w:szCs w:val="24"/>
          <w:lang w:val="en-GB"/>
        </w:rPr>
      </w:pPr>
      <w:r w:rsidRPr="00A175AA">
        <w:rPr>
          <w:rFonts w:asciiTheme="majorBidi" w:hAnsiTheme="majorBidi" w:cstheme="majorBidi"/>
          <w:sz w:val="24"/>
          <w:szCs w:val="24"/>
          <w:lang w:val="en-GB"/>
        </w:rPr>
        <w:lastRenderedPageBreak/>
        <w:t>1) substantial contributions to conception and design, acquisition of data, or analysis and interpretation of data;</w:t>
      </w:r>
    </w:p>
    <w:p w14:paraId="328E6698" w14:textId="51EC196A" w:rsidR="00F5140A" w:rsidRDefault="0022144D" w:rsidP="0022144D">
      <w:pPr>
        <w:spacing w:line="360" w:lineRule="auto"/>
        <w:jc w:val="both"/>
        <w:rPr>
          <w:rFonts w:asciiTheme="majorBidi" w:hAnsiTheme="majorBidi" w:cstheme="majorBidi"/>
          <w:sz w:val="24"/>
          <w:szCs w:val="24"/>
          <w:lang w:val="en-GB"/>
        </w:rPr>
      </w:pPr>
      <w:r w:rsidRPr="00A175AA">
        <w:rPr>
          <w:rFonts w:asciiTheme="majorBidi" w:hAnsiTheme="majorBidi" w:cstheme="majorBidi"/>
          <w:sz w:val="24"/>
          <w:szCs w:val="24"/>
          <w:lang w:val="en-GB"/>
        </w:rPr>
        <w:t>2) drafting the article or revising it critically for important intellectual content.</w:t>
      </w:r>
    </w:p>
    <w:p w14:paraId="76BD03F1" w14:textId="4C4D331B"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0C6036D7" w14:textId="77777777" w:rsidR="00F24F47" w:rsidRPr="00360376" w:rsidRDefault="00F24F47" w:rsidP="00047393">
      <w:pPr>
        <w:jc w:val="both"/>
        <w:rPr>
          <w:rFonts w:asciiTheme="majorBidi" w:hAnsiTheme="majorBidi" w:cstheme="majorBidi"/>
          <w:b/>
          <w:sz w:val="24"/>
          <w:szCs w:val="24"/>
          <w:lang w:val="en-GB"/>
        </w:rPr>
      </w:pPr>
      <w:r w:rsidRPr="00360376">
        <w:rPr>
          <w:rFonts w:asciiTheme="majorBidi" w:hAnsiTheme="majorBidi" w:cstheme="majorBidi"/>
          <w:b/>
          <w:sz w:val="24"/>
          <w:szCs w:val="24"/>
          <w:lang w:val="en-GB"/>
        </w:rPr>
        <w:lastRenderedPageBreak/>
        <w:t xml:space="preserve">Impact statement </w:t>
      </w:r>
    </w:p>
    <w:p w14:paraId="62247AF8" w14:textId="77777777" w:rsidR="00F24F47" w:rsidRDefault="00F24F47" w:rsidP="007E501A">
      <w:pPr>
        <w:spacing w:line="360" w:lineRule="auto"/>
        <w:jc w:val="both"/>
        <w:rPr>
          <w:rFonts w:ascii="Times New Roman" w:hAnsi="Times New Roman" w:cs="Times New Roman"/>
          <w:bCs/>
          <w:sz w:val="24"/>
          <w:szCs w:val="24"/>
          <w:lang w:val="en-GB"/>
        </w:rPr>
      </w:pPr>
      <w:r w:rsidRPr="00360376">
        <w:rPr>
          <w:rFonts w:ascii="Times New Roman" w:hAnsi="Times New Roman" w:cs="Times New Roman"/>
          <w:sz w:val="24"/>
          <w:szCs w:val="24"/>
          <w:lang w:val="en-GB"/>
        </w:rPr>
        <w:t>Incontinence-associated dermatitis is a burden for both patients and caregivers. Adequate prevention and treatment of incontinence-associated dermatitis are therefore essential.</w:t>
      </w:r>
      <w:r>
        <w:rPr>
          <w:rFonts w:ascii="Times New Roman" w:hAnsi="Times New Roman" w:cs="Times New Roman"/>
          <w:sz w:val="24"/>
          <w:szCs w:val="24"/>
          <w:lang w:val="en-GB"/>
        </w:rPr>
        <w:t xml:space="preserve"> </w:t>
      </w:r>
      <w:r w:rsidRPr="00787B22">
        <w:rPr>
          <w:rFonts w:ascii="Times New Roman" w:hAnsi="Times New Roman" w:cs="Times New Roman"/>
          <w:sz w:val="24"/>
          <w:szCs w:val="24"/>
          <w:lang w:val="en-GB"/>
        </w:rPr>
        <w:t xml:space="preserve">A wide range of products </w:t>
      </w:r>
      <w:r>
        <w:rPr>
          <w:rFonts w:ascii="Times New Roman" w:hAnsi="Times New Roman" w:cs="Times New Roman"/>
          <w:sz w:val="24"/>
          <w:szCs w:val="24"/>
          <w:lang w:val="en-GB"/>
        </w:rPr>
        <w:t>is</w:t>
      </w:r>
      <w:r w:rsidRPr="00787B22">
        <w:rPr>
          <w:rFonts w:ascii="Times New Roman" w:hAnsi="Times New Roman" w:cs="Times New Roman"/>
          <w:sz w:val="24"/>
          <w:szCs w:val="24"/>
          <w:lang w:val="en-GB"/>
        </w:rPr>
        <w:t xml:space="preserve"> available </w:t>
      </w:r>
      <w:r w:rsidRPr="00787B22">
        <w:rPr>
          <w:rFonts w:ascii="Times New Roman" w:hAnsi="Times New Roman" w:cs="Times New Roman"/>
          <w:bCs/>
          <w:sz w:val="24"/>
          <w:szCs w:val="24"/>
          <w:lang w:val="en-GB"/>
        </w:rPr>
        <w:t xml:space="preserve">but studies on the efficacy and </w:t>
      </w:r>
      <w:r>
        <w:rPr>
          <w:rFonts w:ascii="Times New Roman" w:hAnsi="Times New Roman" w:cs="Times New Roman"/>
          <w:bCs/>
          <w:sz w:val="24"/>
          <w:szCs w:val="24"/>
          <w:lang w:val="en-GB"/>
        </w:rPr>
        <w:t>(cost-)</w:t>
      </w:r>
      <w:r w:rsidRPr="00787B22">
        <w:rPr>
          <w:rFonts w:ascii="Times New Roman" w:hAnsi="Times New Roman" w:cs="Times New Roman"/>
          <w:bCs/>
          <w:sz w:val="24"/>
          <w:szCs w:val="24"/>
          <w:lang w:val="en-GB"/>
        </w:rPr>
        <w:t xml:space="preserve">effectiveness cannot adequately be compared because of the large variety </w:t>
      </w:r>
      <w:r>
        <w:rPr>
          <w:rFonts w:ascii="Times New Roman" w:hAnsi="Times New Roman" w:cs="Times New Roman"/>
          <w:bCs/>
          <w:sz w:val="24"/>
          <w:szCs w:val="24"/>
          <w:lang w:val="en-GB"/>
        </w:rPr>
        <w:t xml:space="preserve">of </w:t>
      </w:r>
      <w:r w:rsidRPr="00787B22">
        <w:rPr>
          <w:rFonts w:ascii="Times New Roman" w:hAnsi="Times New Roman" w:cs="Times New Roman"/>
          <w:bCs/>
          <w:sz w:val="24"/>
          <w:szCs w:val="24"/>
          <w:lang w:val="en-GB"/>
        </w:rPr>
        <w:t>outcomes used and their related measures.</w:t>
      </w:r>
      <w:r>
        <w:rPr>
          <w:rFonts w:ascii="Times New Roman" w:hAnsi="Times New Roman" w:cs="Times New Roman"/>
          <w:bCs/>
          <w:sz w:val="24"/>
          <w:szCs w:val="24"/>
          <w:lang w:val="en-GB"/>
        </w:rPr>
        <w:t xml:space="preserve"> </w:t>
      </w:r>
      <w:r w:rsidRPr="00787B22">
        <w:rPr>
          <w:rFonts w:ascii="Times New Roman" w:hAnsi="Times New Roman" w:cs="Times New Roman"/>
          <w:bCs/>
          <w:sz w:val="24"/>
          <w:szCs w:val="24"/>
          <w:lang w:val="en-GB"/>
        </w:rPr>
        <w:t>The COS for IAD in adults consists of the following outcome domains: ‘erythema’, ‘maceration’, ‘erosion’, ‘IAD-related pain’, and ‘patient satisfaction’. It is recommended that all trials and non-randomised studies in this area should use these domains with the aim of improving transparency and to enhance comparability. The use of a COS will contribute to the reduction of outcome reporting bias and it will enhance the comparability of study results leading to a stronger evidence-base</w:t>
      </w:r>
      <w:r>
        <w:rPr>
          <w:rFonts w:ascii="Times New Roman" w:hAnsi="Times New Roman" w:cs="Times New Roman"/>
          <w:bCs/>
          <w:sz w:val="24"/>
          <w:szCs w:val="24"/>
          <w:lang w:val="en-GB"/>
        </w:rPr>
        <w:t>.</w:t>
      </w:r>
    </w:p>
    <w:p w14:paraId="2C8E6405" w14:textId="77777777" w:rsidR="00F24F47" w:rsidRPr="00360376" w:rsidRDefault="00F24F47">
      <w:pPr>
        <w:rPr>
          <w:lang w:val="en-US"/>
        </w:rPr>
      </w:pPr>
    </w:p>
    <w:p w14:paraId="48AE64B4" w14:textId="6D9FEB2E"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2A6675EA" w14:textId="77777777" w:rsidR="00F24F47" w:rsidRPr="00555AAA" w:rsidRDefault="00F24F47" w:rsidP="00555AAA">
      <w:pPr>
        <w:spacing w:after="120" w:line="480" w:lineRule="auto"/>
        <w:jc w:val="both"/>
        <w:rPr>
          <w:rFonts w:ascii="Times New Roman" w:hAnsi="Times New Roman" w:cs="Times New Roman"/>
          <w:sz w:val="24"/>
          <w:szCs w:val="24"/>
          <w:lang w:val="en-GB"/>
        </w:rPr>
      </w:pPr>
      <w:bookmarkStart w:id="0" w:name="_GoBack"/>
      <w:bookmarkEnd w:id="0"/>
      <w:r w:rsidRPr="00555AAA">
        <w:rPr>
          <w:rFonts w:ascii="Times New Roman" w:hAnsi="Times New Roman" w:cs="Times New Roman"/>
          <w:b/>
          <w:sz w:val="24"/>
          <w:szCs w:val="24"/>
          <w:lang w:val="en-GB"/>
        </w:rPr>
        <w:lastRenderedPageBreak/>
        <w:t>Abstract</w:t>
      </w:r>
    </w:p>
    <w:p w14:paraId="37C66DF2" w14:textId="77777777" w:rsidR="00F24F47" w:rsidRPr="00555AAA" w:rsidRDefault="00F24F47" w:rsidP="00555AAA">
      <w:pPr>
        <w:tabs>
          <w:tab w:val="left" w:pos="2268"/>
        </w:tabs>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
          <w:bCs/>
          <w:sz w:val="24"/>
          <w:szCs w:val="24"/>
          <w:lang w:val="en-GB"/>
        </w:rPr>
        <w:t>Aim.</w:t>
      </w:r>
      <w:r w:rsidRPr="00555AAA">
        <w:rPr>
          <w:rFonts w:ascii="Times New Roman" w:hAnsi="Times New Roman" w:cs="Times New Roman"/>
          <w:bCs/>
          <w:sz w:val="24"/>
          <w:szCs w:val="24"/>
          <w:lang w:val="en-GB"/>
        </w:rPr>
        <w:t xml:space="preserve"> To report the development of a core set of outcome domains for clinical research involving adults with incontinence-associated dermatitis or at risk, independently from any geographical location or skin colour.</w:t>
      </w:r>
    </w:p>
    <w:p w14:paraId="5274B1E2" w14:textId="77777777" w:rsidR="00F24F47" w:rsidRPr="00555AAA" w:rsidRDefault="00F24F47" w:rsidP="00555AAA">
      <w:pPr>
        <w:tabs>
          <w:tab w:val="left" w:pos="2268"/>
        </w:tabs>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
          <w:bCs/>
          <w:sz w:val="24"/>
          <w:szCs w:val="24"/>
          <w:lang w:val="en-GB"/>
        </w:rPr>
        <w:t>Background.</w:t>
      </w:r>
      <w:r w:rsidRPr="00555AAA">
        <w:rPr>
          <w:rFonts w:ascii="Times New Roman" w:hAnsi="Times New Roman" w:cs="Times New Roman"/>
          <w:bCs/>
          <w:sz w:val="24"/>
          <w:szCs w:val="24"/>
          <w:lang w:val="en-GB"/>
        </w:rPr>
        <w:t xml:space="preserve"> The management of incontinence-associated dermatitis is important in caring for incontinent patients. The lack of comparability of clinical trial outcomes is a major challenge in the field of evidence-based incontinence-associated dermatitis prevention and treatment. Core outcome sets may therefore be helpful to improve the value of clinical incontinence-associated dermatitis research. </w:t>
      </w:r>
    </w:p>
    <w:p w14:paraId="61D90431" w14:textId="77777777" w:rsidR="00F24F47" w:rsidRPr="00555AAA" w:rsidRDefault="00F24F47" w:rsidP="00555AAA">
      <w:pPr>
        <w:tabs>
          <w:tab w:val="left" w:pos="2268"/>
        </w:tabs>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
          <w:bCs/>
          <w:sz w:val="24"/>
          <w:szCs w:val="24"/>
          <w:lang w:val="en-GB"/>
        </w:rPr>
        <w:t>Design.</w:t>
      </w:r>
      <w:r w:rsidRPr="00555AAA">
        <w:rPr>
          <w:rFonts w:ascii="Times New Roman" w:hAnsi="Times New Roman" w:cs="Times New Roman"/>
          <w:bCs/>
          <w:sz w:val="24"/>
          <w:szCs w:val="24"/>
          <w:lang w:val="en-GB"/>
        </w:rPr>
        <w:t xml:space="preserve"> Systematic literature review, patient interviews</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consensus study using Delphi procedure.</w:t>
      </w:r>
    </w:p>
    <w:p w14:paraId="5D82A484" w14:textId="77777777" w:rsidR="00F24F47" w:rsidRPr="00555AAA" w:rsidRDefault="00F24F47" w:rsidP="00555AAA">
      <w:pPr>
        <w:tabs>
          <w:tab w:val="left" w:pos="2268"/>
        </w:tabs>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
          <w:bCs/>
          <w:sz w:val="24"/>
          <w:szCs w:val="24"/>
          <w:lang w:val="en-GB"/>
        </w:rPr>
        <w:t>Methods.</w:t>
      </w:r>
      <w:r w:rsidRPr="00555AAA">
        <w:rPr>
          <w:rFonts w:ascii="Times New Roman" w:hAnsi="Times New Roman" w:cs="Times New Roman"/>
          <w:bCs/>
          <w:sz w:val="24"/>
          <w:szCs w:val="24"/>
          <w:lang w:val="en-GB"/>
        </w:rPr>
        <w:t xml:space="preserve"> A list of outcome domains was generated through a systematic literature review (no date restrictions – April 2016), consultation of an international steering committee</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three patient </w:t>
      </w:r>
      <w:proofErr w:type="gramStart"/>
      <w:r w:rsidRPr="00555AAA">
        <w:rPr>
          <w:rFonts w:ascii="Times New Roman" w:hAnsi="Times New Roman" w:cs="Times New Roman"/>
          <w:bCs/>
          <w:sz w:val="24"/>
          <w:szCs w:val="24"/>
          <w:lang w:val="en-GB"/>
        </w:rPr>
        <w:t>interviews .</w:t>
      </w:r>
      <w:proofErr w:type="gramEnd"/>
      <w:r w:rsidRPr="00555AAA">
        <w:rPr>
          <w:rFonts w:ascii="Times New Roman" w:hAnsi="Times New Roman" w:cs="Times New Roman"/>
          <w:bCs/>
          <w:sz w:val="24"/>
          <w:szCs w:val="24"/>
          <w:lang w:val="en-GB"/>
        </w:rPr>
        <w:t xml:space="preserve"> The project team reviewed and refined the outcome domains prior to starting a three-round Delphi procedure conducted between April </w:t>
      </w:r>
      <w:r>
        <w:rPr>
          <w:rFonts w:ascii="Times New Roman" w:hAnsi="Times New Roman" w:cs="Times New Roman"/>
          <w:bCs/>
          <w:sz w:val="24"/>
          <w:szCs w:val="24"/>
          <w:lang w:val="en-GB"/>
        </w:rPr>
        <w:t>-</w:t>
      </w:r>
      <w:r w:rsidRPr="00555AAA">
        <w:rPr>
          <w:rFonts w:ascii="Times New Roman" w:hAnsi="Times New Roman" w:cs="Times New Roman"/>
          <w:bCs/>
          <w:sz w:val="24"/>
          <w:szCs w:val="24"/>
          <w:lang w:val="en-GB"/>
        </w:rPr>
        <w:t xml:space="preserve"> September 2017. The panellists, including healthcare providers, researchers</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industry were invited to rate the importance of the outcome domains.</w:t>
      </w:r>
    </w:p>
    <w:p w14:paraId="77EE3830" w14:textId="77777777" w:rsidR="00F24F47" w:rsidRPr="00555AAA" w:rsidRDefault="00F24F47" w:rsidP="00555AAA">
      <w:pPr>
        <w:tabs>
          <w:tab w:val="left" w:pos="2268"/>
        </w:tabs>
        <w:spacing w:after="120" w:line="480" w:lineRule="auto"/>
        <w:jc w:val="both"/>
        <w:rPr>
          <w:rFonts w:ascii="Times New Roman" w:hAnsi="Times New Roman" w:cs="Times New Roman"/>
          <w:b/>
          <w:bCs/>
          <w:sz w:val="24"/>
          <w:szCs w:val="24"/>
          <w:lang w:val="en-GB"/>
        </w:rPr>
      </w:pPr>
      <w:r w:rsidRPr="00555AAA">
        <w:rPr>
          <w:rFonts w:ascii="Times New Roman" w:hAnsi="Times New Roman" w:cs="Times New Roman"/>
          <w:b/>
          <w:bCs/>
          <w:sz w:val="24"/>
          <w:szCs w:val="24"/>
          <w:lang w:val="en-GB"/>
        </w:rPr>
        <w:t xml:space="preserve">Results. </w:t>
      </w:r>
      <w:r w:rsidRPr="00555AAA">
        <w:rPr>
          <w:rFonts w:ascii="Times New Roman" w:hAnsi="Times New Roman" w:cs="Times New Roman"/>
          <w:bCs/>
          <w:sz w:val="24"/>
          <w:szCs w:val="24"/>
          <w:lang w:val="en-GB"/>
        </w:rPr>
        <w:t xml:space="preserve">We extracted 1852 outcomes from 244 articles. Experts proposed 56 and patients 32 outcome domains. After refinement, </w:t>
      </w:r>
      <w:r w:rsidRPr="00555AAA">
        <w:rPr>
          <w:rFonts w:ascii="Times New Roman" w:hAnsi="Times New Roman" w:cs="Times New Roman"/>
          <w:sz w:val="24"/>
          <w:szCs w:val="24"/>
          <w:lang w:val="en-GB"/>
        </w:rPr>
        <w:t>57 panellists from 17 countries rated</w:t>
      </w:r>
      <w:r w:rsidRPr="00555AAA">
        <w:rPr>
          <w:rFonts w:ascii="Times New Roman" w:hAnsi="Times New Roman" w:cs="Times New Roman"/>
          <w:bCs/>
          <w:sz w:val="24"/>
          <w:szCs w:val="24"/>
          <w:lang w:val="en-GB"/>
        </w:rPr>
        <w:t xml:space="preserve"> a</w:t>
      </w:r>
      <w:r w:rsidRPr="00555AAA">
        <w:rPr>
          <w:rFonts w:ascii="Times New Roman" w:hAnsi="Times New Roman" w:cs="Times New Roman"/>
          <w:sz w:val="24"/>
          <w:szCs w:val="24"/>
          <w:lang w:val="en-GB"/>
        </w:rPr>
        <w:t xml:space="preserve"> list of 58 outcome domains. The final list of outcome domains includes erythema, erosion, maceration, IAD-related pain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patient satisfaction.</w:t>
      </w:r>
    </w:p>
    <w:p w14:paraId="08EE7A49" w14:textId="77777777" w:rsidR="00F24F47" w:rsidRPr="00555AAA" w:rsidRDefault="00F24F47" w:rsidP="00555AAA">
      <w:pPr>
        <w:spacing w:after="120" w:line="480" w:lineRule="auto"/>
        <w:jc w:val="both"/>
        <w:rPr>
          <w:rFonts w:ascii="Times New Roman" w:hAnsi="Times New Roman" w:cs="Times New Roman"/>
          <w:b/>
          <w:sz w:val="24"/>
          <w:szCs w:val="24"/>
          <w:lang w:val="en-GB"/>
        </w:rPr>
      </w:pPr>
      <w:r w:rsidRPr="00555AAA">
        <w:rPr>
          <w:rFonts w:ascii="Times New Roman" w:hAnsi="Times New Roman" w:cs="Times New Roman"/>
          <w:b/>
          <w:bCs/>
          <w:sz w:val="24"/>
          <w:szCs w:val="24"/>
          <w:lang w:val="en-GB"/>
        </w:rPr>
        <w:t xml:space="preserve">Conclusion. </w:t>
      </w:r>
      <w:r w:rsidRPr="00555AAA">
        <w:rPr>
          <w:rFonts w:ascii="Times New Roman" w:hAnsi="Times New Roman" w:cs="Times New Roman"/>
          <w:bCs/>
          <w:sz w:val="24"/>
          <w:szCs w:val="24"/>
          <w:lang w:val="en-GB"/>
        </w:rPr>
        <w:t>Erythema, erosion, maceration, incontinence-associated dermatitis -related pain</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patient satisfaction are the most important outcome domains to be measured in incontinence-associated dermatitis trials. Based on this international consensus on what to </w:t>
      </w:r>
      <w:r w:rsidRPr="00555AAA">
        <w:rPr>
          <w:rFonts w:ascii="Times New Roman" w:hAnsi="Times New Roman" w:cs="Times New Roman"/>
          <w:bCs/>
          <w:sz w:val="24"/>
          <w:szCs w:val="24"/>
          <w:lang w:val="en-GB"/>
        </w:rPr>
        <w:lastRenderedPageBreak/>
        <w:t xml:space="preserve">measure, the question of how to measure these domains now requires </w:t>
      </w:r>
      <w:proofErr w:type="spellStart"/>
      <w:proofErr w:type="gramStart"/>
      <w:r w:rsidRPr="00555AAA">
        <w:rPr>
          <w:rFonts w:ascii="Times New Roman" w:hAnsi="Times New Roman" w:cs="Times New Roman"/>
          <w:bCs/>
          <w:sz w:val="24"/>
          <w:szCs w:val="24"/>
          <w:lang w:val="en-GB"/>
        </w:rPr>
        <w:t>consideration.</w:t>
      </w:r>
      <w:r w:rsidRPr="00555AAA">
        <w:rPr>
          <w:rFonts w:ascii="Times New Roman" w:hAnsi="Times New Roman" w:cs="Times New Roman"/>
          <w:b/>
          <w:sz w:val="24"/>
          <w:szCs w:val="24"/>
          <w:lang w:val="en-GB"/>
        </w:rPr>
        <w:t>Registration</w:t>
      </w:r>
      <w:proofErr w:type="spellEnd"/>
      <w:proofErr w:type="gramEnd"/>
      <w:r w:rsidRPr="00555AAA">
        <w:rPr>
          <w:rFonts w:ascii="Times New Roman" w:hAnsi="Times New Roman" w:cs="Times New Roman"/>
          <w:b/>
          <w:sz w:val="24"/>
          <w:szCs w:val="24"/>
          <w:lang w:val="en-GB"/>
        </w:rPr>
        <w:t xml:space="preserve"> </w:t>
      </w:r>
      <w:r w:rsidRPr="00555AAA">
        <w:rPr>
          <w:rFonts w:ascii="Times New Roman" w:hAnsi="Times New Roman" w:cs="Times New Roman"/>
          <w:sz w:val="24"/>
          <w:szCs w:val="24"/>
          <w:lang w:val="en-GB"/>
        </w:rPr>
        <w:t>This project has been registered in the Core Outcome Measures in Effectiveness Trials (COMET Initiative) database and is part of the Cochrane Skin Group - Core Outcomes Set Initiative (CSG-COUSIN).</w:t>
      </w:r>
    </w:p>
    <w:p w14:paraId="3FD5E4E9"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
          <w:bCs/>
          <w:sz w:val="24"/>
          <w:szCs w:val="24"/>
          <w:lang w:val="en-GB"/>
        </w:rPr>
        <w:t xml:space="preserve">Keywords </w:t>
      </w:r>
      <w:r w:rsidRPr="00555AAA">
        <w:rPr>
          <w:rFonts w:ascii="Times New Roman" w:hAnsi="Times New Roman" w:cs="Times New Roman"/>
          <w:bCs/>
          <w:sz w:val="24"/>
          <w:szCs w:val="24"/>
          <w:lang w:val="en-GB"/>
        </w:rPr>
        <w:t xml:space="preserve">Clinical nursing research, Contact dermatitis, Core outcome set, Dermatology, Domains, Incontinence-associated dermatitis, Nursing, Outcome assessment, Outcomes, Outcomes research </w:t>
      </w:r>
    </w:p>
    <w:p w14:paraId="0BBBA6CC" w14:textId="77777777" w:rsidR="00F24F47" w:rsidRDefault="00F24F47">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38FAA605" w14:textId="77777777" w:rsidR="00F24F47" w:rsidRPr="00555AAA" w:rsidRDefault="00F24F47" w:rsidP="00555AAA">
      <w:pPr>
        <w:spacing w:after="120" w:line="480" w:lineRule="auto"/>
        <w:jc w:val="both"/>
        <w:rPr>
          <w:rFonts w:ascii="Times New Roman" w:hAnsi="Times New Roman" w:cs="Times New Roman"/>
          <w:b/>
          <w:sz w:val="24"/>
          <w:szCs w:val="24"/>
          <w:lang w:val="en-GB"/>
        </w:rPr>
      </w:pPr>
      <w:r w:rsidRPr="00555AAA">
        <w:rPr>
          <w:rFonts w:ascii="Times New Roman" w:hAnsi="Times New Roman" w:cs="Times New Roman"/>
          <w:b/>
          <w:sz w:val="24"/>
          <w:szCs w:val="24"/>
          <w:lang w:val="en-GB"/>
        </w:rPr>
        <w:lastRenderedPageBreak/>
        <w:t>Summary statement</w:t>
      </w:r>
    </w:p>
    <w:p w14:paraId="02BFD35B" w14:textId="77777777" w:rsidR="00F24F47" w:rsidRPr="00555AAA" w:rsidRDefault="00F24F47" w:rsidP="00555AAA">
      <w:pPr>
        <w:spacing w:after="120" w:line="480" w:lineRule="auto"/>
        <w:jc w:val="both"/>
        <w:rPr>
          <w:rFonts w:ascii="Times New Roman" w:hAnsi="Times New Roman" w:cs="Times New Roman"/>
          <w:b/>
          <w:sz w:val="24"/>
          <w:szCs w:val="24"/>
          <w:lang w:val="en-GB"/>
        </w:rPr>
      </w:pPr>
      <w:r w:rsidRPr="00555AAA">
        <w:rPr>
          <w:rFonts w:ascii="Times New Roman" w:hAnsi="Times New Roman" w:cs="Times New Roman"/>
          <w:b/>
          <w:sz w:val="24"/>
          <w:szCs w:val="24"/>
          <w:lang w:val="en-GB"/>
        </w:rPr>
        <w:t>Why this research is needed?</w:t>
      </w:r>
    </w:p>
    <w:p w14:paraId="141BECC1" w14:textId="77777777" w:rsidR="00F24F47" w:rsidRPr="00555AAA" w:rsidRDefault="00F24F47" w:rsidP="006F53D1">
      <w:pPr>
        <w:pStyle w:val="ListParagraph"/>
        <w:numPr>
          <w:ilvl w:val="0"/>
          <w:numId w:val="4"/>
        </w:num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Incontinence-associated dermatitis is a burden for both patients and for their caregivers. Adequate prevention and treatment of incontinence-associated dermatitis are therefore essential.</w:t>
      </w:r>
    </w:p>
    <w:p w14:paraId="0E565F6B" w14:textId="77777777" w:rsidR="00F24F47" w:rsidRPr="00555AAA" w:rsidRDefault="00F24F47" w:rsidP="006F53D1">
      <w:pPr>
        <w:pStyle w:val="ListParagraph"/>
        <w:numPr>
          <w:ilvl w:val="0"/>
          <w:numId w:val="4"/>
        </w:num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A wide range of products is available </w:t>
      </w:r>
      <w:r w:rsidRPr="00555AAA">
        <w:rPr>
          <w:rFonts w:ascii="Times New Roman" w:hAnsi="Times New Roman" w:cs="Times New Roman"/>
          <w:bCs/>
          <w:sz w:val="24"/>
          <w:szCs w:val="24"/>
          <w:lang w:val="en-GB"/>
        </w:rPr>
        <w:t>but studies on the efficacy and (cost-) effectiveness cannot adequately be compared because of the large variety of outcomes used and their related measures.</w:t>
      </w:r>
    </w:p>
    <w:p w14:paraId="229731F0" w14:textId="77777777" w:rsidR="00F24F47" w:rsidRPr="00555AAA" w:rsidRDefault="00F24F47" w:rsidP="006F53D1">
      <w:pPr>
        <w:pStyle w:val="ListParagraph"/>
        <w:numPr>
          <w:ilvl w:val="0"/>
          <w:numId w:val="4"/>
        </w:num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To date, there is no consensus on which outcomes to measure in clinical effectiveness trials in the field of incontinence-associated dermatitis. </w:t>
      </w:r>
    </w:p>
    <w:p w14:paraId="1D638228" w14:textId="77777777" w:rsidR="00F24F47" w:rsidRPr="00555AAA" w:rsidRDefault="00F24F47" w:rsidP="00555AAA">
      <w:pPr>
        <w:spacing w:after="120" w:line="480" w:lineRule="auto"/>
        <w:jc w:val="both"/>
        <w:rPr>
          <w:rFonts w:ascii="Times New Roman" w:hAnsi="Times New Roman" w:cs="Times New Roman"/>
          <w:b/>
          <w:sz w:val="24"/>
          <w:szCs w:val="24"/>
          <w:lang w:val="en-GB"/>
        </w:rPr>
      </w:pPr>
      <w:r w:rsidRPr="00555AAA">
        <w:rPr>
          <w:rFonts w:ascii="Times New Roman" w:hAnsi="Times New Roman" w:cs="Times New Roman"/>
          <w:b/>
          <w:sz w:val="24"/>
          <w:szCs w:val="24"/>
          <w:lang w:val="en-GB"/>
        </w:rPr>
        <w:t>What are the key findings?</w:t>
      </w:r>
    </w:p>
    <w:p w14:paraId="0D84F454" w14:textId="77777777" w:rsidR="00F24F47" w:rsidRPr="00555AAA" w:rsidRDefault="00F24F47" w:rsidP="006F53D1">
      <w:pPr>
        <w:pStyle w:val="ListParagraph"/>
        <w:numPr>
          <w:ilvl w:val="0"/>
          <w:numId w:val="5"/>
        </w:numPr>
        <w:spacing w:after="120" w:line="480" w:lineRule="auto"/>
        <w:jc w:val="both"/>
        <w:rPr>
          <w:rFonts w:ascii="Times New Roman" w:hAnsi="Times New Roman" w:cs="Times New Roman"/>
          <w:b/>
          <w:i/>
          <w:sz w:val="24"/>
          <w:szCs w:val="24"/>
          <w:lang w:val="en-GB"/>
        </w:rPr>
      </w:pPr>
      <w:r w:rsidRPr="00555AAA">
        <w:rPr>
          <w:rFonts w:ascii="Times New Roman" w:hAnsi="Times New Roman" w:cs="Times New Roman"/>
          <w:sz w:val="24"/>
          <w:szCs w:val="24"/>
          <w:lang w:val="en-GB"/>
        </w:rPr>
        <w:t>Core outcome domains to be reported in incontinence-associated dermatitis clinical trials have been identified.</w:t>
      </w:r>
    </w:p>
    <w:p w14:paraId="409DEC0B" w14:textId="77777777" w:rsidR="00F24F47" w:rsidRPr="00555AAA" w:rsidRDefault="00F24F47" w:rsidP="006F53D1">
      <w:pPr>
        <w:pStyle w:val="ListParagraph"/>
        <w:numPr>
          <w:ilvl w:val="0"/>
          <w:numId w:val="5"/>
        </w:numPr>
        <w:spacing w:after="120" w:line="480" w:lineRule="auto"/>
        <w:jc w:val="both"/>
        <w:rPr>
          <w:rFonts w:ascii="Times New Roman" w:hAnsi="Times New Roman" w:cs="Times New Roman"/>
          <w:b/>
          <w:i/>
          <w:sz w:val="24"/>
          <w:szCs w:val="24"/>
          <w:lang w:val="en-GB"/>
        </w:rPr>
      </w:pPr>
      <w:r w:rsidRPr="00555AAA">
        <w:rPr>
          <w:rFonts w:ascii="Times New Roman" w:hAnsi="Times New Roman" w:cs="Times New Roman"/>
          <w:sz w:val="24"/>
          <w:szCs w:val="24"/>
          <w:lang w:val="en-GB"/>
        </w:rPr>
        <w:t>Erythema, maceration, erosion, IAD-related pain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patient satisfaction are considered as most important to measure.</w:t>
      </w:r>
    </w:p>
    <w:p w14:paraId="05753E50" w14:textId="77777777" w:rsidR="00F24F47" w:rsidRPr="00555AAA" w:rsidRDefault="00F24F47" w:rsidP="00555AAA">
      <w:pPr>
        <w:spacing w:after="120" w:line="480" w:lineRule="auto"/>
        <w:jc w:val="both"/>
        <w:rPr>
          <w:rFonts w:ascii="Times New Roman" w:hAnsi="Times New Roman" w:cs="Times New Roman"/>
          <w:b/>
          <w:sz w:val="24"/>
          <w:szCs w:val="24"/>
          <w:lang w:val="en-GB"/>
        </w:rPr>
      </w:pPr>
      <w:r w:rsidRPr="00555AAA">
        <w:rPr>
          <w:rFonts w:ascii="Times New Roman" w:hAnsi="Times New Roman" w:cs="Times New Roman"/>
          <w:b/>
          <w:sz w:val="24"/>
          <w:szCs w:val="24"/>
          <w:lang w:val="en-GB"/>
        </w:rPr>
        <w:t>How should the findings be used to influence policy/practice/research/education?</w:t>
      </w:r>
    </w:p>
    <w:p w14:paraId="7DE42E25" w14:textId="77777777" w:rsidR="00F24F47" w:rsidRPr="00555AAA" w:rsidRDefault="00F24F47" w:rsidP="006F53D1">
      <w:pPr>
        <w:pStyle w:val="ListParagraph"/>
        <w:numPr>
          <w:ilvl w:val="0"/>
          <w:numId w:val="4"/>
        </w:num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bCs/>
          <w:sz w:val="24"/>
          <w:szCs w:val="24"/>
          <w:lang w:val="en-GB"/>
        </w:rPr>
        <w:t xml:space="preserve">Researchers should focus on the identified core outcome domains when planning and conducting clinical trials in the field of </w:t>
      </w:r>
      <w:r w:rsidRPr="00555AAA">
        <w:rPr>
          <w:rFonts w:ascii="Times New Roman" w:hAnsi="Times New Roman" w:cs="Times New Roman"/>
          <w:sz w:val="24"/>
          <w:szCs w:val="24"/>
          <w:lang w:val="en-GB"/>
        </w:rPr>
        <w:t>incontinence-associated dermatitis</w:t>
      </w:r>
      <w:r w:rsidRPr="00555AAA">
        <w:rPr>
          <w:rFonts w:ascii="Times New Roman" w:hAnsi="Times New Roman" w:cs="Times New Roman"/>
          <w:bCs/>
          <w:sz w:val="24"/>
          <w:szCs w:val="24"/>
          <w:lang w:val="en-GB"/>
        </w:rPr>
        <w:t>.</w:t>
      </w:r>
      <w:r w:rsidRPr="00555AAA">
        <w:rPr>
          <w:rFonts w:ascii="Times New Roman" w:hAnsi="Times New Roman" w:cs="Times New Roman"/>
          <w:sz w:val="24"/>
          <w:szCs w:val="24"/>
          <w:lang w:val="en-GB"/>
        </w:rPr>
        <w:t xml:space="preserve"> </w:t>
      </w:r>
    </w:p>
    <w:p w14:paraId="35CB2C4A" w14:textId="77777777" w:rsidR="00F24F47" w:rsidRPr="00555AAA" w:rsidRDefault="00F24F47" w:rsidP="006F53D1">
      <w:pPr>
        <w:pStyle w:val="ListParagraph"/>
        <w:numPr>
          <w:ilvl w:val="0"/>
          <w:numId w:val="4"/>
        </w:num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Research is needed to identify most appropriate ways to measure the core outcome domains.</w:t>
      </w:r>
      <w:r w:rsidRPr="00555AAA">
        <w:rPr>
          <w:rFonts w:ascii="Times New Roman" w:hAnsi="Times New Roman" w:cs="Times New Roman"/>
          <w:sz w:val="24"/>
          <w:szCs w:val="24"/>
          <w:lang w:val="en-GB"/>
        </w:rPr>
        <w:br w:type="page"/>
      </w:r>
    </w:p>
    <w:p w14:paraId="4E6EED9F"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lastRenderedPageBreak/>
        <w:t>INTRODUCTION</w:t>
      </w:r>
    </w:p>
    <w:p w14:paraId="109EC555"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 xml:space="preserve">Incontinence-associated dermatitis (IAD) is an irritant contact dermatitis caused by the prolonged and repeated exposures of the skin to urine and/or faeces. It is characterized by erythema and oedema of the perianal and/or genital skin. In some cases, IAD is accompanied by bullae, erosion or secondary cutaneous infection </w:t>
      </w:r>
      <w:r w:rsidRPr="00555AAA">
        <w:rPr>
          <w:rFonts w:ascii="Times New Roman" w:hAnsi="Times New Roman" w:cs="Times New Roman"/>
          <w:bCs/>
          <w:sz w:val="24"/>
          <w:szCs w:val="24"/>
          <w:lang w:val="en-GB"/>
        </w:rPr>
        <w:fldChar w:fldCharType="begin">
          <w:fldData xml:space="preserve">PEVuZE5vdGU+PENpdGU+PEF1dGhvcj5HcmF5PC9BdXRob3I+PFllYXI+MjAxMjwvWWVhcj48UmVj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PEVuZE5vdGU+PENpdGU+PEF1dGhvcj5HcmF5PC9BdXRob3I+PFllYXI+MjAxMjwvWWVhcj48UmVj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(Gray et al. 2012)</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Skin surface wetness, chemical and physical irritants trigger inflammation and skin damage </w:t>
      </w:r>
      <w:r w:rsidRPr="00555AAA">
        <w:rPr>
          <w:rFonts w:ascii="Times New Roman" w:hAnsi="Times New Roman" w:cs="Times New Roman"/>
          <w:bCs/>
          <w:sz w:val="24"/>
          <w:szCs w:val="24"/>
          <w:lang w:val="en-GB"/>
        </w:rPr>
        <w:fldChar w:fldCharType="begin">
          <w:fldData xml:space="preserve">PEVuZE5vdGU+PENpdGU+PEF1dGhvcj5CZWVja21hbjwvQXV0aG9yPjxZZWFyPjIwMDk8L1llYXI+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PEVuZE5vdGU+PENpdGU+PEF1dGhvcj5CZWVja21hbjwvQXV0aG9yPjxZZWFyPjIwMDk8L1llYXI+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(Beeckman et al. 2009, Mugita et al. 2015)</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Patients with IAD may experience discomfort because of pain, itching, burning or tingling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&lt;EndNote&gt;&lt;Cite&gt;&lt;Author&gt;Van Damme&lt;/Author&gt;&lt;Year&gt;2015&lt;/Year&gt;&lt;RecNum&gt;8354&lt;/RecNum&gt;&lt;DisplayText&gt;(Van Damme et al. 2015)&lt;/DisplayText&gt;&lt;record&gt;&lt;rec-number&gt;8354&lt;/rec-number&gt;&lt;foreign-keys&gt;&lt;key app="EN" db-id="dzts5tzxm909vmesxpbpa5s5xsv9apwp5spe" timestamp="1499756642"&gt;8354&lt;/key&gt;&lt;/foreign-keys&gt;&lt;ref-type name="Conference Proceedings"&gt;10&lt;/ref-type&gt;&lt;contributors&gt;&lt;authors&gt;&lt;author&gt;Van Damme, Nele&lt;/author&gt;&lt;author&gt;Vanryckeghem, Elisa&lt;/author&gt;&lt;author&gt;Verhaeghe, Sofie&lt;/author&gt;&lt;author&gt;Beeckman, Dimitri&lt;/author&gt;&lt;/authors&gt;&lt;/contributors&gt;&lt;titles&gt;&lt;title&gt;Incontinence-associated dermatitis in elderly: a qualitative phenomenological study on patient experiences&lt;/title&gt;&lt;secondary-title&gt;18th Annual meeting of the European Pressure Ulcer Advisory Panel (EPUAP 2015)&lt;/secondary-title&gt;&lt;/titles&gt;&lt;pages&gt;65-65&lt;/pages&gt;&lt;dates&gt;&lt;year&gt;2015&lt;/year&gt;&lt;/dates&gt;&lt;publisher&gt;EPUAP Business Office&lt;/publisher&gt;&lt;urls&gt;&lt;/urls&gt;&lt;/record&gt;&lt;/Cite&gt;&lt;/EndNote&gt;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(Van Damme et al. 2015)</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In addition to these physical complaints, IAD has an impact on the psychological and social functioning such as the loss of independence </w:t>
      </w:r>
      <w:r w:rsidRPr="00555AAA">
        <w:rPr>
          <w:rFonts w:ascii="Times New Roman" w:hAnsi="Times New Roman" w:cs="Times New Roman"/>
          <w:bCs/>
          <w:sz w:val="24"/>
          <w:szCs w:val="24"/>
          <w:lang w:val="en-GB"/>
        </w:rPr>
        <w:fldChar w:fldCharType="begin">
          <w:fldData xml:space="preserve">PEVuZE5vdGU+PENpdGU+PEF1dGhvcj5WYW4gRGFtbWU8L0F1dGhvcj48WWVhcj4yMDE1PC9ZZWFy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PEVuZE5vdGU+PENpdGU+PEF1dGhvcj5WYW4gRGFtbWU8L0F1dGhvcj48WWVhcj4yMDE1PC9ZZWFy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(Beeckman et al. 2015, Van Damme et al. 2015)</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w:t>
      </w:r>
    </w:p>
    <w:p w14:paraId="3604F5D1"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 xml:space="preserve">Background </w:t>
      </w:r>
    </w:p>
    <w:p w14:paraId="775725A5"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 xml:space="preserve">Managing IAD is an important challenge for healthcare professionals. Prevention and treatment of IAD include skin cleansing and the topical application of leave-on products for skin protection and healing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&lt;EndNote&gt;&lt;Cite&gt;&lt;Author&gt;Kottner&lt;/Author&gt;&lt;Year&gt;2015&lt;/Year&gt;&lt;RecNum&gt;8265&lt;/RecNum&gt;&lt;DisplayText&gt;(Kottner and Beeckman 2015)&lt;/DisplayText&gt;&lt;record&gt;&lt;rec-number&gt;8265&lt;/rec-number&gt;&lt;foreign-keys&gt;&lt;key app="EN" db-id="dzts5tzxm909vmesxpbpa5s5xsv9apwp5spe" timestamp="1472484136"&gt;8265&lt;/key&gt;&lt;/foreign-keys&gt;&lt;ref-type name="Journal Article"&gt;17&lt;/ref-type&gt;&lt;contributors&gt;&lt;authors&gt;&lt;author&gt;Kottner, J&lt;/author&gt;&lt;author&gt;Beeckman, D&lt;/author&gt;&lt;/authors&gt;&lt;/contributors&gt;&lt;titles&gt;&lt;title&gt;Incontinence-associated dermatitis and pressure ulcers in geriatric patients&lt;/title&gt;&lt;secondary-title&gt;Giornale italiano di dermatologia e venereologia: organo ufficiale, Societa italiana di dermatologia e sifilografia&lt;/secondary-title&gt;&lt;/titles&gt;&lt;periodical&gt;&lt;full-title&gt;Giornale italiano di dermatologia e venereologia: organo ufficiale, Societa italiana di dermatologia e sifilografia&lt;/full-title&gt;&lt;/periodical&gt;&lt;pages&gt;717-729&lt;/pages&gt;&lt;volume&gt;150&lt;/volume&gt;&lt;number&gt;6&lt;/number&gt;&lt;dates&gt;&lt;year&gt;2015&lt;/year&gt;&lt;/dates&gt;&lt;isbn&gt;0392-0488&lt;/isbn&gt;&lt;urls&gt;&lt;/urls&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(Kottner and Beeckman 2015)</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A Cochrane review on skin care interventions for managing IAD revealed a substantial heterogeneity of reported outcomes and instruments in IAD research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&lt;EndNote&gt;&lt;Cite&gt;&lt;Author&gt;Beeckman&lt;/Author&gt;&lt;Year&gt;2016&lt;/Year&gt;&lt;RecNum&gt;8327&lt;/RecNum&gt;&lt;DisplayText&gt;(Beeckman et al. 2016)&lt;/DisplayText&gt;&lt;record&gt;&lt;rec-number&gt;8327&lt;/rec-number&gt;&lt;foreign-keys&gt;&lt;key app="EN" db-id="dzts5tzxm909vmesxpbpa5s5xsv9apwp5spe" timestamp="1489413798"&gt;8327&lt;/key&gt;&lt;/foreign-keys&gt;&lt;ref-type name="Journal Article"&gt;17&lt;/ref-type&gt;&lt;contributors&gt;&lt;authors&gt;&lt;author&gt;Beeckman, Dimitri&lt;/author&gt;&lt;author&gt;Van Damme, Nele&lt;/author&gt;&lt;author&gt;Schoonhoven, Lisette&lt;/author&gt;&lt;author&gt;Van Lancker, Aurélie&lt;/author&gt;&lt;author&gt;Kottner, Jan&lt;/author&gt;&lt;author&gt;Beele, Hilde&lt;/author&gt;&lt;author&gt;Gray, Mikel&lt;/author&gt;&lt;author&gt;Woodward, Sue&lt;/author&gt;&lt;author&gt;Fader, Mandy&lt;/author&gt;&lt;author&gt;Van den Bussche, Karen&lt;/author&gt;&lt;author&gt;Van Hecke, Ann&lt;/author&gt;&lt;author&gt;De Meyer, Dorien&lt;/author&gt;&lt;author&gt;Verhaeghe, Sofie&lt;/author&gt;&lt;/authors&gt;&lt;/contributors&gt;&lt;titles&gt;&lt;title&gt;Interventions for preventing and treating incontinence</w:instrText>
      </w:r>
      <w:r w:rsidRPr="00555AAA">
        <w:rPr>
          <w:rFonts w:ascii="Cambria Math" w:hAnsi="Cambria Math" w:cs="Cambria Math"/>
          <w:bCs/>
          <w:sz w:val="24"/>
          <w:szCs w:val="24"/>
          <w:lang w:val="en-GB"/>
        </w:rPr>
        <w:instrText>‐</w:instrText>
      </w:r>
      <w:r w:rsidRPr="00555AAA">
        <w:rPr>
          <w:rFonts w:ascii="Times New Roman" w:hAnsi="Times New Roman" w:cs="Times New Roman"/>
          <w:bCs/>
          <w:sz w:val="24"/>
          <w:szCs w:val="24"/>
          <w:lang w:val="en-GB"/>
        </w:rPr>
        <w:instrText>associated dermatitis in adults&lt;/title&gt;&lt;secondary-title&gt;The Cochrane Library&lt;/secondary-title&gt;&lt;/titles&gt;&lt;periodical&gt;&lt;full-title&gt;The Cochrane Library&lt;/full-title&gt;&lt;/periodical&gt;&lt;dates&gt;&lt;year&gt;2016&lt;/year&gt;&lt;/dates&gt;&lt;isbn&gt;1465-1858&lt;/isbn&gt;&lt;urls&gt;&lt;/urls&gt;&lt;electronic-resource-num&gt;doi: 10.1002/14651858.CD011627.pub2&lt;/electronic-resource-num&gt;&lt;/record&gt;&lt;/Cite&gt;&lt;/EndNote&gt;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(Beeckman et al. 2016)</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The lack of comparability between studies about efficacy and (cost-) effectiveness of products and procedures complicates standardization of IAD prevention and treatment. To overcome this challenge, the development and use of a Core Outcome Set (COS) should improve the situation. </w:t>
      </w:r>
    </w:p>
    <w:p w14:paraId="654C1929"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 xml:space="preserve">A COS is a consensus-derived minimum set of outcomes that should be measured and reported in clinical trials of a specific health condition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&lt;EndNote&gt;&lt;Cite&gt;&lt;Author&gt;Williamson&lt;/Author&gt;&lt;Year&gt;2017&lt;/Year&gt;&lt;RecNum&gt;8355&lt;/RecNum&gt;&lt;DisplayText&gt;(Williamson et al. 2017)&lt;/DisplayText&gt;&lt;record&gt;&lt;rec-number&gt;8355&lt;/rec-number&gt;&lt;foreign-keys&gt;&lt;key app="EN" db-id="dzts5tzxm909vmesxpbpa5s5xsv9apwp5spe" timestamp="1499758339"&gt;8355&lt;/key&gt;&lt;/foreign-keys&gt;&lt;ref-type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280&lt;/pages&gt;&lt;volume&gt;18&lt;/volume&gt;&lt;number&gt;3&lt;/number&gt;&lt;dates&gt;&lt;year&gt;2017&lt;/year&gt;&lt;/dates&gt;&lt;isbn&gt;1745-6215&lt;/isbn&gt;&lt;urls&gt;&lt;/urls&gt;&lt;electronic-resource-num&gt;doi: 10.1186/s13063-017-1978-4&lt;/electronic-resource-num&gt;&lt;/record&gt;&lt;/Cite&gt;&lt;/EndNote&gt;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(Williamson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A COS may also be suitable for use in other types of research and clinical audits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&lt;EndNote&gt;&lt;Cite&gt;&lt;Author&gt;Williamson&lt;/Author&gt;&lt;Year&gt;2017&lt;/Year&gt;&lt;RecNum&gt;8355&lt;/RecNum&gt;&lt;DisplayText&gt;(Williamson et al. 2017)&lt;/DisplayText&gt;&lt;record&gt;&lt;rec-number&gt;8355&lt;/rec-number&gt;&lt;foreign-keys&gt;&lt;key app="EN" db-id="dzts5tzxm909vmesxpbpa5s5xsv9apwp5spe" timestamp="1499758339"&gt;8355&lt;/key&gt;&lt;/foreign-keys&gt;&lt;ref-type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280&lt;/pages&gt;&lt;volume&gt;18&lt;/volume&gt;&lt;number&gt;3&lt;/number&gt;&lt;dates&gt;&lt;year&gt;2017&lt;/year&gt;&lt;/dates&gt;&lt;isbn&gt;1745-6215&lt;/isbn&gt;&lt;urls&gt;&lt;/urls&gt;&lt;electronic-resource-num&gt;doi: 10.1186/s13063-017-1978-4&lt;/electronic-resource-num&gt;&lt;/record&gt;&lt;/Cite&gt;&lt;/EndNote&gt;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(Williamson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It does not limit the researchers to choose additional outcomes and measurements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&lt;EndNote&gt;&lt;Cite&gt;&lt;Author&gt;Schmitt&lt;/Author&gt;&lt;Year&gt;2014&lt;/Year&gt;&lt;RecNum&gt;8184&lt;/RecNum&gt;&lt;DisplayText&gt;(Schmitt et al. 2014)&lt;/DisplayText&gt;&lt;record&gt;&lt;rec-number&gt;8184&lt;/rec-number&gt;&lt;foreign-keys&gt;&lt;key app="EN" db-id="dzts5tzxm909vmesxpbpa5s5xsv9apwp5spe" timestamp="1441610283"&gt;8184&lt;/key&gt;&lt;/foreign-keys&gt;&lt;ref-type name="Journal Article"&gt;17&lt;/ref-type&gt;&lt;contributors&gt;&lt;authors&gt;&lt;author&gt;Schmitt, Jochen&lt;/author&gt;&lt;author&gt;Apfelbacher, Christian&lt;/author&gt;&lt;author&gt;Spuls, Phyllis I&lt;/author&gt;&lt;author&gt;Thomas, Kim S&lt;/author&gt;&lt;author&gt;Simpson, Eric L&lt;/author&gt;&lt;author&gt;Furue, Masutaka&lt;/author&gt;&lt;author&gt;Chalmers, Joanne&lt;/author&gt;&lt;author&gt;Williams, Hywel C&lt;/author&gt;&lt;/authors&gt;&lt;/contributors&gt;&lt;titles&gt;&lt;title&gt;The Harmonizing Outcome Measures for Eczema (HOME) Roadmap: a methodological framework to develop core sets of outcome measurements in dermatology&lt;/title&gt;&lt;secondary-title&gt;Journal of Investigative Dermatology&lt;/secondary-title&gt;&lt;/titles&gt;&lt;periodical&gt;&lt;full-title&gt;Journal of Investigative Dermatology&lt;/full-title&gt;&lt;/periodical&gt;&lt;dates&gt;&lt;year&gt;2014&lt;/year&gt;&lt;/dates&gt;&lt;isbn&gt;0022-202X&lt;/isbn&gt;&lt;urls&gt;&lt;/urls&gt;&lt;electronic-resource-num&gt;doi: 10.1038/jid.2014.320&lt;/electronic-resource-num&gt;&lt;/record&gt;&lt;/Cite&gt;&lt;/EndNote&gt;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(Schmitt et al. 2014)</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w:t>
      </w:r>
    </w:p>
    <w:p w14:paraId="336E1B3A"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lastRenderedPageBreak/>
        <w:t>Different methodological frameworks are available to guide the development of a COS, such as the Core Outcome Measures in Effectiveness Trials (COMET) Initiative, the Outcome Measures in Rheumatology (OMERACT) group</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w:t>
      </w:r>
      <w:r w:rsidRPr="00555AAA">
        <w:rPr>
          <w:rFonts w:ascii="Times New Roman" w:hAnsi="Times New Roman" w:cs="Times New Roman"/>
          <w:sz w:val="24"/>
          <w:szCs w:val="24"/>
          <w:lang w:val="en-GB"/>
        </w:rPr>
        <w:t xml:space="preserve">the Harmonizing Outcomes Measures for Eczema (HOME) roadmap endorsed by </w:t>
      </w:r>
      <w:r w:rsidRPr="00555AAA">
        <w:rPr>
          <w:rFonts w:ascii="Times New Roman" w:hAnsi="Times New Roman" w:cs="Times New Roman"/>
          <w:bCs/>
          <w:sz w:val="24"/>
          <w:szCs w:val="24"/>
          <w:lang w:val="en-GB"/>
        </w:rPr>
        <w:t xml:space="preserve">the Cochrane Skin Group Core Outcomes Set Initiative (CSG-COUSIN) </w:t>
      </w:r>
      <w:r w:rsidRPr="00555AAA">
        <w:rPr>
          <w:rFonts w:ascii="Times New Roman" w:hAnsi="Times New Roman" w:cs="Times New Roman"/>
          <w:bCs/>
          <w:sz w:val="24"/>
          <w:szCs w:val="24"/>
          <w:lang w:val="en-GB"/>
        </w:rPr>
        <w:fldChar w:fldCharType="begin">
          <w:fldData xml:space="preserve">PEVuZE5vdGU+PENpdGU+PEF1dGhvcj5XaWxsaWFtc29uPC9BdXRob3I+PFllYXI+MjAxNzwvWWVh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PEVuZE5vdGU+PENpdGU+PEF1dGhvcj5XaWxsaWFtc29uPC9BdXRob3I+PFllYXI+MjAxNzwvWWVh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(Boers et al. 2014b, Schmitt et al. 2014, Williamson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A stepped approach is suggested in all frameworks: first the selection of core outcome domains (‘what’ to measure)</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second to determine the measurement instruments (‘how’ to measure). All frameworks emphasize the importance of involving relevant stakeholders throughout the whole process. The involvement of stakeholders increases the number of ideas, establishes credibility</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ensures relevance that would not have otherwise been considered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&lt;EndNote&gt;&lt;Cite&gt;&lt;Author&gt;Boers&lt;/Author&gt;&lt;Year&gt;2014&lt;/Year&gt;&lt;RecNum&gt;8195&lt;/RecNum&gt;&lt;DisplayText&gt;(Boers et al. 2014b)&lt;/DisplayText&gt;&lt;record&gt;&lt;rec-number&gt;8195&lt;/rec-number&gt;&lt;foreign-keys&gt;&lt;key app="EN" db-id="dzts5tzxm909vmesxpbpa5s5xsv9apwp5spe" timestamp="1441618304"&gt;8195&lt;/key&gt;&lt;/foreign-keys&gt;&lt;ref-type name="Journal Article"&gt;17&lt;/ref-type&gt;&lt;contributors&gt;&lt;authors&gt;&lt;author&gt;Boers, Maarten&lt;/author&gt;&lt;author&gt;Kirwan, John R&lt;/author&gt;&lt;author&gt;Wells, George&lt;/author&gt;&lt;author&gt;Beaton, Dorcas&lt;/author&gt;&lt;author&gt;Gossec, Laure&lt;/author&gt;&lt;author&gt;d&amp;apos;Agostino, Maria-Antonietta&lt;/author&gt;&lt;author&gt;Conaghan, Philip G&lt;/author&gt;&lt;author&gt;Bingham, Clifton O&lt;/author&gt;&lt;author&gt;Brooks, Peter&lt;/author&gt;&lt;author&gt;Landewé, Robert&lt;/author&gt;&lt;/authors&gt;&lt;/contributors&gt;&lt;titles&gt;&lt;title&gt;Developing core outcome measurement sets for clinical trials: OMERACT filter 2.0&lt;/title&gt;&lt;secondary-title&gt;Journal of clinical epidemiology&lt;/secondary-title&gt;&lt;/titles&gt;&lt;periodical&gt;&lt;full-title&gt;J Clin Epidemiol&lt;/full-title&gt;&lt;abbr-1&gt;Journal of clinical epidemiology&lt;/abbr-1&gt;&lt;/periodical&gt;&lt;pages&gt;745-753&lt;/pages&gt;&lt;volume&gt;67&lt;/volume&gt;&lt;number&gt;7&lt;/number&gt;&lt;dates&gt;&lt;year&gt;2014&lt;/year&gt;&lt;/dates&gt;&lt;isbn&gt;0895-4356&lt;/isbn&gt;&lt;urls&gt;&lt;/urls&gt;&lt;electronic-resource-num&gt;doi: 10.1016/j.jclinepi.2013.11.013&lt;/electronic-resource-num&gt;&lt;/record&gt;&lt;/Cite&gt;&lt;/EndNote&gt;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(Boers et al. 2014b)</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The perspective of patients living with the health condition is also considered essential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&lt;EndNote&gt;&lt;Cite&gt;&lt;Author&gt;Williamson&lt;/Author&gt;&lt;Year&gt;2012&lt;/Year&gt;&lt;RecNum&gt;8183&lt;/RecNum&gt;&lt;DisplayText&gt;(Williamson et al. 2012b, Young and Bagley 2016)&lt;/DisplayText&gt;&lt;record&gt;&lt;rec-number&gt;8183&lt;/rec-number&gt;&lt;foreign-keys&gt;&lt;key app="EN" db-id="dzts5tzxm909vmesxpbpa5s5xsv9apwp5spe" timestamp="1441610210"&gt;8183&lt;/key&gt;&lt;/foreign-keys&gt;&lt;ref-type name="Journal Article"&gt;17&lt;/ref-type&gt;&lt;contributors&gt;&lt;authors&gt;&lt;author&gt;Williamson, Paula R&lt;/author&gt;&lt;author&gt;Altman, Douglas G&lt;/author&gt;&lt;author&gt;Blazeby, Jane M&lt;/author&gt;&lt;author&gt;Clarke, Mike&lt;/author&gt;&lt;author&gt;Devane, Declan&lt;/author&gt;&lt;author&gt;Gargon, Elizabeth&lt;/author&gt;&lt;author&gt;Tugwell, Peter&lt;/author&gt;&lt;/authors&gt;&lt;/contributors&gt;&lt;titles&gt;&lt;title&gt;Developing core outcome sets for clinical trials: issues to consider&lt;/title&gt;&lt;secondary-title&gt;Trials&lt;/secondary-title&gt;&lt;/titles&gt;&lt;periodical&gt;&lt;full-title&gt;Trials&lt;/full-title&gt;&lt;/periodical&gt;&lt;pages&gt;1-8&lt;/pages&gt;&lt;volume&gt;13&lt;/volume&gt;&lt;number&gt;132&lt;/number&gt;&lt;dates&gt;&lt;year&gt;2012&lt;/year&gt;&lt;/dates&gt;&lt;urls&gt;&lt;/urls&gt;&lt;electronic-resource-num&gt;doi: 10.1186/1745-6215-13-132&lt;/electronic-resource-num&gt;&lt;/record&gt;&lt;/Cite&gt;&lt;Cite&gt;&lt;Author&gt;Young&lt;/Author&gt;&lt;Year&gt;2016&lt;/Year&gt;&lt;RecNum&gt;8364&lt;/RecNum&gt;&lt;record&gt;&lt;rec-number&gt;8364&lt;/rec-number&gt;&lt;foreign-keys&gt;&lt;key app="EN" db-id="dzts5tzxm909vmesxpbpa5s5xsv9apwp5spe" timestamp="1501858557"&gt;8364&lt;/key&gt;&lt;/foreign-keys&gt;&lt;ref-type name="Journal Article"&gt;17&lt;/ref-type&gt;&lt;contributors&gt;&lt;authors&gt;&lt;author&gt;Young, Bridget&lt;/author&gt;&lt;author&gt;Bagley, Heather&lt;/author&gt;&lt;/authors&gt;&lt;/contributors&gt;&lt;titles&gt;&lt;title&gt;Including patients in core outcome set development: issues to consider based on three workshops with around 100 international delegates&lt;/title&gt;&lt;secondary-title&gt;Research Involvement and Engagement&lt;/secondary-title&gt;&lt;/titles&gt;&lt;periodical&gt;&lt;full-title&gt;Research Involvement and Engagement&lt;/full-title&gt;&lt;/periodical&gt;&lt;pages&gt;25&lt;/pages&gt;&lt;volume&gt;2&lt;/volume&gt;&lt;number&gt;1&lt;/number&gt;&lt;dates&gt;&lt;year&gt;2016&lt;/year&gt;&lt;/dates&gt;&lt;isbn&gt;2056-7529&lt;/isbn&gt;&lt;urls&gt;&lt;/urls&gt;&lt;electronic-resource-num&gt;doi: 10.1186/s40900-016-0039-6&lt;/electronic-resource-num&gt;&lt;/record&gt;&lt;/Cite&gt;&lt;/EndNote&gt;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(Williamson et al. 2012b, Young and Bagley 2016)</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w:t>
      </w:r>
    </w:p>
    <w:p w14:paraId="2217580A"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 xml:space="preserve">To date, there is no consensus on which outcomes to measure in clinical effectiveness trials in the field of IAD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&lt;EndNote&gt;&lt;Cite&gt;&lt;Author&gt;Van den Bussche&lt;/Author&gt;&lt;Year&gt;2017&lt;/Year&gt;&lt;RecNum&gt;8263&lt;/RecNum&gt;&lt;DisplayText&gt;(Van den Bussche et al. 2017)&lt;/DisplayText&gt;&lt;record&gt;&lt;rec-number&gt;8263&lt;/rec-number&gt;&lt;foreign-keys&gt;&lt;key app="EN" db-id="dzts5tzxm909vmesxpbpa5s5xsv9apwp5spe" timestamp="1467726370"&gt;8263&lt;/key&gt;&lt;/foreign-keys&gt;&lt;ref-type name="Journal Article"&gt;17&lt;/ref-type&gt;&lt;contributors&gt;&lt;authors&gt;&lt;author&gt;Van den Bussche, Karen&lt;/author&gt;&lt;author&gt;De Meyer, Dorien&lt;/author&gt;&lt;author&gt;Van Damme, Nele&lt;/author&gt;&lt;author&gt;Kottner, Jan&lt;/author&gt;&lt;author&gt;Beeckman, Dimitri&lt;/author&gt;&lt;/authors&gt;&lt;/contributors&gt;&lt;titles&gt;&lt;title&gt;CONSIDER – Core Outcome Set in IAD Research: study protocol for establishing a core set of outcomes and measurements in Incontinence-Associated Dermatitis (IAD) research&lt;/title&gt;&lt;secondary-title&gt;Journal of Advanced Nursing&lt;/secondary-title&gt;&lt;/titles&gt;&lt;periodical&gt;&lt;full-title&gt;J Adv Nurs&lt;/full-title&gt;&lt;abbr-1&gt;Journal of advanced nursing&lt;/abbr-1&gt;&lt;/periodical&gt;&lt;pages&gt;11&lt;/pages&gt;&lt;volume&gt;73&lt;/volume&gt;&lt;number&gt;10&lt;/number&gt;&lt;edition&gt;2016 Oct 17&lt;/edition&gt;&lt;section&gt;2473&lt;/section&gt;&lt;dates&gt;&lt;year&gt;2017&lt;/year&gt;&lt;/dates&gt;&lt;urls&gt;&lt;/urls&gt;&lt;electronic-resource-num&gt;doi: 10.1111/jan.13165&lt;/electronic-resource-num&gt;&lt;/record&gt;&lt;/Cite&gt;&lt;/EndNote&gt;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(Van den Bussche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The use of a COS will contribute to the reduction of outcome reporting bias and it will enhance the comparability of study results worldwide leading to a stronger evidence-base </w:t>
      </w:r>
      <w:r w:rsidRPr="00555AAA">
        <w:rPr>
          <w:rFonts w:ascii="Times New Roman" w:hAnsi="Times New Roman" w:cs="Times New Roman"/>
          <w:bCs/>
          <w:sz w:val="24"/>
          <w:szCs w:val="24"/>
          <w:lang w:val="en-GB"/>
        </w:rPr>
        <w:fldChar w:fldCharType="begin">
          <w:fldData xml:space="preserve">PEVuZE5vdGU+PENpdGU+PEF1dGhvcj5LaXJraGFtPC9BdXRob3I+PFllYXI+MjAxMzwvWWVhcj48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PEVuZE5vdGU+PENpdGU+PEF1dGhvcj5LaXJraGFtPC9BdXRob3I+PFllYXI+MjAxMzwvWWVhcj48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(Kirkham et al. 2013, Williamson et al. 2012a, Williamson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The Core Outcome Set in IAD Research (CONSIDER) project aims to develop a COS in the area of IAD. </w:t>
      </w:r>
    </w:p>
    <w:p w14:paraId="7499348C" w14:textId="77777777" w:rsidR="00F24F47" w:rsidRPr="00555AAA" w:rsidRDefault="00F24F47" w:rsidP="00555AAA">
      <w:pPr>
        <w:spacing w:after="120" w:line="480" w:lineRule="auto"/>
        <w:rPr>
          <w:rFonts w:ascii="Times New Roman" w:hAnsi="Times New Roman" w:cs="Times New Roman"/>
          <w:bCs/>
          <w:sz w:val="24"/>
          <w:szCs w:val="24"/>
          <w:lang w:val="en-GB"/>
        </w:rPr>
      </w:pPr>
    </w:p>
    <w:p w14:paraId="3481D28D"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THE STUDY</w:t>
      </w:r>
    </w:p>
    <w:p w14:paraId="73773014"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Aim</w:t>
      </w:r>
    </w:p>
    <w:p w14:paraId="3E7C6CB2"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The aim of this project was to develop a consensus</w:t>
      </w:r>
      <w:r>
        <w:rPr>
          <w:rFonts w:ascii="Times New Roman" w:hAnsi="Times New Roman" w:cs="Times New Roman"/>
          <w:sz w:val="24"/>
          <w:szCs w:val="24"/>
          <w:lang w:val="en-GB"/>
        </w:rPr>
        <w:t>-</w:t>
      </w:r>
      <w:r w:rsidRPr="00555AAA">
        <w:rPr>
          <w:rFonts w:ascii="Times New Roman" w:hAnsi="Times New Roman" w:cs="Times New Roman"/>
          <w:sz w:val="24"/>
          <w:szCs w:val="24"/>
          <w:lang w:val="en-GB"/>
        </w:rPr>
        <w:t>based set of core outcome domains to be applied in clinical research involving adults with IAD or at risk of IAD, independently from any geographical location or skin colour.</w:t>
      </w:r>
    </w:p>
    <w:p w14:paraId="4662C533"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lastRenderedPageBreak/>
        <w:t>Design</w:t>
      </w:r>
    </w:p>
    <w:p w14:paraId="56341BE1"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The project consists of four phases: preparation (phase 1), development of a core set of outcome domains (phase 2), development of a core set of outcome measurements (phase 3)</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the dissemination and monitoring (phase 4). This article describes phases 1 and 2, using the Core Outcome Set-Standards for Reporting (COS-STAR) statement to enhance reporting quality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&lt;EndNote&gt;&lt;Cite&gt;&lt;Author&gt;Kirkham&lt;/Author&gt;&lt;Year&gt;2016&lt;/Year&gt;&lt;RecNum&gt;8370&lt;/RecNum&gt;&lt;DisplayText&gt;(Kirkham et al. 2016)&lt;/DisplayText&gt;&lt;record&gt;&lt;rec-number&gt;8370&lt;/rec-number&gt;&lt;foreign-keys&gt;&lt;key app="EN" db-id="dzts5tzxm909vmesxpbpa5s5xsv9apwp5spe" timestamp="1506349191"&gt;8370&lt;/key&gt;&lt;/foreign-keys&gt;&lt;ref-type name="Journal Article"&gt;17&lt;/ref-type&gt;&lt;contributors&gt;&lt;authors&gt;&lt;author&gt;Kirkham, Jamie J&lt;/author&gt;&lt;author&gt;Gorst, Sarah&lt;/author&gt;&lt;author&gt;Altman, Douglas G&lt;/author&gt;&lt;author&gt;Blazeby, Jane M&lt;/author&gt;&lt;author&gt;Clarke, Mike&lt;/author&gt;&lt;author&gt;Devane, Declan&lt;/author&gt;&lt;author&gt;Gargon, Elizabeth&lt;/author&gt;&lt;author&gt;Moher, David&lt;/author&gt;&lt;author&gt;Schmitt, Jochen&lt;/author&gt;&lt;author&gt;Tugwell, Peter&lt;/author&gt;&lt;/authors&gt;&lt;/contributors&gt;&lt;titles&gt;&lt;title&gt;Core outcome set–STAndards for reporting: the COS-STAR statement&lt;/title&gt;&lt;secondary-title&gt;PLoS medicine&lt;/secondary-title&gt;&lt;/titles&gt;&lt;periodical&gt;&lt;full-title&gt;PLoS medicine&lt;/full-title&gt;&lt;/periodical&gt;&lt;pages&gt;e1002148&lt;/pages&gt;&lt;volume&gt;13&lt;/volume&gt;&lt;number&gt;10&lt;/number&gt;&lt;dates&gt;&lt;year&gt;2016&lt;/year&gt;&lt;/dates&gt;&lt;isbn&gt;1549-1676&lt;/isbn&gt;&lt;urls&gt;&lt;/urls&gt;&lt;electronic-resource-num&gt;doi: 10.1371/journal.pmed.1002148&lt;/electronic-resource-num&gt;&lt;/record&gt;&lt;/Cite&gt;&lt;/EndNote&gt;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(Kirkham et al. 2016)</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Study methods are described in brief as they have been presented in detail previously in the published protocol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&lt;EndNote&gt;&lt;Cite&gt;&lt;Author&gt;Van den Bussche&lt;/Author&gt;&lt;Year&gt;2017&lt;/Year&gt;&lt;RecNum&gt;8263&lt;/RecNum&gt;&lt;DisplayText&gt;(Van den Bussche et al. 2017)&lt;/DisplayText&gt;&lt;record&gt;&lt;rec-number&gt;8263&lt;/rec-number&gt;&lt;foreign-keys&gt;&lt;key app="EN" db-id="dzts5tzxm909vmesxpbpa5s5xsv9apwp5spe" timestamp="1467726370"&gt;8263&lt;/key&gt;&lt;/foreign-keys&gt;&lt;ref-type name="Journal Article"&gt;17&lt;/ref-type&gt;&lt;contributors&gt;&lt;authors&gt;&lt;author&gt;Van den Bussche, Karen&lt;/author&gt;&lt;author&gt;De Meyer, Dorien&lt;/author&gt;&lt;author&gt;Van Damme, Nele&lt;/author&gt;&lt;author&gt;Kottner, Jan&lt;/author&gt;&lt;author&gt;Beeckman, Dimitri&lt;/author&gt;&lt;/authors&gt;&lt;/contributors&gt;&lt;titles&gt;&lt;title&gt;CONSIDER – Core Outcome Set in IAD Research: study protocol for establishing a core set of outcomes and measurements in Incontinence-Associated Dermatitis (IAD) research&lt;/title&gt;&lt;secondary-title&gt;Journal of Advanced Nursing&lt;/secondary-title&gt;&lt;/titles&gt;&lt;periodical&gt;&lt;full-title&gt;J Adv Nurs&lt;/full-title&gt;&lt;abbr-1&gt;Journal of advanced nursing&lt;/abbr-1&gt;&lt;/periodical&gt;&lt;pages&gt;11&lt;/pages&gt;&lt;volume&gt;73&lt;/volume&gt;&lt;number&gt;10&lt;/number&gt;&lt;edition&gt;2016 Oct 17&lt;/edition&gt;&lt;section&gt;2473&lt;/section&gt;&lt;dates&gt;&lt;year&gt;2017&lt;/year&gt;&lt;/dates&gt;&lt;urls&gt;&lt;/urls&gt;&lt;electronic-resource-num&gt;doi: 10.1111/jan.13165&lt;/electronic-resource-num&gt;&lt;/record&gt;&lt;/Cite&gt;&lt;/EndNote&gt;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(Van den Bussche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w:t>
      </w:r>
    </w:p>
    <w:p w14:paraId="281E653A"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The project team (PT) consisting of four people (KV, DD, JK, DB) designed and coordinated the study. An International Steering Committee (ISC) of six experts in the field of dermatology, geriatrics, wound care, trials and nursing (HB, MP, SS, SE, LS, AMD) guided the development of the COS. Four people (TL, NV, SV, AV) provided methodological support during the study conduct.</w:t>
      </w:r>
    </w:p>
    <w:p w14:paraId="311E176C" w14:textId="77777777" w:rsidR="00F24F47" w:rsidRPr="00555AAA" w:rsidRDefault="00F24F47" w:rsidP="00555AAA">
      <w:pPr>
        <w:spacing w:after="120" w:line="480" w:lineRule="auto"/>
        <w:jc w:val="both"/>
        <w:rPr>
          <w:rFonts w:ascii="Times New Roman" w:hAnsi="Times New Roman" w:cs="Times New Roman"/>
          <w:b/>
          <w:sz w:val="24"/>
          <w:szCs w:val="24"/>
          <w:lang w:val="en-GB"/>
        </w:rPr>
      </w:pPr>
      <w:r w:rsidRPr="00555AAA">
        <w:rPr>
          <w:rFonts w:ascii="Times New Roman" w:hAnsi="Times New Roman" w:cs="Times New Roman"/>
          <w:b/>
          <w:sz w:val="24"/>
          <w:szCs w:val="24"/>
          <w:lang w:val="en-GB"/>
        </w:rPr>
        <w:t>Data collection</w:t>
      </w:r>
    </w:p>
    <w:p w14:paraId="6A754A4C"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 xml:space="preserve">This research project was performed between April 2016 </w:t>
      </w:r>
      <w:r>
        <w:rPr>
          <w:rFonts w:ascii="Times New Roman" w:hAnsi="Times New Roman" w:cs="Times New Roman"/>
          <w:bCs/>
          <w:sz w:val="24"/>
          <w:szCs w:val="24"/>
          <w:lang w:val="en-GB"/>
        </w:rPr>
        <w:t>-</w:t>
      </w:r>
      <w:r w:rsidRPr="00555AAA">
        <w:rPr>
          <w:rFonts w:ascii="Times New Roman" w:hAnsi="Times New Roman" w:cs="Times New Roman"/>
          <w:bCs/>
          <w:sz w:val="24"/>
          <w:szCs w:val="24"/>
          <w:lang w:val="en-GB"/>
        </w:rPr>
        <w:t xml:space="preserve"> September 2017 in two phases: (1) the generation of the list of outcomes and (2) a three-round Delphi procedure with panellists.</w:t>
      </w:r>
    </w:p>
    <w:p w14:paraId="30B02B10"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An overview of the COS development process is provided in Figure 1.</w:t>
      </w:r>
    </w:p>
    <w:p w14:paraId="7170DC67" w14:textId="77777777" w:rsidR="00F24F47" w:rsidRPr="00555AAA" w:rsidRDefault="00F24F47" w:rsidP="00555AAA">
      <w:pPr>
        <w:spacing w:after="120" w:line="480" w:lineRule="auto"/>
        <w:jc w:val="both"/>
        <w:rPr>
          <w:rFonts w:ascii="Times New Roman" w:hAnsi="Times New Roman" w:cs="Times New Roman"/>
          <w:bCs/>
          <w:i/>
          <w:iCs/>
          <w:sz w:val="24"/>
          <w:szCs w:val="24"/>
          <w:lang w:val="en-GB"/>
        </w:rPr>
      </w:pPr>
      <w:r w:rsidRPr="00555AAA">
        <w:rPr>
          <w:rFonts w:ascii="Times New Roman" w:hAnsi="Times New Roman" w:cs="Times New Roman"/>
          <w:bCs/>
          <w:i/>
          <w:iCs/>
          <w:sz w:val="24"/>
          <w:szCs w:val="24"/>
          <w:lang w:val="en-GB"/>
        </w:rPr>
        <w:t>Generation of the list of outcomes</w:t>
      </w:r>
    </w:p>
    <w:p w14:paraId="11C44239" w14:textId="77777777" w:rsidR="00F24F47" w:rsidRPr="00555AAA" w:rsidRDefault="00F24F47" w:rsidP="00555AAA">
      <w:pPr>
        <w:autoSpaceDE w:val="0"/>
        <w:autoSpaceDN w:val="0"/>
        <w:adjustRightInd w:val="0"/>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A list of outcomes was generated based on a systematic literature review (with no date restrictions up to April 2016), consultation with the ISC and interviews with three patients from April 2016 – June 2016. </w:t>
      </w:r>
      <w:r w:rsidRPr="00555AAA">
        <w:rPr>
          <w:rFonts w:ascii="Times New Roman" w:hAnsi="Times New Roman" w:cs="Times New Roman"/>
          <w:bCs/>
          <w:sz w:val="24"/>
          <w:szCs w:val="24"/>
          <w:lang w:val="en-GB"/>
        </w:rPr>
        <w:t>Patients with a present or past experience of IAD and a good cognitive function were recruited via patient associations in Belgium and the Netherlands</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the geriatric ward of the Ghent University Hospital. Two patients living at home responded via e-mail to the call disseminated via the patient associations.</w:t>
      </w:r>
      <w:r w:rsidRPr="00555AAA">
        <w:rPr>
          <w:rFonts w:ascii="Times New Roman" w:hAnsi="Times New Roman" w:cs="Times New Roman"/>
          <w:sz w:val="24"/>
          <w:szCs w:val="24"/>
          <w:lang w:val="en-GB"/>
        </w:rPr>
        <w:t xml:space="preserve"> </w:t>
      </w:r>
      <w:r w:rsidRPr="00555AAA">
        <w:rPr>
          <w:rFonts w:ascii="Times New Roman" w:hAnsi="Times New Roman" w:cs="Times New Roman"/>
          <w:bCs/>
          <w:sz w:val="24"/>
          <w:szCs w:val="24"/>
          <w:lang w:val="en-GB"/>
        </w:rPr>
        <w:t>One patient diagnosed with IAD was considered eligible to participate by the head nurse of the geriatric ward.</w:t>
      </w:r>
    </w:p>
    <w:p w14:paraId="312D4047" w14:textId="77777777" w:rsidR="00F24F47" w:rsidRPr="00555AAA" w:rsidRDefault="00F24F47" w:rsidP="00555AAA">
      <w:pPr>
        <w:autoSpaceDE w:val="0"/>
        <w:autoSpaceDN w:val="0"/>
        <w:adjustRightInd w:val="0"/>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lastRenderedPageBreak/>
        <w:t xml:space="preserve">A detailed description of the literature review was published previously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&lt;EndNote&gt;&lt;Cite&gt;&lt;Author&gt;Van den Bussche&lt;/Author&gt;&lt;Year&gt;2017&lt;/Year&gt;&lt;RecNum&gt;8263&lt;/RecNum&gt;&lt;DisplayText&gt;(Van den Bussche et al. 2017)&lt;/DisplayText&gt;&lt;record&gt;&lt;rec-number&gt;8263&lt;/rec-number&gt;&lt;foreign-keys&gt;&lt;key app="EN" db-id="dzts5tzxm909vmesxpbpa5s5xsv9apwp5spe" timestamp="1467726370"&gt;8263&lt;/key&gt;&lt;/foreign-keys&gt;&lt;ref-type name="Journal Article"&gt;17&lt;/ref-type&gt;&lt;contributors&gt;&lt;authors&gt;&lt;author&gt;Van den Bussche, Karen&lt;/author&gt;&lt;author&gt;De Meyer, Dorien&lt;/author&gt;&lt;author&gt;Van Damme, Nele&lt;/author&gt;&lt;author&gt;Kottner, Jan&lt;/author&gt;&lt;author&gt;Beeckman, Dimitri&lt;/author&gt;&lt;/authors&gt;&lt;/contributors&gt;&lt;titles&gt;&lt;title&gt;CONSIDER – Core Outcome Set in IAD Research: study protocol for establishing a core set of outcomes and measurements in Incontinence-Associated Dermatitis (IAD) research&lt;/title&gt;&lt;secondary-title&gt;Journal of Advanced Nursing&lt;/secondary-title&gt;&lt;/titles&gt;&lt;periodical&gt;&lt;full-title&gt;J Adv Nurs&lt;/full-title&gt;&lt;abbr-1&gt;Journal of advanced nursing&lt;/abbr-1&gt;&lt;/periodical&gt;&lt;pages&gt;11&lt;/pages&gt;&lt;volume&gt;73&lt;/volume&gt;&lt;number&gt;10&lt;/number&gt;&lt;edition&gt;2016 Oct 17&lt;/edition&gt;&lt;section&gt;2473&lt;/section&gt;&lt;dates&gt;&lt;year&gt;2017&lt;/year&gt;&lt;/dates&gt;&lt;urls&gt;&lt;/urls&gt;&lt;electronic-resource-num&gt;doi: 10.1111/jan.13165&lt;/electronic-resource-num&gt;&lt;/record&gt;&lt;/Cite&gt;&lt;/EndNote&gt;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(Van den Bussche et al. 2017)</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Four electronic databases, Web of Science, PubMed, CINAHL</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the Cochrane Library were systematically searched for relevant papers dating through April 6, 2016. Two reviewers (KV &amp; DD) independently assessed all records obtained, a third reviewer (DB) reviewed if necessary. Data extraction of all primary and secondary endpoints was performed by one author (KV). If the paper did not explicitly mention the outcomes that they measured, then the reviewer inferred these from the given data.</w:t>
      </w:r>
    </w:p>
    <w:p w14:paraId="3007A6C8" w14:textId="77777777" w:rsidR="00F24F47" w:rsidRPr="00555AAA" w:rsidRDefault="00F24F47" w:rsidP="00555AAA">
      <w:pPr>
        <w:autoSpaceDE w:val="0"/>
        <w:autoSpaceDN w:val="0"/>
        <w:adjustRightInd w:val="0"/>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The independent data extraction of 10% of the papers by a second reviewer and subsequent inter-rater agreement calculation was challenging, because of the complexity of reporting in the original papers. The project team discussed outcomes addressing similar concepts and classified these using the OMERACT framework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&lt;EndNote&gt;&lt;Cite&gt;&lt;Author&gt;Boers&lt;/Author&gt;&lt;Year&gt;2014&lt;/Year&gt;&lt;RecNum&gt;8197&lt;/RecNum&gt;&lt;DisplayText&gt;(Boers et al. 2014a)&lt;/DisplayText&gt;&lt;record&gt;&lt;rec-number&gt;8197&lt;/rec-number&gt;&lt;foreign-keys&gt;&lt;key app="EN" db-id="dzts5tzxm909vmesxpbpa5s5xsv9apwp5spe" timestamp="1445005373"&gt;8197&lt;/key&gt;&lt;/foreign-keys&gt;&lt;ref-type name="Generic"&gt;13&lt;/ref-type&gt;&lt;contributors&gt;&lt;authors&gt;&lt;author&gt;Boers, Maarten&lt;/author&gt;&lt;author&gt;Kirwan, John Richard&lt;/author&gt;&lt;author&gt;Tugwell, Peter&lt;/author&gt;&lt;author&gt;Beaton, Dorcas&lt;/author&gt;&lt;author&gt;Bingham III, Clifton O&lt;/author&gt;&lt;author&gt;Conaghan, Philip G&lt;/author&gt;&lt;author&gt;D&amp;apos;Agostino, Maria-Antonietta&lt;/author&gt;&lt;author&gt;de Wit, Maarten&lt;/author&gt;&lt;author&gt;Gossec, Laure&lt;/author&gt;&lt;author&gt;March, Lyn&lt;/author&gt;&lt;author&gt;Simon, Lee S.&lt;/author&gt;&lt;author&gt;Singh, Jasvinder A.&lt;/author&gt;&lt;author&gt;Strand, Vibeke&lt;/author&gt;&lt;author&gt;Wells, George&lt;/author&gt;&lt;/authors&gt;&lt;/contributors&gt;&lt;titles&gt;&lt;title&gt;The OMERACT Handbook&lt;/title&gt;&lt;/titles&gt;&lt;dates&gt;&lt;year&gt;2014&lt;/year&gt;&lt;/dates&gt;&lt;pub-location&gt;Ottowa, ON, Canada&lt;/pub-location&gt;&lt;publisher&gt;OMERACT&lt;/publisher&gt;&lt;urls&gt;&lt;related-urls&gt;&lt;url&gt;http://www.omeract.org/pdf/OMERACT_Handbook.pdf&lt;/url&gt;&lt;/related-urls&gt;&lt;/urls&gt;&lt;/record&gt;&lt;/Cite&gt;&lt;/EndNote&gt;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(Boers et al. 2014a)</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xml:space="preserve">. This long list of outcomes was presented to the ISC </w:t>
      </w:r>
      <w:r w:rsidRPr="00555AAA">
        <w:rPr>
          <w:rFonts w:ascii="Times New Roman" w:hAnsi="Times New Roman" w:cs="Times New Roman"/>
          <w:bCs/>
          <w:sz w:val="24"/>
          <w:szCs w:val="24"/>
          <w:lang w:val="en-GB"/>
        </w:rPr>
        <w:t>prior to the Delphi study</w:t>
      </w:r>
      <w:r w:rsidRPr="00555AAA">
        <w:rPr>
          <w:rFonts w:ascii="Times New Roman" w:hAnsi="Times New Roman" w:cs="Times New Roman"/>
          <w:sz w:val="24"/>
          <w:szCs w:val="24"/>
          <w:lang w:val="en-GB"/>
        </w:rPr>
        <w:t>.</w:t>
      </w:r>
    </w:p>
    <w:p w14:paraId="309608F8" w14:textId="77777777" w:rsidR="00F24F47" w:rsidRPr="00555AAA" w:rsidRDefault="00F24F47" w:rsidP="00555AAA">
      <w:pPr>
        <w:spacing w:after="120" w:line="480" w:lineRule="auto"/>
        <w:jc w:val="both"/>
        <w:rPr>
          <w:rFonts w:ascii="Times New Roman" w:hAnsi="Times New Roman" w:cs="Times New Roman"/>
          <w:bCs/>
          <w:i/>
          <w:iCs/>
          <w:sz w:val="24"/>
          <w:szCs w:val="24"/>
          <w:lang w:val="en-GB"/>
        </w:rPr>
      </w:pPr>
      <w:r w:rsidRPr="00555AAA">
        <w:rPr>
          <w:rFonts w:ascii="Times New Roman" w:hAnsi="Times New Roman" w:cs="Times New Roman"/>
          <w:bCs/>
          <w:i/>
          <w:iCs/>
          <w:sz w:val="24"/>
          <w:szCs w:val="24"/>
          <w:lang w:val="en-GB"/>
        </w:rPr>
        <w:t>Delphi procedure</w:t>
      </w:r>
    </w:p>
    <w:p w14:paraId="06E2E26C"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A list of practitioners and researchers was created by one author (KV) from the included studies </w:t>
      </w:r>
      <w:r>
        <w:rPr>
          <w:rFonts w:ascii="Times New Roman" w:hAnsi="Times New Roman" w:cs="Times New Roman"/>
          <w:sz w:val="24"/>
          <w:szCs w:val="24"/>
          <w:lang w:val="en-GB"/>
        </w:rPr>
        <w:t>in</w:t>
      </w:r>
      <w:r w:rsidRPr="00555AAA">
        <w:rPr>
          <w:rFonts w:ascii="Times New Roman" w:hAnsi="Times New Roman" w:cs="Times New Roman"/>
          <w:sz w:val="24"/>
          <w:szCs w:val="24"/>
          <w:lang w:val="en-GB"/>
        </w:rPr>
        <w:t xml:space="preserve"> the literature review. Other healthcare providers and researchers were added to this list using additional searches. A deviation from the protocol was the addition of stakeholders from industry and recommended colleagues by participating panellists to increase the size of the panel. The ISC members were invited as panellists as well. The final list of potential panellists was managed by one member of the project team (KV) and remained blinded to all those selected for participation. </w:t>
      </w:r>
    </w:p>
    <w:p w14:paraId="4914F1EC" w14:textId="77777777" w:rsidR="00F24F47" w:rsidRPr="00555AAA" w:rsidRDefault="00F24F47" w:rsidP="00555AAA">
      <w:pPr>
        <w:autoSpaceDE w:val="0"/>
        <w:autoSpaceDN w:val="0"/>
        <w:adjustRightInd w:val="0"/>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A three-round Delphi was conducted. Panellists were invited by email to participate. The online survey was developed and hosted by the </w:t>
      </w:r>
      <w:r w:rsidRPr="00555AAA">
        <w:rPr>
          <w:rFonts w:ascii="Times New Roman" w:hAnsi="Times New Roman" w:cs="Times New Roman"/>
          <w:bCs/>
          <w:sz w:val="24"/>
          <w:szCs w:val="24"/>
          <w:lang w:val="en-GB"/>
        </w:rPr>
        <w:t>CSG-COUSIN</w:t>
      </w:r>
      <w:r w:rsidRPr="00555AAA">
        <w:rPr>
          <w:rFonts w:ascii="Times New Roman" w:hAnsi="Times New Roman" w:cs="Times New Roman"/>
          <w:sz w:val="24"/>
          <w:szCs w:val="24"/>
          <w:lang w:val="en-GB"/>
        </w:rPr>
        <w:t xml:space="preserve">. In the first round, the panellists were randomly divided into two groups prior to the invitation to participate. Group 1 rated the importance of the outcome domains on a three-point scale: (1) not important enough to be considered in the COS for IAD, (2) important but not critical to be considered in the COS for </w:t>
      </w:r>
      <w:r w:rsidRPr="00555AAA">
        <w:rPr>
          <w:rFonts w:ascii="Times New Roman" w:hAnsi="Times New Roman" w:cs="Times New Roman"/>
          <w:sz w:val="24"/>
          <w:szCs w:val="24"/>
          <w:lang w:val="en-GB"/>
        </w:rPr>
        <w:lastRenderedPageBreak/>
        <w:t>IAD</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(3) critical, should be included in the COS for IAD. Group 2 rated the importance of the outcome domains on a nine-point scale with descriptors on the ends of the spectrum: from (1) not important for inclusion in COS for IAD, to (9) critical, should be included in COS for IAD. Both groups were given the opportunity to choose the option ‘I can’t rate the importance of the outcome because I don’t know the outcome’, to add feedback or rationale per outcome and to add additional outcomes. The outcome domains were sorted alphabetically to avoid weighting of outcome domains due to the order. Outcome domains rated critical in both groups were included in the second round. In the second round, the nine-point scale was used for all panellists to rate the importance of the outcome domains. In the third and final round, the panellists were asked to approve the remaining outcome domains on a three-point scale: (1) Yes, I approve, (2) Yes, I approve but with minor suggestions</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(3) No, I have major concerns.</w:t>
      </w:r>
    </w:p>
    <w:p w14:paraId="4391B669" w14:textId="77777777" w:rsidR="00F24F47" w:rsidRPr="00555AAA" w:rsidRDefault="00F24F47" w:rsidP="00555AAA">
      <w:pPr>
        <w:autoSpaceDE w:val="0"/>
        <w:autoSpaceDN w:val="0"/>
        <w:adjustRightInd w:val="0"/>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A variation from the protocol was that only responders were invited to participate in the next round. Consensus was defined as at least 70% of all panellists rating the outcome domains as ‘critical for inclusion in a COS for IAD research’. Descriptive statistics were used to summarize the demographic characteristics and the responses of the panellists for each Delphi round.</w:t>
      </w:r>
    </w:p>
    <w:p w14:paraId="480FC584" w14:textId="77777777" w:rsidR="00F24F47" w:rsidRPr="00555AAA" w:rsidRDefault="00F24F47" w:rsidP="00555AAA">
      <w:pPr>
        <w:autoSpaceDE w:val="0"/>
        <w:autoSpaceDN w:val="0"/>
        <w:adjustRightInd w:val="0"/>
        <w:spacing w:after="120" w:line="480" w:lineRule="auto"/>
        <w:jc w:val="both"/>
        <w:rPr>
          <w:rFonts w:ascii="Times New Roman" w:hAnsi="Times New Roman" w:cs="Times New Roman"/>
          <w:i/>
          <w:iCs/>
          <w:sz w:val="24"/>
          <w:szCs w:val="24"/>
          <w:lang w:val="en-GB"/>
        </w:rPr>
      </w:pPr>
      <w:r w:rsidRPr="00555AAA">
        <w:rPr>
          <w:rFonts w:ascii="Times New Roman" w:hAnsi="Times New Roman" w:cs="Times New Roman"/>
          <w:iCs/>
          <w:sz w:val="24"/>
          <w:szCs w:val="24"/>
          <w:lang w:val="en-GB"/>
        </w:rPr>
        <w:t>After the last round</w:t>
      </w:r>
      <w:r w:rsidRPr="00555AAA">
        <w:rPr>
          <w:rFonts w:ascii="Times New Roman" w:hAnsi="Times New Roman" w:cs="Times New Roman"/>
          <w:i/>
          <w:iCs/>
          <w:sz w:val="24"/>
          <w:szCs w:val="24"/>
          <w:lang w:val="en-GB"/>
        </w:rPr>
        <w:t xml:space="preserve"> </w:t>
      </w:r>
      <w:r w:rsidRPr="00555AAA">
        <w:rPr>
          <w:rFonts w:ascii="Times New Roman" w:hAnsi="Times New Roman" w:cs="Times New Roman"/>
          <w:bCs/>
          <w:sz w:val="24"/>
          <w:szCs w:val="24"/>
          <w:lang w:val="en-GB"/>
        </w:rPr>
        <w:t>the project team discussed the results and made final decisions, taking into account the panellists’ additional comments.</w:t>
      </w:r>
    </w:p>
    <w:p w14:paraId="20193DF5"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Ethical considerations</w:t>
      </w:r>
    </w:p>
    <w:p w14:paraId="036AB427"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Ethical approval was obtained by the Ethics </w:t>
      </w:r>
      <w:proofErr w:type="gramStart"/>
      <w:r w:rsidRPr="00555AAA">
        <w:rPr>
          <w:rFonts w:ascii="Times New Roman" w:hAnsi="Times New Roman" w:cs="Times New Roman"/>
          <w:sz w:val="24"/>
          <w:szCs w:val="24"/>
          <w:lang w:val="en-GB"/>
        </w:rPr>
        <w:t>review</w:t>
      </w:r>
      <w:proofErr w:type="gramEnd"/>
      <w:r w:rsidRPr="00555AAA">
        <w:rPr>
          <w:rFonts w:ascii="Times New Roman" w:hAnsi="Times New Roman" w:cs="Times New Roman"/>
          <w:sz w:val="24"/>
          <w:szCs w:val="24"/>
          <w:lang w:val="en-GB"/>
        </w:rPr>
        <w:t xml:space="preserve"> Committee (April 2016 – B670201628231). Return of a completed questionnaire was taken as consent to participate by the ISC and the panellists. All patients received written information about the theoretical purposes of the study and the way participation will strengthen clinical decision-making, contribute to patient-</w:t>
      </w:r>
      <w:proofErr w:type="spellStart"/>
      <w:r w:rsidRPr="00555AAA">
        <w:rPr>
          <w:rFonts w:ascii="Times New Roman" w:hAnsi="Times New Roman" w:cs="Times New Roman"/>
          <w:sz w:val="24"/>
          <w:szCs w:val="24"/>
          <w:lang w:val="en-GB"/>
        </w:rPr>
        <w:t>centered</w:t>
      </w:r>
      <w:proofErr w:type="spellEnd"/>
      <w:r w:rsidRPr="00555AAA">
        <w:rPr>
          <w:rFonts w:ascii="Times New Roman" w:hAnsi="Times New Roman" w:cs="Times New Roman"/>
          <w:sz w:val="24"/>
          <w:szCs w:val="24"/>
          <w:lang w:val="en-GB"/>
        </w:rPr>
        <w:t xml:space="preserve"> health care</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improved IAD research. Oral and written informed consent was </w:t>
      </w:r>
      <w:r w:rsidRPr="00555AAA">
        <w:rPr>
          <w:rFonts w:ascii="Times New Roman" w:hAnsi="Times New Roman" w:cs="Times New Roman"/>
          <w:sz w:val="24"/>
          <w:szCs w:val="24"/>
          <w:lang w:val="en-GB"/>
        </w:rPr>
        <w:lastRenderedPageBreak/>
        <w:t xml:space="preserve">obtained from the participating patients. Participants’ information was treated anonymous and confidential. </w:t>
      </w:r>
    </w:p>
    <w:p w14:paraId="2F8DEEF8"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Data analysis</w:t>
      </w:r>
    </w:p>
    <w:p w14:paraId="73157FC6"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Demographic data, as well as responses to the questionnaires, were described using frequency distributions. All statistical analyses were performed using SPSS statistical package version 24 (SPSS, Inc., Chicago, IL, USA).</w:t>
      </w:r>
    </w:p>
    <w:p w14:paraId="1AD3CD69"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Validity and Reliability</w:t>
      </w:r>
    </w:p>
    <w:p w14:paraId="4A7BFFFF" w14:textId="77777777" w:rsidR="00F24F47" w:rsidRPr="00555AAA" w:rsidRDefault="00F24F47" w:rsidP="00555AAA">
      <w:pPr>
        <w:spacing w:after="120" w:line="480" w:lineRule="auto"/>
        <w:jc w:val="both"/>
        <w:rPr>
          <w:rFonts w:ascii="Times New Roman" w:hAnsi="Times New Roman" w:cs="Times New Roman"/>
          <w:sz w:val="24"/>
          <w:szCs w:val="24"/>
          <w:lang w:val="en-US"/>
        </w:rPr>
      </w:pPr>
      <w:r w:rsidRPr="00555AAA">
        <w:rPr>
          <w:rFonts w:ascii="Times New Roman" w:hAnsi="Times New Roman" w:cs="Times New Roman"/>
          <w:sz w:val="24"/>
          <w:szCs w:val="24"/>
          <w:lang w:val="en-US"/>
        </w:rPr>
        <w:t xml:space="preserve">Several aspects supported the validity and reliability of the development process. The members of the project team and the ISC are all outstanding experts in the field of IAD. A protocol has been developed and published a priori </w:t>
      </w:r>
      <w:r w:rsidRPr="00555AAA">
        <w:rPr>
          <w:rFonts w:ascii="Times New Roman" w:hAnsi="Times New Roman" w:cs="Times New Roman"/>
          <w:sz w:val="24"/>
          <w:szCs w:val="24"/>
          <w:lang w:val="en-US"/>
        </w:rPr>
        <w:fldChar w:fldCharType="begin"/>
      </w:r>
      <w:r w:rsidRPr="00555AAA">
        <w:rPr>
          <w:rFonts w:ascii="Times New Roman" w:hAnsi="Times New Roman" w:cs="Times New Roman"/>
          <w:sz w:val="24"/>
          <w:szCs w:val="24"/>
          <w:lang w:val="en-US"/>
        </w:rPr>
        <w:instrText xml:space="preserve"> ADDIN EN.CITE &lt;EndNote&gt;&lt;Cite&gt;&lt;Author&gt;Van den Bussche&lt;/Author&gt;&lt;Year&gt;2017&lt;/Year&gt;&lt;RecNum&gt;8263&lt;/RecNum&gt;&lt;DisplayText&gt;(Van den Bussche et al. 2017)&lt;/DisplayText&gt;&lt;record&gt;&lt;rec-number&gt;8263&lt;/rec-number&gt;&lt;foreign-keys&gt;&lt;key app="EN" db-id="dzts5tzxm909vmesxpbpa5s5xsv9apwp5spe" timestamp="1467726370"&gt;8263&lt;/key&gt;&lt;/foreign-keys&gt;&lt;ref-type name="Journal Article"&gt;17&lt;/ref-type&gt;&lt;contributors&gt;&lt;authors&gt;&lt;author&gt;Van den Bussche, Karen&lt;/author&gt;&lt;author&gt;De Meyer, Dorien&lt;/author&gt;&lt;author&gt;Van Damme, Nele&lt;/author&gt;&lt;author&gt;Kottner, Jan&lt;/author&gt;&lt;author&gt;Beeckman, Dimitri&lt;/author&gt;&lt;/authors&gt;&lt;/contributors&gt;&lt;titles&gt;&lt;title&gt;CONSIDER – Core Outcome Set in IAD Research: study protocol for establishing a core set of outcomes and measurements in Incontinence-Associated Dermatitis (IAD) research&lt;/title&gt;&lt;secondary-title&gt;Journal of Advanced Nursing&lt;/secondary-title&gt;&lt;/titles&gt;&lt;periodical&gt;&lt;full-title&gt;J Adv Nurs&lt;/full-title&gt;&lt;abbr-1&gt;Journal of advanced nursing&lt;/abbr-1&gt;&lt;/periodical&gt;&lt;pages&gt;11&lt;/pages&gt;&lt;volume&gt;73&lt;/volume&gt;&lt;number&gt;10&lt;/number&gt;&lt;edition&gt;2016 Oct 17&lt;/edition&gt;&lt;section&gt;2473&lt;/section&gt;&lt;dates&gt;&lt;year&gt;2017&lt;/year&gt;&lt;/dates&gt;&lt;urls&gt;&lt;/urls&gt;&lt;electronic-resource-num&gt;doi: 10.1111/jan.13165&lt;/electronic-resource-num&gt;&lt;/record&gt;&lt;/Cite&gt;&lt;/EndNote&gt;</w:instrText>
      </w:r>
      <w:r w:rsidRPr="00555AAA">
        <w:rPr>
          <w:rFonts w:ascii="Times New Roman" w:hAnsi="Times New Roman" w:cs="Times New Roman"/>
          <w:sz w:val="24"/>
          <w:szCs w:val="24"/>
          <w:lang w:val="en-US"/>
        </w:rPr>
        <w:fldChar w:fldCharType="separate"/>
      </w:r>
      <w:r w:rsidRPr="00555AAA">
        <w:rPr>
          <w:rFonts w:ascii="Times New Roman" w:hAnsi="Times New Roman" w:cs="Times New Roman"/>
          <w:noProof/>
          <w:sz w:val="24"/>
          <w:szCs w:val="24"/>
          <w:lang w:val="en-US"/>
        </w:rPr>
        <w:t>(Van den Bussche et al. 2017)</w:t>
      </w:r>
      <w:r w:rsidRPr="00555AAA">
        <w:rPr>
          <w:rFonts w:ascii="Times New Roman" w:hAnsi="Times New Roman" w:cs="Times New Roman"/>
          <w:sz w:val="24"/>
          <w:szCs w:val="24"/>
          <w:lang w:val="en-US"/>
        </w:rPr>
        <w:fldChar w:fldCharType="end"/>
      </w:r>
      <w:r w:rsidRPr="00555AAA">
        <w:rPr>
          <w:rFonts w:ascii="Times New Roman" w:hAnsi="Times New Roman" w:cs="Times New Roman"/>
          <w:sz w:val="24"/>
          <w:szCs w:val="24"/>
          <w:lang w:val="en-US"/>
        </w:rPr>
        <w:t xml:space="preserve">. Two researchers (KV and DD) screened the literature and extracted the data and a third researcher (DB) was consulted in case of disagreement. The patient perspective was considered using interviews with </w:t>
      </w:r>
      <w:r w:rsidRPr="00555AAA">
        <w:rPr>
          <w:rFonts w:ascii="Times New Roman" w:hAnsi="Times New Roman" w:cs="Times New Roman"/>
          <w:bCs/>
          <w:sz w:val="24"/>
          <w:szCs w:val="24"/>
          <w:lang w:val="en-GB"/>
        </w:rPr>
        <w:t>patients and including all types of possible outcomes into the initial list.</w:t>
      </w:r>
    </w:p>
    <w:p w14:paraId="1218C516" w14:textId="77777777" w:rsidR="00F24F47" w:rsidRPr="00555AAA" w:rsidRDefault="00F24F47" w:rsidP="00555AAA">
      <w:pPr>
        <w:spacing w:after="120" w:line="480" w:lineRule="auto"/>
        <w:jc w:val="both"/>
        <w:rPr>
          <w:rFonts w:ascii="Times New Roman" w:hAnsi="Times New Roman" w:cs="Times New Roman"/>
          <w:sz w:val="24"/>
          <w:szCs w:val="24"/>
          <w:lang w:val="en-GB"/>
        </w:rPr>
      </w:pPr>
    </w:p>
    <w:p w14:paraId="5B4DA299"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RESULTS</w:t>
      </w:r>
    </w:p>
    <w:p w14:paraId="4C63BDF8"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Characteristics of the panellists</w:t>
      </w:r>
    </w:p>
    <w:p w14:paraId="297BACA2"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A sample of 153 panellists (healthcare providers, researchers</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industry) was invited to participate. Fifty-seven of the panellists (37.3%) participated in the first Delphi round, of which 43 (75.4%) participated in the second round and 37 (86.0%) participated also in the third round. A flowchart of the response rates of each round is presented in Figure S1 (see supplementary information). Socio-demographic characteristics, disciplines of expertise and experience of the panellists (presented per group and per round), can be found in Table S1 (see supplementary information). </w:t>
      </w:r>
    </w:p>
    <w:p w14:paraId="089A9F04"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lastRenderedPageBreak/>
        <w:t>List of potential core domains</w:t>
      </w:r>
    </w:p>
    <w:p w14:paraId="2ED31FF7"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bCs/>
          <w:sz w:val="24"/>
          <w:szCs w:val="24"/>
          <w:lang w:val="en-GB"/>
        </w:rPr>
        <w:t>The systematic literature search resulted in 3826 records: 1407 in Web of Science, 1726 in PubMed, 489 in CINAHL</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204 in the Cochrane Library, of which 1190 duplicates were removed. </w:t>
      </w:r>
      <w:r w:rsidRPr="00555AAA">
        <w:rPr>
          <w:rFonts w:ascii="Times New Roman" w:hAnsi="Times New Roman" w:cs="Times New Roman"/>
          <w:sz w:val="24"/>
          <w:szCs w:val="24"/>
          <w:lang w:val="en-GB"/>
        </w:rPr>
        <w:t>Based on the screening of title and/or abstract, 2018 records were excluded. Based on the screening of the full texts, additional 384 records were excluded. In total, 234 records were relevant for outcome extraction. Hand searches identified ten additional relevant articles. Outcomes were extracted from the final group of 244 articles. The results of the search and screening process are presented in Figure 2. Data extraction from the literature search resulted in 1852 outcomes, the consultation with the experts of the ISC resulted in 56 outcome domains</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the three patient interviews resulted in 32 outcome domains. The project team reviewed and refined the outcomes into outcome domains. </w:t>
      </w:r>
    </w:p>
    <w:p w14:paraId="747E1374" w14:textId="77777777" w:rsidR="00F24F47" w:rsidRPr="00555AAA" w:rsidRDefault="00F24F47" w:rsidP="00555AAA">
      <w:pPr>
        <w:spacing w:after="120" w:line="480" w:lineRule="auto"/>
        <w:jc w:val="both"/>
        <w:rPr>
          <w:rFonts w:ascii="Times New Roman" w:hAnsi="Times New Roman" w:cs="Times New Roman"/>
          <w:b/>
          <w:bCs/>
          <w:sz w:val="24"/>
          <w:szCs w:val="24"/>
          <w:lang w:val="en-GB"/>
        </w:rPr>
      </w:pPr>
      <w:r w:rsidRPr="00555AAA">
        <w:rPr>
          <w:rFonts w:ascii="Times New Roman" w:hAnsi="Times New Roman" w:cs="Times New Roman"/>
          <w:sz w:val="24"/>
          <w:szCs w:val="24"/>
          <w:lang w:val="en-GB"/>
        </w:rPr>
        <w:t>The list of potential outcome domains generated by the project team and the ISC included 58 outcome domains. Fifteen were classified into the core area ‘life impact’, three in ‘resource use/economic impact’</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40 in ‘pathophysiological manifestations’. The list used at the start of the Delphi study is presented in Table S2 (see supplementary information).</w:t>
      </w:r>
    </w:p>
    <w:p w14:paraId="23BD4958"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Delphi round 1</w:t>
      </w:r>
    </w:p>
    <w:p w14:paraId="2FB386B8"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The first round was performed between </w:t>
      </w:r>
      <w:r>
        <w:rPr>
          <w:rFonts w:ascii="Times New Roman" w:hAnsi="Times New Roman" w:cs="Times New Roman"/>
          <w:sz w:val="24"/>
          <w:szCs w:val="24"/>
          <w:lang w:val="en-GB"/>
        </w:rPr>
        <w:t xml:space="preserve">7 </w:t>
      </w:r>
      <w:r w:rsidRPr="00555AAA">
        <w:rPr>
          <w:rFonts w:ascii="Times New Roman" w:hAnsi="Times New Roman" w:cs="Times New Roman"/>
          <w:sz w:val="24"/>
          <w:szCs w:val="24"/>
          <w:lang w:val="en-GB"/>
        </w:rPr>
        <w:t xml:space="preserve">April 7 </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7 </w:t>
      </w:r>
      <w:r w:rsidRPr="00555AAA">
        <w:rPr>
          <w:rFonts w:ascii="Times New Roman" w:hAnsi="Times New Roman" w:cs="Times New Roman"/>
          <w:sz w:val="24"/>
          <w:szCs w:val="24"/>
          <w:lang w:val="en-GB"/>
        </w:rPr>
        <w:t>May 2017. The results are presented in Table 1. Thirteen domains were considered critical for inclusion by at least 70% of the panellists from both groups. The remaining 45 domains did not reach this threshold and were not retained. Several panellists emphasized overlap between the outcome domains, possible problems regarding the potential capacity of patients to give feedback (e.g. due to cognitive or conscious state) and consequently to provide data for some of the outcome domains (e.g. ‘self-reported symptoms’ and ‘pain’)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a potential for further detailed description of outcome domains. No additional outcome domains were collated.</w:t>
      </w:r>
    </w:p>
    <w:p w14:paraId="1543FAD7"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lastRenderedPageBreak/>
        <w:t>To address these concerns, a proposal was developed for the second round to</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(1) merge the outcome domains ‘denudation’ and ‘skin loss’ with ‘erosion’ because of the similarities</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(2) include ‘burden of care – patient perspective’ and ‘physical comfort’ </w:t>
      </w:r>
      <w:r>
        <w:rPr>
          <w:rFonts w:ascii="Times New Roman" w:hAnsi="Times New Roman" w:cs="Times New Roman"/>
          <w:sz w:val="24"/>
          <w:szCs w:val="24"/>
          <w:lang w:val="en-GB"/>
        </w:rPr>
        <w:t>in</w:t>
      </w:r>
      <w:r w:rsidRPr="00555AAA">
        <w:rPr>
          <w:rFonts w:ascii="Times New Roman" w:hAnsi="Times New Roman" w:cs="Times New Roman"/>
          <w:sz w:val="24"/>
          <w:szCs w:val="24"/>
          <w:lang w:val="en-GB"/>
        </w:rPr>
        <w:t xml:space="preserve"> ‘IAD-related Quality of Life’ because of overlap</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(3) incorporate symptoms such as ‘burning’ and ‘stinging’ (as part of ‘self-reported symptoms’) </w:t>
      </w:r>
      <w:r>
        <w:rPr>
          <w:rFonts w:ascii="Times New Roman" w:hAnsi="Times New Roman" w:cs="Times New Roman"/>
          <w:sz w:val="24"/>
          <w:szCs w:val="24"/>
          <w:lang w:val="en-GB"/>
        </w:rPr>
        <w:t>in</w:t>
      </w:r>
      <w:r w:rsidRPr="00555AAA">
        <w:rPr>
          <w:rFonts w:ascii="Times New Roman" w:hAnsi="Times New Roman" w:cs="Times New Roman"/>
          <w:sz w:val="24"/>
          <w:szCs w:val="24"/>
          <w:lang w:val="en-GB"/>
        </w:rPr>
        <w:t xml:space="preserve"> the definition of ‘pain’, resulting in the separate outcome ‘itching’</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(4) separate the ‘clinical signs of infection’ from the ‘clinical signs of inflammation’</w:t>
      </w:r>
      <w:r>
        <w:rPr>
          <w:rFonts w:ascii="Times New Roman" w:hAnsi="Times New Roman" w:cs="Times New Roman"/>
          <w:sz w:val="24"/>
          <w:szCs w:val="24"/>
          <w:lang w:val="en-GB"/>
        </w:rPr>
        <w:t>; and</w:t>
      </w:r>
      <w:r w:rsidRPr="00555AAA">
        <w:rPr>
          <w:rFonts w:ascii="Times New Roman" w:hAnsi="Times New Roman" w:cs="Times New Roman"/>
          <w:sz w:val="24"/>
          <w:szCs w:val="24"/>
          <w:lang w:val="en-GB"/>
        </w:rPr>
        <w:t xml:space="preserve"> to (5) incorporate ‘erythema’ </w:t>
      </w:r>
      <w:r>
        <w:rPr>
          <w:rFonts w:ascii="Times New Roman" w:hAnsi="Times New Roman" w:cs="Times New Roman"/>
          <w:sz w:val="24"/>
          <w:szCs w:val="24"/>
          <w:lang w:val="en-GB"/>
        </w:rPr>
        <w:t>in</w:t>
      </w:r>
      <w:r w:rsidRPr="00555AAA">
        <w:rPr>
          <w:rFonts w:ascii="Times New Roman" w:hAnsi="Times New Roman" w:cs="Times New Roman"/>
          <w:sz w:val="24"/>
          <w:szCs w:val="24"/>
          <w:lang w:val="en-GB"/>
        </w:rPr>
        <w:t xml:space="preserve"> ‘clinical signs of inflammation’ because of overlap. </w:t>
      </w:r>
    </w:p>
    <w:p w14:paraId="6BFAD435"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In total, nine outcome domains were presented to the panellists in the second round: ‘clinical signs of inflammation’, ‘clinical signs of infection’, ‘cost-effectiveness’, ‘erosion’, ‘IAD-related Quality of Life’, ‘itching’, ‘maceration’, ‘pain’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‘patient satisfaction’. Appropriate definitions were searched for these domains and were presented in the second round for rating.</w:t>
      </w:r>
    </w:p>
    <w:p w14:paraId="10ABE7BF"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Delphi round 2</w:t>
      </w:r>
    </w:p>
    <w:p w14:paraId="2DE652D8"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The second round was performed between</w:t>
      </w:r>
      <w:r>
        <w:rPr>
          <w:rFonts w:ascii="Times New Roman" w:hAnsi="Times New Roman" w:cs="Times New Roman"/>
          <w:sz w:val="24"/>
          <w:szCs w:val="24"/>
          <w:lang w:val="en-GB"/>
        </w:rPr>
        <w:t xml:space="preserve"> 20</w:t>
      </w:r>
      <w:r w:rsidRPr="00555AAA">
        <w:rPr>
          <w:rFonts w:ascii="Times New Roman" w:hAnsi="Times New Roman" w:cs="Times New Roman"/>
          <w:sz w:val="24"/>
          <w:szCs w:val="24"/>
          <w:lang w:val="en-GB"/>
        </w:rPr>
        <w:t xml:space="preserve"> June </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4 </w:t>
      </w:r>
      <w:r w:rsidRPr="00555AAA">
        <w:rPr>
          <w:rFonts w:ascii="Times New Roman" w:hAnsi="Times New Roman" w:cs="Times New Roman"/>
          <w:sz w:val="24"/>
          <w:szCs w:val="24"/>
          <w:lang w:val="en-GB"/>
        </w:rPr>
        <w:t>July 2017. The results are presented in Table 2. Six domains met the a priori criteria for inclusion. The remaining domains ‘cost-effectiveness’, ‘IAD-related Quality of Life’</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‘itching’ did not reach the threshold. No additional outcome domains were collated.</w:t>
      </w:r>
    </w:p>
    <w:p w14:paraId="7804F4BE"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Based on the results and the comments of the panellists, it could be concluded that</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(1) there was no agreement regarding definitions</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(2) the number of ratings of ‘not important’ [1-3] was sometimes very high (even if ≥ 70% of panellists score ‘critical for inclusion’)</w:t>
      </w:r>
      <w:r>
        <w:rPr>
          <w:rFonts w:ascii="Times New Roman" w:hAnsi="Times New Roman" w:cs="Times New Roman"/>
          <w:sz w:val="24"/>
          <w:szCs w:val="24"/>
          <w:lang w:val="en-GB"/>
        </w:rPr>
        <w:t>; and</w:t>
      </w:r>
      <w:r w:rsidRPr="00555AAA">
        <w:rPr>
          <w:rFonts w:ascii="Times New Roman" w:hAnsi="Times New Roman" w:cs="Times New Roman"/>
          <w:sz w:val="24"/>
          <w:szCs w:val="24"/>
          <w:lang w:val="en-GB"/>
        </w:rPr>
        <w:t xml:space="preserve"> (3) there was overlap between some of the domains (e.g. ‘clinical signs of inflammation’ and ‘pain’). </w:t>
      </w:r>
    </w:p>
    <w:p w14:paraId="712E19C7"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International Steering Committee consultation</w:t>
      </w:r>
    </w:p>
    <w:p w14:paraId="109FD1C5"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The results of the first and second Delphi round were presented to the ISC. The ISC was asked to give input on</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(1) the results of the second Delphi round which indicated disagreement </w:t>
      </w:r>
      <w:r w:rsidRPr="00555AAA">
        <w:rPr>
          <w:rFonts w:ascii="Times New Roman" w:hAnsi="Times New Roman" w:cs="Times New Roman"/>
          <w:sz w:val="24"/>
          <w:szCs w:val="24"/>
          <w:lang w:val="en-GB"/>
        </w:rPr>
        <w:lastRenderedPageBreak/>
        <w:t>regarding the concepts</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(2) the proposal to further summarize the concepts to key clinical signs/concepts to avoid overlap</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(3) the definitions</w:t>
      </w:r>
      <w:r>
        <w:rPr>
          <w:rFonts w:ascii="Times New Roman" w:hAnsi="Times New Roman" w:cs="Times New Roman"/>
          <w:sz w:val="24"/>
          <w:szCs w:val="24"/>
          <w:lang w:val="en-GB"/>
        </w:rPr>
        <w:t>; and</w:t>
      </w:r>
      <w:r w:rsidRPr="00555AAA">
        <w:rPr>
          <w:rFonts w:ascii="Times New Roman" w:hAnsi="Times New Roman" w:cs="Times New Roman"/>
          <w:sz w:val="24"/>
          <w:szCs w:val="24"/>
          <w:lang w:val="en-GB"/>
        </w:rPr>
        <w:t xml:space="preserve"> (4) the next potential steps.</w:t>
      </w:r>
    </w:p>
    <w:p w14:paraId="5E3F2A63"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Based on the comments of the ISC, the decision was made to include ‘IAD-related Quality of Life’ and to change definitions. All members of the ISC agreed on organizing a third Delphi round. In total, seven outcome domains were presented to the panellists in the third round: ‘erythema’, ‘erosion’, ‘maceration’, ‘IAD-related pain’, ‘major colonization and infection of IAD’, ‘IAD-related Quality of Life’</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‘patient satisfaction’.</w:t>
      </w:r>
    </w:p>
    <w:p w14:paraId="3849FE2B"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Delphi round 3</w:t>
      </w:r>
    </w:p>
    <w:p w14:paraId="09A8882C"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The third round was performed between August 28</w:t>
      </w:r>
      <w:r w:rsidRPr="00555AAA">
        <w:rPr>
          <w:rFonts w:ascii="Times New Roman" w:hAnsi="Times New Roman" w:cs="Times New Roman"/>
          <w:sz w:val="24"/>
          <w:szCs w:val="24"/>
          <w:vertAlign w:val="superscript"/>
          <w:lang w:val="en-GB"/>
        </w:rPr>
        <w:t xml:space="preserve"> </w:t>
      </w:r>
      <w:r w:rsidRPr="00555AAA">
        <w:rPr>
          <w:rFonts w:ascii="Times New Roman" w:hAnsi="Times New Roman" w:cs="Times New Roman"/>
          <w:sz w:val="24"/>
          <w:szCs w:val="24"/>
          <w:lang w:val="en-GB"/>
        </w:rPr>
        <w:t>to September 10, 2017. The ratings of the seven outcome domains are presented in Table 3. All outcome domains except ‘Major colonization and infection of IAD’ were approved by at least 70% of the panellists. Some fundamental concerns were raised by the panellists on both ‘major colonization and infection of IAD’ and ‘IAD-related Quality of Life’.</w:t>
      </w:r>
    </w:p>
    <w:p w14:paraId="217CBD94"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Final decisions</w:t>
      </w:r>
    </w:p>
    <w:p w14:paraId="49819614" w14:textId="77777777" w:rsidR="00F24F47" w:rsidRPr="00555AAA" w:rsidRDefault="00F24F47" w:rsidP="00555AAA">
      <w:pPr>
        <w:spacing w:after="120" w:line="480" w:lineRule="auto"/>
        <w:jc w:val="both"/>
        <w:rPr>
          <w:rFonts w:ascii="Times New Roman" w:hAnsi="Times New Roman" w:cs="Times New Roman"/>
          <w:b/>
          <w:bCs/>
          <w:sz w:val="24"/>
          <w:szCs w:val="24"/>
          <w:highlight w:val="yellow"/>
          <w:lang w:val="en-GB"/>
        </w:rPr>
      </w:pPr>
      <w:r w:rsidRPr="00555AAA">
        <w:rPr>
          <w:rFonts w:ascii="Times New Roman" w:hAnsi="Times New Roman" w:cs="Times New Roman"/>
          <w:sz w:val="24"/>
          <w:szCs w:val="24"/>
          <w:lang w:val="en-GB"/>
        </w:rPr>
        <w:t>Given the comments and voting behaviour of the panellists, the project team decided to omit the outcome domains ‘major colonization and infection of IAD’ and ‘IAD-related Quality of Life’. This does not imply that these outcome domains were not considered important or relevant, but that the results of the Delphi process did not allow them to be classified as ‘critical’.</w:t>
      </w:r>
      <w:r>
        <w:rPr>
          <w:rFonts w:ascii="Times New Roman" w:hAnsi="Times New Roman" w:cs="Times New Roman"/>
          <w:sz w:val="24"/>
          <w:szCs w:val="24"/>
          <w:lang w:val="en-GB"/>
        </w:rPr>
        <w:t xml:space="preserve"> </w:t>
      </w:r>
      <w:r w:rsidRPr="00555AAA">
        <w:rPr>
          <w:rFonts w:ascii="Times New Roman" w:hAnsi="Times New Roman" w:cs="Times New Roman"/>
          <w:sz w:val="24"/>
          <w:szCs w:val="24"/>
          <w:lang w:val="en-GB"/>
        </w:rPr>
        <w:t>Based on the results of the three-round Delphi study and consultation of the ISC, the project team agreed on the following final core set of five outcome domains as follows: ‘erythema’, ‘erosion’, ‘maceration’, ‘IAD-related pain’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‘patient satisfaction’.</w:t>
      </w:r>
    </w:p>
    <w:p w14:paraId="0B6769C4" w14:textId="77777777" w:rsidR="00F24F47" w:rsidRPr="00555AAA" w:rsidRDefault="00F24F47" w:rsidP="00555AAA">
      <w:pPr>
        <w:spacing w:after="120" w:line="480" w:lineRule="auto"/>
        <w:rPr>
          <w:rFonts w:ascii="Times New Roman" w:hAnsi="Times New Roman" w:cs="Times New Roman"/>
          <w:sz w:val="24"/>
          <w:szCs w:val="24"/>
          <w:highlight w:val="yellow"/>
          <w:lang w:val="en-GB"/>
        </w:rPr>
      </w:pPr>
    </w:p>
    <w:p w14:paraId="19513848" w14:textId="77777777" w:rsidR="00F24F47" w:rsidRPr="00555AAA" w:rsidRDefault="00F24F47" w:rsidP="00555AAA">
      <w:pPr>
        <w:spacing w:after="120" w:line="480" w:lineRule="auto"/>
        <w:rPr>
          <w:rFonts w:ascii="Times New Roman" w:hAnsi="Times New Roman" w:cs="Times New Roman"/>
          <w:sz w:val="24"/>
          <w:szCs w:val="24"/>
          <w:lang w:val="en-GB"/>
        </w:rPr>
      </w:pPr>
      <w:r w:rsidRPr="00555AAA">
        <w:rPr>
          <w:rFonts w:ascii="Times New Roman" w:hAnsi="Times New Roman" w:cs="Times New Roman"/>
          <w:sz w:val="24"/>
          <w:szCs w:val="24"/>
          <w:lang w:val="en-GB"/>
        </w:rPr>
        <w:t>DISCUSSION</w:t>
      </w:r>
    </w:p>
    <w:p w14:paraId="5BE8DED9"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lastRenderedPageBreak/>
        <w:t>The purpose of this study was to develop a consensus-based core set of outcome domains to be applied in clinical research involving adults with IAD or at risk, independently from any geographical location or skin colour. The final COS for IAD in adults comprises five domains: ‘erythema’, ‘maceration’, ‘erosion’, ‘IAD-related pain’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‘patient satisfaction’. </w:t>
      </w:r>
    </w:p>
    <w:p w14:paraId="0FBA099F"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The outcome domains ‘erythema’, ‘maceration’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‘erosion’ are clinical signs and symptoms</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reached the highest level of consensus in this study. They are critical elements of the clinical picture of IAD and are often included in IAD definitions </w:t>
      </w:r>
      <w:r w:rsidRPr="00555AAA">
        <w:rPr>
          <w:rFonts w:ascii="Times New Roman" w:hAnsi="Times New Roman" w:cs="Times New Roman"/>
          <w:bCs/>
          <w:sz w:val="24"/>
          <w:szCs w:val="24"/>
          <w:lang w:val="en-GB"/>
        </w:rPr>
        <w:fldChar w:fldCharType="begin">
          <w:fldData xml:space="preserve">PEVuZE5vdGU+PENpdGU+PEF1dGhvcj5HcmF5PC9BdXRob3I+PFllYXI+MjAxMjwvWWVhcj48UmVj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PEVuZE5vdGU+PENpdGU+PEF1dGhvcj5HcmF5PC9BdXRob3I+PFllYXI+MjAxMjwvWWVhcj48UmVj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(Gray et al. 2012, Mugita et al. 2015)</w:t>
      </w:r>
      <w:r w:rsidRPr="00555AAA">
        <w:rPr>
          <w:rFonts w:ascii="Times New Roman" w:hAnsi="Times New Roman" w:cs="Times New Roman"/>
          <w:bCs/>
          <w:sz w:val="24"/>
          <w:szCs w:val="24"/>
          <w:lang w:val="en-GB"/>
        </w:rPr>
        <w:fldChar w:fldCharType="end"/>
      </w:r>
      <w:r w:rsidRPr="00555AAA">
        <w:rPr>
          <w:rFonts w:ascii="Times New Roman" w:hAnsi="Times New Roman" w:cs="Times New Roman"/>
          <w:sz w:val="24"/>
          <w:szCs w:val="24"/>
          <w:lang w:val="en-GB"/>
        </w:rPr>
        <w:t>. Our results indicate that these signs are critical domains to be captured in all clinical studies in this area.</w:t>
      </w:r>
    </w:p>
    <w:p w14:paraId="6F0FC39E"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‘IAD-related pain’ and ‘patient satisfaction’ reached a high level of consensus for inclusion in this core domain set. Both outcome domains comprise several components. Pain for this COS refers to the magnitude, the frequency</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the quality of pain. ‘Patient satisfaction’ refers to the degree to which the individual regards the intervention or the procedure </w:t>
      </w:r>
      <w:r>
        <w:rPr>
          <w:rFonts w:ascii="Times New Roman" w:hAnsi="Times New Roman" w:cs="Times New Roman"/>
          <w:sz w:val="24"/>
          <w:szCs w:val="24"/>
          <w:lang w:val="en-GB"/>
        </w:rPr>
        <w:t>where</w:t>
      </w:r>
      <w:r w:rsidRPr="00555AAA">
        <w:rPr>
          <w:rFonts w:ascii="Times New Roman" w:hAnsi="Times New Roman" w:cs="Times New Roman"/>
          <w:sz w:val="24"/>
          <w:szCs w:val="24"/>
          <w:lang w:val="en-GB"/>
        </w:rPr>
        <w:t xml:space="preserve"> it is delivered as useful, effective, or beneficial. As indicated by the panellists, it is important for the choice of instruments to consider the capacity of patients to provide feedback (e.g. due to cognitive or conscious state). However, it will not always be possible to provide data for some of these outcome domains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&lt;EndNote&gt;&lt;Cite&gt;&lt;Author&gt;Patrick&lt;/Author&gt;&lt;Year&gt;2008&lt;/Year&gt;&lt;RecNum&gt;8377&lt;/RecNum&gt;&lt;DisplayText&gt;(Patrick et al. 2008)&lt;/DisplayText&gt;&lt;record&gt;&lt;rec-number&gt;8377&lt;/rec-number&gt;&lt;foreign-keys&gt;&lt;key app="EN" db-id="dzts5tzxm909vmesxpbpa5s5xsv9apwp5spe" timestamp="1507193305"&gt;8377&lt;/key&gt;&lt;/foreign-keys&gt;&lt;ref-type name="Journal Article"&gt;17&lt;/ref-type&gt;&lt;contributors&gt;&lt;authors&gt;&lt;author&gt;Patrick, Donald L&lt;/author&gt;&lt;author&gt;Guyatt, Gordon H&lt;/author&gt;&lt;author&gt;Acquadro, Catherine&lt;/author&gt;&lt;/authors&gt;&lt;/contributors&gt;&lt;titles&gt;&lt;title&gt;Patient</w:instrText>
      </w:r>
      <w:r w:rsidRPr="00555AAA">
        <w:rPr>
          <w:rFonts w:ascii="Cambria Math" w:hAnsi="Cambria Math" w:cs="Cambria Math"/>
          <w:sz w:val="24"/>
          <w:szCs w:val="24"/>
          <w:lang w:val="en-GB"/>
        </w:rPr>
        <w:instrText>‐</w:instrText>
      </w:r>
      <w:r w:rsidRPr="00555AAA">
        <w:rPr>
          <w:rFonts w:ascii="Times New Roman" w:hAnsi="Times New Roman" w:cs="Times New Roman"/>
          <w:sz w:val="24"/>
          <w:szCs w:val="24"/>
          <w:lang w:val="en-GB"/>
        </w:rPr>
        <w:instrText>Reported Outcomes&lt;/title&gt;&lt;secondary-title&gt;Cochrane Handbook for Systematic Reviews of Interventions: Cochrane Book Series&lt;/secondary-title&gt;&lt;/titles&gt;&lt;periodical&gt;&lt;full-title&gt;Cochrane Handbook for Systematic Reviews of Interventions: Cochrane Book Series&lt;/full-title&gt;&lt;/periodical&gt;&lt;pages&gt;531-545&lt;/pages&gt;&lt;dates&gt;&lt;year&gt;2008&lt;/year&gt;&lt;/dates&gt;&lt;isbn&gt;047071218X&lt;/isbn&gt;&lt;urls&gt;&lt;/urls&gt;&lt;/record&gt;&lt;/Cite&gt;&lt;/EndNote&gt;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(Patrick et al. 2008)</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xml:space="preserve">. Several patient symptoms such as pain and burning, are included in </w:t>
      </w:r>
      <w:r>
        <w:rPr>
          <w:rFonts w:ascii="Times New Roman" w:hAnsi="Times New Roman" w:cs="Times New Roman"/>
          <w:sz w:val="24"/>
          <w:szCs w:val="24"/>
          <w:lang w:val="en-GB"/>
        </w:rPr>
        <w:t>several</w:t>
      </w:r>
      <w:r w:rsidRPr="00555AAA">
        <w:rPr>
          <w:rFonts w:ascii="Times New Roman" w:hAnsi="Times New Roman" w:cs="Times New Roman"/>
          <w:sz w:val="24"/>
          <w:szCs w:val="24"/>
          <w:lang w:val="en-GB"/>
        </w:rPr>
        <w:t xml:space="preserve"> IAD assessment instruments, but no data </w:t>
      </w:r>
      <w:r>
        <w:rPr>
          <w:rFonts w:ascii="Times New Roman" w:hAnsi="Times New Roman" w:cs="Times New Roman"/>
          <w:sz w:val="24"/>
          <w:szCs w:val="24"/>
          <w:lang w:val="en-GB"/>
        </w:rPr>
        <w:t>were</w:t>
      </w:r>
      <w:r w:rsidRPr="00555AAA">
        <w:rPr>
          <w:rFonts w:ascii="Times New Roman" w:hAnsi="Times New Roman" w:cs="Times New Roman"/>
          <w:sz w:val="24"/>
          <w:szCs w:val="24"/>
          <w:lang w:val="en-GB"/>
        </w:rPr>
        <w:t xml:space="preserve"> found for the domain ‘pain due to IAD’ </w:t>
      </w:r>
      <w:r>
        <w:rPr>
          <w:rFonts w:ascii="Times New Roman" w:hAnsi="Times New Roman" w:cs="Times New Roman"/>
          <w:sz w:val="24"/>
          <w:szCs w:val="24"/>
          <w:lang w:val="en-GB"/>
        </w:rPr>
        <w:t>in</w:t>
      </w:r>
      <w:r w:rsidRPr="00555AAA">
        <w:rPr>
          <w:rFonts w:ascii="Times New Roman" w:hAnsi="Times New Roman" w:cs="Times New Roman"/>
          <w:sz w:val="24"/>
          <w:szCs w:val="24"/>
          <w:lang w:val="en-GB"/>
        </w:rPr>
        <w:t xml:space="preserve"> the (quasi-)RCTs included in a recent Cochrane review on interventions related to IAD prevention and treatment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&lt;EndNote&gt;&lt;Cite&gt;&lt;Author&gt;Beeckman&lt;/Author&gt;&lt;Year&gt;2016&lt;/Year&gt;&lt;RecNum&gt;8327&lt;/RecNum&gt;&lt;DisplayText&gt;(Beeckman et al. 2016)&lt;/DisplayText&gt;&lt;record&gt;&lt;rec-number&gt;8327&lt;/rec-number&gt;&lt;foreign-keys&gt;&lt;key app="EN" db-id="dzts5tzxm909vmesxpbpa5s5xsv9apwp5spe" timestamp="1489413798"&gt;8327&lt;/key&gt;&lt;/foreign-keys&gt;&lt;ref-type name="Journal Article"&gt;17&lt;/ref-type&gt;&lt;contributors&gt;&lt;authors&gt;&lt;author&gt;Beeckman, Dimitri&lt;/author&gt;&lt;author&gt;Van Damme, Nele&lt;/author&gt;&lt;author&gt;Schoonhoven, Lisette&lt;/author&gt;&lt;author&gt;Van Lancker, Aurélie&lt;/author&gt;&lt;author&gt;Kottner, Jan&lt;/author&gt;&lt;author&gt;Beele, Hilde&lt;/author&gt;&lt;author&gt;Gray, Mikel&lt;/author&gt;&lt;author&gt;Woodward, Sue&lt;/author&gt;&lt;author&gt;Fader, Mandy&lt;/author&gt;&lt;author&gt;Van den Bussche, Karen&lt;/author&gt;&lt;author&gt;Van Hecke, Ann&lt;/author&gt;&lt;author&gt;De Meyer, Dorien&lt;/author&gt;&lt;author&gt;Verhaeghe, Sofie&lt;/author&gt;&lt;/authors&gt;&lt;/contributors&gt;&lt;titles&gt;&lt;title&gt;Interventions for preventing and treating incontinence</w:instrText>
      </w:r>
      <w:r w:rsidRPr="00555AAA">
        <w:rPr>
          <w:rFonts w:ascii="Cambria Math" w:hAnsi="Cambria Math" w:cs="Cambria Math"/>
          <w:sz w:val="24"/>
          <w:szCs w:val="24"/>
          <w:lang w:val="en-GB"/>
        </w:rPr>
        <w:instrText>‐</w:instrText>
      </w:r>
      <w:r w:rsidRPr="00555AAA">
        <w:rPr>
          <w:rFonts w:ascii="Times New Roman" w:hAnsi="Times New Roman" w:cs="Times New Roman"/>
          <w:sz w:val="24"/>
          <w:szCs w:val="24"/>
          <w:lang w:val="en-GB"/>
        </w:rPr>
        <w:instrText>associated dermatitis in adults&lt;/title&gt;&lt;secondary-title&gt;The Cochrane Library&lt;/secondary-title&gt;&lt;/titles&gt;&lt;periodical&gt;&lt;full-title&gt;The Cochrane Library&lt;/full-title&gt;&lt;/periodical&gt;&lt;dates&gt;&lt;year&gt;2016&lt;/year&gt;&lt;/dates&gt;&lt;isbn&gt;1465-1858&lt;/isbn&gt;&lt;urls&gt;&lt;/urls&gt;&lt;electronic-resource-num&gt;doi: 10.1002/14651858.CD011627.pub2&lt;/electronic-resource-num&gt;&lt;/record&gt;&lt;/Cite&gt;&lt;/EndNote&gt;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(Beeckman et al. 2016)</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w:t>
      </w:r>
    </w:p>
    <w:p w14:paraId="4AD080B4"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From a COS perspective, the five identified domains are proposed as core concepts for ‘what’ to measure as outcomes </w:t>
      </w:r>
      <w:r>
        <w:rPr>
          <w:rFonts w:ascii="Times New Roman" w:hAnsi="Times New Roman" w:cs="Times New Roman"/>
          <w:sz w:val="24"/>
          <w:szCs w:val="24"/>
          <w:lang w:val="en-GB"/>
        </w:rPr>
        <w:t>in</w:t>
      </w:r>
      <w:r w:rsidRPr="00555AAA">
        <w:rPr>
          <w:rFonts w:ascii="Times New Roman" w:hAnsi="Times New Roman" w:cs="Times New Roman"/>
          <w:sz w:val="24"/>
          <w:szCs w:val="24"/>
          <w:lang w:val="en-GB"/>
        </w:rPr>
        <w:t xml:space="preserve"> clinical IAD trials. The current results do not provide evidence ‘how’ best to measure the five identified domains. This will be subject to future research.</w:t>
      </w:r>
    </w:p>
    <w:p w14:paraId="3BE6606B"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The following outcome domains were considered important but not critical for inclusion and were therefore omitted: ‘cost-effectiveness’, ‘IAD-related Quality of Life’</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‘major </w:t>
      </w:r>
      <w:r w:rsidRPr="00555AAA">
        <w:rPr>
          <w:rFonts w:ascii="Times New Roman" w:hAnsi="Times New Roman" w:cs="Times New Roman"/>
          <w:sz w:val="24"/>
          <w:szCs w:val="24"/>
          <w:lang w:val="en-GB"/>
        </w:rPr>
        <w:lastRenderedPageBreak/>
        <w:t xml:space="preserve">colonization and infection’. ‘Cost-effectiveness’ was excluded from the COS since not reaching the 70% threshold in the third and final Delphi round. </w:t>
      </w:r>
    </w:p>
    <w:p w14:paraId="100DB959"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Although OMERACT recommends the inclusion in a COS of at least one outcome reflecting each core area, such as ‘resource use</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economic impact’, empirical evidence is emerging that this is not always considered appropriate </w:t>
      </w:r>
      <w:r w:rsidRPr="00555AAA">
        <w:rPr>
          <w:rFonts w:ascii="Times New Roman" w:hAnsi="Times New Roman" w:cs="Times New Roman"/>
          <w:sz w:val="24"/>
          <w:szCs w:val="24"/>
          <w:lang w:val="en-GB"/>
        </w:rPr>
        <w:fldChar w:fldCharType="begin">
          <w:fldData xml:space="preserve">PEVuZE5vdGU+PENpdGU+PEF1dGhvcj5XaWxsaWFtc29uPC9BdXRob3I+PFllYXI+MjAxNzwvWWVh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==
</w:fldData>
        </w:fldChar>
      </w:r>
      <w:r w:rsidRPr="00555AAA">
        <w:rPr>
          <w:rFonts w:ascii="Times New Roman" w:hAnsi="Times New Roman" w:cs="Times New Roman"/>
          <w:sz w:val="24"/>
          <w:szCs w:val="24"/>
          <w:lang w:val="en-GB"/>
        </w:rPr>
        <w:instrText xml:space="preserve"> ADDIN EN.CITE </w:instrText>
      </w:r>
      <w:r w:rsidRPr="00555AAA">
        <w:rPr>
          <w:rFonts w:ascii="Times New Roman" w:hAnsi="Times New Roman" w:cs="Times New Roman"/>
          <w:sz w:val="24"/>
          <w:szCs w:val="24"/>
          <w:lang w:val="en-GB"/>
        </w:rPr>
        <w:fldChar w:fldCharType="begin">
          <w:fldData xml:space="preserve">PEVuZE5vdGU+PENpdGU+PEF1dGhvcj5XaWxsaWFtc29uPC9BdXRob3I+PFllYXI+MjAxNzwvWWVh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==
</w:fldData>
        </w:fldChar>
      </w:r>
      <w:r w:rsidRPr="00555AAA">
        <w:rPr>
          <w:rFonts w:ascii="Times New Roman" w:hAnsi="Times New Roman" w:cs="Times New Roman"/>
          <w:sz w:val="24"/>
          <w:szCs w:val="24"/>
          <w:lang w:val="en-GB"/>
        </w:rPr>
        <w:instrText xml:space="preserve"> ADDIN EN.CITE.DATA </w:instrText>
      </w:r>
      <w:r w:rsidRPr="00555AAA">
        <w:rPr>
          <w:rFonts w:ascii="Times New Roman" w:hAnsi="Times New Roman" w:cs="Times New Roman"/>
          <w:sz w:val="24"/>
          <w:szCs w:val="24"/>
          <w:lang w:val="en-GB"/>
        </w:rPr>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(Chiarotto et al. 2015, Williamson et al. 2017)</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xml:space="preserve">. Currently, little is known about the economic impact of IAD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&lt;EndNote&gt;&lt;Cite&gt;&lt;Author&gt;Gray&lt;/Author&gt;&lt;Year&gt;2007&lt;/Year&gt;&lt;RecNum&gt;8196&lt;/RecNum&gt;&lt;DisplayText&gt;(Gray et al. 2007)&lt;/DisplayText&gt;&lt;record&gt;&lt;rec-number&gt;8196&lt;/rec-number&gt;&lt;foreign-keys&gt;&lt;key app="EN" db-id="dzts5tzxm909vmesxpbpa5s5xsv9apwp5spe" timestamp="1441628733"&gt;8196&lt;/key&gt;&lt;/foreign-keys&gt;&lt;ref-type name="Journal Article"&gt;17&lt;/ref-type&gt;&lt;contributors&gt;&lt;authors&gt;&lt;author&gt;Gray, Mikel&lt;/author&gt;&lt;author&gt;Bliss, Donna Z&lt;/author&gt;&lt;author&gt;Doughty, Dorothy B&lt;/author&gt;&lt;author&gt;Ermer-Seltun, JoAnn&lt;/author&gt;&lt;author&gt;Kennedy-Evans, Karen L&lt;/author&gt;&lt;author&gt;Palmer, Mary H&lt;/author&gt;&lt;/authors&gt;&lt;/contributors&gt;&lt;titles&gt;&lt;title&gt;Incontinence</w:instrText>
      </w:r>
      <w:r w:rsidRPr="00555AAA">
        <w:rPr>
          <w:rFonts w:ascii="Cambria Math" w:hAnsi="Cambria Math" w:cs="Cambria Math"/>
          <w:sz w:val="24"/>
          <w:szCs w:val="24"/>
          <w:lang w:val="en-GB"/>
        </w:rPr>
        <w:instrText>‐</w:instrText>
      </w:r>
      <w:r w:rsidRPr="00555AAA">
        <w:rPr>
          <w:rFonts w:ascii="Times New Roman" w:hAnsi="Times New Roman" w:cs="Times New Roman"/>
          <w:sz w:val="24"/>
          <w:szCs w:val="24"/>
          <w:lang w:val="en-GB"/>
        </w:rPr>
        <w:instrText>associated Dermatitis: A Consensus&lt;/title&gt;&lt;secondary-title&gt;Journal of Wound Ostomy &amp;amp; Continence Nursing&lt;/secondary-title&gt;&lt;/titles&gt;&lt;periodical&gt;&lt;full-title&gt;Journal of Wound Ostomy &amp;amp; Continence Nursing&lt;/full-title&gt;&lt;/periodical&gt;&lt;pages&gt;45-54&lt;/pages&gt;&lt;volume&gt;34&lt;/volume&gt;&lt;number&gt;1&lt;/number&gt;&lt;dates&gt;&lt;year&gt;2007&lt;/year&gt;&lt;/dates&gt;&lt;isbn&gt;1071-5754&lt;/isbn&gt;&lt;urls&gt;&lt;/urls&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(Gray et al. 2007)</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w:t>
      </w:r>
    </w:p>
    <w:p w14:paraId="798C41F4"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 xml:space="preserve">The outcome domain ‘major colonization and infection’ proved to be important throughout the entire Delphi process but no agreement regarding the description of that domain was obtained. Several panellists remarked that ‘clinical signs of infection’ are not necessarily always associated with IAD and therefore not critical. The signs </w:t>
      </w:r>
      <w:r>
        <w:rPr>
          <w:rFonts w:ascii="Times New Roman" w:hAnsi="Times New Roman" w:cs="Times New Roman"/>
          <w:sz w:val="24"/>
          <w:szCs w:val="24"/>
          <w:lang w:val="en-GB"/>
        </w:rPr>
        <w:t>in</w:t>
      </w:r>
      <w:r w:rsidRPr="00555AAA">
        <w:rPr>
          <w:rFonts w:ascii="Times New Roman" w:hAnsi="Times New Roman" w:cs="Times New Roman"/>
          <w:sz w:val="24"/>
          <w:szCs w:val="24"/>
          <w:lang w:val="en-GB"/>
        </w:rPr>
        <w:t xml:space="preserve"> the definition were considered too general to allow an accurate diagnosis at the bedside. Since it is difficult to diagnose wound infection based on clinical observation, a (semi-)quantitative swab or other diagnostic tests should be considered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&lt;EndNote&gt;&lt;Cite&gt;&lt;Author&gt;Cefalu&lt;/Author&gt;&lt;Year&gt;2017&lt;/Year&gt;&lt;RecNum&gt;8337&lt;/RecNum&gt;&lt;DisplayText&gt;(Cefalu et al. 2017, Institute 2016)&lt;/DisplayText&gt;&lt;record&gt;&lt;rec-number&gt;8337&lt;/rec-number&gt;&lt;foreign-keys&gt;&lt;key app="EN" db-id="dzts5tzxm909vmesxpbpa5s5xsv9apwp5spe" timestamp="1494234752"&gt;8337&lt;/key&gt;&lt;/foreign-keys&gt;&lt;ref-type name="Journal Article"&gt;17&lt;/ref-type&gt;&lt;contributors&gt;&lt;authors&gt;&lt;author&gt;Cefalu, Jean E&lt;/author&gt;&lt;author&gt;Barrier, Kendra M&lt;/author&gt;&lt;author&gt;Davis, Alison H&lt;/author&gt;&lt;/authors&gt;&lt;/contributors&gt;&lt;titles&gt;&lt;title&gt;Wound Infections in Critical Care&lt;/title&gt;&lt;secondary-title&gt;Critical Care Nursing Clinics of North America&lt;/secondary-title&gt;&lt;/titles&gt;&lt;periodical&gt;&lt;full-title&gt;Critical care nursing clinics of North America&lt;/full-title&gt;&lt;/periodical&gt;&lt;pages&gt;81-96&lt;/pages&gt;&lt;volume&gt;29&lt;/volume&gt;&lt;number&gt;1&lt;/number&gt;&lt;edition&gt;2016 Dec 14&lt;/edition&gt;&lt;dates&gt;&lt;year&gt;2017&lt;/year&gt;&lt;/dates&gt;&lt;isbn&gt;0899-5885&lt;/isbn&gt;&lt;urls&gt;&lt;/urls&gt;&lt;electronic-resource-num&gt;doi: 10.1016/j.cnc.2016.09.009&lt;/electronic-resource-num&gt;&lt;/record&gt;&lt;/Cite&gt;&lt;Cite&gt;&lt;Author&gt;Institute&lt;/Author&gt;&lt;Year&gt;2016&lt;/Year&gt;&lt;RecNum&gt;8376&lt;/RecNum&gt;&lt;record&gt;&lt;rec-number&gt;8376&lt;/rec-number&gt;&lt;foreign-keys&gt;&lt;key app="EN" db-id="dzts5tzxm909vmesxpbpa5s5xsv9apwp5spe" timestamp="1506946722"&gt;8376&lt;/key&gt;&lt;/foreign-keys&gt;&lt;ref-type name="Journal Article"&gt;17&lt;/ref-type&gt;&lt;contributors&gt;&lt;authors&gt;&lt;author&gt;International Wound Infection Institute&lt;/author&gt;&lt;/authors&gt;&lt;/contributors&gt;&lt;titles&gt;&lt;title&gt;Wound infection in clinical practice: principles of best practice&lt;/title&gt;&lt;secondary-title&gt;Wounds International&lt;/secondary-title&gt;&lt;/titles&gt;&lt;periodical&gt;&lt;full-title&gt;Wounds International&lt;/full-title&gt;&lt;/periodical&gt;&lt;dates&gt;&lt;year&gt;2016&lt;/year&gt;&lt;/dates&gt;&lt;urls&gt;&lt;/urls&gt;&lt;/record&gt;&lt;/Cite&gt;&lt;/EndNote&gt;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(Cefalu et al. 2017, Institute 2016)</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However, this technique is time-consuming, expensive</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often highly false-positive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&lt;EndNote&gt;&lt;Cite&gt;&lt;Author&gt;Bowler&lt;/Author&gt;&lt;Year&gt;2001&lt;/Year&gt;&lt;RecNum&gt;8346&lt;/RecNum&gt;&lt;DisplayText&gt;(Bowler et al. 2001)&lt;/DisplayText&gt;&lt;record&gt;&lt;rec-number&gt;8346&lt;/rec-number&gt;&lt;foreign-keys&gt;&lt;key app="EN" db-id="dzts5tzxm909vmesxpbpa5s5xsv9apwp5spe" timestamp="1494594157"&gt;8346&lt;/key&gt;&lt;/foreign-keys&gt;&lt;ref-type name="Journal Article"&gt;17&lt;/ref-type&gt;&lt;contributors&gt;&lt;authors&gt;&lt;author&gt;Bowler, PG&lt;/author&gt;&lt;author&gt;Duerden, BI&lt;/author&gt;&lt;author&gt;Armstrong, David G&lt;/author&gt;&lt;/authors&gt;&lt;/contributors&gt;&lt;titles&gt;&lt;title&gt;Wound microbiology and associated approaches to wound management&lt;/title&gt;&lt;secondary-title&gt;Clinical microbiology reviews&lt;/secondary-title&gt;&lt;/titles&gt;&lt;periodical&gt;&lt;full-title&gt;Clinical microbiology reviews&lt;/full-title&gt;&lt;/periodical&gt;&lt;pages&gt;244-269&lt;/pages&gt;&lt;volume&gt;14&lt;/volume&gt;&lt;number&gt;2&lt;/number&gt;&lt;dates&gt;&lt;year&gt;2001&lt;/year&gt;&lt;/dates&gt;&lt;isbn&gt;0893-8512&lt;/isbn&gt;&lt;urls&gt;&lt;/urls&gt;&lt;electronic-resource-num&gt;doi: 10.1128/CMR.14.2.244-269.2001&lt;/electronic-resource-num&gt;&lt;/record&gt;&lt;/Cite&gt;&lt;/EndNote&gt;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(Bowler et al. 2001)</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‘IAD-related Quality of Life’ incorporated ‘burden of care – patient perspective’ and ‘physical comfort’ after the first Delphi round. Although considered important throughout the Delphi process, several panellists underlined that ‘Quality of Life’ could be highly influenced by other factors unrelated to an intervention, such as co-morbid conditions, the inability of some patient groups to rate this outcome</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the lack of current measurement instruments. </w:t>
      </w:r>
    </w:p>
    <w:p w14:paraId="14CB1771" w14:textId="77777777" w:rsidR="00F24F47" w:rsidRPr="00555AAA" w:rsidRDefault="00F24F47" w:rsidP="00555AAA">
      <w:pPr>
        <w:spacing w:after="120" w:line="480" w:lineRule="auto"/>
        <w:jc w:val="both"/>
        <w:rPr>
          <w:rFonts w:ascii="Times New Roman" w:hAnsi="Times New Roman" w:cs="Times New Roman"/>
          <w:sz w:val="24"/>
          <w:szCs w:val="24"/>
          <w:shd w:val="clear" w:color="auto" w:fill="FFFFFF"/>
          <w:lang w:val="en-GB"/>
        </w:rPr>
      </w:pPr>
      <w:r w:rsidRPr="00555AAA">
        <w:rPr>
          <w:rFonts w:ascii="Times New Roman" w:hAnsi="Times New Roman" w:cs="Times New Roman"/>
          <w:sz w:val="24"/>
          <w:szCs w:val="24"/>
          <w:lang w:val="en-GB"/>
        </w:rPr>
        <w:t xml:space="preserve">Our results do not mean that the excluded outcome domains are not important or relevant in clinical IAD trials. </w:t>
      </w:r>
      <w:r w:rsidRPr="00555AAA">
        <w:rPr>
          <w:rFonts w:ascii="Times New Roman" w:hAnsi="Times New Roman" w:cs="Times New Roman"/>
          <w:sz w:val="24"/>
          <w:szCs w:val="24"/>
          <w:shd w:val="clear" w:color="auto" w:fill="FFFFFF"/>
          <w:lang w:val="en-GB"/>
        </w:rPr>
        <w:t>However, a COS represents a </w:t>
      </w:r>
      <w:r w:rsidRPr="00555AAA">
        <w:rPr>
          <w:rStyle w:val="Emphasis"/>
          <w:rFonts w:ascii="Times New Roman" w:hAnsi="Times New Roman" w:cs="Times New Roman"/>
          <w:sz w:val="24"/>
          <w:szCs w:val="24"/>
          <w:shd w:val="clear" w:color="auto" w:fill="FFFFFF"/>
          <w:lang w:val="en-GB"/>
        </w:rPr>
        <w:t>minimum</w:t>
      </w:r>
      <w:r w:rsidRPr="00555AAA">
        <w:rPr>
          <w:rFonts w:ascii="Times New Roman" w:hAnsi="Times New Roman" w:cs="Times New Roman"/>
          <w:sz w:val="24"/>
          <w:szCs w:val="24"/>
          <w:shd w:val="clear" w:color="auto" w:fill="FFFFFF"/>
          <w:lang w:val="en-GB"/>
        </w:rPr>
        <w:t xml:space="preserve"> number of critical outcomes to be measured and reported in all trials in a specific area. </w:t>
      </w:r>
      <w:proofErr w:type="spellStart"/>
      <w:r w:rsidRPr="00555AAA">
        <w:rPr>
          <w:rFonts w:ascii="Times New Roman" w:hAnsi="Times New Roman" w:cs="Times New Roman"/>
          <w:sz w:val="24"/>
          <w:szCs w:val="24"/>
          <w:shd w:val="clear" w:color="auto" w:fill="FFFFFF"/>
          <w:lang w:val="en-GB"/>
        </w:rPr>
        <w:t>Trialists</w:t>
      </w:r>
      <w:proofErr w:type="spellEnd"/>
      <w:r w:rsidRPr="00555AAA">
        <w:rPr>
          <w:rFonts w:ascii="Times New Roman" w:hAnsi="Times New Roman" w:cs="Times New Roman"/>
          <w:sz w:val="24"/>
          <w:szCs w:val="24"/>
          <w:shd w:val="clear" w:color="auto" w:fill="FFFFFF"/>
          <w:lang w:val="en-GB"/>
        </w:rPr>
        <w:t xml:space="preserve"> can select additional outcomes if deemed relevant </w:t>
      </w:r>
      <w:r w:rsidRPr="00555AAA">
        <w:rPr>
          <w:rFonts w:ascii="Times New Roman" w:hAnsi="Times New Roman" w:cs="Times New Roman"/>
          <w:sz w:val="24"/>
          <w:szCs w:val="24"/>
          <w:shd w:val="clear" w:color="auto" w:fill="FFFFFF"/>
          <w:lang w:val="en-GB"/>
        </w:rPr>
        <w:fldChar w:fldCharType="begin"/>
      </w:r>
      <w:r w:rsidRPr="00555AAA">
        <w:rPr>
          <w:rFonts w:ascii="Times New Roman" w:hAnsi="Times New Roman" w:cs="Times New Roman"/>
          <w:sz w:val="24"/>
          <w:szCs w:val="24"/>
          <w:shd w:val="clear" w:color="auto" w:fill="FFFFFF"/>
          <w:lang w:val="en-GB"/>
        </w:rPr>
        <w:instrText xml:space="preserve"> ADDIN EN.CITE &lt;EndNote&gt;&lt;Cite&gt;&lt;Author&gt;Schmitt&lt;/Author&gt;&lt;Year&gt;2014&lt;/Year&gt;&lt;RecNum&gt;8184&lt;/RecNum&gt;&lt;DisplayText&gt;(Schmitt et al. 2014)&lt;/DisplayText&gt;&lt;record&gt;&lt;rec-number&gt;8184&lt;/rec-number&gt;&lt;foreign-keys&gt;&lt;key app="EN" db-id="dzts5tzxm909vmesxpbpa5s5xsv9apwp5spe" timestamp="1441610283"&gt;8184&lt;/key&gt;&lt;/foreign-keys&gt;&lt;ref-type name="Journal Article"&gt;17&lt;/ref-type&gt;&lt;contributors&gt;&lt;authors&gt;&lt;author&gt;Schmitt, Jochen&lt;/author&gt;&lt;author&gt;Apfelbacher, Christian&lt;/author&gt;&lt;author&gt;Spuls, Phyllis I&lt;/author&gt;&lt;author&gt;Thomas, Kim S&lt;/author&gt;&lt;author&gt;Simpson, Eric L&lt;/author&gt;&lt;author&gt;Furue, Masutaka&lt;/author&gt;&lt;author&gt;Chalmers, Joanne&lt;/author&gt;&lt;author&gt;Williams, Hywel C&lt;/author&gt;&lt;/authors&gt;&lt;/contributors&gt;&lt;titles&gt;&lt;title&gt;The Harmonizing Outcome Measures for Eczema (HOME) Roadmap: a methodological framework to develop core sets of outcome measurements in dermatology&lt;/title&gt;&lt;secondary-title&gt;Journal of Investigative Dermatology&lt;/secondary-title&gt;&lt;/titles&gt;&lt;periodical&gt;&lt;full-title&gt;Journal of Investigative Dermatology&lt;/full-title&gt;&lt;/periodical&gt;&lt;dates&gt;&lt;year&gt;2014&lt;/year&gt;&lt;/dates&gt;&lt;isbn&gt;0022-202X&lt;/isbn&gt;&lt;urls&gt;&lt;/urls&gt;&lt;electronic-resource-num&gt;doi: 10.1038/jid.2014.320&lt;/electronic-resource-num&gt;&lt;/record&gt;&lt;/Cite&gt;&lt;/EndNote&gt;</w:instrText>
      </w:r>
      <w:r w:rsidRPr="00555AAA">
        <w:rPr>
          <w:rFonts w:ascii="Times New Roman" w:hAnsi="Times New Roman" w:cs="Times New Roman"/>
          <w:sz w:val="24"/>
          <w:szCs w:val="24"/>
          <w:shd w:val="clear" w:color="auto" w:fill="FFFFFF"/>
          <w:lang w:val="en-GB"/>
        </w:rPr>
        <w:fldChar w:fldCharType="separate"/>
      </w:r>
      <w:r w:rsidRPr="00555AAA">
        <w:rPr>
          <w:rFonts w:ascii="Times New Roman" w:hAnsi="Times New Roman" w:cs="Times New Roman"/>
          <w:noProof/>
          <w:sz w:val="24"/>
          <w:szCs w:val="24"/>
          <w:shd w:val="clear" w:color="auto" w:fill="FFFFFF"/>
          <w:lang w:val="en-GB"/>
        </w:rPr>
        <w:t>(Schmitt et al. 2014)</w:t>
      </w:r>
      <w:r w:rsidRPr="00555AAA">
        <w:rPr>
          <w:rFonts w:ascii="Times New Roman" w:hAnsi="Times New Roman" w:cs="Times New Roman"/>
          <w:sz w:val="24"/>
          <w:szCs w:val="24"/>
          <w:shd w:val="clear" w:color="auto" w:fill="FFFFFF"/>
          <w:lang w:val="en-GB"/>
        </w:rPr>
        <w:fldChar w:fldCharType="end"/>
      </w:r>
      <w:r w:rsidRPr="00555AAA">
        <w:rPr>
          <w:rFonts w:ascii="Times New Roman" w:hAnsi="Times New Roman" w:cs="Times New Roman"/>
          <w:sz w:val="24"/>
          <w:szCs w:val="24"/>
          <w:shd w:val="clear" w:color="auto" w:fill="FFFFFF"/>
          <w:lang w:val="en-GB"/>
        </w:rPr>
        <w:t xml:space="preserve">. </w:t>
      </w:r>
    </w:p>
    <w:p w14:paraId="4E4F0FCF"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Strengths and limitations</w:t>
      </w:r>
    </w:p>
    <w:p w14:paraId="4A1E5629"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sz w:val="24"/>
          <w:szCs w:val="24"/>
          <w:lang w:val="en-GB"/>
        </w:rPr>
        <w:lastRenderedPageBreak/>
        <w:t>This is the first study conducted to obtain international and multidisciplinary consensus on core outcome domains to be reported in IAD clinical trials. Guided by the initiatives like COMET, OMERACT and the HOME roadmap endorsed by CSG-COUSIN, a literature review, expert and patient consultation</w:t>
      </w:r>
      <w:r>
        <w:rPr>
          <w:rFonts w:ascii="Times New Roman" w:hAnsi="Times New Roman" w:cs="Times New Roman"/>
          <w:sz w:val="24"/>
          <w:szCs w:val="24"/>
          <w:lang w:val="en-GB"/>
        </w:rPr>
        <w:t xml:space="preserve"> and</w:t>
      </w:r>
      <w:r w:rsidRPr="00555AAA">
        <w:rPr>
          <w:rFonts w:ascii="Times New Roman" w:hAnsi="Times New Roman" w:cs="Times New Roman"/>
          <w:sz w:val="24"/>
          <w:szCs w:val="24"/>
          <w:lang w:val="en-GB"/>
        </w:rPr>
        <w:t xml:space="preserve"> an international, multidisciplinary Delphi procedure were conducted </w:t>
      </w:r>
      <w:r w:rsidRPr="00555AAA">
        <w:rPr>
          <w:rFonts w:ascii="Times New Roman" w:hAnsi="Times New Roman" w:cs="Times New Roman"/>
          <w:sz w:val="24"/>
          <w:szCs w:val="24"/>
          <w:lang w:val="en-GB"/>
        </w:rPr>
        <w:fldChar w:fldCharType="begin">
          <w:fldData xml:space="preserve">PEVuZE5vdGU+PENpdGU+PEF1dGhvcj5XaWxsaWFtc29uPC9BdXRob3I+PFllYXI+MjAxNzwvWWVh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</w:fldData>
        </w:fldChar>
      </w:r>
      <w:r w:rsidRPr="00555AAA">
        <w:rPr>
          <w:rFonts w:ascii="Times New Roman" w:hAnsi="Times New Roman" w:cs="Times New Roman"/>
          <w:sz w:val="24"/>
          <w:szCs w:val="24"/>
          <w:lang w:val="en-GB"/>
        </w:rPr>
        <w:instrText xml:space="preserve"> ADDIN EN.CITE </w:instrText>
      </w:r>
      <w:r w:rsidRPr="00555AAA">
        <w:rPr>
          <w:rFonts w:ascii="Times New Roman" w:hAnsi="Times New Roman" w:cs="Times New Roman"/>
          <w:sz w:val="24"/>
          <w:szCs w:val="24"/>
          <w:lang w:val="en-GB"/>
        </w:rPr>
        <w:fldChar w:fldCharType="begin">
          <w:fldData xml:space="preserve">PEVuZE5vdGU+PENpdGU+PEF1dGhvcj5XaWxsaWFtc29uPC9BdXRob3I+PFllYXI+MjAxNzwvWWVh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</w:fldData>
        </w:fldChar>
      </w:r>
      <w:r w:rsidRPr="00555AAA">
        <w:rPr>
          <w:rFonts w:ascii="Times New Roman" w:hAnsi="Times New Roman" w:cs="Times New Roman"/>
          <w:sz w:val="24"/>
          <w:szCs w:val="24"/>
          <w:lang w:val="en-GB"/>
        </w:rPr>
        <w:instrText xml:space="preserve"> ADDIN EN.CITE.DATA </w:instrText>
      </w:r>
      <w:r w:rsidRPr="00555AAA">
        <w:rPr>
          <w:rFonts w:ascii="Times New Roman" w:hAnsi="Times New Roman" w:cs="Times New Roman"/>
          <w:sz w:val="24"/>
          <w:szCs w:val="24"/>
          <w:lang w:val="en-GB"/>
        </w:rPr>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(Boers et al. 2014b, Schmitt et al. 2014, Williamson et al. 2017)</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A</w:t>
      </w:r>
      <w:r w:rsidRPr="00555AAA">
        <w:rPr>
          <w:rFonts w:ascii="Times New Roman" w:hAnsi="Times New Roman" w:cs="Times New Roman"/>
          <w:bCs/>
          <w:sz w:val="24"/>
          <w:szCs w:val="24"/>
          <w:lang w:val="en-GB"/>
        </w:rPr>
        <w:t xml:space="preserve"> study protocol was published a priori and the COS-STAR statement was used to ensure a high standard of reporting </w:t>
      </w:r>
      <w:r w:rsidRPr="00555AAA">
        <w:rPr>
          <w:rFonts w:ascii="Times New Roman" w:hAnsi="Times New Roman" w:cs="Times New Roman"/>
          <w:bCs/>
          <w:sz w:val="24"/>
          <w:szCs w:val="24"/>
          <w:lang w:val="en-GB"/>
        </w:rPr>
        <w:fldChar w:fldCharType="begin">
          <w:fldData xml:space="preserve">PEVuZE5vdGU+PENpdGU+PEF1dGhvcj5LaXJraGFtPC9BdXRob3I+PFllYXI+MjAxNjwvWWVhcj48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PEVuZE5vdGU+PENpdGU+PEF1dGhvcj5LaXJraGFtPC9BdXRob3I+PFllYXI+MjAxNjwvWWVhcj48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(Kirkham et al. 2016, Van den Bussche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Another strength is the comprehensive list of outcomes initially obtained through an extensive search strategy, patient and expert interviews. This study also included opinions of several stakeholder groups (healthcare providers, researchers, industry) from around the international arena. Europe was represented most frequently (64.9% of panellists from 11 countries), followed by USA (22.8% of panellists from two countries). The input of different stakeholders from different cultures increases the generalizability and applicability of this COS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&lt;EndNote&gt;&lt;Cite&gt;&lt;Author&gt;Boers&lt;/Author&gt;&lt;Year&gt;2014&lt;/Year&gt;&lt;RecNum&gt;8197&lt;/RecNum&gt;&lt;DisplayText&gt;(Boers et al. 2014a)&lt;/DisplayText&gt;&lt;record&gt;&lt;rec-number&gt;8197&lt;/rec-number&gt;&lt;foreign-keys&gt;&lt;key app="EN" db-id="dzts5tzxm909vmesxpbpa5s5xsv9apwp5spe" timestamp="1445005373"&gt;8197&lt;/key&gt;&lt;/foreign-keys&gt;&lt;ref-type name="Generic"&gt;13&lt;/ref-type&gt;&lt;contributors&gt;&lt;authors&gt;&lt;author&gt;Boers, Maarten&lt;/author&gt;&lt;author&gt;Kirwan, John Richard&lt;/author&gt;&lt;author&gt;Tugwell, Peter&lt;/author&gt;&lt;author&gt;Beaton, Dorcas&lt;/author&gt;&lt;author&gt;Bingham III, Clifton O&lt;/author&gt;&lt;author&gt;Conaghan, Philip G&lt;/author&gt;&lt;author&gt;D&amp;apos;Agostino, Maria-Antonietta&lt;/author&gt;&lt;author&gt;de Wit, Maarten&lt;/author&gt;&lt;author&gt;Gossec, Laure&lt;/author&gt;&lt;author&gt;March, Lyn&lt;/author&gt;&lt;author&gt;Simon, Lee S.&lt;/author&gt;&lt;author&gt;Singh, Jasvinder A.&lt;/author&gt;&lt;author&gt;Strand, Vibeke&lt;/author&gt;&lt;author&gt;Wells, George&lt;/author&gt;&lt;/authors&gt;&lt;/contributors&gt;&lt;titles&gt;&lt;title&gt;The OMERACT Handbook&lt;/title&gt;&lt;/titles&gt;&lt;dates&gt;&lt;year&gt;2014&lt;/year&gt;&lt;/dates&gt;&lt;pub-location&gt;Ottowa, ON, Canada&lt;/pub-location&gt;&lt;publisher&gt;OMERACT&lt;/publisher&gt;&lt;urls&gt;&lt;related-urls&gt;&lt;url&gt;http://www.omeract.org/pdf/OMERACT_Handbook.pdf&lt;/url&gt;&lt;/related-urls&gt;&lt;/urls&gt;&lt;/record&gt;&lt;/Cite&gt;&lt;/EndNote&gt;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(Boers et al. 2014a)</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w:t>
      </w:r>
    </w:p>
    <w:p w14:paraId="08DC3432"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 xml:space="preserve">This study had several limitations. </w:t>
      </w:r>
      <w:r w:rsidRPr="00555AAA">
        <w:rPr>
          <w:rFonts w:ascii="Times New Roman" w:hAnsi="Times New Roman" w:cs="Times New Roman"/>
          <w:sz w:val="24"/>
          <w:szCs w:val="24"/>
          <w:lang w:val="en-GB"/>
        </w:rPr>
        <w:t>The search for patients was difficult due to the acute nature of the condition in often care-dependent elderly and ICU patients. The inclusion of only three patients may limit the patients</w:t>
      </w:r>
      <w:r>
        <w:rPr>
          <w:rFonts w:ascii="Times New Roman" w:hAnsi="Times New Roman" w:cs="Times New Roman"/>
          <w:sz w:val="24"/>
          <w:szCs w:val="24"/>
          <w:lang w:val="en-GB"/>
        </w:rPr>
        <w:t>’</w:t>
      </w:r>
      <w:r w:rsidRPr="00555AAA">
        <w:rPr>
          <w:rFonts w:ascii="Times New Roman" w:hAnsi="Times New Roman" w:cs="Times New Roman"/>
          <w:sz w:val="24"/>
          <w:szCs w:val="24"/>
          <w:lang w:val="en-GB"/>
        </w:rPr>
        <w:t xml:space="preserve"> perspective on the search for outcomes. P</w:t>
      </w:r>
      <w:r w:rsidRPr="00555AAA">
        <w:rPr>
          <w:rFonts w:ascii="Times New Roman" w:hAnsi="Times New Roman" w:cs="Times New Roman"/>
          <w:bCs/>
          <w:sz w:val="24"/>
          <w:szCs w:val="24"/>
          <w:lang w:val="en-GB"/>
        </w:rPr>
        <w:t>atients were interviewed to contribute to the COS development</w:t>
      </w:r>
      <w:r>
        <w:rPr>
          <w:rFonts w:ascii="Times New Roman" w:hAnsi="Times New Roman" w:cs="Times New Roman"/>
          <w:bCs/>
          <w:sz w:val="24"/>
          <w:szCs w:val="24"/>
          <w:lang w:val="en-GB"/>
        </w:rPr>
        <w:t>,</w:t>
      </w:r>
      <w:r w:rsidRPr="00555AAA">
        <w:rPr>
          <w:rFonts w:ascii="Times New Roman" w:hAnsi="Times New Roman" w:cs="Times New Roman"/>
          <w:bCs/>
          <w:sz w:val="24"/>
          <w:szCs w:val="24"/>
          <w:lang w:val="en-GB"/>
        </w:rPr>
        <w:t xml:space="preserve"> but they were not included in the subsequent Delphi rounds. Although patient views were considered, they were not included as research partners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&lt;EndNote&gt;&lt;Cite&gt;&lt;Author&gt;Gargon&lt;/Author&gt;&lt;Year&gt;2017&lt;/Year&gt;&lt;RecNum&gt;8378&lt;/RecNum&gt;&lt;DisplayText&gt;(Gargon et al. 2017)&lt;/DisplayText&gt;&lt;record&gt;&lt;rec-number&gt;8378&lt;/rec-number&gt;&lt;foreign-keys&gt;&lt;key app="EN" db-id="dzts5tzxm909vmesxpbpa5s5xsv9apwp5spe" timestamp="1507660409"&gt;8378&lt;/key&gt;&lt;/foreign-keys&gt;&lt;ref-type name="Journal Article"&gt;17&lt;/ref-type&gt;&lt;contributors&gt;&lt;authors&gt;&lt;author&gt;Gargon, Elizabeth&lt;/author&gt;&lt;author&gt;Williamson, Paula R&lt;/author&gt;&lt;author&gt;Young, Bridget&lt;/author&gt;&lt;/authors&gt;&lt;/contributors&gt;&lt;titles&gt;&lt;title&gt;Improving core outcome set development: qualitative interviews with developers provided pointers to inform guidance&lt;/title&gt;&lt;secondary-title&gt;Journal of Clinical Epidemiology&lt;/secondary-title&gt;&lt;/titles&gt;&lt;periodical&gt;&lt;full-title&gt;J Clin Epidemiol&lt;/full-title&gt;&lt;abbr-1&gt;Journal of clinical epidemiology&lt;/abbr-1&gt;&lt;/periodical&gt;&lt;pages&gt;140-152&lt;/pages&gt;&lt;volume&gt;86&lt;/volume&gt;&lt;edition&gt;2017 May 8&lt;/edition&gt;&lt;dates&gt;&lt;year&gt;2017&lt;/year&gt;&lt;/dates&gt;&lt;isbn&gt;0895-4356&lt;/isbn&gt;&lt;urls&gt;&lt;/urls&gt;&lt;electronic-resource-num&gt;doi: 10.1016/j.jclinepi.2017.04.024&lt;/electronic-resource-num&gt;&lt;/record&gt;&lt;/Cite&gt;&lt;/EndNote&gt;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(Gargon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This could have influenced the prioritization of the outcome domains and the exclusion of ‘IAD-related Quality of Life’. However, this outcome domain was not mentioned by the patients during the interviews. </w:t>
      </w:r>
    </w:p>
    <w:p w14:paraId="02CB18B7"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bCs/>
          <w:sz w:val="24"/>
          <w:szCs w:val="24"/>
          <w:lang w:val="en-GB"/>
        </w:rPr>
        <w:t xml:space="preserve">Methodological guidance for COS development is available but </w:t>
      </w:r>
      <w:r>
        <w:rPr>
          <w:rFonts w:ascii="Times New Roman" w:hAnsi="Times New Roman" w:cs="Times New Roman"/>
          <w:bCs/>
          <w:sz w:val="24"/>
          <w:szCs w:val="24"/>
          <w:lang w:val="en-GB"/>
        </w:rPr>
        <w:t>several</w:t>
      </w:r>
      <w:r w:rsidRPr="00555AAA">
        <w:rPr>
          <w:rFonts w:ascii="Times New Roman" w:hAnsi="Times New Roman" w:cs="Times New Roman"/>
          <w:bCs/>
          <w:sz w:val="24"/>
          <w:szCs w:val="24"/>
          <w:lang w:val="en-GB"/>
        </w:rPr>
        <w:t xml:space="preserve"> details are unclear </w:t>
      </w:r>
      <w:r w:rsidRPr="00555AAA">
        <w:rPr>
          <w:rFonts w:ascii="Times New Roman" w:hAnsi="Times New Roman" w:cs="Times New Roman"/>
          <w:bCs/>
          <w:sz w:val="24"/>
          <w:szCs w:val="24"/>
          <w:lang w:val="en-GB"/>
        </w:rPr>
        <w:fldChar w:fldCharType="begin">
          <w:fldData xml:space="preserve">PEVuZE5vdGU+PENpdGU+PEF1dGhvcj5XaWxsaWFtc29uPC9BdXRob3I+PFllYXI+MjAxNzwvWWVh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PEVuZE5vdGU+PENpdGU+PEF1dGhvcj5XaWxsaWFtc29uPC9BdXRob3I+PFllYXI+MjAxNzwvWWVh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(Sinha et al. 2011, Williamson et al. 2017, Williamson et al. 2012b)</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For instance, there is no reference standard for data extraction such as the level of abstraction. Since the independent data extraction by two reviewers was not performed, it is possible that some outcome domains </w:t>
      </w:r>
      <w:r w:rsidRPr="00555AAA">
        <w:rPr>
          <w:rFonts w:ascii="Times New Roman" w:hAnsi="Times New Roman" w:cs="Times New Roman"/>
          <w:bCs/>
          <w:sz w:val="24"/>
          <w:szCs w:val="24"/>
          <w:lang w:val="en-GB"/>
        </w:rPr>
        <w:lastRenderedPageBreak/>
        <w:t xml:space="preserve">were not identified. There is also no reference standard for conducting Delphi methods and for consensus definitions </w:t>
      </w:r>
      <w:r w:rsidRPr="00555AAA">
        <w:rPr>
          <w:rFonts w:ascii="Times New Roman" w:hAnsi="Times New Roman" w:cs="Times New Roman"/>
          <w:bCs/>
          <w:sz w:val="24"/>
          <w:szCs w:val="24"/>
          <w:lang w:val="en-GB"/>
        </w:rPr>
        <w:fldChar w:fldCharType="begin">
          <w:fldData xml:space="preserve">PEVuZE5vdGU+PENpdGU+PEF1dGhvcj5EaWFtb25kPC9BdXRob3I+PFllYXI+MjAxNDwvWWVhcj48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==
</w:fldData>
        </w:fldChar>
      </w:r>
      <w:r w:rsidRPr="00555AAA">
        <w:rPr>
          <w:rFonts w:ascii="Times New Roman" w:hAnsi="Times New Roman" w:cs="Times New Roman"/>
          <w:bCs/>
          <w:sz w:val="24"/>
          <w:szCs w:val="24"/>
          <w:lang w:val="en-GB"/>
        </w:rPr>
        <w:instrText xml:space="preserve"> ADDIN EN.CITE </w:instrText>
      </w:r>
      <w:r w:rsidRPr="00555AAA">
        <w:rPr>
          <w:rFonts w:ascii="Times New Roman" w:hAnsi="Times New Roman" w:cs="Times New Roman"/>
          <w:bCs/>
          <w:sz w:val="24"/>
          <w:szCs w:val="24"/>
          <w:lang w:val="en-GB"/>
        </w:rPr>
        <w:fldChar w:fldCharType="begin">
          <w:fldData xml:space="preserve">PEVuZE5vdGU+PENpdGU+PEF1dGhvcj5EaWFtb25kPC9BdXRob3I+PFllYXI+MjAxNDwvWWVhcj48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==
</w:fldData>
        </w:fldChar>
      </w:r>
      <w:r w:rsidRPr="00555AAA">
        <w:rPr>
          <w:rFonts w:ascii="Times New Roman" w:hAnsi="Times New Roman" w:cs="Times New Roman"/>
          <w:bCs/>
          <w:sz w:val="24"/>
          <w:szCs w:val="24"/>
          <w:lang w:val="en-GB"/>
        </w:rPr>
        <w:instrText xml:space="preserve"> ADDIN EN.CITE.DATA </w:instrText>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(Brookes et al. 2016, Diamond et al. 2014)</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Currently, the nine-point scale is most often used in COS studies to measure agreement between Delphi study participants. The decision rules, often based on cut-offs, during the Delphi rounds are currently being questioned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&lt;EndNote&gt;&lt;Cite&gt;&lt;Author&gt;Kottner&lt;/Author&gt;&lt;Year&gt;2017&lt;/Year&gt;&lt;RecNum&gt;8383&lt;/RecNum&gt;&lt;DisplayText&gt;(Kottner et al. 2017)&lt;/DisplayText&gt;&lt;record&gt;&lt;rec-number&gt;8383&lt;/rec-number&gt;&lt;foreign-keys&gt;&lt;key app="EN" db-id="dzts5tzxm909vmesxpbpa5s5xsv9apwp5spe" timestamp="1509005520"&gt;8383&lt;/key&gt;&lt;/foreign-keys&gt;&lt;ref-type name="Journal Article"&gt;17&lt;/ref-type&gt;&lt;contributors&gt;&lt;authors&gt;&lt;author&gt;Kottner, Jan&lt;/author&gt;&lt;author&gt;Jacobi, Lena&lt;/author&gt;&lt;author&gt;Hahnel, Elisabeth&lt;/author&gt;&lt;author&gt;Alam, Murad&lt;/author&gt;&lt;author&gt;Balzer, Katrin&lt;/author&gt;&lt;author&gt;Beeckman, Dimitri&lt;/author&gt;&lt;author&gt;Busard, Celine&lt;/author&gt;&lt;author&gt;Chalmers, Joanne&lt;/author&gt;&lt;author&gt;Deckert, Stefanie&lt;/author&gt;&lt;author&gt;Eleftheriadou, Viktoria&lt;/author&gt;&lt;author&gt;Furlan, Karina&lt;/author&gt;&lt;author&gt;Horbach, Sophie E.R.&lt;/author&gt;&lt;author&gt;Kirkham, Jamie&lt;/author&gt;&lt;author&gt;Nast, Alexander&lt;/author&gt;&lt;author&gt;Spuls, Phyllis&lt;/author&gt;&lt;author&gt;Thiboutot, Diane&lt;/author&gt;&lt;author&gt;Thorlacius, Linnea&lt;/author&gt;&lt;author&gt;Weller, Karsten&lt;/author&gt;&lt;author&gt;Williams, Hywel C.&lt;/author&gt;&lt;author&gt;Schmitt, Jochen&lt;/author&gt;&lt;/authors&gt;&lt;/contributors&gt;&lt;titles&gt;&lt;title&gt;Core outcome sets in dermatology: report from the second meeting of the International Cochrane Skin Group Core Outcome Set Initiative (CSG-COUSIN)&lt;/title&gt;&lt;secondary-title&gt;British Journal of Dermatology&lt;/secondary-title&gt;&lt;/titles&gt;&lt;periodical&gt;&lt;full-title&gt;British journal of dermatology&lt;/full-title&gt;&lt;/periodical&gt;&lt;dates&gt;&lt;year&gt;2017&lt;/year&gt;&lt;/dates&gt;&lt;isbn&gt;1365-2133&lt;/isbn&gt;&lt;urls&gt;&lt;/urls&gt;&lt;/record&gt;&lt;/Cite&gt;&lt;/EndNote&gt;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(Kottner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T</w:t>
      </w:r>
      <w:r w:rsidRPr="00555AAA">
        <w:rPr>
          <w:rFonts w:ascii="Times New Roman" w:hAnsi="Times New Roman" w:cs="Times New Roman"/>
          <w:sz w:val="24"/>
          <w:szCs w:val="24"/>
          <w:lang w:val="en-GB"/>
        </w:rPr>
        <w:t xml:space="preserve">he use of strict thresholds to decide whether COS domains are kept or left out are considered arbitrary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&lt;EndNote&gt;&lt;Cite&gt;&lt;Author&gt;Thorlacius&lt;/Author&gt;&lt;Year&gt;2017&lt;/Year&gt;&lt;RecNum&gt;8426&lt;/RecNum&gt;&lt;DisplayText&gt;(Thorlacius et al. 2017)&lt;/DisplayText&gt;&lt;record&gt;&lt;rec-number&gt;8426&lt;/rec-number&gt;&lt;foreign-keys&gt;&lt;key app="EN" db-id="dzts5tzxm909vmesxpbpa5s5xsv9apwp5spe" timestamp="1514715691"&gt;8426&lt;/key&gt;&lt;/foreign-keys&gt;&lt;ref-type name="Journal Article"&gt;17&lt;/ref-type&gt;&lt;contributors&gt;&lt;authors&gt;&lt;author&gt;Thorlacius, Linnea&lt;/author&gt;&lt;author&gt;Ingram, John R&lt;/author&gt;&lt;author&gt;Garg, Amit&lt;/author&gt;&lt;author&gt;Villumsen, Bente&lt;/author&gt;&lt;author&gt;Esmann, Solveig&lt;/author&gt;&lt;author&gt;Kirby, Joslyn S&lt;/author&gt;&lt;author&gt;Gottlieb, Alice B&lt;/author&gt;&lt;author&gt;Merola, Joseph F&lt;/author&gt;&lt;author&gt;Dellavalle, Robert&lt;/author&gt;&lt;author&gt;Christensen, Robin&lt;/author&gt;&lt;/authors&gt;&lt;/contributors&gt;&lt;titles&gt;&lt;title&gt;Protocol for the development of a core domain set for hidradenitis suppurativa trial outcomes&lt;/title&gt;&lt;secondary-title&gt;BMJ open&lt;/secondary-title&gt;&lt;/titles&gt;&lt;periodical&gt;&lt;full-title&gt;BMJ open&lt;/full-title&gt;&lt;/periodical&gt;&lt;pages&gt;e014733&lt;/pages&gt;&lt;volume&gt;7&lt;/volume&gt;&lt;number&gt;2&lt;/number&gt;&lt;dates&gt;&lt;year&gt;2017&lt;/year&gt;&lt;/dates&gt;&lt;isbn&gt;2044-6055&lt;/isbn&gt;&lt;urls&gt;&lt;/urls&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(Thorlacius et al. 2017)</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xml:space="preserve">. The usefulness of this procedure can be questioned as it is recommended to use the full range of information from rating scales otherwise they are not needed in that specific format </w:t>
      </w:r>
      <w:r w:rsidRPr="00555AAA">
        <w:rPr>
          <w:rFonts w:ascii="Times New Roman" w:hAnsi="Times New Roman" w:cs="Times New Roman"/>
          <w:sz w:val="24"/>
          <w:szCs w:val="24"/>
          <w:lang w:val="en-GB"/>
        </w:rPr>
        <w:fldChar w:fldCharType="begin"/>
      </w:r>
      <w:r w:rsidRPr="00555AAA">
        <w:rPr>
          <w:rFonts w:ascii="Times New Roman" w:hAnsi="Times New Roman" w:cs="Times New Roman"/>
          <w:sz w:val="24"/>
          <w:szCs w:val="24"/>
          <w:lang w:val="en-GB"/>
        </w:rPr>
        <w:instrText xml:space="preserve"> ADDIN EN.CITE &lt;EndNote&gt;&lt;Cite&gt;&lt;Author&gt;Beckstead&lt;/Author&gt;&lt;Year&gt;2014&lt;/Year&gt;&lt;RecNum&gt;8427&lt;/RecNum&gt;&lt;DisplayText&gt;(Beckstead 2014, Streiner et al. 2015)&lt;/DisplayText&gt;&lt;record&gt;&lt;rec-number&gt;8427&lt;/rec-number&gt;&lt;foreign-keys&gt;&lt;key app="EN" db-id="dzts5tzxm909vmesxpbpa5s5xsv9apwp5spe" timestamp="1514715838"&gt;8427&lt;/key&gt;&lt;/foreign-keys&gt;&lt;ref-type name="Journal Article"&gt;17&lt;/ref-type&gt;&lt;contributors&gt;&lt;authors&gt;&lt;author&gt;Beckstead, Jason W&lt;/author&gt;&lt;/authors&gt;&lt;/contributors&gt;&lt;titles&gt;&lt;title&gt;On measurements and their quality. Paper 4: Verbal anchors and the number of response options in rating scales&lt;/title&gt;&lt;secondary-title&gt;International journal of nursing studies&lt;/secondary-title&gt;&lt;/titles&gt;&lt;periodical&gt;&lt;full-title&gt;Int J Nurs Stud&lt;/full-title&gt;&lt;abbr-1&gt;International journal of nursing studies&lt;/abbr-1&gt;&lt;/periodical&gt;&lt;pages&gt;807-814&lt;/pages&gt;&lt;volume&gt;51&lt;/volume&gt;&lt;number&gt;5&lt;/number&gt;&lt;dates&gt;&lt;year&gt;2014&lt;/year&gt;&lt;/dates&gt;&lt;isbn&gt;0020-7489&lt;/isbn&gt;&lt;urls&gt;&lt;/urls&gt;&lt;/record&gt;&lt;/Cite&gt;&lt;Cite&gt;&lt;Author&gt;Streiner&lt;/Author&gt;&lt;Year&gt;2015&lt;/Year&gt;&lt;RecNum&gt;8428&lt;/RecNum&gt;&lt;record&gt;&lt;rec-number&gt;8428&lt;/rec-number&gt;&lt;foreign-keys&gt;&lt;key app="EN" db-id="dzts5tzxm909vmesxpbpa5s5xsv9apwp5spe" timestamp="1514716175"&gt;8428&lt;/key&gt;&lt;/foreign-keys&gt;&lt;ref-type name="Book"&gt;6&lt;/ref-type&gt;&lt;contributors&gt;&lt;authors&gt;&lt;author&gt;Streiner, David L&lt;/author&gt;&lt;author&gt;Norman, Geoffrey R&lt;/author&gt;&lt;author&gt;Cairney, John&lt;/author&gt;&lt;/authors&gt;&lt;/contributors&gt;&lt;titles&gt;&lt;title&gt;Health measurement scales: a practical guide to their development and use&lt;/title&gt;&lt;/titles&gt;&lt;dates&gt;&lt;year&gt;2015&lt;/year&gt;&lt;/dates&gt;&lt;publisher&gt;Oxford University Press, USA&lt;/publisher&gt;&lt;isbn&gt;0199685215&lt;/isbn&gt;&lt;urls&gt;&lt;/urls&gt;&lt;/record&gt;&lt;/Cite&gt;&lt;/EndNote&gt;</w:instrText>
      </w:r>
      <w:r w:rsidRPr="00555AAA">
        <w:rPr>
          <w:rFonts w:ascii="Times New Roman" w:hAnsi="Times New Roman" w:cs="Times New Roman"/>
          <w:sz w:val="24"/>
          <w:szCs w:val="24"/>
          <w:lang w:val="en-GB"/>
        </w:rPr>
        <w:fldChar w:fldCharType="separate"/>
      </w:r>
      <w:r w:rsidRPr="00555AAA">
        <w:rPr>
          <w:rFonts w:ascii="Times New Roman" w:hAnsi="Times New Roman" w:cs="Times New Roman"/>
          <w:noProof/>
          <w:sz w:val="24"/>
          <w:szCs w:val="24"/>
          <w:lang w:val="en-GB"/>
        </w:rPr>
        <w:t>(Beckstead 2014, Streiner et al. 2015)</w:t>
      </w:r>
      <w:r w:rsidRPr="00555AAA">
        <w:rPr>
          <w:rFonts w:ascii="Times New Roman" w:hAnsi="Times New Roman" w:cs="Times New Roman"/>
          <w:sz w:val="24"/>
          <w:szCs w:val="24"/>
          <w:lang w:val="en-GB"/>
        </w:rPr>
        <w:fldChar w:fldCharType="end"/>
      </w:r>
      <w:r w:rsidRPr="00555AAA">
        <w:rPr>
          <w:rFonts w:ascii="Times New Roman" w:hAnsi="Times New Roman" w:cs="Times New Roman"/>
          <w:sz w:val="24"/>
          <w:szCs w:val="24"/>
          <w:lang w:val="en-GB"/>
        </w:rPr>
        <w:t xml:space="preserve">. </w:t>
      </w:r>
      <w:r w:rsidRPr="00555AAA">
        <w:rPr>
          <w:rFonts w:ascii="Times New Roman" w:hAnsi="Times New Roman" w:cs="Times New Roman"/>
          <w:bCs/>
          <w:sz w:val="24"/>
          <w:szCs w:val="24"/>
          <w:lang w:val="en-GB"/>
        </w:rPr>
        <w:t xml:space="preserve">Driven by this methodological uncertainty, we decided to use </w:t>
      </w:r>
      <w:r w:rsidRPr="00555AAA">
        <w:rPr>
          <w:rFonts w:ascii="Times New Roman" w:hAnsi="Times New Roman" w:cs="Times New Roman"/>
          <w:sz w:val="24"/>
          <w:szCs w:val="24"/>
          <w:lang w:val="en-GB"/>
        </w:rPr>
        <w:t>two different scoring systems (a three-point and a nine-point scale) in the first Delphi to allow methodological reflection. This was a deviation from the protocol.</w:t>
      </w:r>
    </w:p>
    <w:p w14:paraId="447FE0F3" w14:textId="77777777" w:rsidR="00F24F47" w:rsidRPr="00555AAA" w:rsidRDefault="00F24F47" w:rsidP="00555AAA">
      <w:pPr>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sz w:val="24"/>
          <w:szCs w:val="24"/>
          <w:lang w:val="en-GB"/>
        </w:rPr>
        <w:t>Given the extent of the long list of 58 outcome domains, the project team decided to present only the outcome domains with 70% agreement (category ‘critical for inclusion’) instead of re-scoring all outcome domains that did not reach that threshold. For the same reason, only feedback on the general findings was provided.</w:t>
      </w:r>
      <w:r w:rsidRPr="00555AAA">
        <w:rPr>
          <w:rFonts w:ascii="Times New Roman" w:hAnsi="Times New Roman" w:cs="Times New Roman"/>
          <w:bCs/>
          <w:sz w:val="24"/>
          <w:szCs w:val="24"/>
          <w:lang w:val="en-GB"/>
        </w:rPr>
        <w:t xml:space="preserve"> Although we included panellists from around the international arena, responses were not distributed equally [Asia (1.8%), Australia (7%) and Africa (3.5%)]. The decision not to include a consensus meeting in the COS development was a pragmatic one. Although </w:t>
      </w:r>
      <w:r>
        <w:rPr>
          <w:rFonts w:ascii="Times New Roman" w:hAnsi="Times New Roman" w:cs="Times New Roman"/>
          <w:bCs/>
          <w:sz w:val="24"/>
          <w:szCs w:val="24"/>
          <w:lang w:val="en-GB"/>
        </w:rPr>
        <w:t>several</w:t>
      </w:r>
      <w:r w:rsidRPr="00555AAA">
        <w:rPr>
          <w:rFonts w:ascii="Times New Roman" w:hAnsi="Times New Roman" w:cs="Times New Roman"/>
          <w:bCs/>
          <w:sz w:val="24"/>
          <w:szCs w:val="24"/>
          <w:lang w:val="en-GB"/>
        </w:rPr>
        <w:t xml:space="preserve"> COS development studies hold a final consensus meeting, evidence on the design and results of a face-to-face meeting is lacking </w:t>
      </w:r>
      <w:r w:rsidRPr="00555AAA">
        <w:rPr>
          <w:rFonts w:ascii="Times New Roman" w:hAnsi="Times New Roman" w:cs="Times New Roman"/>
          <w:bCs/>
          <w:sz w:val="24"/>
          <w:szCs w:val="24"/>
          <w:lang w:val="en-GB"/>
        </w:rPr>
        <w:fldChar w:fldCharType="begin"/>
      </w:r>
      <w:r w:rsidRPr="00555AAA">
        <w:rPr>
          <w:rFonts w:ascii="Times New Roman" w:hAnsi="Times New Roman" w:cs="Times New Roman"/>
          <w:bCs/>
          <w:sz w:val="24"/>
          <w:szCs w:val="24"/>
          <w:lang w:val="en-GB"/>
        </w:rPr>
        <w:instrText xml:space="preserve"> ADDIN EN.CITE &lt;EndNote&gt;&lt;Cite&gt;&lt;Author&gt;Williamson&lt;/Author&gt;&lt;Year&gt;2017&lt;/Year&gt;&lt;RecNum&gt;8355&lt;/RecNum&gt;&lt;DisplayText&gt;(Williamson et al. 2017)&lt;/DisplayText&gt;&lt;record&gt;&lt;rec-number&gt;8355&lt;/rec-number&gt;&lt;foreign-keys&gt;&lt;key app="EN" db-id="dzts5tzxm909vmesxpbpa5s5xsv9apwp5spe" timestamp="1499758339"&gt;8355&lt;/key&gt;&lt;/foreign-keys&gt;&lt;ref-type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280&lt;/pages&gt;&lt;volume&gt;18&lt;/volume&gt;&lt;number&gt;3&lt;/number&gt;&lt;dates&gt;&lt;year&gt;2017&lt;/year&gt;&lt;/dates&gt;&lt;isbn&gt;1745-6215&lt;/isbn&gt;&lt;urls&gt;&lt;/urls&gt;&lt;electronic-resource-num&gt;doi: 10.1186/s13063-017-1978-4&lt;/electronic-resource-num&gt;&lt;/record&gt;&lt;/Cite&gt;&lt;/EndNote&gt;</w:instrText>
      </w:r>
      <w:r w:rsidRPr="00555AAA">
        <w:rPr>
          <w:rFonts w:ascii="Times New Roman" w:hAnsi="Times New Roman" w:cs="Times New Roman"/>
          <w:bCs/>
          <w:sz w:val="24"/>
          <w:szCs w:val="24"/>
          <w:lang w:val="en-GB"/>
        </w:rPr>
        <w:fldChar w:fldCharType="separate"/>
      </w:r>
      <w:r w:rsidRPr="00555AAA">
        <w:rPr>
          <w:rFonts w:ascii="Times New Roman" w:hAnsi="Times New Roman" w:cs="Times New Roman"/>
          <w:bCs/>
          <w:noProof/>
          <w:sz w:val="24"/>
          <w:szCs w:val="24"/>
          <w:lang w:val="en-GB"/>
        </w:rPr>
        <w:t>(Williamson et al. 2017)</w:t>
      </w:r>
      <w:r w:rsidRPr="00555AAA">
        <w:rPr>
          <w:rFonts w:ascii="Times New Roman" w:hAnsi="Times New Roman" w:cs="Times New Roman"/>
          <w:bCs/>
          <w:sz w:val="24"/>
          <w:szCs w:val="24"/>
          <w:lang w:val="en-GB"/>
        </w:rPr>
        <w:fldChar w:fldCharType="end"/>
      </w:r>
      <w:r w:rsidRPr="00555AAA">
        <w:rPr>
          <w:rFonts w:ascii="Times New Roman" w:hAnsi="Times New Roman" w:cs="Times New Roman"/>
          <w:bCs/>
          <w:sz w:val="24"/>
          <w:szCs w:val="24"/>
          <w:lang w:val="en-GB"/>
        </w:rPr>
        <w:t xml:space="preserve">. </w:t>
      </w:r>
    </w:p>
    <w:p w14:paraId="78E59428" w14:textId="77777777" w:rsidR="00F24F47" w:rsidRPr="00555AAA" w:rsidRDefault="00F24F47" w:rsidP="00555AAA">
      <w:pPr>
        <w:spacing w:after="120" w:line="480" w:lineRule="auto"/>
        <w:jc w:val="both"/>
        <w:rPr>
          <w:rFonts w:ascii="Times New Roman" w:hAnsi="Times New Roman" w:cs="Times New Roman"/>
          <w:sz w:val="24"/>
          <w:szCs w:val="24"/>
          <w:lang w:val="en-GB"/>
        </w:rPr>
      </w:pPr>
    </w:p>
    <w:p w14:paraId="1A71B71F" w14:textId="77777777" w:rsidR="00F24F47" w:rsidRPr="00555AAA" w:rsidRDefault="00F24F47" w:rsidP="00555AAA">
      <w:pPr>
        <w:spacing w:after="120" w:line="480" w:lineRule="auto"/>
        <w:jc w:val="both"/>
        <w:rPr>
          <w:rFonts w:ascii="Times New Roman" w:hAnsi="Times New Roman" w:cs="Times New Roman"/>
          <w:sz w:val="24"/>
          <w:szCs w:val="24"/>
          <w:lang w:val="en-GB"/>
        </w:rPr>
      </w:pPr>
      <w:r w:rsidRPr="00555AAA">
        <w:rPr>
          <w:rFonts w:ascii="Times New Roman" w:hAnsi="Times New Roman" w:cs="Times New Roman"/>
          <w:sz w:val="24"/>
          <w:szCs w:val="24"/>
          <w:lang w:val="en-GB"/>
        </w:rPr>
        <w:t>CONCLUSION</w:t>
      </w:r>
    </w:p>
    <w:p w14:paraId="178AEC04" w14:textId="77777777" w:rsidR="00F24F47" w:rsidRPr="00555AAA" w:rsidRDefault="00F24F47" w:rsidP="00555AAA">
      <w:pPr>
        <w:tabs>
          <w:tab w:val="left" w:pos="2268"/>
        </w:tabs>
        <w:spacing w:after="120" w:line="480" w:lineRule="auto"/>
        <w:jc w:val="both"/>
        <w:rPr>
          <w:rFonts w:ascii="Times New Roman" w:hAnsi="Times New Roman" w:cs="Times New Roman"/>
          <w:bCs/>
          <w:sz w:val="24"/>
          <w:szCs w:val="24"/>
          <w:lang w:val="en-GB"/>
        </w:rPr>
      </w:pPr>
      <w:r w:rsidRPr="00555AAA">
        <w:rPr>
          <w:rFonts w:ascii="Times New Roman" w:hAnsi="Times New Roman" w:cs="Times New Roman"/>
          <w:bCs/>
          <w:sz w:val="24"/>
          <w:szCs w:val="24"/>
          <w:lang w:val="en-GB"/>
        </w:rPr>
        <w:t>The COS for IAD in adults consists of the following outcome domains: ‘erythema’, ‘maceration’, ‘erosion’, ‘IAD-related pain’</w:t>
      </w:r>
      <w:r>
        <w:rPr>
          <w:rFonts w:ascii="Times New Roman" w:hAnsi="Times New Roman" w:cs="Times New Roman"/>
          <w:bCs/>
          <w:sz w:val="24"/>
          <w:szCs w:val="24"/>
          <w:lang w:val="en-GB"/>
        </w:rPr>
        <w:t xml:space="preserve"> and</w:t>
      </w:r>
      <w:r w:rsidRPr="00555AAA">
        <w:rPr>
          <w:rFonts w:ascii="Times New Roman" w:hAnsi="Times New Roman" w:cs="Times New Roman"/>
          <w:bCs/>
          <w:sz w:val="24"/>
          <w:szCs w:val="24"/>
          <w:lang w:val="en-GB"/>
        </w:rPr>
        <w:t xml:space="preserve"> ‘patient satisfaction’. It is recommended that all trials and non-randomised studies in this area should use these domains with the aim of improving transparency and to enhance comparability. Therefore, we recommend researchers </w:t>
      </w:r>
      <w:r w:rsidRPr="00555AAA">
        <w:rPr>
          <w:rFonts w:ascii="Times New Roman" w:hAnsi="Times New Roman" w:cs="Times New Roman"/>
          <w:bCs/>
          <w:sz w:val="24"/>
          <w:szCs w:val="24"/>
          <w:lang w:val="en-GB"/>
        </w:rPr>
        <w:lastRenderedPageBreak/>
        <w:t>to use this COS when preparing a new clinical trial. The next step will be to develop a core set of measurement instruments to be used to measure these outcome domains in adults with IAD or at risk, independently from any geographical location or skin colour. The selection of instruments will focus on those that have demonstrated adequate measurement properties for these domains with the least applicant and participant burden.</w:t>
      </w:r>
      <w:r w:rsidRPr="00555AAA">
        <w:rPr>
          <w:rFonts w:ascii="Times New Roman" w:hAnsi="Times New Roman" w:cs="Times New Roman"/>
          <w:sz w:val="24"/>
          <w:szCs w:val="24"/>
          <w:lang w:val="en-GB"/>
        </w:rPr>
        <w:br w:type="page"/>
      </w:r>
    </w:p>
    <w:p w14:paraId="478D216E" w14:textId="77777777" w:rsidR="00F24F47" w:rsidRPr="00555AAA" w:rsidRDefault="00F24F47" w:rsidP="00555AAA">
      <w:pPr>
        <w:pStyle w:val="EndNoteBibliographyTitle"/>
        <w:spacing w:after="120" w:line="480" w:lineRule="auto"/>
        <w:rPr>
          <w:szCs w:val="24"/>
        </w:rPr>
      </w:pPr>
      <w:r w:rsidRPr="00555AAA">
        <w:rPr>
          <w:szCs w:val="24"/>
        </w:rPr>
        <w:lastRenderedPageBreak/>
        <w:fldChar w:fldCharType="begin"/>
      </w:r>
      <w:r w:rsidRPr="00555AAA">
        <w:rPr>
          <w:szCs w:val="24"/>
        </w:rPr>
        <w:instrText xml:space="preserve"> ADDIN EN.REFLIST </w:instrText>
      </w:r>
      <w:r w:rsidRPr="00555AAA">
        <w:rPr>
          <w:szCs w:val="24"/>
        </w:rPr>
        <w:fldChar w:fldCharType="separate"/>
      </w:r>
      <w:r w:rsidRPr="00555AAA">
        <w:rPr>
          <w:szCs w:val="24"/>
        </w:rPr>
        <w:t>References</w:t>
      </w:r>
    </w:p>
    <w:p w14:paraId="0C4859D9" w14:textId="77777777" w:rsidR="00F24F47" w:rsidRPr="00555AAA" w:rsidRDefault="00F24F47" w:rsidP="00555AAA">
      <w:pPr>
        <w:pStyle w:val="EndNoteBibliographyTitle"/>
        <w:spacing w:after="120" w:line="480" w:lineRule="auto"/>
        <w:rPr>
          <w:szCs w:val="24"/>
        </w:rPr>
      </w:pPr>
    </w:p>
    <w:p w14:paraId="4EAB87FD"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Beckstead, J.W. (2014) On measurements and their quality. Paper 4: Verbal anchors and the number of response options in rating scales. </w:t>
      </w:r>
      <w:r w:rsidRPr="00555AAA">
        <w:rPr>
          <w:i/>
          <w:szCs w:val="24"/>
        </w:rPr>
        <w:t>International journal of nursing studies,</w:t>
      </w:r>
      <w:r w:rsidRPr="00555AAA">
        <w:rPr>
          <w:szCs w:val="24"/>
        </w:rPr>
        <w:t xml:space="preserve"> </w:t>
      </w:r>
      <w:r w:rsidRPr="00555AAA">
        <w:rPr>
          <w:b/>
          <w:szCs w:val="24"/>
        </w:rPr>
        <w:t>51</w:t>
      </w:r>
      <w:r w:rsidRPr="00555AAA">
        <w:rPr>
          <w:szCs w:val="24"/>
        </w:rPr>
        <w:t xml:space="preserve">(5), 807-814. </w:t>
      </w:r>
    </w:p>
    <w:p w14:paraId="258CCA8E"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Beeckman, Schoonhoven, Verhaeghe, Heyneman &amp; Defloor (2009) Prevention and treatment of incontinence-associated dermatitis: literature review. </w:t>
      </w:r>
      <w:r w:rsidRPr="00555AAA">
        <w:rPr>
          <w:i/>
          <w:szCs w:val="24"/>
        </w:rPr>
        <w:t>J Adv Nurs,</w:t>
      </w:r>
      <w:r w:rsidRPr="00555AAA">
        <w:rPr>
          <w:szCs w:val="24"/>
        </w:rPr>
        <w:t xml:space="preserve"> </w:t>
      </w:r>
      <w:r w:rsidRPr="00555AAA">
        <w:rPr>
          <w:b/>
          <w:szCs w:val="24"/>
        </w:rPr>
        <w:t>65</w:t>
      </w:r>
      <w:r w:rsidRPr="00555AAA">
        <w:rPr>
          <w:szCs w:val="24"/>
        </w:rPr>
        <w:t>(6), 1141-54. doi: 10.1111/j.1365-2648.2009.04986.x</w:t>
      </w:r>
    </w:p>
    <w:p w14:paraId="254374AB"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Beeckman, D., Campbell, J., Campbell, K., Chimentao, D., Coyer, F., Domansky, R., Gray, M., Hevia, H., Junkin, J., Karaday, A., Kottner, J., Long, M.A., McNichol, L.L., Meaume, S., Nix, D., Sabasse, M., Sanada, H., Yu, P.-J., Voegeli, D. &amp; Wang, L. (2015) Proceedings of the Global IAD Expert Panel. Incontinence-associated dermatitis: moving prevention forward., Vol. 2015 Wounds International. </w:t>
      </w:r>
    </w:p>
    <w:p w14:paraId="27DF77C0" w14:textId="77777777" w:rsidR="00F24F47" w:rsidRPr="00555AAA" w:rsidRDefault="00F24F47" w:rsidP="00555AAA">
      <w:pPr>
        <w:pStyle w:val="EndNoteBibliography"/>
        <w:spacing w:after="120" w:line="480" w:lineRule="auto"/>
        <w:ind w:left="720" w:hanging="720"/>
        <w:rPr>
          <w:szCs w:val="24"/>
        </w:rPr>
      </w:pPr>
      <w:r w:rsidRPr="00555AAA">
        <w:rPr>
          <w:szCs w:val="24"/>
        </w:rPr>
        <w:t>Beeckman, D., Van Damme, N., Schoonhoven, L., Van Lancker, A., Kottner, J., Beele, H., Gray, M., Woodward, S., Fader, M., Van den Bussche, K., Van Hecke, A., De Meyer, D. &amp; Verhaeghe, S. (2016) Interventions for preventing and treating incontinence</w:t>
      </w:r>
      <w:r w:rsidRPr="00555AAA">
        <w:rPr>
          <w:rFonts w:ascii="Cambria Math" w:hAnsi="Cambria Math" w:cs="Cambria Math"/>
          <w:szCs w:val="24"/>
        </w:rPr>
        <w:t>‐</w:t>
      </w:r>
      <w:r w:rsidRPr="00555AAA">
        <w:rPr>
          <w:szCs w:val="24"/>
        </w:rPr>
        <w:t xml:space="preserve">associated dermatitis in adults. </w:t>
      </w:r>
      <w:r w:rsidRPr="00555AAA">
        <w:rPr>
          <w:i/>
          <w:szCs w:val="24"/>
        </w:rPr>
        <w:t>The Cochrane Library</w:t>
      </w:r>
      <w:r w:rsidRPr="00555AAA">
        <w:rPr>
          <w:szCs w:val="24"/>
        </w:rPr>
        <w:t>. doi: 10.1002/14651858.CD011627.pub2</w:t>
      </w:r>
    </w:p>
    <w:p w14:paraId="4301B9FF"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Boers, M., Kirwan, J.R., Tugwell, P., Beaton, D., Bingham III, C.O., Conaghan, P.G., D'Agostino, M.-A., de Wit, M., Gossec, L., March, L., Simon, L.S., Singh, J.A., Strand, V. &amp; Wells, G. (2014a) The OMERACT Handbook. OMERACT, Ottowa, ON, Canada. </w:t>
      </w:r>
    </w:p>
    <w:p w14:paraId="34493CC9"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Boers, M., Kirwan, J.R., Wells, G., Beaton, D., Gossec, L., d'Agostino, M.-A., Conaghan, P.G., Bingham, C.O., Brooks, P. &amp; Landewé, R. (2014b) Developing core outcome </w:t>
      </w:r>
      <w:r w:rsidRPr="00555AAA">
        <w:rPr>
          <w:szCs w:val="24"/>
        </w:rPr>
        <w:lastRenderedPageBreak/>
        <w:t xml:space="preserve">measurement sets for clinical trials: OMERACT filter 2.0. </w:t>
      </w:r>
      <w:r w:rsidRPr="00555AAA">
        <w:rPr>
          <w:i/>
          <w:szCs w:val="24"/>
        </w:rPr>
        <w:t>Journal of clinical epidemiology,</w:t>
      </w:r>
      <w:r w:rsidRPr="00555AAA">
        <w:rPr>
          <w:szCs w:val="24"/>
        </w:rPr>
        <w:t xml:space="preserve"> </w:t>
      </w:r>
      <w:r w:rsidRPr="00555AAA">
        <w:rPr>
          <w:b/>
          <w:szCs w:val="24"/>
        </w:rPr>
        <w:t>67</w:t>
      </w:r>
      <w:r w:rsidRPr="00555AAA">
        <w:rPr>
          <w:szCs w:val="24"/>
        </w:rPr>
        <w:t>(7), 745-753. doi: 10.1016/j.jclinepi.2013.11.013</w:t>
      </w:r>
    </w:p>
    <w:p w14:paraId="78ADB9FE"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Bowler, P., Duerden, B. &amp; Armstrong, D.G. (2001) Wound microbiology and associated approaches to wound management. </w:t>
      </w:r>
      <w:r w:rsidRPr="00555AAA">
        <w:rPr>
          <w:i/>
          <w:szCs w:val="24"/>
        </w:rPr>
        <w:t>Clinical microbiology reviews,</w:t>
      </w:r>
      <w:r w:rsidRPr="00555AAA">
        <w:rPr>
          <w:szCs w:val="24"/>
        </w:rPr>
        <w:t xml:space="preserve"> </w:t>
      </w:r>
      <w:r w:rsidRPr="00555AAA">
        <w:rPr>
          <w:b/>
          <w:szCs w:val="24"/>
        </w:rPr>
        <w:t>14</w:t>
      </w:r>
      <w:r w:rsidRPr="00555AAA">
        <w:rPr>
          <w:szCs w:val="24"/>
        </w:rPr>
        <w:t>(2), 244-269. doi: 10.1128/CMR.14.2.244-269.2001</w:t>
      </w:r>
    </w:p>
    <w:p w14:paraId="3BC53059"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Brookes, S.T., Macefield, R.C., Williamson, P.R., McNair, A.G., Potter, S., Blencowe, N.S., Strong, S. &amp; Blazeby, J.M. (2016) Three nested randomized controlled trials of peer-only or multiple stakeholder group feedback within Delphi surveys during core outcome and information set development. </w:t>
      </w:r>
      <w:r w:rsidRPr="00555AAA">
        <w:rPr>
          <w:i/>
          <w:szCs w:val="24"/>
        </w:rPr>
        <w:t>Trials,</w:t>
      </w:r>
      <w:r w:rsidRPr="00555AAA">
        <w:rPr>
          <w:szCs w:val="24"/>
        </w:rPr>
        <w:t xml:space="preserve"> </w:t>
      </w:r>
      <w:r w:rsidRPr="00555AAA">
        <w:rPr>
          <w:b/>
          <w:szCs w:val="24"/>
        </w:rPr>
        <w:t>17</w:t>
      </w:r>
      <w:r w:rsidRPr="00555AAA">
        <w:rPr>
          <w:szCs w:val="24"/>
        </w:rPr>
        <w:t>(1), 409. doi: 10.1186/s13063-016-1479-x</w:t>
      </w:r>
    </w:p>
    <w:p w14:paraId="16DC8F8A"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Cefalu, J.E., Barrier, K.M. &amp; Davis, A.H. (2017) Wound Infections in Critical Care. </w:t>
      </w:r>
      <w:r w:rsidRPr="00555AAA">
        <w:rPr>
          <w:i/>
          <w:szCs w:val="24"/>
        </w:rPr>
        <w:t>Critical Care Nursing Clinics of North America,</w:t>
      </w:r>
      <w:r w:rsidRPr="00555AAA">
        <w:rPr>
          <w:szCs w:val="24"/>
        </w:rPr>
        <w:t xml:space="preserve"> </w:t>
      </w:r>
      <w:r w:rsidRPr="00555AAA">
        <w:rPr>
          <w:b/>
          <w:szCs w:val="24"/>
        </w:rPr>
        <w:t>29</w:t>
      </w:r>
      <w:r w:rsidRPr="00555AAA">
        <w:rPr>
          <w:szCs w:val="24"/>
        </w:rPr>
        <w:t>(1), 81-96. doi: 10.1016/j.cnc.2016.09.009</w:t>
      </w:r>
    </w:p>
    <w:p w14:paraId="267B665E"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Chiarotto, A., Deyo, R.A., Terwee, C.B., Boers, M., Buchbinder, R., Corbin, T.P., Costa, L.O., Foster, N.E., Grotle, M., Koes, B.W., Kovacs, F.M., Lin, C.W., Maher, C.G., Pearson, A.M., Peul, W.C., Schoene, M.L., Turk, D.C., van Tulder, M.W. &amp; Ostelo, R.W. (2015) Core outcome domains for clinical trials in non-specific low back pain. </w:t>
      </w:r>
      <w:r w:rsidRPr="00555AAA">
        <w:rPr>
          <w:i/>
          <w:szCs w:val="24"/>
        </w:rPr>
        <w:t>Eur Spine J,</w:t>
      </w:r>
      <w:r w:rsidRPr="00555AAA">
        <w:rPr>
          <w:szCs w:val="24"/>
        </w:rPr>
        <w:t xml:space="preserve"> </w:t>
      </w:r>
      <w:r w:rsidRPr="00555AAA">
        <w:rPr>
          <w:b/>
          <w:szCs w:val="24"/>
        </w:rPr>
        <w:t>24</w:t>
      </w:r>
      <w:r w:rsidRPr="00555AAA">
        <w:rPr>
          <w:szCs w:val="24"/>
        </w:rPr>
        <w:t>(6), 1127-42. doi: 10.1007/s00586-015-3892-3</w:t>
      </w:r>
    </w:p>
    <w:p w14:paraId="6712F7B1"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Diamond, I.R., Grant, R.C., Feldman, B.M., Pencharz, P.B., Ling, S.C., Moore, A.M. &amp; Wales, P.W. (2014) Defining consensus: a systematic review recommends methodologic criteria for reporting of Delphi studies. </w:t>
      </w:r>
      <w:r w:rsidRPr="00555AAA">
        <w:rPr>
          <w:i/>
          <w:szCs w:val="24"/>
        </w:rPr>
        <w:t>Journal of clinical epidemiology,</w:t>
      </w:r>
      <w:r w:rsidRPr="00555AAA">
        <w:rPr>
          <w:szCs w:val="24"/>
        </w:rPr>
        <w:t xml:space="preserve"> </w:t>
      </w:r>
      <w:r w:rsidRPr="00555AAA">
        <w:rPr>
          <w:b/>
          <w:szCs w:val="24"/>
        </w:rPr>
        <w:t>67</w:t>
      </w:r>
      <w:r w:rsidRPr="00555AAA">
        <w:rPr>
          <w:szCs w:val="24"/>
        </w:rPr>
        <w:t>(4), 401-409. doi: 10.1016/j.jclinepi.2013.12.002</w:t>
      </w:r>
    </w:p>
    <w:p w14:paraId="5DB52F72"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Gargon, E., Williamson, P.R. &amp; Young, B. (2017) Improving core outcome set development: qualitative interviews with developers provided pointers to inform guidance. </w:t>
      </w:r>
      <w:r w:rsidRPr="00555AAA">
        <w:rPr>
          <w:i/>
          <w:szCs w:val="24"/>
        </w:rPr>
        <w:t>Journal of Clinical Epidemiology,</w:t>
      </w:r>
      <w:r w:rsidRPr="00555AAA">
        <w:rPr>
          <w:szCs w:val="24"/>
        </w:rPr>
        <w:t xml:space="preserve"> </w:t>
      </w:r>
      <w:r w:rsidRPr="00555AAA">
        <w:rPr>
          <w:b/>
          <w:szCs w:val="24"/>
        </w:rPr>
        <w:t>86</w:t>
      </w:r>
      <w:r w:rsidRPr="00555AAA">
        <w:rPr>
          <w:szCs w:val="24"/>
        </w:rPr>
        <w:t>, 140-152. doi: 10.1016/j.jclinepi.2017.04.024</w:t>
      </w:r>
    </w:p>
    <w:p w14:paraId="0AEA02B5" w14:textId="77777777" w:rsidR="00F24F47" w:rsidRPr="00555AAA" w:rsidRDefault="00F24F47" w:rsidP="00555AAA">
      <w:pPr>
        <w:pStyle w:val="EndNoteBibliography"/>
        <w:spacing w:after="120" w:line="480" w:lineRule="auto"/>
        <w:ind w:left="720" w:hanging="720"/>
        <w:rPr>
          <w:szCs w:val="24"/>
        </w:rPr>
      </w:pPr>
      <w:r w:rsidRPr="00555AAA">
        <w:rPr>
          <w:szCs w:val="24"/>
        </w:rPr>
        <w:lastRenderedPageBreak/>
        <w:t xml:space="preserve">Gray, M., Beeckman, D., Bliss, D.Z., Fader, M., Logan, S., Junkin, J., Selekof, J., Doughty, D. &amp; Kurz, P. (2012) Incontinence-associated dermatitis: a comprehensive review and update. </w:t>
      </w:r>
      <w:r w:rsidRPr="00555AAA">
        <w:rPr>
          <w:i/>
          <w:szCs w:val="24"/>
        </w:rPr>
        <w:t>J Wound Ostomy Continence Nurs,</w:t>
      </w:r>
      <w:r w:rsidRPr="00555AAA">
        <w:rPr>
          <w:szCs w:val="24"/>
        </w:rPr>
        <w:t xml:space="preserve"> </w:t>
      </w:r>
      <w:r w:rsidRPr="00555AAA">
        <w:rPr>
          <w:b/>
          <w:szCs w:val="24"/>
        </w:rPr>
        <w:t>39</w:t>
      </w:r>
      <w:r w:rsidRPr="00555AAA">
        <w:rPr>
          <w:szCs w:val="24"/>
        </w:rPr>
        <w:t>(1), 61-74. doi: 10.1097/WON.0b013e31823fe246</w:t>
      </w:r>
    </w:p>
    <w:p w14:paraId="4E768882" w14:textId="77777777" w:rsidR="00F24F47" w:rsidRPr="00555AAA" w:rsidRDefault="00F24F47" w:rsidP="00555AAA">
      <w:pPr>
        <w:pStyle w:val="EndNoteBibliography"/>
        <w:spacing w:after="120" w:line="480" w:lineRule="auto"/>
        <w:ind w:left="720" w:hanging="720"/>
        <w:rPr>
          <w:szCs w:val="24"/>
        </w:rPr>
      </w:pPr>
      <w:r w:rsidRPr="00555AAA">
        <w:rPr>
          <w:szCs w:val="24"/>
        </w:rPr>
        <w:t>Gray, M., Bliss, D.Z., Doughty, D.B., Ermer-Seltun, J., Kennedy-Evans, K.L. &amp; Palmer, M.H. (2007) Incontinence</w:t>
      </w:r>
      <w:r w:rsidRPr="00555AAA">
        <w:rPr>
          <w:rFonts w:ascii="Cambria Math" w:hAnsi="Cambria Math" w:cs="Cambria Math"/>
          <w:szCs w:val="24"/>
        </w:rPr>
        <w:t>‐</w:t>
      </w:r>
      <w:r w:rsidRPr="00555AAA">
        <w:rPr>
          <w:szCs w:val="24"/>
        </w:rPr>
        <w:t xml:space="preserve">associated Dermatitis: A Consensus. </w:t>
      </w:r>
      <w:r w:rsidRPr="00555AAA">
        <w:rPr>
          <w:i/>
          <w:szCs w:val="24"/>
        </w:rPr>
        <w:t>Journal of Wound Ostomy &amp; Continence Nursing,</w:t>
      </w:r>
      <w:r w:rsidRPr="00555AAA">
        <w:rPr>
          <w:szCs w:val="24"/>
        </w:rPr>
        <w:t xml:space="preserve"> </w:t>
      </w:r>
      <w:r w:rsidRPr="00555AAA">
        <w:rPr>
          <w:b/>
          <w:szCs w:val="24"/>
        </w:rPr>
        <w:t>34</w:t>
      </w:r>
      <w:r w:rsidRPr="00555AAA">
        <w:rPr>
          <w:szCs w:val="24"/>
        </w:rPr>
        <w:t xml:space="preserve">(1), 45-54. </w:t>
      </w:r>
    </w:p>
    <w:p w14:paraId="345FCA41"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Institute, I.W.I. (2016) Wound infection in clinical practice: principles of best practice. </w:t>
      </w:r>
      <w:r w:rsidRPr="00555AAA">
        <w:rPr>
          <w:i/>
          <w:szCs w:val="24"/>
        </w:rPr>
        <w:t>Wounds International</w:t>
      </w:r>
      <w:r w:rsidRPr="00555AAA">
        <w:rPr>
          <w:szCs w:val="24"/>
        </w:rPr>
        <w:t xml:space="preserve">. </w:t>
      </w:r>
    </w:p>
    <w:p w14:paraId="59DEF016"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Kirkham, J.J., Gargon, E., Clarke, M. &amp; Williamson, P.R. (2013) Can a core outcome set improve the quality of systematic reviews?–a survey of the Co-ordinating Editors of Cochrane Review Groups. </w:t>
      </w:r>
      <w:r w:rsidRPr="00555AAA">
        <w:rPr>
          <w:i/>
          <w:szCs w:val="24"/>
        </w:rPr>
        <w:t>Trials,</w:t>
      </w:r>
      <w:r w:rsidRPr="00555AAA">
        <w:rPr>
          <w:szCs w:val="24"/>
        </w:rPr>
        <w:t xml:space="preserve"> </w:t>
      </w:r>
      <w:r w:rsidRPr="00555AAA">
        <w:rPr>
          <w:b/>
          <w:szCs w:val="24"/>
        </w:rPr>
        <w:t>14</w:t>
      </w:r>
      <w:r w:rsidRPr="00555AAA">
        <w:rPr>
          <w:szCs w:val="24"/>
        </w:rPr>
        <w:t>(1), 21. doi: 10.1186/1745-6215-14-21</w:t>
      </w:r>
    </w:p>
    <w:p w14:paraId="58AD58FA"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Kirkham, J.J., Gorst, S., Altman, D.G., Blazeby, J.M., Clarke, M., Devane, D., Gargon, E., Moher, D., Schmitt, J. &amp; Tugwell, P. (2016) Core outcome set–STAndards for reporting: the COS-STAR statement. </w:t>
      </w:r>
      <w:r w:rsidRPr="00555AAA">
        <w:rPr>
          <w:i/>
          <w:szCs w:val="24"/>
        </w:rPr>
        <w:t>PLoS medicine,</w:t>
      </w:r>
      <w:r w:rsidRPr="00555AAA">
        <w:rPr>
          <w:szCs w:val="24"/>
        </w:rPr>
        <w:t xml:space="preserve"> </w:t>
      </w:r>
      <w:r w:rsidRPr="00555AAA">
        <w:rPr>
          <w:b/>
          <w:szCs w:val="24"/>
        </w:rPr>
        <w:t>13</w:t>
      </w:r>
      <w:r w:rsidRPr="00555AAA">
        <w:rPr>
          <w:szCs w:val="24"/>
        </w:rPr>
        <w:t>(10), e1002148. doi: 10.1371/journal.pmed.1002148</w:t>
      </w:r>
    </w:p>
    <w:p w14:paraId="0D3B589F"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Kottner, J. &amp; Beeckman, D. (2015) Incontinence-associated dermatitis and pressure ulcers in geriatric patients. </w:t>
      </w:r>
      <w:r w:rsidRPr="00555AAA">
        <w:rPr>
          <w:i/>
          <w:szCs w:val="24"/>
        </w:rPr>
        <w:t>Giornale italiano di dermatologia e venereologia: organo ufficiale, Societa italiana di dermatologia e sifilografia,</w:t>
      </w:r>
      <w:r w:rsidRPr="00555AAA">
        <w:rPr>
          <w:szCs w:val="24"/>
        </w:rPr>
        <w:t xml:space="preserve"> </w:t>
      </w:r>
      <w:r w:rsidRPr="00555AAA">
        <w:rPr>
          <w:b/>
          <w:szCs w:val="24"/>
        </w:rPr>
        <w:t>150</w:t>
      </w:r>
      <w:r w:rsidRPr="00555AAA">
        <w:rPr>
          <w:szCs w:val="24"/>
        </w:rPr>
        <w:t xml:space="preserve">(6), 717-729. </w:t>
      </w:r>
    </w:p>
    <w:p w14:paraId="38C39185"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Kottner, J., Jacobi, L., Hahnel, E., Alam, M., Balzer, K., Beeckman, D., Busard, C., Chalmers, J., Deckert, S., Eleftheriadou, V., Furlan, K., Horbach, S.E.R., Kirkham, J., Nast, A., Spuls, P., Thiboutot, D., Thorlacius, L., Weller, K., Williams, H.C. &amp; Schmitt, J. (2017) Core outcome sets in dermatology: report from the second meeting </w:t>
      </w:r>
      <w:r w:rsidRPr="00555AAA">
        <w:rPr>
          <w:szCs w:val="24"/>
        </w:rPr>
        <w:lastRenderedPageBreak/>
        <w:t xml:space="preserve">of the International Cochrane Skin Group Core Outcome Set Initiative (CSG-COUSIN). </w:t>
      </w:r>
      <w:r w:rsidRPr="00555AAA">
        <w:rPr>
          <w:i/>
          <w:szCs w:val="24"/>
        </w:rPr>
        <w:t>British Journal of Dermatology</w:t>
      </w:r>
      <w:r w:rsidRPr="00555AAA">
        <w:rPr>
          <w:szCs w:val="24"/>
        </w:rPr>
        <w:t xml:space="preserve">. </w:t>
      </w:r>
    </w:p>
    <w:p w14:paraId="41B27947"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Mugita, Y., Minematsu, T., Huang, L., Nakagami, G., Kishi, C., Ichikawa, Y., Nagase, T., Oe, M., Noguchi, H. &amp; Mori, T. (2015) Histopathology of incontinence-associated skin lesions: inner tissue damage due to invasion of proteolytic enzymes and bacteria in macerated rat skin. </w:t>
      </w:r>
      <w:r w:rsidRPr="00555AAA">
        <w:rPr>
          <w:i/>
          <w:szCs w:val="24"/>
        </w:rPr>
        <w:t>PloS one,</w:t>
      </w:r>
      <w:r w:rsidRPr="00555AAA">
        <w:rPr>
          <w:szCs w:val="24"/>
        </w:rPr>
        <w:t xml:space="preserve"> </w:t>
      </w:r>
      <w:r w:rsidRPr="00555AAA">
        <w:rPr>
          <w:b/>
          <w:szCs w:val="24"/>
        </w:rPr>
        <w:t>10</w:t>
      </w:r>
      <w:r w:rsidRPr="00555AAA">
        <w:rPr>
          <w:szCs w:val="24"/>
        </w:rPr>
        <w:t>(9), e0138117. doi: 10.1371/journal.pone.0138117</w:t>
      </w:r>
    </w:p>
    <w:p w14:paraId="76E36A16" w14:textId="77777777" w:rsidR="00F24F47" w:rsidRPr="00555AAA" w:rsidRDefault="00F24F47" w:rsidP="00555AAA">
      <w:pPr>
        <w:pStyle w:val="EndNoteBibliography"/>
        <w:spacing w:after="120" w:line="480" w:lineRule="auto"/>
        <w:ind w:left="720" w:hanging="720"/>
        <w:rPr>
          <w:szCs w:val="24"/>
        </w:rPr>
      </w:pPr>
      <w:r w:rsidRPr="00555AAA">
        <w:rPr>
          <w:szCs w:val="24"/>
        </w:rPr>
        <w:t>Patrick, D.L., Guyatt, G.H. &amp; Acquadro, C. (2008) Patient</w:t>
      </w:r>
      <w:r w:rsidRPr="00555AAA">
        <w:rPr>
          <w:rFonts w:ascii="Cambria Math" w:hAnsi="Cambria Math" w:cs="Cambria Math"/>
          <w:szCs w:val="24"/>
        </w:rPr>
        <w:t>‐</w:t>
      </w:r>
      <w:r w:rsidRPr="00555AAA">
        <w:rPr>
          <w:szCs w:val="24"/>
        </w:rPr>
        <w:t xml:space="preserve">Reported Outcomes. </w:t>
      </w:r>
      <w:r w:rsidRPr="00555AAA">
        <w:rPr>
          <w:i/>
          <w:szCs w:val="24"/>
        </w:rPr>
        <w:t>Cochrane Handbook for Systematic Reviews of Interventions: Cochrane Book Series</w:t>
      </w:r>
      <w:r w:rsidRPr="00555AAA">
        <w:rPr>
          <w:szCs w:val="24"/>
        </w:rPr>
        <w:t xml:space="preserve">, 531-545. </w:t>
      </w:r>
    </w:p>
    <w:p w14:paraId="0D69D145"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Schmitt, J., Apfelbacher, C., Spuls, P.I., Thomas, K.S., Simpson, E.L., Furue, M., Chalmers, J. &amp; Williams, H.C. (2014) The Harmonizing Outcome Measures for Eczema (HOME) Roadmap: a methodological framework to develop core sets of outcome measurements in dermatology. </w:t>
      </w:r>
      <w:r w:rsidRPr="00555AAA">
        <w:rPr>
          <w:i/>
          <w:szCs w:val="24"/>
        </w:rPr>
        <w:t>Journal of Investigative Dermatology</w:t>
      </w:r>
      <w:r w:rsidRPr="00555AAA">
        <w:rPr>
          <w:szCs w:val="24"/>
        </w:rPr>
        <w:t>. doi: 10.1038/jid.2014.320</w:t>
      </w:r>
    </w:p>
    <w:p w14:paraId="2F8E0089"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Sinha, I.P., Smyth, R.L. &amp; Williamson, P.R. (2011) Using the Delphi technique to determine which outcomes to measure in clinical trials: recommendations for the future based on a systematic review of existing studies. </w:t>
      </w:r>
      <w:r w:rsidRPr="00555AAA">
        <w:rPr>
          <w:i/>
          <w:szCs w:val="24"/>
        </w:rPr>
        <w:t>PLoS medicine,</w:t>
      </w:r>
      <w:r w:rsidRPr="00555AAA">
        <w:rPr>
          <w:szCs w:val="24"/>
        </w:rPr>
        <w:t xml:space="preserve"> </w:t>
      </w:r>
      <w:r w:rsidRPr="00555AAA">
        <w:rPr>
          <w:b/>
          <w:szCs w:val="24"/>
        </w:rPr>
        <w:t>8</w:t>
      </w:r>
      <w:r w:rsidRPr="00555AAA">
        <w:rPr>
          <w:szCs w:val="24"/>
        </w:rPr>
        <w:t xml:space="preserve">(1), 24. </w:t>
      </w:r>
    </w:p>
    <w:p w14:paraId="75B751A5"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Streiner, D.L., Norman, G.R. &amp; Cairney, J. (2015) </w:t>
      </w:r>
      <w:r w:rsidRPr="00555AAA">
        <w:rPr>
          <w:i/>
          <w:szCs w:val="24"/>
        </w:rPr>
        <w:t xml:space="preserve">Health measurement scales: a practical guide to their development and use, </w:t>
      </w:r>
      <w:r w:rsidRPr="00555AAA">
        <w:rPr>
          <w:szCs w:val="24"/>
        </w:rPr>
        <w:t>Oxford University Press, USA.</w:t>
      </w:r>
    </w:p>
    <w:p w14:paraId="14C42AE5"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Thorlacius, L., Ingram, J.R., Garg, A., Villumsen, B., Esmann, S., Kirby, J.S., Gottlieb, A.B., Merola, J.F., Dellavalle, R. &amp; Christensen, R. (2017) Protocol for the development of a core domain set for hidradenitis suppurativa trial outcomes. </w:t>
      </w:r>
      <w:r w:rsidRPr="00555AAA">
        <w:rPr>
          <w:i/>
          <w:szCs w:val="24"/>
        </w:rPr>
        <w:t>BMJ open,</w:t>
      </w:r>
      <w:r w:rsidRPr="00555AAA">
        <w:rPr>
          <w:szCs w:val="24"/>
        </w:rPr>
        <w:t xml:space="preserve"> </w:t>
      </w:r>
      <w:r w:rsidRPr="00555AAA">
        <w:rPr>
          <w:b/>
          <w:szCs w:val="24"/>
        </w:rPr>
        <w:t>7</w:t>
      </w:r>
      <w:r w:rsidRPr="00555AAA">
        <w:rPr>
          <w:szCs w:val="24"/>
        </w:rPr>
        <w:t xml:space="preserve">(2), e014733. </w:t>
      </w:r>
    </w:p>
    <w:p w14:paraId="44AE41B9"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Van Damme, N., Vanryckeghem, E., Verhaeghe, S. &amp; Beeckman, D. (2015) Incontinence-associated dermatitis in elderly: a qualitative phenomenological study on patient </w:t>
      </w:r>
      <w:r w:rsidRPr="00555AAA">
        <w:rPr>
          <w:szCs w:val="24"/>
        </w:rPr>
        <w:lastRenderedPageBreak/>
        <w:t xml:space="preserve">experiences. In </w:t>
      </w:r>
      <w:r w:rsidRPr="00555AAA">
        <w:rPr>
          <w:i/>
          <w:szCs w:val="24"/>
        </w:rPr>
        <w:t>18th Annual meeting of the European Pressure Ulcer Advisory Panel (EPUAP 2015)</w:t>
      </w:r>
      <w:r w:rsidRPr="00555AAA">
        <w:rPr>
          <w:szCs w:val="24"/>
        </w:rPr>
        <w:t xml:space="preserve">EPUAP Business Office, pp. 65-65. </w:t>
      </w:r>
    </w:p>
    <w:p w14:paraId="6C1C2853"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Van den Bussche, K., De Meyer, D., Van Damme, N., Kottner, J. &amp; Beeckman, D. (2017) CONSIDER – Core Outcome Set in IAD Research: study protocol for establishing a core set of outcomes and measurements in Incontinence-Associated Dermatitis (IAD) research. </w:t>
      </w:r>
      <w:r w:rsidRPr="00555AAA">
        <w:rPr>
          <w:i/>
          <w:szCs w:val="24"/>
        </w:rPr>
        <w:t>Journal of Advanced Nursing,</w:t>
      </w:r>
      <w:r w:rsidRPr="00555AAA">
        <w:rPr>
          <w:szCs w:val="24"/>
        </w:rPr>
        <w:t xml:space="preserve"> </w:t>
      </w:r>
      <w:r w:rsidRPr="00555AAA">
        <w:rPr>
          <w:b/>
          <w:szCs w:val="24"/>
        </w:rPr>
        <w:t>73</w:t>
      </w:r>
      <w:r w:rsidRPr="00555AAA">
        <w:rPr>
          <w:szCs w:val="24"/>
        </w:rPr>
        <w:t>(10), 11. doi: 10.1111/jan.13165</w:t>
      </w:r>
    </w:p>
    <w:p w14:paraId="0F43FB5B"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Williamson, P., Altman, D., Blazeby, J., Clarke, M. &amp; Gargon, E. (2012a) Driving up the quality and relevance of research through the use of agreed core outcomes. </w:t>
      </w:r>
      <w:r w:rsidRPr="00555AAA">
        <w:rPr>
          <w:i/>
          <w:szCs w:val="24"/>
        </w:rPr>
        <w:t>Journal of health services research &amp; policy,</w:t>
      </w:r>
      <w:r w:rsidRPr="00555AAA">
        <w:rPr>
          <w:szCs w:val="24"/>
        </w:rPr>
        <w:t xml:space="preserve"> </w:t>
      </w:r>
      <w:r w:rsidRPr="00555AAA">
        <w:rPr>
          <w:b/>
          <w:szCs w:val="24"/>
        </w:rPr>
        <w:t>17</w:t>
      </w:r>
      <w:r w:rsidRPr="00555AAA">
        <w:rPr>
          <w:szCs w:val="24"/>
        </w:rPr>
        <w:t>(1), 1-2. doi: 10.1258/jhsrp.2011.011131</w:t>
      </w:r>
    </w:p>
    <w:p w14:paraId="3E0E87A2"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Williamson, P.R., Altman, D.G., Bagley, H., Barnes, K.L., Blazeby, J.M., Brookes, S.T., Clarke, M., Gargon, E., Gorst, S. &amp; Harman, N. (2017) The COMET Handbook: version 1.0. </w:t>
      </w:r>
      <w:r w:rsidRPr="00555AAA">
        <w:rPr>
          <w:i/>
          <w:szCs w:val="24"/>
        </w:rPr>
        <w:t>Trials,</w:t>
      </w:r>
      <w:r w:rsidRPr="00555AAA">
        <w:rPr>
          <w:szCs w:val="24"/>
        </w:rPr>
        <w:t xml:space="preserve"> </w:t>
      </w:r>
      <w:r w:rsidRPr="00555AAA">
        <w:rPr>
          <w:b/>
          <w:szCs w:val="24"/>
        </w:rPr>
        <w:t>18</w:t>
      </w:r>
      <w:r w:rsidRPr="00555AAA">
        <w:rPr>
          <w:szCs w:val="24"/>
        </w:rPr>
        <w:t>(3), 280. doi: 10.1186/s13063-017-1978-4</w:t>
      </w:r>
    </w:p>
    <w:p w14:paraId="4E7626D2"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Williamson, P.R., Altman, D.G., Blazeby, J.M., Clarke, M., Devane, D., Gargon, E. &amp; Tugwell, P. (2012b) Developing core outcome sets for clinical trials: issues to consider. </w:t>
      </w:r>
      <w:r w:rsidRPr="00555AAA">
        <w:rPr>
          <w:i/>
          <w:szCs w:val="24"/>
        </w:rPr>
        <w:t>Trials,</w:t>
      </w:r>
      <w:r w:rsidRPr="00555AAA">
        <w:rPr>
          <w:szCs w:val="24"/>
        </w:rPr>
        <w:t xml:space="preserve"> </w:t>
      </w:r>
      <w:r w:rsidRPr="00555AAA">
        <w:rPr>
          <w:b/>
          <w:szCs w:val="24"/>
        </w:rPr>
        <w:t>13</w:t>
      </w:r>
      <w:r w:rsidRPr="00555AAA">
        <w:rPr>
          <w:szCs w:val="24"/>
        </w:rPr>
        <w:t>(132), 1-8. doi: 10.1186/1745-6215-13-132</w:t>
      </w:r>
    </w:p>
    <w:p w14:paraId="25BC1F61" w14:textId="77777777" w:rsidR="00F24F47" w:rsidRPr="00555AAA" w:rsidRDefault="00F24F47" w:rsidP="00555AAA">
      <w:pPr>
        <w:pStyle w:val="EndNoteBibliography"/>
        <w:spacing w:after="120" w:line="480" w:lineRule="auto"/>
        <w:ind w:left="720" w:hanging="720"/>
        <w:rPr>
          <w:szCs w:val="24"/>
        </w:rPr>
      </w:pPr>
      <w:r w:rsidRPr="00555AAA">
        <w:rPr>
          <w:szCs w:val="24"/>
        </w:rPr>
        <w:t xml:space="preserve">Young, B. &amp; Bagley, H. (2016) Including patients in core outcome set development: issues to consider based on three workshops with around 100 international delegates. </w:t>
      </w:r>
      <w:r w:rsidRPr="00555AAA">
        <w:rPr>
          <w:i/>
          <w:szCs w:val="24"/>
        </w:rPr>
        <w:t>Research Involvement and Engagement,</w:t>
      </w:r>
      <w:r w:rsidRPr="00555AAA">
        <w:rPr>
          <w:szCs w:val="24"/>
        </w:rPr>
        <w:t xml:space="preserve"> </w:t>
      </w:r>
      <w:r w:rsidRPr="00555AAA">
        <w:rPr>
          <w:b/>
          <w:szCs w:val="24"/>
        </w:rPr>
        <w:t>2</w:t>
      </w:r>
      <w:r w:rsidRPr="00555AAA">
        <w:rPr>
          <w:szCs w:val="24"/>
        </w:rPr>
        <w:t>(1), 25. doi: 10.1186/s40900-016-0039-6</w:t>
      </w:r>
    </w:p>
    <w:p w14:paraId="3D0CA4F4" w14:textId="77777777" w:rsidR="00F24F47" w:rsidRPr="00555AAA" w:rsidRDefault="00F24F47" w:rsidP="00555AAA">
      <w:pPr>
        <w:pStyle w:val="EndNoteBibliography"/>
        <w:spacing w:after="120" w:line="480" w:lineRule="auto"/>
        <w:ind w:left="720" w:hanging="720"/>
        <w:rPr>
          <w:szCs w:val="24"/>
          <w:lang w:val="en-GB"/>
        </w:rPr>
      </w:pPr>
      <w:r w:rsidRPr="00555AAA">
        <w:rPr>
          <w:szCs w:val="24"/>
          <w:lang w:val="en-GB"/>
        </w:rPr>
        <w:fldChar w:fldCharType="end"/>
      </w:r>
    </w:p>
    <w:p w14:paraId="368F4DD1" w14:textId="0110AC85" w:rsidR="00F24F47" w:rsidRP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1CAF737E" w14:textId="77777777" w:rsidR="00F24F47" w:rsidRDefault="00F24F47" w:rsidP="008166E2">
      <w:pPr>
        <w:rPr>
          <w:rFonts w:asciiTheme="majorBidi" w:hAnsiTheme="majorBidi" w:cstheme="majorBidi"/>
          <w:sz w:val="20"/>
          <w:szCs w:val="20"/>
          <w:lang w:val="en-US"/>
        </w:rPr>
        <w:sectPr w:rsidR="00F24F47">
          <w:footerReference w:type="default" r:id="rId10"/>
          <w:pgSz w:w="11906" w:h="16838"/>
          <w:pgMar w:top="1417" w:right="1417" w:bottom="1417" w:left="1417" w:header="708" w:footer="708" w:gutter="0"/>
          <w:cols w:space="708"/>
          <w:docGrid w:linePitch="360"/>
        </w:sectPr>
      </w:pPr>
    </w:p>
    <w:p w14:paraId="0E6AF7CF" w14:textId="32A91C4D" w:rsidR="00F24F47" w:rsidRPr="00C7425D" w:rsidRDefault="00F24F47" w:rsidP="008166E2">
      <w:pPr>
        <w:rPr>
          <w:rFonts w:asciiTheme="majorBidi" w:hAnsiTheme="majorBidi" w:cstheme="majorBidi"/>
          <w:sz w:val="20"/>
          <w:szCs w:val="20"/>
          <w:lang w:val="en-US"/>
        </w:rPr>
      </w:pPr>
      <w:r w:rsidRPr="00C7425D">
        <w:rPr>
          <w:rFonts w:asciiTheme="majorBidi" w:hAnsiTheme="majorBidi" w:cstheme="majorBidi"/>
          <w:sz w:val="20"/>
          <w:szCs w:val="20"/>
          <w:lang w:val="en-US"/>
        </w:rPr>
        <w:lastRenderedPageBreak/>
        <w:t xml:space="preserve">Table 1. Ratings of 58 outcome domains in the first Delphi round – 57 </w:t>
      </w:r>
      <w:proofErr w:type="spellStart"/>
      <w:r w:rsidRPr="00C7425D">
        <w:rPr>
          <w:rFonts w:asciiTheme="majorBidi" w:hAnsiTheme="majorBidi" w:cstheme="majorBidi"/>
          <w:sz w:val="20"/>
          <w:szCs w:val="20"/>
          <w:lang w:val="en-US"/>
        </w:rPr>
        <w:t>panel</w:t>
      </w:r>
      <w:r>
        <w:rPr>
          <w:rFonts w:asciiTheme="majorBidi" w:hAnsiTheme="majorBidi" w:cstheme="majorBidi"/>
          <w:sz w:val="20"/>
          <w:szCs w:val="20"/>
          <w:lang w:val="en-US"/>
        </w:rPr>
        <w:t>l</w:t>
      </w:r>
      <w:r w:rsidRPr="00C7425D">
        <w:rPr>
          <w:rFonts w:asciiTheme="majorBidi" w:hAnsiTheme="majorBidi" w:cstheme="majorBidi"/>
          <w:sz w:val="20"/>
          <w:szCs w:val="20"/>
          <w:lang w:val="en-US"/>
        </w:rPr>
        <w:t>ists</w:t>
      </w:r>
      <w:proofErr w:type="spellEnd"/>
    </w:p>
    <w:tbl>
      <w:tblPr>
        <w:tblW w:w="5000" w:type="pct"/>
        <w:tblCellMar>
          <w:left w:w="70" w:type="dxa"/>
          <w:right w:w="70" w:type="dxa"/>
        </w:tblCellMar>
        <w:tblLook w:val="04A0" w:firstRow="1" w:lastRow="0" w:firstColumn="1" w:lastColumn="0" w:noHBand="0" w:noVBand="1"/>
      </w:tblPr>
      <w:tblGrid>
        <w:gridCol w:w="4043"/>
        <w:gridCol w:w="1142"/>
        <w:gridCol w:w="1143"/>
        <w:gridCol w:w="1143"/>
        <w:gridCol w:w="1143"/>
        <w:gridCol w:w="1143"/>
        <w:gridCol w:w="1143"/>
        <w:gridCol w:w="1143"/>
        <w:gridCol w:w="1143"/>
        <w:gridCol w:w="818"/>
      </w:tblGrid>
      <w:tr w:rsidR="00F24F47" w:rsidRPr="00240757" w14:paraId="4E9C7483" w14:textId="77777777" w:rsidTr="00DE61C5">
        <w:trPr>
          <w:trHeight w:val="320"/>
        </w:trPr>
        <w:tc>
          <w:tcPr>
            <w:tcW w:w="1444" w:type="pct"/>
            <w:tcBorders>
              <w:top w:val="single" w:sz="4" w:space="0" w:color="auto"/>
              <w:right w:val="single" w:sz="4" w:space="0" w:color="auto"/>
            </w:tcBorders>
            <w:shd w:val="clear" w:color="auto" w:fill="auto"/>
            <w:vAlign w:val="center"/>
            <w:hideMark/>
          </w:tcPr>
          <w:p w14:paraId="38B17B9E" w14:textId="77777777" w:rsidR="00F24F47" w:rsidRPr="00240757" w:rsidRDefault="00F24F47" w:rsidP="00DE61C5">
            <w:pPr>
              <w:spacing w:after="0" w:line="240" w:lineRule="auto"/>
              <w:rPr>
                <w:rFonts w:asciiTheme="majorBidi" w:hAnsiTheme="majorBidi" w:cstheme="majorBidi"/>
                <w:b/>
                <w:bCs/>
                <w:sz w:val="18"/>
                <w:szCs w:val="18"/>
                <w:lang w:val="en-US"/>
              </w:rPr>
            </w:pPr>
            <w:r w:rsidRPr="00240757">
              <w:rPr>
                <w:rFonts w:asciiTheme="majorBidi" w:hAnsiTheme="majorBidi" w:cstheme="majorBidi"/>
                <w:b/>
                <w:bCs/>
                <w:sz w:val="18"/>
                <w:szCs w:val="18"/>
                <w:lang w:val="en-US"/>
              </w:rPr>
              <w:t>Core Area and Domain</w:t>
            </w:r>
          </w:p>
        </w:tc>
        <w:tc>
          <w:tcPr>
            <w:tcW w:w="1632" w:type="pct"/>
            <w:gridSpan w:val="4"/>
            <w:tcBorders>
              <w:top w:val="single" w:sz="4" w:space="0" w:color="auto"/>
              <w:left w:val="single" w:sz="4" w:space="0" w:color="auto"/>
              <w:right w:val="single" w:sz="4" w:space="0" w:color="auto"/>
            </w:tcBorders>
            <w:shd w:val="clear" w:color="auto" w:fill="auto"/>
            <w:vAlign w:val="center"/>
          </w:tcPr>
          <w:p w14:paraId="0BE037D1" w14:textId="77777777" w:rsidR="00F24F47" w:rsidRPr="00240757" w:rsidRDefault="00F24F47" w:rsidP="00DE61C5">
            <w:pPr>
              <w:spacing w:after="0" w:line="240" w:lineRule="auto"/>
              <w:jc w:val="center"/>
              <w:rPr>
                <w:rFonts w:asciiTheme="majorBidi" w:hAnsiTheme="majorBidi" w:cstheme="majorBidi"/>
                <w:b/>
                <w:bCs/>
                <w:sz w:val="18"/>
                <w:szCs w:val="18"/>
                <w:lang w:val="en-US"/>
              </w:rPr>
            </w:pPr>
            <w:r w:rsidRPr="00240757">
              <w:rPr>
                <w:rFonts w:asciiTheme="majorBidi" w:hAnsiTheme="majorBidi" w:cstheme="majorBidi"/>
                <w:b/>
                <w:bCs/>
                <w:sz w:val="18"/>
                <w:szCs w:val="18"/>
                <w:lang w:val="en-US"/>
              </w:rPr>
              <w:t>Group 1</w:t>
            </w:r>
            <w:r w:rsidRPr="00240757">
              <w:rPr>
                <w:rFonts w:asciiTheme="majorBidi" w:hAnsiTheme="majorBidi" w:cstheme="majorBidi"/>
                <w:sz w:val="20"/>
                <w:szCs w:val="20"/>
                <w:vertAlign w:val="superscript"/>
                <w:lang w:val="en-US"/>
              </w:rPr>
              <w:t>†</w:t>
            </w:r>
          </w:p>
          <w:p w14:paraId="33C9F11E" w14:textId="77777777" w:rsidR="00F24F47" w:rsidRPr="00240757" w:rsidRDefault="00F24F47" w:rsidP="004622EA">
            <w:pPr>
              <w:spacing w:after="0" w:line="240" w:lineRule="auto"/>
              <w:jc w:val="center"/>
              <w:rPr>
                <w:rFonts w:asciiTheme="majorBidi" w:hAnsiTheme="majorBidi" w:cstheme="majorBidi"/>
                <w:b/>
                <w:bCs/>
                <w:sz w:val="18"/>
                <w:szCs w:val="18"/>
                <w:lang w:val="en-US"/>
              </w:rPr>
            </w:pPr>
            <w:r w:rsidRPr="00240757">
              <w:rPr>
                <w:rFonts w:asciiTheme="majorBidi" w:hAnsiTheme="majorBidi" w:cstheme="majorBidi"/>
                <w:b/>
                <w:bCs/>
                <w:sz w:val="18"/>
                <w:szCs w:val="18"/>
                <w:lang w:val="en-US"/>
              </w:rPr>
              <w:t>n = 28</w:t>
            </w:r>
          </w:p>
        </w:tc>
        <w:tc>
          <w:tcPr>
            <w:tcW w:w="1632" w:type="pct"/>
            <w:gridSpan w:val="4"/>
            <w:tcBorders>
              <w:top w:val="single" w:sz="4" w:space="0" w:color="auto"/>
              <w:left w:val="single" w:sz="4" w:space="0" w:color="auto"/>
              <w:right w:val="single" w:sz="4" w:space="0" w:color="auto"/>
            </w:tcBorders>
            <w:shd w:val="clear" w:color="auto" w:fill="auto"/>
            <w:vAlign w:val="center"/>
          </w:tcPr>
          <w:p w14:paraId="6533DB78" w14:textId="77777777" w:rsidR="00F24F47" w:rsidRPr="00240757" w:rsidRDefault="00F24F47" w:rsidP="00DE61C5">
            <w:pPr>
              <w:spacing w:after="0" w:line="240" w:lineRule="auto"/>
              <w:jc w:val="center"/>
              <w:rPr>
                <w:rFonts w:asciiTheme="majorBidi" w:hAnsiTheme="majorBidi" w:cstheme="majorBidi"/>
                <w:b/>
                <w:bCs/>
                <w:sz w:val="18"/>
                <w:szCs w:val="18"/>
                <w:lang w:val="en-US"/>
              </w:rPr>
            </w:pPr>
            <w:r w:rsidRPr="00240757">
              <w:rPr>
                <w:rFonts w:asciiTheme="majorBidi" w:hAnsiTheme="majorBidi" w:cstheme="majorBidi"/>
                <w:b/>
                <w:bCs/>
                <w:sz w:val="18"/>
                <w:szCs w:val="18"/>
                <w:lang w:val="en-US"/>
              </w:rPr>
              <w:t>Group 2</w:t>
            </w:r>
            <w:r w:rsidRPr="00240757">
              <w:rPr>
                <w:rFonts w:asciiTheme="majorBidi" w:hAnsiTheme="majorBidi" w:cstheme="majorBidi"/>
                <w:sz w:val="20"/>
                <w:szCs w:val="20"/>
                <w:vertAlign w:val="superscript"/>
                <w:lang w:val="en-US"/>
              </w:rPr>
              <w:t>‡</w:t>
            </w:r>
          </w:p>
          <w:p w14:paraId="1177870E" w14:textId="77777777" w:rsidR="00F24F47" w:rsidRPr="00240757" w:rsidRDefault="00F24F47" w:rsidP="00DE61C5">
            <w:pPr>
              <w:spacing w:after="0" w:line="240" w:lineRule="auto"/>
              <w:jc w:val="center"/>
              <w:rPr>
                <w:rFonts w:asciiTheme="majorBidi" w:hAnsiTheme="majorBidi" w:cstheme="majorBidi"/>
                <w:b/>
                <w:bCs/>
                <w:sz w:val="18"/>
                <w:szCs w:val="18"/>
                <w:lang w:val="en-US"/>
              </w:rPr>
            </w:pPr>
            <w:r w:rsidRPr="00240757">
              <w:rPr>
                <w:rFonts w:asciiTheme="majorBidi" w:hAnsiTheme="majorBidi" w:cstheme="majorBidi"/>
                <w:b/>
                <w:bCs/>
                <w:sz w:val="18"/>
                <w:szCs w:val="18"/>
                <w:lang w:val="en-US"/>
              </w:rPr>
              <w:t>n = 29</w:t>
            </w:r>
          </w:p>
        </w:tc>
        <w:tc>
          <w:tcPr>
            <w:tcW w:w="292" w:type="pct"/>
            <w:tcBorders>
              <w:top w:val="single" w:sz="4" w:space="0" w:color="auto"/>
              <w:left w:val="single" w:sz="4" w:space="0" w:color="auto"/>
            </w:tcBorders>
            <w:shd w:val="clear" w:color="auto" w:fill="auto"/>
            <w:vAlign w:val="center"/>
          </w:tcPr>
          <w:p w14:paraId="3184CC40" w14:textId="77777777" w:rsidR="00F24F47" w:rsidRPr="00240757" w:rsidRDefault="00F24F47" w:rsidP="00240757">
            <w:pPr>
              <w:spacing w:after="0" w:line="240" w:lineRule="auto"/>
              <w:jc w:val="center"/>
              <w:rPr>
                <w:rFonts w:asciiTheme="majorBidi" w:hAnsiTheme="majorBidi" w:cstheme="majorBidi"/>
                <w:b/>
                <w:bCs/>
                <w:sz w:val="18"/>
                <w:szCs w:val="18"/>
                <w:lang w:val="en-US"/>
              </w:rPr>
            </w:pPr>
            <w:r w:rsidRPr="00240757">
              <w:rPr>
                <w:rFonts w:asciiTheme="majorBidi" w:hAnsiTheme="majorBidi" w:cstheme="majorBidi"/>
                <w:b/>
                <w:bCs/>
                <w:sz w:val="18"/>
                <w:szCs w:val="18"/>
                <w:lang w:val="en-US"/>
              </w:rPr>
              <w:t>Result</w:t>
            </w:r>
            <w:r w:rsidRPr="00240757">
              <w:rPr>
                <w:rFonts w:asciiTheme="majorBidi" w:hAnsiTheme="majorBidi" w:cstheme="majorBidi"/>
                <w:sz w:val="20"/>
                <w:szCs w:val="20"/>
                <w:vertAlign w:val="superscript"/>
                <w:lang w:val="en-US"/>
              </w:rPr>
              <w:t>¶</w:t>
            </w:r>
          </w:p>
        </w:tc>
      </w:tr>
      <w:tr w:rsidR="00F24F47" w:rsidRPr="00240757" w14:paraId="79DE4C9C" w14:textId="77777777" w:rsidTr="00DE61C5">
        <w:trPr>
          <w:trHeight w:val="320"/>
        </w:trPr>
        <w:tc>
          <w:tcPr>
            <w:tcW w:w="1444" w:type="pct"/>
            <w:tcBorders>
              <w:bottom w:val="single" w:sz="4" w:space="0" w:color="auto"/>
              <w:right w:val="single" w:sz="4" w:space="0" w:color="auto"/>
            </w:tcBorders>
            <w:shd w:val="clear" w:color="auto" w:fill="auto"/>
            <w:vAlign w:val="center"/>
          </w:tcPr>
          <w:p w14:paraId="632EA772" w14:textId="77777777" w:rsidR="00F24F47" w:rsidRPr="00240757" w:rsidRDefault="00F24F47" w:rsidP="00480C97">
            <w:pPr>
              <w:spacing w:after="0" w:line="240" w:lineRule="auto"/>
              <w:rPr>
                <w:rFonts w:asciiTheme="majorBidi" w:eastAsia="Times New Roman" w:hAnsiTheme="majorBidi" w:cstheme="majorBidi"/>
                <w:i/>
                <w:iCs/>
                <w:sz w:val="18"/>
                <w:szCs w:val="18"/>
                <w:lang w:val="en-US" w:eastAsia="nl-BE"/>
              </w:rPr>
            </w:pPr>
            <w:r w:rsidRPr="00240757">
              <w:rPr>
                <w:rFonts w:asciiTheme="majorBidi" w:eastAsia="Times New Roman" w:hAnsiTheme="majorBidi" w:cstheme="majorBidi"/>
                <w:i/>
                <w:iCs/>
                <w:sz w:val="18"/>
                <w:szCs w:val="18"/>
                <w:lang w:val="en-US" w:eastAsia="nl-BE"/>
              </w:rPr>
              <w:t>N (%)</w:t>
            </w:r>
          </w:p>
        </w:tc>
        <w:tc>
          <w:tcPr>
            <w:tcW w:w="408" w:type="pct"/>
            <w:tcBorders>
              <w:left w:val="single" w:sz="4" w:space="0" w:color="auto"/>
              <w:bottom w:val="single" w:sz="4" w:space="0" w:color="auto"/>
            </w:tcBorders>
            <w:shd w:val="clear" w:color="auto" w:fill="auto"/>
            <w:vAlign w:val="center"/>
          </w:tcPr>
          <w:p w14:paraId="0FDAA2CC"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Not important</w:t>
            </w:r>
          </w:p>
        </w:tc>
        <w:tc>
          <w:tcPr>
            <w:tcW w:w="408" w:type="pct"/>
            <w:tcBorders>
              <w:bottom w:val="single" w:sz="4" w:space="0" w:color="auto"/>
            </w:tcBorders>
            <w:shd w:val="clear" w:color="auto" w:fill="auto"/>
            <w:vAlign w:val="center"/>
          </w:tcPr>
          <w:p w14:paraId="51A4328B"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Important</w:t>
            </w:r>
          </w:p>
        </w:tc>
        <w:tc>
          <w:tcPr>
            <w:tcW w:w="408" w:type="pct"/>
            <w:tcBorders>
              <w:bottom w:val="single" w:sz="4" w:space="0" w:color="auto"/>
            </w:tcBorders>
            <w:shd w:val="clear" w:color="auto" w:fill="auto"/>
            <w:vAlign w:val="center"/>
          </w:tcPr>
          <w:p w14:paraId="2333CE72"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Critical</w:t>
            </w:r>
          </w:p>
        </w:tc>
        <w:tc>
          <w:tcPr>
            <w:tcW w:w="408" w:type="pct"/>
            <w:tcBorders>
              <w:bottom w:val="single" w:sz="4" w:space="0" w:color="auto"/>
              <w:right w:val="single" w:sz="4" w:space="0" w:color="auto"/>
            </w:tcBorders>
            <w:vAlign w:val="center"/>
          </w:tcPr>
          <w:p w14:paraId="1583BDFD" w14:textId="77777777" w:rsidR="00F24F47" w:rsidRPr="00240757" w:rsidRDefault="00F24F47" w:rsidP="00240757">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Don’t know</w:t>
            </w:r>
            <w:r w:rsidRPr="00240757">
              <w:rPr>
                <w:rFonts w:asciiTheme="majorBidi" w:hAnsiTheme="majorBidi" w:cstheme="majorBidi"/>
                <w:sz w:val="20"/>
                <w:szCs w:val="20"/>
                <w:vertAlign w:val="superscript"/>
                <w:lang w:val="en-US"/>
              </w:rPr>
              <w:t>§</w:t>
            </w:r>
          </w:p>
        </w:tc>
        <w:tc>
          <w:tcPr>
            <w:tcW w:w="408" w:type="pct"/>
            <w:tcBorders>
              <w:left w:val="single" w:sz="4" w:space="0" w:color="auto"/>
              <w:bottom w:val="single" w:sz="4" w:space="0" w:color="auto"/>
            </w:tcBorders>
            <w:shd w:val="clear" w:color="auto" w:fill="auto"/>
            <w:vAlign w:val="center"/>
          </w:tcPr>
          <w:p w14:paraId="7A1C4CD4"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Not important</w:t>
            </w:r>
          </w:p>
        </w:tc>
        <w:tc>
          <w:tcPr>
            <w:tcW w:w="408" w:type="pct"/>
            <w:tcBorders>
              <w:bottom w:val="single" w:sz="4" w:space="0" w:color="auto"/>
            </w:tcBorders>
            <w:shd w:val="clear" w:color="auto" w:fill="auto"/>
            <w:vAlign w:val="center"/>
          </w:tcPr>
          <w:p w14:paraId="2ABC4A84"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Important</w:t>
            </w:r>
          </w:p>
        </w:tc>
        <w:tc>
          <w:tcPr>
            <w:tcW w:w="408" w:type="pct"/>
            <w:tcBorders>
              <w:bottom w:val="single" w:sz="4" w:space="0" w:color="auto"/>
            </w:tcBorders>
            <w:shd w:val="clear" w:color="auto" w:fill="auto"/>
            <w:noWrap/>
            <w:vAlign w:val="center"/>
          </w:tcPr>
          <w:p w14:paraId="14837A34"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Critical</w:t>
            </w:r>
          </w:p>
        </w:tc>
        <w:tc>
          <w:tcPr>
            <w:tcW w:w="408" w:type="pct"/>
            <w:tcBorders>
              <w:bottom w:val="single" w:sz="4" w:space="0" w:color="auto"/>
              <w:right w:val="single" w:sz="4" w:space="0" w:color="auto"/>
            </w:tcBorders>
            <w:vAlign w:val="center"/>
          </w:tcPr>
          <w:p w14:paraId="12F3E4FA"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Don’t know</w:t>
            </w:r>
            <w:r w:rsidRPr="00240757">
              <w:rPr>
                <w:rFonts w:asciiTheme="majorBidi" w:hAnsiTheme="majorBidi" w:cstheme="majorBidi"/>
                <w:sz w:val="20"/>
                <w:szCs w:val="20"/>
                <w:vertAlign w:val="superscript"/>
                <w:lang w:val="en-US"/>
              </w:rPr>
              <w:t>§</w:t>
            </w:r>
          </w:p>
        </w:tc>
        <w:tc>
          <w:tcPr>
            <w:tcW w:w="292" w:type="pct"/>
            <w:tcBorders>
              <w:left w:val="single" w:sz="4" w:space="0" w:color="auto"/>
              <w:bottom w:val="single" w:sz="4" w:space="0" w:color="auto"/>
            </w:tcBorders>
            <w:shd w:val="clear" w:color="auto" w:fill="auto"/>
            <w:vAlign w:val="center"/>
          </w:tcPr>
          <w:p w14:paraId="31A3F442" w14:textId="77777777" w:rsidR="00F24F47" w:rsidRPr="00240757" w:rsidRDefault="00F24F47" w:rsidP="00DE61C5">
            <w:pPr>
              <w:spacing w:after="0" w:line="240" w:lineRule="auto"/>
              <w:jc w:val="center"/>
              <w:rPr>
                <w:rFonts w:asciiTheme="majorBidi" w:eastAsia="Times New Roman" w:hAnsiTheme="majorBidi" w:cstheme="majorBidi"/>
                <w:sz w:val="18"/>
                <w:szCs w:val="18"/>
                <w:lang w:eastAsia="nl-BE"/>
              </w:rPr>
            </w:pPr>
            <w:r w:rsidRPr="00240757">
              <w:rPr>
                <w:rFonts w:asciiTheme="majorBidi" w:eastAsia="Times New Roman" w:hAnsiTheme="majorBidi" w:cstheme="majorBidi"/>
                <w:sz w:val="18"/>
                <w:szCs w:val="18"/>
                <w:lang w:eastAsia="nl-BE"/>
              </w:rPr>
              <w:t>in or out</w:t>
            </w:r>
          </w:p>
        </w:tc>
      </w:tr>
      <w:tr w:rsidR="00F24F47" w:rsidRPr="00DE61C5" w14:paraId="7C029151" w14:textId="77777777" w:rsidTr="00DE61C5">
        <w:trPr>
          <w:trHeight w:val="320"/>
        </w:trPr>
        <w:tc>
          <w:tcPr>
            <w:tcW w:w="1444" w:type="pct"/>
            <w:tcBorders>
              <w:top w:val="single" w:sz="4" w:space="0" w:color="auto"/>
              <w:right w:val="single" w:sz="4" w:space="0" w:color="auto"/>
            </w:tcBorders>
            <w:shd w:val="clear" w:color="auto" w:fill="F2F2F2" w:themeFill="background1" w:themeFillShade="F2"/>
            <w:vAlign w:val="center"/>
          </w:tcPr>
          <w:p w14:paraId="602DE532" w14:textId="77777777" w:rsidR="00F24F47" w:rsidRPr="00DE61C5" w:rsidRDefault="00F24F47" w:rsidP="00DE61C5">
            <w:pPr>
              <w:spacing w:after="0" w:line="240" w:lineRule="auto"/>
              <w:rPr>
                <w:rFonts w:asciiTheme="majorBidi" w:eastAsia="Times New Roman" w:hAnsiTheme="majorBidi" w:cstheme="majorBidi"/>
                <w:b/>
                <w:bCs/>
                <w:sz w:val="18"/>
                <w:szCs w:val="18"/>
                <w:lang w:val="en-US" w:eastAsia="nl-BE"/>
              </w:rPr>
            </w:pPr>
            <w:r w:rsidRPr="00DE61C5">
              <w:rPr>
                <w:rFonts w:asciiTheme="majorBidi" w:eastAsia="Times New Roman" w:hAnsiTheme="majorBidi" w:cstheme="majorBidi"/>
                <w:b/>
                <w:bCs/>
                <w:sz w:val="18"/>
                <w:szCs w:val="18"/>
                <w:lang w:val="en-US" w:eastAsia="nl-BE"/>
              </w:rPr>
              <w:t>Life Impact</w:t>
            </w:r>
          </w:p>
        </w:tc>
        <w:tc>
          <w:tcPr>
            <w:tcW w:w="408" w:type="pct"/>
            <w:tcBorders>
              <w:top w:val="single" w:sz="4" w:space="0" w:color="auto"/>
              <w:left w:val="single" w:sz="4" w:space="0" w:color="auto"/>
            </w:tcBorders>
            <w:shd w:val="clear" w:color="auto" w:fill="F2F2F2" w:themeFill="background1" w:themeFillShade="F2"/>
            <w:vAlign w:val="center"/>
          </w:tcPr>
          <w:p w14:paraId="5BBE97F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top w:val="single" w:sz="4" w:space="0" w:color="auto"/>
            </w:tcBorders>
            <w:shd w:val="clear" w:color="auto" w:fill="F2F2F2" w:themeFill="background1" w:themeFillShade="F2"/>
            <w:vAlign w:val="center"/>
          </w:tcPr>
          <w:p w14:paraId="39D9A32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top w:val="single" w:sz="4" w:space="0" w:color="auto"/>
            </w:tcBorders>
            <w:shd w:val="clear" w:color="auto" w:fill="F2F2F2" w:themeFill="background1" w:themeFillShade="F2"/>
            <w:vAlign w:val="center"/>
          </w:tcPr>
          <w:p w14:paraId="6D5595C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top w:val="single" w:sz="4" w:space="0" w:color="auto"/>
              <w:right w:val="single" w:sz="4" w:space="0" w:color="auto"/>
            </w:tcBorders>
            <w:shd w:val="clear" w:color="auto" w:fill="F2F2F2" w:themeFill="background1" w:themeFillShade="F2"/>
            <w:vAlign w:val="center"/>
          </w:tcPr>
          <w:p w14:paraId="0760592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top w:val="single" w:sz="4" w:space="0" w:color="auto"/>
              <w:left w:val="single" w:sz="4" w:space="0" w:color="auto"/>
            </w:tcBorders>
            <w:shd w:val="clear" w:color="auto" w:fill="F2F2F2" w:themeFill="background1" w:themeFillShade="F2"/>
            <w:vAlign w:val="center"/>
          </w:tcPr>
          <w:p w14:paraId="1649D15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top w:val="single" w:sz="4" w:space="0" w:color="auto"/>
            </w:tcBorders>
            <w:shd w:val="clear" w:color="auto" w:fill="F2F2F2" w:themeFill="background1" w:themeFillShade="F2"/>
            <w:vAlign w:val="center"/>
          </w:tcPr>
          <w:p w14:paraId="28EFCC3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top w:val="single" w:sz="4" w:space="0" w:color="auto"/>
            </w:tcBorders>
            <w:shd w:val="clear" w:color="auto" w:fill="F2F2F2" w:themeFill="background1" w:themeFillShade="F2"/>
            <w:noWrap/>
            <w:vAlign w:val="center"/>
          </w:tcPr>
          <w:p w14:paraId="127A583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top w:val="single" w:sz="4" w:space="0" w:color="auto"/>
              <w:right w:val="single" w:sz="4" w:space="0" w:color="auto"/>
            </w:tcBorders>
            <w:shd w:val="clear" w:color="auto" w:fill="F2F2F2" w:themeFill="background1" w:themeFillShade="F2"/>
            <w:vAlign w:val="center"/>
          </w:tcPr>
          <w:p w14:paraId="7A97D21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292" w:type="pct"/>
            <w:tcBorders>
              <w:top w:val="single" w:sz="4" w:space="0" w:color="auto"/>
              <w:left w:val="single" w:sz="4" w:space="0" w:color="auto"/>
            </w:tcBorders>
            <w:shd w:val="clear" w:color="auto" w:fill="F2F2F2" w:themeFill="background1" w:themeFillShade="F2"/>
            <w:vAlign w:val="center"/>
          </w:tcPr>
          <w:p w14:paraId="2D644D9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r>
      <w:tr w:rsidR="00F24F47" w:rsidRPr="00DE61C5" w14:paraId="5BB15EBC" w14:textId="77777777" w:rsidTr="00DE61C5">
        <w:trPr>
          <w:trHeight w:val="320"/>
        </w:trPr>
        <w:tc>
          <w:tcPr>
            <w:tcW w:w="1444" w:type="pct"/>
            <w:tcBorders>
              <w:right w:val="single" w:sz="4" w:space="0" w:color="auto"/>
            </w:tcBorders>
            <w:shd w:val="clear" w:color="auto" w:fill="auto"/>
            <w:vAlign w:val="center"/>
            <w:hideMark/>
          </w:tcPr>
          <w:p w14:paraId="098DD859"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Burden of care from caregiver's perspective</w:t>
            </w:r>
          </w:p>
        </w:tc>
        <w:tc>
          <w:tcPr>
            <w:tcW w:w="408" w:type="pct"/>
            <w:tcBorders>
              <w:left w:val="single" w:sz="4" w:space="0" w:color="auto"/>
            </w:tcBorders>
            <w:shd w:val="clear" w:color="auto" w:fill="auto"/>
            <w:vAlign w:val="center"/>
          </w:tcPr>
          <w:p w14:paraId="21B194F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(3.8)</w:t>
            </w:r>
          </w:p>
        </w:tc>
        <w:tc>
          <w:tcPr>
            <w:tcW w:w="408" w:type="pct"/>
            <w:shd w:val="clear" w:color="auto" w:fill="auto"/>
            <w:vAlign w:val="center"/>
          </w:tcPr>
          <w:p w14:paraId="34AD92C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13 (50.0)</w:t>
            </w:r>
          </w:p>
        </w:tc>
        <w:tc>
          <w:tcPr>
            <w:tcW w:w="408" w:type="pct"/>
            <w:shd w:val="clear" w:color="auto" w:fill="auto"/>
            <w:vAlign w:val="center"/>
          </w:tcPr>
          <w:p w14:paraId="01E42F6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(46.2)</w:t>
            </w:r>
          </w:p>
        </w:tc>
        <w:tc>
          <w:tcPr>
            <w:tcW w:w="408" w:type="pct"/>
            <w:tcBorders>
              <w:right w:val="single" w:sz="4" w:space="0" w:color="auto"/>
            </w:tcBorders>
            <w:vAlign w:val="center"/>
          </w:tcPr>
          <w:p w14:paraId="29FBB08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w:t>
            </w:r>
          </w:p>
        </w:tc>
        <w:tc>
          <w:tcPr>
            <w:tcW w:w="408" w:type="pct"/>
            <w:tcBorders>
              <w:left w:val="single" w:sz="4" w:space="0" w:color="auto"/>
            </w:tcBorders>
            <w:shd w:val="clear" w:color="auto" w:fill="auto"/>
            <w:vAlign w:val="center"/>
          </w:tcPr>
          <w:p w14:paraId="37B0F02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(6.8)</w:t>
            </w:r>
          </w:p>
        </w:tc>
        <w:tc>
          <w:tcPr>
            <w:tcW w:w="408" w:type="pct"/>
            <w:shd w:val="clear" w:color="auto" w:fill="auto"/>
            <w:vAlign w:val="center"/>
          </w:tcPr>
          <w:p w14:paraId="19FA24B2"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(13.7)</w:t>
            </w:r>
          </w:p>
        </w:tc>
        <w:tc>
          <w:tcPr>
            <w:tcW w:w="408" w:type="pct"/>
            <w:shd w:val="clear" w:color="auto" w:fill="auto"/>
            <w:noWrap/>
            <w:vAlign w:val="center"/>
          </w:tcPr>
          <w:p w14:paraId="2C5E854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23 (79.3)</w:t>
            </w:r>
          </w:p>
        </w:tc>
        <w:tc>
          <w:tcPr>
            <w:tcW w:w="408" w:type="pct"/>
            <w:tcBorders>
              <w:right w:val="single" w:sz="4" w:space="0" w:color="auto"/>
            </w:tcBorders>
            <w:vAlign w:val="center"/>
          </w:tcPr>
          <w:p w14:paraId="412C9D2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67950A1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27DCDB02" w14:textId="77777777" w:rsidTr="00DE61C5">
        <w:trPr>
          <w:trHeight w:val="320"/>
        </w:trPr>
        <w:tc>
          <w:tcPr>
            <w:tcW w:w="1444" w:type="pct"/>
            <w:tcBorders>
              <w:right w:val="single" w:sz="4" w:space="0" w:color="auto"/>
            </w:tcBorders>
            <w:shd w:val="clear" w:color="auto" w:fill="auto"/>
            <w:vAlign w:val="center"/>
            <w:hideMark/>
          </w:tcPr>
          <w:p w14:paraId="3E8C4397"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Burden of care from patient perspective</w:t>
            </w:r>
          </w:p>
        </w:tc>
        <w:tc>
          <w:tcPr>
            <w:tcW w:w="408" w:type="pct"/>
            <w:tcBorders>
              <w:left w:val="single" w:sz="4" w:space="0" w:color="auto"/>
            </w:tcBorders>
            <w:shd w:val="clear" w:color="auto" w:fill="auto"/>
            <w:vAlign w:val="center"/>
          </w:tcPr>
          <w:p w14:paraId="2609C3E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0 (0)</w:t>
            </w:r>
          </w:p>
        </w:tc>
        <w:tc>
          <w:tcPr>
            <w:tcW w:w="408" w:type="pct"/>
            <w:shd w:val="clear" w:color="auto" w:fill="auto"/>
            <w:vAlign w:val="center"/>
          </w:tcPr>
          <w:p w14:paraId="5FAD832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(14.8)</w:t>
            </w:r>
          </w:p>
        </w:tc>
        <w:tc>
          <w:tcPr>
            <w:tcW w:w="408" w:type="pct"/>
            <w:shd w:val="clear" w:color="auto" w:fill="auto"/>
            <w:vAlign w:val="center"/>
          </w:tcPr>
          <w:p w14:paraId="1E8C7FC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23 (85.2)</w:t>
            </w:r>
          </w:p>
        </w:tc>
        <w:tc>
          <w:tcPr>
            <w:tcW w:w="408" w:type="pct"/>
            <w:tcBorders>
              <w:right w:val="single" w:sz="4" w:space="0" w:color="auto"/>
            </w:tcBorders>
            <w:vAlign w:val="center"/>
          </w:tcPr>
          <w:p w14:paraId="0F0DBEC5"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w:t>
            </w:r>
          </w:p>
        </w:tc>
        <w:tc>
          <w:tcPr>
            <w:tcW w:w="408" w:type="pct"/>
            <w:tcBorders>
              <w:left w:val="single" w:sz="4" w:space="0" w:color="auto"/>
            </w:tcBorders>
            <w:shd w:val="clear" w:color="auto" w:fill="auto"/>
            <w:vAlign w:val="center"/>
          </w:tcPr>
          <w:p w14:paraId="1D5C5320"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(7.4)</w:t>
            </w:r>
          </w:p>
        </w:tc>
        <w:tc>
          <w:tcPr>
            <w:tcW w:w="408" w:type="pct"/>
            <w:shd w:val="clear" w:color="auto" w:fill="auto"/>
            <w:vAlign w:val="center"/>
          </w:tcPr>
          <w:p w14:paraId="79EDB80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(3.7)</w:t>
            </w:r>
          </w:p>
        </w:tc>
        <w:tc>
          <w:tcPr>
            <w:tcW w:w="408" w:type="pct"/>
            <w:shd w:val="clear" w:color="auto" w:fill="auto"/>
            <w:noWrap/>
            <w:vAlign w:val="center"/>
          </w:tcPr>
          <w:p w14:paraId="2FB9063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24 (88.8)</w:t>
            </w:r>
          </w:p>
        </w:tc>
        <w:tc>
          <w:tcPr>
            <w:tcW w:w="408" w:type="pct"/>
            <w:tcBorders>
              <w:right w:val="single" w:sz="4" w:space="0" w:color="auto"/>
            </w:tcBorders>
            <w:vAlign w:val="center"/>
          </w:tcPr>
          <w:p w14:paraId="6830053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15458A7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1C3ADAC9" w14:textId="77777777" w:rsidTr="00DE61C5">
        <w:trPr>
          <w:trHeight w:val="320"/>
        </w:trPr>
        <w:tc>
          <w:tcPr>
            <w:tcW w:w="1444" w:type="pct"/>
            <w:tcBorders>
              <w:right w:val="single" w:sz="4" w:space="0" w:color="auto"/>
            </w:tcBorders>
            <w:shd w:val="clear" w:color="auto" w:fill="auto"/>
            <w:vAlign w:val="center"/>
            <w:hideMark/>
          </w:tcPr>
          <w:p w14:paraId="5ECA99EA"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Health-related Quality of Life</w:t>
            </w:r>
          </w:p>
        </w:tc>
        <w:tc>
          <w:tcPr>
            <w:tcW w:w="408" w:type="pct"/>
            <w:tcBorders>
              <w:left w:val="single" w:sz="4" w:space="0" w:color="auto"/>
            </w:tcBorders>
            <w:shd w:val="clear" w:color="auto" w:fill="auto"/>
            <w:vAlign w:val="center"/>
          </w:tcPr>
          <w:p w14:paraId="1D7F9D12"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(7.1)</w:t>
            </w:r>
          </w:p>
        </w:tc>
        <w:tc>
          <w:tcPr>
            <w:tcW w:w="408" w:type="pct"/>
            <w:shd w:val="clear" w:color="auto" w:fill="auto"/>
            <w:vAlign w:val="center"/>
          </w:tcPr>
          <w:p w14:paraId="43B9871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7 (25.0)</w:t>
            </w:r>
          </w:p>
        </w:tc>
        <w:tc>
          <w:tcPr>
            <w:tcW w:w="408" w:type="pct"/>
            <w:shd w:val="clear" w:color="auto" w:fill="auto"/>
            <w:vAlign w:val="center"/>
          </w:tcPr>
          <w:p w14:paraId="3F7F749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19 (67.9)</w:t>
            </w:r>
          </w:p>
        </w:tc>
        <w:tc>
          <w:tcPr>
            <w:tcW w:w="408" w:type="pct"/>
            <w:tcBorders>
              <w:right w:val="single" w:sz="4" w:space="0" w:color="auto"/>
            </w:tcBorders>
            <w:vAlign w:val="center"/>
          </w:tcPr>
          <w:p w14:paraId="17A971E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0</w:t>
            </w:r>
          </w:p>
        </w:tc>
        <w:tc>
          <w:tcPr>
            <w:tcW w:w="408" w:type="pct"/>
            <w:tcBorders>
              <w:left w:val="single" w:sz="4" w:space="0" w:color="auto"/>
            </w:tcBorders>
            <w:shd w:val="clear" w:color="auto" w:fill="auto"/>
            <w:vAlign w:val="center"/>
          </w:tcPr>
          <w:p w14:paraId="5A8417C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(10.3)</w:t>
            </w:r>
          </w:p>
        </w:tc>
        <w:tc>
          <w:tcPr>
            <w:tcW w:w="408" w:type="pct"/>
            <w:shd w:val="clear" w:color="auto" w:fill="auto"/>
            <w:vAlign w:val="center"/>
          </w:tcPr>
          <w:p w14:paraId="18909A6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(3.4)</w:t>
            </w:r>
          </w:p>
        </w:tc>
        <w:tc>
          <w:tcPr>
            <w:tcW w:w="408" w:type="pct"/>
            <w:shd w:val="clear" w:color="auto" w:fill="auto"/>
            <w:noWrap/>
            <w:vAlign w:val="center"/>
          </w:tcPr>
          <w:p w14:paraId="7E8090A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25 (86.2)</w:t>
            </w:r>
          </w:p>
        </w:tc>
        <w:tc>
          <w:tcPr>
            <w:tcW w:w="408" w:type="pct"/>
            <w:tcBorders>
              <w:right w:val="single" w:sz="4" w:space="0" w:color="auto"/>
            </w:tcBorders>
            <w:vAlign w:val="center"/>
          </w:tcPr>
          <w:p w14:paraId="253B113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6610593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980AC59" w14:textId="77777777" w:rsidTr="00DE61C5">
        <w:trPr>
          <w:trHeight w:val="320"/>
        </w:trPr>
        <w:tc>
          <w:tcPr>
            <w:tcW w:w="1444" w:type="pct"/>
            <w:tcBorders>
              <w:right w:val="single" w:sz="4" w:space="0" w:color="auto"/>
            </w:tcBorders>
            <w:shd w:val="clear" w:color="auto" w:fill="auto"/>
            <w:vAlign w:val="center"/>
            <w:hideMark/>
          </w:tcPr>
          <w:p w14:paraId="18E82205"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Independence (IAD related)</w:t>
            </w:r>
          </w:p>
        </w:tc>
        <w:tc>
          <w:tcPr>
            <w:tcW w:w="408" w:type="pct"/>
            <w:tcBorders>
              <w:left w:val="single" w:sz="4" w:space="0" w:color="auto"/>
            </w:tcBorders>
            <w:shd w:val="clear" w:color="auto" w:fill="auto"/>
            <w:vAlign w:val="center"/>
          </w:tcPr>
          <w:p w14:paraId="1C6DDAD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(11.1)</w:t>
            </w:r>
          </w:p>
        </w:tc>
        <w:tc>
          <w:tcPr>
            <w:tcW w:w="408" w:type="pct"/>
            <w:shd w:val="clear" w:color="auto" w:fill="auto"/>
            <w:vAlign w:val="center"/>
          </w:tcPr>
          <w:p w14:paraId="3D71D08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(40.7)</w:t>
            </w:r>
          </w:p>
        </w:tc>
        <w:tc>
          <w:tcPr>
            <w:tcW w:w="408" w:type="pct"/>
            <w:shd w:val="clear" w:color="auto" w:fill="auto"/>
            <w:vAlign w:val="center"/>
          </w:tcPr>
          <w:p w14:paraId="5258F9F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(48.1)</w:t>
            </w:r>
          </w:p>
        </w:tc>
        <w:tc>
          <w:tcPr>
            <w:tcW w:w="408" w:type="pct"/>
            <w:tcBorders>
              <w:right w:val="single" w:sz="4" w:space="0" w:color="auto"/>
            </w:tcBorders>
            <w:vAlign w:val="center"/>
          </w:tcPr>
          <w:p w14:paraId="3A7A8AC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0A2A5BB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(3.7)</w:t>
            </w:r>
          </w:p>
        </w:tc>
        <w:tc>
          <w:tcPr>
            <w:tcW w:w="408" w:type="pct"/>
            <w:shd w:val="clear" w:color="auto" w:fill="auto"/>
            <w:vAlign w:val="center"/>
          </w:tcPr>
          <w:p w14:paraId="160D6582"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7 (25.9)</w:t>
            </w:r>
          </w:p>
        </w:tc>
        <w:tc>
          <w:tcPr>
            <w:tcW w:w="408" w:type="pct"/>
            <w:shd w:val="clear" w:color="auto" w:fill="auto"/>
            <w:noWrap/>
            <w:vAlign w:val="center"/>
          </w:tcPr>
          <w:p w14:paraId="1AFBE08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19 (70.3)</w:t>
            </w:r>
          </w:p>
        </w:tc>
        <w:tc>
          <w:tcPr>
            <w:tcW w:w="408" w:type="pct"/>
            <w:tcBorders>
              <w:right w:val="single" w:sz="4" w:space="0" w:color="auto"/>
            </w:tcBorders>
            <w:vAlign w:val="center"/>
          </w:tcPr>
          <w:p w14:paraId="4BE16CA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2211A20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490C7770" w14:textId="77777777" w:rsidTr="00DE61C5">
        <w:trPr>
          <w:trHeight w:val="320"/>
        </w:trPr>
        <w:tc>
          <w:tcPr>
            <w:tcW w:w="1444" w:type="pct"/>
            <w:tcBorders>
              <w:right w:val="single" w:sz="4" w:space="0" w:color="auto"/>
            </w:tcBorders>
            <w:shd w:val="clear" w:color="auto" w:fill="auto"/>
            <w:vAlign w:val="center"/>
            <w:hideMark/>
          </w:tcPr>
          <w:p w14:paraId="78609DB5"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Pain</w:t>
            </w:r>
          </w:p>
        </w:tc>
        <w:tc>
          <w:tcPr>
            <w:tcW w:w="408" w:type="pct"/>
            <w:tcBorders>
              <w:left w:val="single" w:sz="4" w:space="0" w:color="auto"/>
            </w:tcBorders>
            <w:shd w:val="clear" w:color="auto" w:fill="auto"/>
            <w:vAlign w:val="center"/>
          </w:tcPr>
          <w:p w14:paraId="2D8F1E9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 (0)</w:t>
            </w:r>
          </w:p>
        </w:tc>
        <w:tc>
          <w:tcPr>
            <w:tcW w:w="408" w:type="pct"/>
            <w:shd w:val="clear" w:color="auto" w:fill="auto"/>
            <w:vAlign w:val="center"/>
          </w:tcPr>
          <w:p w14:paraId="6696629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(14.8)</w:t>
            </w:r>
          </w:p>
        </w:tc>
        <w:tc>
          <w:tcPr>
            <w:tcW w:w="408" w:type="pct"/>
            <w:shd w:val="clear" w:color="auto" w:fill="auto"/>
            <w:vAlign w:val="center"/>
          </w:tcPr>
          <w:p w14:paraId="3251613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23 (85.2)</w:t>
            </w:r>
          </w:p>
        </w:tc>
        <w:tc>
          <w:tcPr>
            <w:tcW w:w="408" w:type="pct"/>
            <w:tcBorders>
              <w:right w:val="single" w:sz="4" w:space="0" w:color="auto"/>
            </w:tcBorders>
            <w:vAlign w:val="center"/>
          </w:tcPr>
          <w:p w14:paraId="770A9E4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6D6788F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(3.4)</w:t>
            </w:r>
          </w:p>
        </w:tc>
        <w:tc>
          <w:tcPr>
            <w:tcW w:w="408" w:type="pct"/>
            <w:shd w:val="clear" w:color="auto" w:fill="auto"/>
            <w:vAlign w:val="center"/>
          </w:tcPr>
          <w:p w14:paraId="37FF9240"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0 (0)</w:t>
            </w:r>
          </w:p>
        </w:tc>
        <w:tc>
          <w:tcPr>
            <w:tcW w:w="408" w:type="pct"/>
            <w:shd w:val="clear" w:color="auto" w:fill="auto"/>
            <w:noWrap/>
            <w:vAlign w:val="center"/>
          </w:tcPr>
          <w:p w14:paraId="629A859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28 (96.6)</w:t>
            </w:r>
          </w:p>
        </w:tc>
        <w:tc>
          <w:tcPr>
            <w:tcW w:w="408" w:type="pct"/>
            <w:tcBorders>
              <w:right w:val="single" w:sz="4" w:space="0" w:color="auto"/>
            </w:tcBorders>
            <w:vAlign w:val="center"/>
          </w:tcPr>
          <w:p w14:paraId="5D0360E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65AA15A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773AFAE5" w14:textId="77777777" w:rsidTr="00DE61C5">
        <w:trPr>
          <w:trHeight w:val="320"/>
        </w:trPr>
        <w:tc>
          <w:tcPr>
            <w:tcW w:w="1444" w:type="pct"/>
            <w:tcBorders>
              <w:right w:val="single" w:sz="4" w:space="0" w:color="auto"/>
            </w:tcBorders>
            <w:shd w:val="clear" w:color="auto" w:fill="auto"/>
            <w:vAlign w:val="center"/>
            <w:hideMark/>
          </w:tcPr>
          <w:p w14:paraId="7E4ED522"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Physical comfort</w:t>
            </w:r>
          </w:p>
        </w:tc>
        <w:tc>
          <w:tcPr>
            <w:tcW w:w="408" w:type="pct"/>
            <w:tcBorders>
              <w:left w:val="single" w:sz="4" w:space="0" w:color="auto"/>
            </w:tcBorders>
            <w:shd w:val="clear" w:color="auto" w:fill="auto"/>
            <w:vAlign w:val="center"/>
          </w:tcPr>
          <w:p w14:paraId="3153643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 (0)</w:t>
            </w:r>
          </w:p>
        </w:tc>
        <w:tc>
          <w:tcPr>
            <w:tcW w:w="408" w:type="pct"/>
            <w:shd w:val="clear" w:color="auto" w:fill="auto"/>
            <w:vAlign w:val="center"/>
          </w:tcPr>
          <w:p w14:paraId="6737D34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(25.0)</w:t>
            </w:r>
          </w:p>
        </w:tc>
        <w:tc>
          <w:tcPr>
            <w:tcW w:w="408" w:type="pct"/>
            <w:shd w:val="clear" w:color="auto" w:fill="auto"/>
            <w:vAlign w:val="center"/>
          </w:tcPr>
          <w:p w14:paraId="63B0B04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21 (75.0)</w:t>
            </w:r>
          </w:p>
        </w:tc>
        <w:tc>
          <w:tcPr>
            <w:tcW w:w="408" w:type="pct"/>
            <w:tcBorders>
              <w:right w:val="single" w:sz="4" w:space="0" w:color="auto"/>
            </w:tcBorders>
            <w:vAlign w:val="center"/>
          </w:tcPr>
          <w:p w14:paraId="0C67155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69AB89D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(7.1)</w:t>
            </w:r>
          </w:p>
        </w:tc>
        <w:tc>
          <w:tcPr>
            <w:tcW w:w="408" w:type="pct"/>
            <w:shd w:val="clear" w:color="auto" w:fill="auto"/>
            <w:vAlign w:val="center"/>
          </w:tcPr>
          <w:p w14:paraId="74D4F7DD"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(10.7)</w:t>
            </w:r>
          </w:p>
        </w:tc>
        <w:tc>
          <w:tcPr>
            <w:tcW w:w="408" w:type="pct"/>
            <w:shd w:val="clear" w:color="auto" w:fill="auto"/>
            <w:noWrap/>
            <w:vAlign w:val="center"/>
          </w:tcPr>
          <w:p w14:paraId="2935E0E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23 (82,2)</w:t>
            </w:r>
          </w:p>
        </w:tc>
        <w:tc>
          <w:tcPr>
            <w:tcW w:w="408" w:type="pct"/>
            <w:tcBorders>
              <w:right w:val="single" w:sz="4" w:space="0" w:color="auto"/>
            </w:tcBorders>
            <w:vAlign w:val="center"/>
          </w:tcPr>
          <w:p w14:paraId="1301F56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4D314BE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0F0025E5" w14:textId="77777777" w:rsidTr="00DE61C5">
        <w:trPr>
          <w:trHeight w:val="320"/>
        </w:trPr>
        <w:tc>
          <w:tcPr>
            <w:tcW w:w="1444" w:type="pct"/>
            <w:tcBorders>
              <w:right w:val="single" w:sz="4" w:space="0" w:color="auto"/>
            </w:tcBorders>
            <w:shd w:val="clear" w:color="auto" w:fill="auto"/>
            <w:vAlign w:val="center"/>
            <w:hideMark/>
          </w:tcPr>
          <w:p w14:paraId="2CB812B0"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Physical functioning</w:t>
            </w:r>
          </w:p>
        </w:tc>
        <w:tc>
          <w:tcPr>
            <w:tcW w:w="408" w:type="pct"/>
            <w:tcBorders>
              <w:left w:val="single" w:sz="4" w:space="0" w:color="auto"/>
            </w:tcBorders>
            <w:shd w:val="clear" w:color="auto" w:fill="auto"/>
            <w:vAlign w:val="center"/>
          </w:tcPr>
          <w:p w14:paraId="2CB1A83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(14.3)</w:t>
            </w:r>
          </w:p>
        </w:tc>
        <w:tc>
          <w:tcPr>
            <w:tcW w:w="408" w:type="pct"/>
            <w:shd w:val="clear" w:color="auto" w:fill="auto"/>
            <w:vAlign w:val="center"/>
          </w:tcPr>
          <w:p w14:paraId="368EAA8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(28.6)</w:t>
            </w:r>
          </w:p>
        </w:tc>
        <w:tc>
          <w:tcPr>
            <w:tcW w:w="408" w:type="pct"/>
            <w:shd w:val="clear" w:color="auto" w:fill="auto"/>
            <w:vAlign w:val="center"/>
          </w:tcPr>
          <w:p w14:paraId="1A31F75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16 (57.1)</w:t>
            </w:r>
          </w:p>
        </w:tc>
        <w:tc>
          <w:tcPr>
            <w:tcW w:w="408" w:type="pct"/>
            <w:tcBorders>
              <w:right w:val="single" w:sz="4" w:space="0" w:color="auto"/>
            </w:tcBorders>
            <w:vAlign w:val="center"/>
          </w:tcPr>
          <w:p w14:paraId="09EB3BD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20649D60"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(10.8)</w:t>
            </w:r>
          </w:p>
        </w:tc>
        <w:tc>
          <w:tcPr>
            <w:tcW w:w="408" w:type="pct"/>
            <w:shd w:val="clear" w:color="auto" w:fill="auto"/>
            <w:vAlign w:val="center"/>
          </w:tcPr>
          <w:p w14:paraId="4EF62AA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8 (28.5)</w:t>
            </w:r>
          </w:p>
        </w:tc>
        <w:tc>
          <w:tcPr>
            <w:tcW w:w="408" w:type="pct"/>
            <w:shd w:val="clear" w:color="auto" w:fill="auto"/>
            <w:noWrap/>
            <w:vAlign w:val="center"/>
          </w:tcPr>
          <w:p w14:paraId="54CF9DD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17 (60.7)</w:t>
            </w:r>
          </w:p>
        </w:tc>
        <w:tc>
          <w:tcPr>
            <w:tcW w:w="408" w:type="pct"/>
            <w:tcBorders>
              <w:right w:val="single" w:sz="4" w:space="0" w:color="auto"/>
            </w:tcBorders>
            <w:vAlign w:val="center"/>
          </w:tcPr>
          <w:p w14:paraId="3BE7120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2AAB76F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63CC0CA1" w14:textId="77777777" w:rsidTr="00DE61C5">
        <w:trPr>
          <w:trHeight w:val="320"/>
        </w:trPr>
        <w:tc>
          <w:tcPr>
            <w:tcW w:w="1444" w:type="pct"/>
            <w:tcBorders>
              <w:right w:val="single" w:sz="4" w:space="0" w:color="auto"/>
            </w:tcBorders>
            <w:shd w:val="clear" w:color="auto" w:fill="auto"/>
            <w:vAlign w:val="center"/>
            <w:hideMark/>
          </w:tcPr>
          <w:p w14:paraId="13BA8A33"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Physical well-being</w:t>
            </w:r>
          </w:p>
        </w:tc>
        <w:tc>
          <w:tcPr>
            <w:tcW w:w="408" w:type="pct"/>
            <w:tcBorders>
              <w:left w:val="single" w:sz="4" w:space="0" w:color="auto"/>
            </w:tcBorders>
            <w:shd w:val="clear" w:color="auto" w:fill="auto"/>
            <w:vAlign w:val="center"/>
          </w:tcPr>
          <w:p w14:paraId="76548F5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(11.5)</w:t>
            </w:r>
          </w:p>
        </w:tc>
        <w:tc>
          <w:tcPr>
            <w:tcW w:w="408" w:type="pct"/>
            <w:shd w:val="clear" w:color="auto" w:fill="auto"/>
            <w:vAlign w:val="center"/>
          </w:tcPr>
          <w:p w14:paraId="250C852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(34.6)</w:t>
            </w:r>
          </w:p>
        </w:tc>
        <w:tc>
          <w:tcPr>
            <w:tcW w:w="408" w:type="pct"/>
            <w:shd w:val="clear" w:color="auto" w:fill="auto"/>
            <w:vAlign w:val="center"/>
          </w:tcPr>
          <w:p w14:paraId="6C5DF79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14 (53.8)</w:t>
            </w:r>
          </w:p>
        </w:tc>
        <w:tc>
          <w:tcPr>
            <w:tcW w:w="408" w:type="pct"/>
            <w:tcBorders>
              <w:right w:val="single" w:sz="4" w:space="0" w:color="auto"/>
            </w:tcBorders>
            <w:vAlign w:val="center"/>
          </w:tcPr>
          <w:p w14:paraId="6BEF8F4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60587EB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(10.2)</w:t>
            </w:r>
          </w:p>
        </w:tc>
        <w:tc>
          <w:tcPr>
            <w:tcW w:w="408" w:type="pct"/>
            <w:shd w:val="clear" w:color="auto" w:fill="auto"/>
            <w:vAlign w:val="center"/>
          </w:tcPr>
          <w:p w14:paraId="3E02304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10 (34.4)</w:t>
            </w:r>
          </w:p>
        </w:tc>
        <w:tc>
          <w:tcPr>
            <w:tcW w:w="408" w:type="pct"/>
            <w:shd w:val="clear" w:color="auto" w:fill="auto"/>
            <w:noWrap/>
            <w:vAlign w:val="center"/>
          </w:tcPr>
          <w:p w14:paraId="75033962"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16 (55.1)</w:t>
            </w:r>
          </w:p>
        </w:tc>
        <w:tc>
          <w:tcPr>
            <w:tcW w:w="408" w:type="pct"/>
            <w:tcBorders>
              <w:right w:val="single" w:sz="4" w:space="0" w:color="auto"/>
            </w:tcBorders>
            <w:vAlign w:val="center"/>
          </w:tcPr>
          <w:p w14:paraId="17BD4EC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5483EA9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0213785E" w14:textId="77777777" w:rsidTr="00DE61C5">
        <w:trPr>
          <w:trHeight w:val="320"/>
        </w:trPr>
        <w:tc>
          <w:tcPr>
            <w:tcW w:w="1444" w:type="pct"/>
            <w:tcBorders>
              <w:right w:val="single" w:sz="4" w:space="0" w:color="auto"/>
            </w:tcBorders>
            <w:shd w:val="clear" w:color="auto" w:fill="auto"/>
            <w:vAlign w:val="center"/>
            <w:hideMark/>
          </w:tcPr>
          <w:p w14:paraId="260D71E7"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Psychological impact of the disease</w:t>
            </w:r>
          </w:p>
        </w:tc>
        <w:tc>
          <w:tcPr>
            <w:tcW w:w="408" w:type="pct"/>
            <w:tcBorders>
              <w:left w:val="single" w:sz="4" w:space="0" w:color="auto"/>
            </w:tcBorders>
            <w:shd w:val="clear" w:color="auto" w:fill="auto"/>
            <w:vAlign w:val="center"/>
          </w:tcPr>
          <w:p w14:paraId="6CD7769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(7.1)</w:t>
            </w:r>
          </w:p>
        </w:tc>
        <w:tc>
          <w:tcPr>
            <w:tcW w:w="408" w:type="pct"/>
            <w:shd w:val="clear" w:color="auto" w:fill="auto"/>
            <w:vAlign w:val="center"/>
          </w:tcPr>
          <w:p w14:paraId="20ED909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9 (32.1)</w:t>
            </w:r>
          </w:p>
        </w:tc>
        <w:tc>
          <w:tcPr>
            <w:tcW w:w="408" w:type="pct"/>
            <w:shd w:val="clear" w:color="auto" w:fill="auto"/>
            <w:vAlign w:val="center"/>
          </w:tcPr>
          <w:p w14:paraId="54D0D5E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17 (60.7)</w:t>
            </w:r>
          </w:p>
        </w:tc>
        <w:tc>
          <w:tcPr>
            <w:tcW w:w="408" w:type="pct"/>
            <w:tcBorders>
              <w:right w:val="single" w:sz="4" w:space="0" w:color="auto"/>
            </w:tcBorders>
            <w:vAlign w:val="center"/>
          </w:tcPr>
          <w:p w14:paraId="6AAC0CE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0</w:t>
            </w:r>
          </w:p>
        </w:tc>
        <w:tc>
          <w:tcPr>
            <w:tcW w:w="408" w:type="pct"/>
            <w:tcBorders>
              <w:left w:val="single" w:sz="4" w:space="0" w:color="auto"/>
            </w:tcBorders>
            <w:shd w:val="clear" w:color="auto" w:fill="auto"/>
            <w:vAlign w:val="center"/>
          </w:tcPr>
          <w:p w14:paraId="6579283B"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(6.9)</w:t>
            </w:r>
          </w:p>
        </w:tc>
        <w:tc>
          <w:tcPr>
            <w:tcW w:w="408" w:type="pct"/>
            <w:shd w:val="clear" w:color="auto" w:fill="auto"/>
            <w:vAlign w:val="center"/>
          </w:tcPr>
          <w:p w14:paraId="74093F7D"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8 (27.6)</w:t>
            </w:r>
          </w:p>
        </w:tc>
        <w:tc>
          <w:tcPr>
            <w:tcW w:w="408" w:type="pct"/>
            <w:shd w:val="clear" w:color="auto" w:fill="auto"/>
            <w:noWrap/>
            <w:vAlign w:val="center"/>
          </w:tcPr>
          <w:p w14:paraId="21D5995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19 (65.5)</w:t>
            </w:r>
          </w:p>
        </w:tc>
        <w:tc>
          <w:tcPr>
            <w:tcW w:w="408" w:type="pct"/>
            <w:tcBorders>
              <w:right w:val="single" w:sz="4" w:space="0" w:color="auto"/>
            </w:tcBorders>
            <w:vAlign w:val="center"/>
          </w:tcPr>
          <w:p w14:paraId="1A6987D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5D8CEAA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6F714EFD" w14:textId="77777777" w:rsidTr="00DE61C5">
        <w:trPr>
          <w:trHeight w:val="320"/>
        </w:trPr>
        <w:tc>
          <w:tcPr>
            <w:tcW w:w="1444" w:type="pct"/>
            <w:tcBorders>
              <w:right w:val="single" w:sz="4" w:space="0" w:color="auto"/>
            </w:tcBorders>
            <w:shd w:val="clear" w:color="auto" w:fill="auto"/>
            <w:vAlign w:val="center"/>
            <w:hideMark/>
          </w:tcPr>
          <w:p w14:paraId="3FFD643F"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Quality of Life (general)</w:t>
            </w:r>
          </w:p>
        </w:tc>
        <w:tc>
          <w:tcPr>
            <w:tcW w:w="408" w:type="pct"/>
            <w:tcBorders>
              <w:left w:val="single" w:sz="4" w:space="0" w:color="auto"/>
            </w:tcBorders>
            <w:shd w:val="clear" w:color="auto" w:fill="auto"/>
            <w:vAlign w:val="center"/>
          </w:tcPr>
          <w:p w14:paraId="76FBA44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(17.9)</w:t>
            </w:r>
          </w:p>
        </w:tc>
        <w:tc>
          <w:tcPr>
            <w:tcW w:w="408" w:type="pct"/>
            <w:shd w:val="clear" w:color="auto" w:fill="auto"/>
            <w:vAlign w:val="center"/>
          </w:tcPr>
          <w:p w14:paraId="2ED9E4A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(35.7)</w:t>
            </w:r>
          </w:p>
        </w:tc>
        <w:tc>
          <w:tcPr>
            <w:tcW w:w="408" w:type="pct"/>
            <w:shd w:val="clear" w:color="auto" w:fill="auto"/>
            <w:vAlign w:val="center"/>
          </w:tcPr>
          <w:p w14:paraId="7826933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(46.4)</w:t>
            </w:r>
          </w:p>
        </w:tc>
        <w:tc>
          <w:tcPr>
            <w:tcW w:w="408" w:type="pct"/>
            <w:tcBorders>
              <w:right w:val="single" w:sz="4" w:space="0" w:color="auto"/>
            </w:tcBorders>
            <w:vAlign w:val="center"/>
          </w:tcPr>
          <w:p w14:paraId="7AE9B08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7226942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(13.8)</w:t>
            </w:r>
          </w:p>
        </w:tc>
        <w:tc>
          <w:tcPr>
            <w:tcW w:w="408" w:type="pct"/>
            <w:shd w:val="clear" w:color="auto" w:fill="auto"/>
            <w:vAlign w:val="center"/>
          </w:tcPr>
          <w:p w14:paraId="4D0E2C9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9 (31)</w:t>
            </w:r>
          </w:p>
        </w:tc>
        <w:tc>
          <w:tcPr>
            <w:tcW w:w="408" w:type="pct"/>
            <w:shd w:val="clear" w:color="auto" w:fill="auto"/>
            <w:noWrap/>
            <w:vAlign w:val="center"/>
          </w:tcPr>
          <w:p w14:paraId="33D0FB3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14 (48.3)</w:t>
            </w:r>
          </w:p>
        </w:tc>
        <w:tc>
          <w:tcPr>
            <w:tcW w:w="408" w:type="pct"/>
            <w:tcBorders>
              <w:right w:val="single" w:sz="4" w:space="0" w:color="auto"/>
            </w:tcBorders>
            <w:vAlign w:val="center"/>
          </w:tcPr>
          <w:p w14:paraId="7342317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4D707CD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41152708" w14:textId="77777777" w:rsidTr="00DE61C5">
        <w:trPr>
          <w:trHeight w:val="320"/>
        </w:trPr>
        <w:tc>
          <w:tcPr>
            <w:tcW w:w="1444" w:type="pct"/>
            <w:tcBorders>
              <w:right w:val="single" w:sz="4" w:space="0" w:color="auto"/>
            </w:tcBorders>
            <w:shd w:val="clear" w:color="auto" w:fill="auto"/>
            <w:vAlign w:val="center"/>
            <w:hideMark/>
          </w:tcPr>
          <w:p w14:paraId="68F043C8"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Quality of Life (IAD related)</w:t>
            </w:r>
          </w:p>
        </w:tc>
        <w:tc>
          <w:tcPr>
            <w:tcW w:w="408" w:type="pct"/>
            <w:tcBorders>
              <w:left w:val="single" w:sz="4" w:space="0" w:color="auto"/>
            </w:tcBorders>
            <w:shd w:val="clear" w:color="auto" w:fill="auto"/>
            <w:vAlign w:val="center"/>
          </w:tcPr>
          <w:p w14:paraId="646543D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(11.1)</w:t>
            </w:r>
          </w:p>
        </w:tc>
        <w:tc>
          <w:tcPr>
            <w:tcW w:w="408" w:type="pct"/>
            <w:shd w:val="clear" w:color="auto" w:fill="auto"/>
            <w:vAlign w:val="center"/>
          </w:tcPr>
          <w:p w14:paraId="1BE9914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(11.1)</w:t>
            </w:r>
          </w:p>
        </w:tc>
        <w:tc>
          <w:tcPr>
            <w:tcW w:w="408" w:type="pct"/>
            <w:shd w:val="clear" w:color="auto" w:fill="auto"/>
            <w:vAlign w:val="center"/>
          </w:tcPr>
          <w:p w14:paraId="6A777E1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21 (77.8)</w:t>
            </w:r>
          </w:p>
        </w:tc>
        <w:tc>
          <w:tcPr>
            <w:tcW w:w="408" w:type="pct"/>
            <w:tcBorders>
              <w:right w:val="single" w:sz="4" w:space="0" w:color="auto"/>
            </w:tcBorders>
            <w:vAlign w:val="center"/>
          </w:tcPr>
          <w:p w14:paraId="052D8A7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3F256A45"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(3.6)</w:t>
            </w:r>
          </w:p>
        </w:tc>
        <w:tc>
          <w:tcPr>
            <w:tcW w:w="408" w:type="pct"/>
            <w:shd w:val="clear" w:color="auto" w:fill="auto"/>
            <w:vAlign w:val="center"/>
          </w:tcPr>
          <w:p w14:paraId="196AA2A6"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(7.2)</w:t>
            </w:r>
          </w:p>
        </w:tc>
        <w:tc>
          <w:tcPr>
            <w:tcW w:w="408" w:type="pct"/>
            <w:shd w:val="clear" w:color="auto" w:fill="auto"/>
            <w:noWrap/>
            <w:vAlign w:val="center"/>
          </w:tcPr>
          <w:p w14:paraId="2AEE7C05"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25 (89.3)</w:t>
            </w:r>
          </w:p>
        </w:tc>
        <w:tc>
          <w:tcPr>
            <w:tcW w:w="408" w:type="pct"/>
            <w:tcBorders>
              <w:right w:val="single" w:sz="4" w:space="0" w:color="auto"/>
            </w:tcBorders>
            <w:vAlign w:val="center"/>
          </w:tcPr>
          <w:p w14:paraId="1A188AC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3A8FFE2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2D1667BA" w14:textId="77777777" w:rsidTr="00DE61C5">
        <w:trPr>
          <w:trHeight w:val="320"/>
        </w:trPr>
        <w:tc>
          <w:tcPr>
            <w:tcW w:w="1444" w:type="pct"/>
            <w:tcBorders>
              <w:right w:val="single" w:sz="4" w:space="0" w:color="auto"/>
            </w:tcBorders>
            <w:shd w:val="clear" w:color="auto" w:fill="auto"/>
            <w:vAlign w:val="center"/>
            <w:hideMark/>
          </w:tcPr>
          <w:p w14:paraId="63873F16"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Satisfaction with intervention from by caregiver's perspective</w:t>
            </w:r>
          </w:p>
        </w:tc>
        <w:tc>
          <w:tcPr>
            <w:tcW w:w="408" w:type="pct"/>
            <w:tcBorders>
              <w:left w:val="single" w:sz="4" w:space="0" w:color="auto"/>
            </w:tcBorders>
            <w:shd w:val="clear" w:color="auto" w:fill="auto"/>
            <w:vAlign w:val="center"/>
          </w:tcPr>
          <w:p w14:paraId="568C1F62"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(11.1)</w:t>
            </w:r>
          </w:p>
        </w:tc>
        <w:tc>
          <w:tcPr>
            <w:tcW w:w="408" w:type="pct"/>
            <w:shd w:val="clear" w:color="auto" w:fill="auto"/>
            <w:vAlign w:val="center"/>
          </w:tcPr>
          <w:p w14:paraId="589CDE1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12 (44.4)</w:t>
            </w:r>
          </w:p>
        </w:tc>
        <w:tc>
          <w:tcPr>
            <w:tcW w:w="408" w:type="pct"/>
            <w:shd w:val="clear" w:color="auto" w:fill="auto"/>
            <w:vAlign w:val="center"/>
          </w:tcPr>
          <w:p w14:paraId="15023E3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(44.4)</w:t>
            </w:r>
          </w:p>
        </w:tc>
        <w:tc>
          <w:tcPr>
            <w:tcW w:w="408" w:type="pct"/>
            <w:tcBorders>
              <w:right w:val="single" w:sz="4" w:space="0" w:color="auto"/>
            </w:tcBorders>
            <w:vAlign w:val="center"/>
          </w:tcPr>
          <w:p w14:paraId="12191CC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687271A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(10.8)</w:t>
            </w:r>
          </w:p>
        </w:tc>
        <w:tc>
          <w:tcPr>
            <w:tcW w:w="408" w:type="pct"/>
            <w:shd w:val="clear" w:color="auto" w:fill="auto"/>
            <w:vAlign w:val="center"/>
          </w:tcPr>
          <w:p w14:paraId="097F390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(10.8)</w:t>
            </w:r>
          </w:p>
        </w:tc>
        <w:tc>
          <w:tcPr>
            <w:tcW w:w="408" w:type="pct"/>
            <w:shd w:val="clear" w:color="auto" w:fill="auto"/>
            <w:noWrap/>
            <w:vAlign w:val="center"/>
          </w:tcPr>
          <w:p w14:paraId="70BBE38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22 (78.6)</w:t>
            </w:r>
          </w:p>
        </w:tc>
        <w:tc>
          <w:tcPr>
            <w:tcW w:w="408" w:type="pct"/>
            <w:tcBorders>
              <w:right w:val="single" w:sz="4" w:space="0" w:color="auto"/>
            </w:tcBorders>
            <w:vAlign w:val="center"/>
          </w:tcPr>
          <w:p w14:paraId="7314F3B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05D73B9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520037E0" w14:textId="77777777" w:rsidTr="00DE61C5">
        <w:trPr>
          <w:trHeight w:val="320"/>
        </w:trPr>
        <w:tc>
          <w:tcPr>
            <w:tcW w:w="1444" w:type="pct"/>
            <w:tcBorders>
              <w:right w:val="single" w:sz="4" w:space="0" w:color="auto"/>
            </w:tcBorders>
            <w:shd w:val="clear" w:color="auto" w:fill="auto"/>
            <w:vAlign w:val="center"/>
            <w:hideMark/>
          </w:tcPr>
          <w:p w14:paraId="4F9609CF"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Satisfaction with intervention from patient perspective</w:t>
            </w:r>
          </w:p>
        </w:tc>
        <w:tc>
          <w:tcPr>
            <w:tcW w:w="408" w:type="pct"/>
            <w:tcBorders>
              <w:left w:val="single" w:sz="4" w:space="0" w:color="auto"/>
            </w:tcBorders>
            <w:shd w:val="clear" w:color="auto" w:fill="auto"/>
            <w:vAlign w:val="center"/>
          </w:tcPr>
          <w:p w14:paraId="4A032FB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(3.7)</w:t>
            </w:r>
          </w:p>
        </w:tc>
        <w:tc>
          <w:tcPr>
            <w:tcW w:w="408" w:type="pct"/>
            <w:shd w:val="clear" w:color="auto" w:fill="auto"/>
            <w:vAlign w:val="center"/>
          </w:tcPr>
          <w:p w14:paraId="774AD120"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7 (25.9)</w:t>
            </w:r>
          </w:p>
        </w:tc>
        <w:tc>
          <w:tcPr>
            <w:tcW w:w="408" w:type="pct"/>
            <w:shd w:val="clear" w:color="auto" w:fill="auto"/>
            <w:vAlign w:val="center"/>
          </w:tcPr>
          <w:p w14:paraId="0C45C1A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19 (70.4)</w:t>
            </w:r>
          </w:p>
        </w:tc>
        <w:tc>
          <w:tcPr>
            <w:tcW w:w="408" w:type="pct"/>
            <w:tcBorders>
              <w:right w:val="single" w:sz="4" w:space="0" w:color="auto"/>
            </w:tcBorders>
            <w:vAlign w:val="center"/>
          </w:tcPr>
          <w:p w14:paraId="6B239F8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50AADE4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(7.2)</w:t>
            </w:r>
          </w:p>
        </w:tc>
        <w:tc>
          <w:tcPr>
            <w:tcW w:w="408" w:type="pct"/>
            <w:shd w:val="clear" w:color="auto" w:fill="auto"/>
            <w:vAlign w:val="center"/>
          </w:tcPr>
          <w:p w14:paraId="461ED98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(3.6)</w:t>
            </w:r>
          </w:p>
        </w:tc>
        <w:tc>
          <w:tcPr>
            <w:tcW w:w="408" w:type="pct"/>
            <w:shd w:val="clear" w:color="auto" w:fill="auto"/>
            <w:noWrap/>
            <w:vAlign w:val="center"/>
          </w:tcPr>
          <w:p w14:paraId="288D1586"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25 (89.2)</w:t>
            </w:r>
          </w:p>
        </w:tc>
        <w:tc>
          <w:tcPr>
            <w:tcW w:w="408" w:type="pct"/>
            <w:tcBorders>
              <w:right w:val="single" w:sz="4" w:space="0" w:color="auto"/>
            </w:tcBorders>
            <w:vAlign w:val="center"/>
          </w:tcPr>
          <w:p w14:paraId="477F6F9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7EE92A1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0B97D0A6" w14:textId="77777777" w:rsidTr="00DE61C5">
        <w:trPr>
          <w:trHeight w:val="320"/>
        </w:trPr>
        <w:tc>
          <w:tcPr>
            <w:tcW w:w="1444" w:type="pct"/>
            <w:tcBorders>
              <w:right w:val="single" w:sz="4" w:space="0" w:color="auto"/>
            </w:tcBorders>
            <w:shd w:val="clear" w:color="auto" w:fill="auto"/>
            <w:vAlign w:val="center"/>
            <w:hideMark/>
          </w:tcPr>
          <w:p w14:paraId="6D6C7AE4"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Self-reported symptoms</w:t>
            </w:r>
          </w:p>
        </w:tc>
        <w:tc>
          <w:tcPr>
            <w:tcW w:w="408" w:type="pct"/>
            <w:tcBorders>
              <w:left w:val="single" w:sz="4" w:space="0" w:color="auto"/>
            </w:tcBorders>
            <w:shd w:val="clear" w:color="auto" w:fill="auto"/>
            <w:vAlign w:val="center"/>
          </w:tcPr>
          <w:p w14:paraId="75B379F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(3.6)</w:t>
            </w:r>
          </w:p>
        </w:tc>
        <w:tc>
          <w:tcPr>
            <w:tcW w:w="408" w:type="pct"/>
            <w:shd w:val="clear" w:color="auto" w:fill="auto"/>
            <w:vAlign w:val="center"/>
          </w:tcPr>
          <w:p w14:paraId="015A930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(21.4)</w:t>
            </w:r>
          </w:p>
        </w:tc>
        <w:tc>
          <w:tcPr>
            <w:tcW w:w="408" w:type="pct"/>
            <w:shd w:val="clear" w:color="auto" w:fill="auto"/>
            <w:vAlign w:val="center"/>
          </w:tcPr>
          <w:p w14:paraId="0AC76A7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21 (75.0)</w:t>
            </w:r>
          </w:p>
        </w:tc>
        <w:tc>
          <w:tcPr>
            <w:tcW w:w="408" w:type="pct"/>
            <w:tcBorders>
              <w:right w:val="single" w:sz="4" w:space="0" w:color="auto"/>
            </w:tcBorders>
            <w:vAlign w:val="center"/>
          </w:tcPr>
          <w:p w14:paraId="1F4BC81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394831E6"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0 (0)</w:t>
            </w:r>
          </w:p>
        </w:tc>
        <w:tc>
          <w:tcPr>
            <w:tcW w:w="408" w:type="pct"/>
            <w:shd w:val="clear" w:color="auto" w:fill="auto"/>
            <w:vAlign w:val="center"/>
          </w:tcPr>
          <w:p w14:paraId="21AF195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(6.8)</w:t>
            </w:r>
          </w:p>
        </w:tc>
        <w:tc>
          <w:tcPr>
            <w:tcW w:w="408" w:type="pct"/>
            <w:shd w:val="clear" w:color="auto" w:fill="auto"/>
            <w:noWrap/>
            <w:vAlign w:val="center"/>
          </w:tcPr>
          <w:p w14:paraId="556BD30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27 (93.1)</w:t>
            </w:r>
          </w:p>
        </w:tc>
        <w:tc>
          <w:tcPr>
            <w:tcW w:w="408" w:type="pct"/>
            <w:tcBorders>
              <w:right w:val="single" w:sz="4" w:space="0" w:color="auto"/>
            </w:tcBorders>
            <w:vAlign w:val="center"/>
          </w:tcPr>
          <w:p w14:paraId="248C9F9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41D460F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09C8B3D7" w14:textId="77777777" w:rsidTr="00DE61C5">
        <w:trPr>
          <w:trHeight w:val="320"/>
        </w:trPr>
        <w:tc>
          <w:tcPr>
            <w:tcW w:w="1444" w:type="pct"/>
            <w:tcBorders>
              <w:right w:val="single" w:sz="4" w:space="0" w:color="auto"/>
            </w:tcBorders>
            <w:shd w:val="clear" w:color="auto" w:fill="auto"/>
            <w:vAlign w:val="center"/>
            <w:hideMark/>
          </w:tcPr>
          <w:p w14:paraId="5A2C34A3"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Sleep (IAD related)</w:t>
            </w:r>
          </w:p>
        </w:tc>
        <w:tc>
          <w:tcPr>
            <w:tcW w:w="408" w:type="pct"/>
            <w:tcBorders>
              <w:left w:val="single" w:sz="4" w:space="0" w:color="auto"/>
            </w:tcBorders>
            <w:shd w:val="clear" w:color="auto" w:fill="auto"/>
            <w:vAlign w:val="center"/>
          </w:tcPr>
          <w:p w14:paraId="6CEC443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(14.3)</w:t>
            </w:r>
          </w:p>
        </w:tc>
        <w:tc>
          <w:tcPr>
            <w:tcW w:w="408" w:type="pct"/>
            <w:shd w:val="clear" w:color="auto" w:fill="auto"/>
            <w:vAlign w:val="center"/>
          </w:tcPr>
          <w:p w14:paraId="3F025E4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(46.4)</w:t>
            </w:r>
          </w:p>
        </w:tc>
        <w:tc>
          <w:tcPr>
            <w:tcW w:w="408" w:type="pct"/>
            <w:shd w:val="clear" w:color="auto" w:fill="auto"/>
            <w:vAlign w:val="center"/>
          </w:tcPr>
          <w:p w14:paraId="58E8AC4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(39.3)</w:t>
            </w:r>
          </w:p>
        </w:tc>
        <w:tc>
          <w:tcPr>
            <w:tcW w:w="408" w:type="pct"/>
            <w:tcBorders>
              <w:right w:val="single" w:sz="4" w:space="0" w:color="auto"/>
            </w:tcBorders>
            <w:vAlign w:val="center"/>
          </w:tcPr>
          <w:p w14:paraId="712606B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5ADD96E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(10.8)</w:t>
            </w:r>
          </w:p>
        </w:tc>
        <w:tc>
          <w:tcPr>
            <w:tcW w:w="408" w:type="pct"/>
            <w:shd w:val="clear" w:color="auto" w:fill="auto"/>
            <w:vAlign w:val="center"/>
          </w:tcPr>
          <w:p w14:paraId="01F28A0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7 (25)</w:t>
            </w:r>
          </w:p>
        </w:tc>
        <w:tc>
          <w:tcPr>
            <w:tcW w:w="408" w:type="pct"/>
            <w:shd w:val="clear" w:color="auto" w:fill="auto"/>
            <w:noWrap/>
            <w:vAlign w:val="center"/>
          </w:tcPr>
          <w:p w14:paraId="50A55F1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18 (64.3)</w:t>
            </w:r>
          </w:p>
        </w:tc>
        <w:tc>
          <w:tcPr>
            <w:tcW w:w="408" w:type="pct"/>
            <w:tcBorders>
              <w:right w:val="single" w:sz="4" w:space="0" w:color="auto"/>
            </w:tcBorders>
            <w:vAlign w:val="center"/>
          </w:tcPr>
          <w:p w14:paraId="733EED6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50272BD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6FADA064" w14:textId="77777777" w:rsidTr="00DE61C5">
        <w:trPr>
          <w:trHeight w:val="320"/>
        </w:trPr>
        <w:tc>
          <w:tcPr>
            <w:tcW w:w="1444" w:type="pct"/>
            <w:tcBorders>
              <w:right w:val="single" w:sz="4" w:space="0" w:color="auto"/>
            </w:tcBorders>
            <w:shd w:val="clear" w:color="auto" w:fill="F2F2F2" w:themeFill="background1" w:themeFillShade="F2"/>
            <w:vAlign w:val="center"/>
          </w:tcPr>
          <w:p w14:paraId="73A7FA72" w14:textId="77777777" w:rsidR="00F24F47" w:rsidRPr="00DE61C5" w:rsidRDefault="00F24F47" w:rsidP="00DE61C5">
            <w:pPr>
              <w:spacing w:after="0" w:line="240" w:lineRule="auto"/>
              <w:rPr>
                <w:rFonts w:asciiTheme="majorBidi" w:eastAsia="Times New Roman" w:hAnsiTheme="majorBidi" w:cstheme="majorBidi"/>
                <w:b/>
                <w:bCs/>
                <w:sz w:val="18"/>
                <w:szCs w:val="18"/>
                <w:lang w:eastAsia="nl-BE"/>
              </w:rPr>
            </w:pPr>
            <w:r w:rsidRPr="00DE61C5">
              <w:rPr>
                <w:rFonts w:asciiTheme="majorBidi" w:eastAsia="Times New Roman" w:hAnsiTheme="majorBidi" w:cstheme="majorBidi"/>
                <w:b/>
                <w:bCs/>
                <w:sz w:val="18"/>
                <w:szCs w:val="18"/>
                <w:lang w:eastAsia="nl-BE"/>
              </w:rPr>
              <w:t>Resource use /economical impact</w:t>
            </w:r>
          </w:p>
        </w:tc>
        <w:tc>
          <w:tcPr>
            <w:tcW w:w="408" w:type="pct"/>
            <w:tcBorders>
              <w:left w:val="single" w:sz="4" w:space="0" w:color="auto"/>
            </w:tcBorders>
            <w:shd w:val="clear" w:color="auto" w:fill="F2F2F2" w:themeFill="background1" w:themeFillShade="F2"/>
            <w:vAlign w:val="center"/>
          </w:tcPr>
          <w:p w14:paraId="0E3FE23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vAlign w:val="center"/>
          </w:tcPr>
          <w:p w14:paraId="43D6737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vAlign w:val="center"/>
          </w:tcPr>
          <w:p w14:paraId="151825A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right w:val="single" w:sz="4" w:space="0" w:color="auto"/>
            </w:tcBorders>
            <w:shd w:val="clear" w:color="auto" w:fill="F2F2F2" w:themeFill="background1" w:themeFillShade="F2"/>
            <w:vAlign w:val="center"/>
          </w:tcPr>
          <w:p w14:paraId="5A6A0CF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left w:val="single" w:sz="4" w:space="0" w:color="auto"/>
            </w:tcBorders>
            <w:shd w:val="clear" w:color="auto" w:fill="F2F2F2" w:themeFill="background1" w:themeFillShade="F2"/>
            <w:vAlign w:val="center"/>
          </w:tcPr>
          <w:p w14:paraId="3180B65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vAlign w:val="center"/>
          </w:tcPr>
          <w:p w14:paraId="31DF706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noWrap/>
            <w:vAlign w:val="center"/>
          </w:tcPr>
          <w:p w14:paraId="63E73E7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right w:val="single" w:sz="4" w:space="0" w:color="auto"/>
            </w:tcBorders>
            <w:shd w:val="clear" w:color="auto" w:fill="F2F2F2" w:themeFill="background1" w:themeFillShade="F2"/>
            <w:vAlign w:val="center"/>
          </w:tcPr>
          <w:p w14:paraId="39540D0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292" w:type="pct"/>
            <w:tcBorders>
              <w:left w:val="single" w:sz="4" w:space="0" w:color="auto"/>
            </w:tcBorders>
            <w:shd w:val="clear" w:color="auto" w:fill="F2F2F2" w:themeFill="background1" w:themeFillShade="F2"/>
            <w:vAlign w:val="center"/>
          </w:tcPr>
          <w:p w14:paraId="6885CA4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r>
      <w:tr w:rsidR="00F24F47" w:rsidRPr="00DE61C5" w14:paraId="6D7872BD" w14:textId="77777777" w:rsidTr="00DE61C5">
        <w:trPr>
          <w:trHeight w:val="320"/>
        </w:trPr>
        <w:tc>
          <w:tcPr>
            <w:tcW w:w="1444" w:type="pct"/>
            <w:tcBorders>
              <w:right w:val="single" w:sz="4" w:space="0" w:color="auto"/>
            </w:tcBorders>
            <w:shd w:val="clear" w:color="auto" w:fill="auto"/>
            <w:vAlign w:val="center"/>
            <w:hideMark/>
          </w:tcPr>
          <w:p w14:paraId="72EF08AC"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Caregivers' work productivity</w:t>
            </w:r>
          </w:p>
        </w:tc>
        <w:tc>
          <w:tcPr>
            <w:tcW w:w="408" w:type="pct"/>
            <w:tcBorders>
              <w:left w:val="single" w:sz="4" w:space="0" w:color="auto"/>
            </w:tcBorders>
            <w:shd w:val="clear" w:color="auto" w:fill="auto"/>
            <w:vAlign w:val="center"/>
          </w:tcPr>
          <w:p w14:paraId="572CA18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663C7E7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(52.0)</w:t>
            </w:r>
          </w:p>
        </w:tc>
        <w:tc>
          <w:tcPr>
            <w:tcW w:w="408" w:type="pct"/>
            <w:shd w:val="clear" w:color="auto" w:fill="auto"/>
            <w:vAlign w:val="center"/>
          </w:tcPr>
          <w:p w14:paraId="39CBB82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(32.0)</w:t>
            </w:r>
          </w:p>
        </w:tc>
        <w:tc>
          <w:tcPr>
            <w:tcW w:w="408" w:type="pct"/>
            <w:tcBorders>
              <w:right w:val="single" w:sz="4" w:space="0" w:color="auto"/>
            </w:tcBorders>
            <w:vAlign w:val="center"/>
          </w:tcPr>
          <w:p w14:paraId="57656B3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68CFFBA5"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(14.3)</w:t>
            </w:r>
          </w:p>
        </w:tc>
        <w:tc>
          <w:tcPr>
            <w:tcW w:w="408" w:type="pct"/>
            <w:shd w:val="clear" w:color="auto" w:fill="auto"/>
            <w:vAlign w:val="center"/>
          </w:tcPr>
          <w:p w14:paraId="0DF5C5C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8 (32.2)</w:t>
            </w:r>
          </w:p>
        </w:tc>
        <w:tc>
          <w:tcPr>
            <w:tcW w:w="408" w:type="pct"/>
            <w:shd w:val="clear" w:color="auto" w:fill="auto"/>
            <w:noWrap/>
            <w:vAlign w:val="center"/>
          </w:tcPr>
          <w:p w14:paraId="28B13F2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15 (53.5)</w:t>
            </w:r>
          </w:p>
        </w:tc>
        <w:tc>
          <w:tcPr>
            <w:tcW w:w="408" w:type="pct"/>
            <w:tcBorders>
              <w:right w:val="single" w:sz="4" w:space="0" w:color="auto"/>
            </w:tcBorders>
            <w:vAlign w:val="center"/>
          </w:tcPr>
          <w:p w14:paraId="32D0AF8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0AEAD19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5D2755ED" w14:textId="77777777" w:rsidTr="00DE61C5">
        <w:trPr>
          <w:trHeight w:val="320"/>
        </w:trPr>
        <w:tc>
          <w:tcPr>
            <w:tcW w:w="1444" w:type="pct"/>
            <w:tcBorders>
              <w:right w:val="single" w:sz="4" w:space="0" w:color="auto"/>
            </w:tcBorders>
            <w:shd w:val="clear" w:color="auto" w:fill="auto"/>
            <w:vAlign w:val="center"/>
            <w:hideMark/>
          </w:tcPr>
          <w:p w14:paraId="40D69C6B"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Cost-effectiveness</w:t>
            </w:r>
          </w:p>
        </w:tc>
        <w:tc>
          <w:tcPr>
            <w:tcW w:w="408" w:type="pct"/>
            <w:tcBorders>
              <w:left w:val="single" w:sz="4" w:space="0" w:color="auto"/>
            </w:tcBorders>
            <w:shd w:val="clear" w:color="auto" w:fill="auto"/>
            <w:vAlign w:val="center"/>
          </w:tcPr>
          <w:p w14:paraId="043B941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 (0.0)</w:t>
            </w:r>
          </w:p>
        </w:tc>
        <w:tc>
          <w:tcPr>
            <w:tcW w:w="408" w:type="pct"/>
            <w:shd w:val="clear" w:color="auto" w:fill="auto"/>
            <w:vAlign w:val="center"/>
          </w:tcPr>
          <w:p w14:paraId="7CADA47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19 (29.6)</w:t>
            </w:r>
          </w:p>
        </w:tc>
        <w:tc>
          <w:tcPr>
            <w:tcW w:w="408" w:type="pct"/>
            <w:shd w:val="clear" w:color="auto" w:fill="auto"/>
            <w:vAlign w:val="center"/>
          </w:tcPr>
          <w:p w14:paraId="2C8BBFE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27 (70.4)</w:t>
            </w:r>
          </w:p>
        </w:tc>
        <w:tc>
          <w:tcPr>
            <w:tcW w:w="408" w:type="pct"/>
            <w:tcBorders>
              <w:right w:val="single" w:sz="4" w:space="0" w:color="auto"/>
            </w:tcBorders>
            <w:vAlign w:val="center"/>
          </w:tcPr>
          <w:p w14:paraId="084DC3D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2A5E7DB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(7.4)</w:t>
            </w:r>
          </w:p>
        </w:tc>
        <w:tc>
          <w:tcPr>
            <w:tcW w:w="408" w:type="pct"/>
            <w:shd w:val="clear" w:color="auto" w:fill="auto"/>
            <w:vAlign w:val="center"/>
          </w:tcPr>
          <w:p w14:paraId="0609F6A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(14.8)</w:t>
            </w:r>
          </w:p>
        </w:tc>
        <w:tc>
          <w:tcPr>
            <w:tcW w:w="408" w:type="pct"/>
            <w:shd w:val="clear" w:color="auto" w:fill="auto"/>
            <w:noWrap/>
            <w:vAlign w:val="center"/>
          </w:tcPr>
          <w:p w14:paraId="4748335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21 (77.8)</w:t>
            </w:r>
          </w:p>
        </w:tc>
        <w:tc>
          <w:tcPr>
            <w:tcW w:w="408" w:type="pct"/>
            <w:tcBorders>
              <w:right w:val="single" w:sz="4" w:space="0" w:color="auto"/>
            </w:tcBorders>
            <w:vAlign w:val="center"/>
          </w:tcPr>
          <w:p w14:paraId="37E6862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21B5F93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1D776FC5" w14:textId="77777777" w:rsidTr="00DE61C5">
        <w:trPr>
          <w:trHeight w:val="320"/>
        </w:trPr>
        <w:tc>
          <w:tcPr>
            <w:tcW w:w="1444" w:type="pct"/>
            <w:tcBorders>
              <w:right w:val="single" w:sz="4" w:space="0" w:color="auto"/>
            </w:tcBorders>
            <w:shd w:val="clear" w:color="auto" w:fill="auto"/>
            <w:vAlign w:val="center"/>
            <w:hideMark/>
          </w:tcPr>
          <w:p w14:paraId="49184ADA"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 xml:space="preserve">Costs </w:t>
            </w:r>
          </w:p>
        </w:tc>
        <w:tc>
          <w:tcPr>
            <w:tcW w:w="408" w:type="pct"/>
            <w:tcBorders>
              <w:left w:val="single" w:sz="4" w:space="0" w:color="auto"/>
            </w:tcBorders>
            <w:shd w:val="clear" w:color="auto" w:fill="auto"/>
            <w:vAlign w:val="center"/>
          </w:tcPr>
          <w:p w14:paraId="43FC5A4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(7.4)</w:t>
            </w:r>
          </w:p>
        </w:tc>
        <w:tc>
          <w:tcPr>
            <w:tcW w:w="408" w:type="pct"/>
            <w:shd w:val="clear" w:color="auto" w:fill="auto"/>
            <w:vAlign w:val="center"/>
          </w:tcPr>
          <w:p w14:paraId="4320EBE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(33.3)</w:t>
            </w:r>
          </w:p>
        </w:tc>
        <w:tc>
          <w:tcPr>
            <w:tcW w:w="408" w:type="pct"/>
            <w:shd w:val="clear" w:color="auto" w:fill="auto"/>
            <w:vAlign w:val="center"/>
          </w:tcPr>
          <w:p w14:paraId="6107C68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16 (59.3)</w:t>
            </w:r>
          </w:p>
        </w:tc>
        <w:tc>
          <w:tcPr>
            <w:tcW w:w="408" w:type="pct"/>
            <w:tcBorders>
              <w:right w:val="single" w:sz="4" w:space="0" w:color="auto"/>
            </w:tcBorders>
            <w:vAlign w:val="center"/>
          </w:tcPr>
          <w:p w14:paraId="0258044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05AA0752"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(10.3)</w:t>
            </w:r>
          </w:p>
        </w:tc>
        <w:tc>
          <w:tcPr>
            <w:tcW w:w="408" w:type="pct"/>
            <w:shd w:val="clear" w:color="auto" w:fill="auto"/>
            <w:vAlign w:val="center"/>
          </w:tcPr>
          <w:p w14:paraId="66E7863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7 (24.1)</w:t>
            </w:r>
          </w:p>
        </w:tc>
        <w:tc>
          <w:tcPr>
            <w:tcW w:w="408" w:type="pct"/>
            <w:shd w:val="clear" w:color="auto" w:fill="auto"/>
            <w:noWrap/>
            <w:vAlign w:val="center"/>
          </w:tcPr>
          <w:p w14:paraId="5B15E4D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19 (65.4)</w:t>
            </w:r>
          </w:p>
        </w:tc>
        <w:tc>
          <w:tcPr>
            <w:tcW w:w="408" w:type="pct"/>
            <w:tcBorders>
              <w:right w:val="single" w:sz="4" w:space="0" w:color="auto"/>
            </w:tcBorders>
            <w:vAlign w:val="center"/>
          </w:tcPr>
          <w:p w14:paraId="71F9AF8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292" w:type="pct"/>
            <w:tcBorders>
              <w:left w:val="single" w:sz="4" w:space="0" w:color="auto"/>
            </w:tcBorders>
            <w:shd w:val="clear" w:color="auto" w:fill="auto"/>
            <w:vAlign w:val="center"/>
          </w:tcPr>
          <w:p w14:paraId="12CEAAB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36A1AC4" w14:textId="77777777" w:rsidTr="00DE61C5">
        <w:trPr>
          <w:trHeight w:val="320"/>
        </w:trPr>
        <w:tc>
          <w:tcPr>
            <w:tcW w:w="1444" w:type="pct"/>
            <w:tcBorders>
              <w:right w:val="single" w:sz="4" w:space="0" w:color="auto"/>
            </w:tcBorders>
            <w:shd w:val="clear" w:color="auto" w:fill="F2F2F2" w:themeFill="background1" w:themeFillShade="F2"/>
            <w:vAlign w:val="center"/>
          </w:tcPr>
          <w:p w14:paraId="0A078AC6" w14:textId="77777777" w:rsidR="00F24F47" w:rsidRPr="00DE61C5" w:rsidRDefault="00F24F47" w:rsidP="00DE61C5">
            <w:pPr>
              <w:spacing w:after="0" w:line="240" w:lineRule="auto"/>
              <w:rPr>
                <w:rFonts w:asciiTheme="majorBidi" w:eastAsia="Times New Roman" w:hAnsiTheme="majorBidi" w:cstheme="majorBidi"/>
                <w:b/>
                <w:bCs/>
                <w:sz w:val="18"/>
                <w:szCs w:val="18"/>
                <w:lang w:eastAsia="nl-BE"/>
              </w:rPr>
            </w:pPr>
            <w:r w:rsidRPr="00DE61C5">
              <w:rPr>
                <w:rFonts w:asciiTheme="majorBidi" w:eastAsia="Times New Roman" w:hAnsiTheme="majorBidi" w:cstheme="majorBidi"/>
                <w:b/>
                <w:bCs/>
                <w:sz w:val="18"/>
                <w:szCs w:val="18"/>
                <w:lang w:eastAsia="nl-BE"/>
              </w:rPr>
              <w:t>Pathophysiological manifestations</w:t>
            </w:r>
          </w:p>
        </w:tc>
        <w:tc>
          <w:tcPr>
            <w:tcW w:w="408" w:type="pct"/>
            <w:tcBorders>
              <w:left w:val="single" w:sz="4" w:space="0" w:color="auto"/>
            </w:tcBorders>
            <w:shd w:val="clear" w:color="auto" w:fill="F2F2F2" w:themeFill="background1" w:themeFillShade="F2"/>
            <w:vAlign w:val="center"/>
          </w:tcPr>
          <w:p w14:paraId="5E6375D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vAlign w:val="center"/>
          </w:tcPr>
          <w:p w14:paraId="28AD985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vAlign w:val="center"/>
          </w:tcPr>
          <w:p w14:paraId="26BB3C5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right w:val="single" w:sz="4" w:space="0" w:color="auto"/>
            </w:tcBorders>
            <w:shd w:val="clear" w:color="auto" w:fill="F2F2F2" w:themeFill="background1" w:themeFillShade="F2"/>
            <w:vAlign w:val="center"/>
          </w:tcPr>
          <w:p w14:paraId="7807C36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left w:val="single" w:sz="4" w:space="0" w:color="auto"/>
            </w:tcBorders>
            <w:shd w:val="clear" w:color="auto" w:fill="F2F2F2" w:themeFill="background1" w:themeFillShade="F2"/>
            <w:vAlign w:val="center"/>
          </w:tcPr>
          <w:p w14:paraId="5CE03DC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vAlign w:val="center"/>
          </w:tcPr>
          <w:p w14:paraId="21AEE2C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shd w:val="clear" w:color="auto" w:fill="F2F2F2" w:themeFill="background1" w:themeFillShade="F2"/>
            <w:noWrap/>
            <w:vAlign w:val="center"/>
          </w:tcPr>
          <w:p w14:paraId="4D3E737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408" w:type="pct"/>
            <w:tcBorders>
              <w:right w:val="single" w:sz="4" w:space="0" w:color="auto"/>
            </w:tcBorders>
            <w:shd w:val="clear" w:color="auto" w:fill="F2F2F2" w:themeFill="background1" w:themeFillShade="F2"/>
            <w:vAlign w:val="center"/>
          </w:tcPr>
          <w:p w14:paraId="6FE146A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c>
          <w:tcPr>
            <w:tcW w:w="292" w:type="pct"/>
            <w:tcBorders>
              <w:left w:val="single" w:sz="4" w:space="0" w:color="auto"/>
            </w:tcBorders>
            <w:shd w:val="clear" w:color="auto" w:fill="F2F2F2" w:themeFill="background1" w:themeFillShade="F2"/>
            <w:vAlign w:val="center"/>
          </w:tcPr>
          <w:p w14:paraId="3060FA2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p>
        </w:tc>
      </w:tr>
      <w:tr w:rsidR="00F24F47" w:rsidRPr="00DE61C5" w14:paraId="7821C823" w14:textId="77777777" w:rsidTr="00DE61C5">
        <w:trPr>
          <w:trHeight w:val="320"/>
        </w:trPr>
        <w:tc>
          <w:tcPr>
            <w:tcW w:w="1444" w:type="pct"/>
            <w:tcBorders>
              <w:right w:val="single" w:sz="4" w:space="0" w:color="auto"/>
            </w:tcBorders>
            <w:shd w:val="clear" w:color="auto" w:fill="auto"/>
            <w:vAlign w:val="center"/>
            <w:hideMark/>
          </w:tcPr>
          <w:p w14:paraId="68918E31"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Bleeding</w:t>
            </w:r>
          </w:p>
        </w:tc>
        <w:tc>
          <w:tcPr>
            <w:tcW w:w="408" w:type="pct"/>
            <w:tcBorders>
              <w:left w:val="single" w:sz="4" w:space="0" w:color="auto"/>
            </w:tcBorders>
            <w:shd w:val="clear" w:color="auto" w:fill="auto"/>
            <w:vAlign w:val="center"/>
          </w:tcPr>
          <w:p w14:paraId="3308E87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(24.0)</w:t>
            </w:r>
          </w:p>
        </w:tc>
        <w:tc>
          <w:tcPr>
            <w:tcW w:w="408" w:type="pct"/>
            <w:shd w:val="clear" w:color="auto" w:fill="auto"/>
            <w:vAlign w:val="center"/>
          </w:tcPr>
          <w:p w14:paraId="77CAB79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(28.0)</w:t>
            </w:r>
          </w:p>
        </w:tc>
        <w:tc>
          <w:tcPr>
            <w:tcW w:w="408" w:type="pct"/>
            <w:shd w:val="clear" w:color="auto" w:fill="auto"/>
            <w:vAlign w:val="center"/>
          </w:tcPr>
          <w:p w14:paraId="36F28CC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(48.0)</w:t>
            </w:r>
          </w:p>
        </w:tc>
        <w:tc>
          <w:tcPr>
            <w:tcW w:w="408" w:type="pct"/>
            <w:tcBorders>
              <w:right w:val="single" w:sz="4" w:space="0" w:color="auto"/>
            </w:tcBorders>
            <w:vAlign w:val="center"/>
          </w:tcPr>
          <w:p w14:paraId="120E7AB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5085A31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(14.8)</w:t>
            </w:r>
          </w:p>
        </w:tc>
        <w:tc>
          <w:tcPr>
            <w:tcW w:w="408" w:type="pct"/>
            <w:shd w:val="clear" w:color="auto" w:fill="auto"/>
            <w:vAlign w:val="center"/>
          </w:tcPr>
          <w:p w14:paraId="31CE1AB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(18.5)</w:t>
            </w:r>
          </w:p>
        </w:tc>
        <w:tc>
          <w:tcPr>
            <w:tcW w:w="408" w:type="pct"/>
            <w:shd w:val="clear" w:color="auto" w:fill="auto"/>
            <w:noWrap/>
            <w:vAlign w:val="center"/>
          </w:tcPr>
          <w:p w14:paraId="4AE4DB1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18 (66.6)</w:t>
            </w:r>
          </w:p>
        </w:tc>
        <w:tc>
          <w:tcPr>
            <w:tcW w:w="408" w:type="pct"/>
            <w:tcBorders>
              <w:right w:val="single" w:sz="4" w:space="0" w:color="auto"/>
            </w:tcBorders>
            <w:vAlign w:val="center"/>
          </w:tcPr>
          <w:p w14:paraId="48B6DD8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292" w:type="pct"/>
            <w:tcBorders>
              <w:left w:val="single" w:sz="4" w:space="0" w:color="auto"/>
            </w:tcBorders>
            <w:shd w:val="clear" w:color="auto" w:fill="auto"/>
            <w:vAlign w:val="center"/>
          </w:tcPr>
          <w:p w14:paraId="2A5E20E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41F1D6FF" w14:textId="77777777" w:rsidTr="00DE61C5">
        <w:trPr>
          <w:trHeight w:val="320"/>
        </w:trPr>
        <w:tc>
          <w:tcPr>
            <w:tcW w:w="1444" w:type="pct"/>
            <w:tcBorders>
              <w:right w:val="single" w:sz="4" w:space="0" w:color="auto"/>
            </w:tcBorders>
            <w:shd w:val="clear" w:color="auto" w:fill="auto"/>
            <w:vAlign w:val="center"/>
            <w:hideMark/>
          </w:tcPr>
          <w:p w14:paraId="4307CEB7"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Bullae</w:t>
            </w:r>
          </w:p>
        </w:tc>
        <w:tc>
          <w:tcPr>
            <w:tcW w:w="408" w:type="pct"/>
            <w:tcBorders>
              <w:left w:val="single" w:sz="4" w:space="0" w:color="auto"/>
            </w:tcBorders>
            <w:shd w:val="clear" w:color="auto" w:fill="auto"/>
            <w:vAlign w:val="center"/>
          </w:tcPr>
          <w:p w14:paraId="1D9220D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(20.0)</w:t>
            </w:r>
          </w:p>
        </w:tc>
        <w:tc>
          <w:tcPr>
            <w:tcW w:w="408" w:type="pct"/>
            <w:shd w:val="clear" w:color="auto" w:fill="auto"/>
            <w:vAlign w:val="center"/>
          </w:tcPr>
          <w:p w14:paraId="0A01BFB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(28.0)</w:t>
            </w:r>
          </w:p>
        </w:tc>
        <w:tc>
          <w:tcPr>
            <w:tcW w:w="408" w:type="pct"/>
            <w:shd w:val="clear" w:color="auto" w:fill="auto"/>
            <w:vAlign w:val="center"/>
          </w:tcPr>
          <w:p w14:paraId="002424B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(52.0)</w:t>
            </w:r>
          </w:p>
        </w:tc>
        <w:tc>
          <w:tcPr>
            <w:tcW w:w="408" w:type="pct"/>
            <w:tcBorders>
              <w:right w:val="single" w:sz="4" w:space="0" w:color="auto"/>
            </w:tcBorders>
            <w:vAlign w:val="center"/>
          </w:tcPr>
          <w:p w14:paraId="05A0A55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7EF4E5C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(8.4)</w:t>
            </w:r>
          </w:p>
        </w:tc>
        <w:tc>
          <w:tcPr>
            <w:tcW w:w="408" w:type="pct"/>
            <w:shd w:val="clear" w:color="auto" w:fill="auto"/>
            <w:vAlign w:val="center"/>
          </w:tcPr>
          <w:p w14:paraId="142021A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(20.8)</w:t>
            </w:r>
          </w:p>
        </w:tc>
        <w:tc>
          <w:tcPr>
            <w:tcW w:w="408" w:type="pct"/>
            <w:shd w:val="clear" w:color="auto" w:fill="auto"/>
            <w:noWrap/>
            <w:vAlign w:val="center"/>
          </w:tcPr>
          <w:p w14:paraId="2FB8D2D3"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17 (70.8)</w:t>
            </w:r>
          </w:p>
        </w:tc>
        <w:tc>
          <w:tcPr>
            <w:tcW w:w="408" w:type="pct"/>
            <w:tcBorders>
              <w:right w:val="single" w:sz="4" w:space="0" w:color="auto"/>
            </w:tcBorders>
            <w:vAlign w:val="center"/>
          </w:tcPr>
          <w:p w14:paraId="607CAE7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2A3EAFF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26824778" w14:textId="77777777" w:rsidTr="00DE61C5">
        <w:trPr>
          <w:trHeight w:val="320"/>
        </w:trPr>
        <w:tc>
          <w:tcPr>
            <w:tcW w:w="1444" w:type="pct"/>
            <w:tcBorders>
              <w:right w:val="single" w:sz="4" w:space="0" w:color="auto"/>
            </w:tcBorders>
            <w:shd w:val="clear" w:color="auto" w:fill="auto"/>
            <w:vAlign w:val="center"/>
            <w:hideMark/>
          </w:tcPr>
          <w:p w14:paraId="75D1D1EB"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lastRenderedPageBreak/>
              <w:t>Clinical characteristics of skin surrounding IAD area assessed by caregiver</w:t>
            </w:r>
          </w:p>
        </w:tc>
        <w:tc>
          <w:tcPr>
            <w:tcW w:w="408" w:type="pct"/>
            <w:tcBorders>
              <w:left w:val="single" w:sz="4" w:space="0" w:color="auto"/>
            </w:tcBorders>
            <w:shd w:val="clear" w:color="auto" w:fill="auto"/>
            <w:vAlign w:val="center"/>
          </w:tcPr>
          <w:p w14:paraId="0D6F2A0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(3.8)</w:t>
            </w:r>
          </w:p>
        </w:tc>
        <w:tc>
          <w:tcPr>
            <w:tcW w:w="408" w:type="pct"/>
            <w:shd w:val="clear" w:color="auto" w:fill="auto"/>
            <w:vAlign w:val="center"/>
          </w:tcPr>
          <w:p w14:paraId="7CACC3A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8 (30.8)</w:t>
            </w:r>
          </w:p>
        </w:tc>
        <w:tc>
          <w:tcPr>
            <w:tcW w:w="408" w:type="pct"/>
            <w:shd w:val="clear" w:color="auto" w:fill="auto"/>
            <w:vAlign w:val="center"/>
          </w:tcPr>
          <w:p w14:paraId="0AD9FD5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17 (65.4)</w:t>
            </w:r>
          </w:p>
        </w:tc>
        <w:tc>
          <w:tcPr>
            <w:tcW w:w="408" w:type="pct"/>
            <w:tcBorders>
              <w:right w:val="single" w:sz="4" w:space="0" w:color="auto"/>
            </w:tcBorders>
            <w:vAlign w:val="center"/>
          </w:tcPr>
          <w:p w14:paraId="67D7A96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578B7963"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(4.0)</w:t>
            </w:r>
          </w:p>
        </w:tc>
        <w:tc>
          <w:tcPr>
            <w:tcW w:w="408" w:type="pct"/>
            <w:shd w:val="clear" w:color="auto" w:fill="auto"/>
            <w:vAlign w:val="center"/>
          </w:tcPr>
          <w:p w14:paraId="1CBCAD0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(20.0)</w:t>
            </w:r>
          </w:p>
        </w:tc>
        <w:tc>
          <w:tcPr>
            <w:tcW w:w="408" w:type="pct"/>
            <w:shd w:val="clear" w:color="auto" w:fill="auto"/>
            <w:noWrap/>
            <w:vAlign w:val="center"/>
          </w:tcPr>
          <w:p w14:paraId="0D47764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19 (76)</w:t>
            </w:r>
          </w:p>
        </w:tc>
        <w:tc>
          <w:tcPr>
            <w:tcW w:w="408" w:type="pct"/>
            <w:tcBorders>
              <w:right w:val="single" w:sz="4" w:space="0" w:color="auto"/>
            </w:tcBorders>
            <w:vAlign w:val="center"/>
          </w:tcPr>
          <w:p w14:paraId="0991889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2F31D9E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7BD442B2" w14:textId="77777777" w:rsidTr="00DE61C5">
        <w:trPr>
          <w:trHeight w:val="320"/>
        </w:trPr>
        <w:tc>
          <w:tcPr>
            <w:tcW w:w="1444" w:type="pct"/>
            <w:tcBorders>
              <w:right w:val="single" w:sz="4" w:space="0" w:color="auto"/>
            </w:tcBorders>
            <w:shd w:val="clear" w:color="auto" w:fill="auto"/>
            <w:vAlign w:val="center"/>
            <w:hideMark/>
          </w:tcPr>
          <w:p w14:paraId="6EFC8F6C"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 xml:space="preserve">Clinical signs of inflammation / </w:t>
            </w:r>
            <w:proofErr w:type="spellStart"/>
            <w:r w:rsidRPr="00DE61C5">
              <w:rPr>
                <w:rFonts w:asciiTheme="majorBidi" w:eastAsia="Times New Roman" w:hAnsiTheme="majorBidi" w:cstheme="majorBidi"/>
                <w:sz w:val="18"/>
                <w:szCs w:val="18"/>
                <w:lang w:val="en-US" w:eastAsia="nl-BE"/>
              </w:rPr>
              <w:t>colonisation</w:t>
            </w:r>
            <w:proofErr w:type="spellEnd"/>
            <w:r w:rsidRPr="00DE61C5">
              <w:rPr>
                <w:rFonts w:asciiTheme="majorBidi" w:eastAsia="Times New Roman" w:hAnsiTheme="majorBidi" w:cstheme="majorBidi"/>
                <w:sz w:val="18"/>
                <w:szCs w:val="18"/>
                <w:lang w:val="en-US" w:eastAsia="nl-BE"/>
              </w:rPr>
              <w:t xml:space="preserve"> / infection of IAD area assessed by caregiver</w:t>
            </w:r>
          </w:p>
        </w:tc>
        <w:tc>
          <w:tcPr>
            <w:tcW w:w="408" w:type="pct"/>
            <w:tcBorders>
              <w:left w:val="single" w:sz="4" w:space="0" w:color="auto"/>
            </w:tcBorders>
            <w:shd w:val="clear" w:color="auto" w:fill="auto"/>
            <w:vAlign w:val="center"/>
          </w:tcPr>
          <w:p w14:paraId="6A17115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0 (0.0)</w:t>
            </w:r>
          </w:p>
        </w:tc>
        <w:tc>
          <w:tcPr>
            <w:tcW w:w="408" w:type="pct"/>
            <w:shd w:val="clear" w:color="auto" w:fill="auto"/>
            <w:vAlign w:val="center"/>
          </w:tcPr>
          <w:p w14:paraId="120191E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6 (23.1)</w:t>
            </w:r>
          </w:p>
        </w:tc>
        <w:tc>
          <w:tcPr>
            <w:tcW w:w="408" w:type="pct"/>
            <w:shd w:val="clear" w:color="auto" w:fill="auto"/>
            <w:vAlign w:val="center"/>
          </w:tcPr>
          <w:p w14:paraId="6147D79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20 (76.9)</w:t>
            </w:r>
          </w:p>
        </w:tc>
        <w:tc>
          <w:tcPr>
            <w:tcW w:w="408" w:type="pct"/>
            <w:tcBorders>
              <w:right w:val="single" w:sz="4" w:space="0" w:color="auto"/>
            </w:tcBorders>
            <w:vAlign w:val="center"/>
          </w:tcPr>
          <w:p w14:paraId="1C27637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2E1EFC35"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(7.6)</w:t>
            </w:r>
          </w:p>
        </w:tc>
        <w:tc>
          <w:tcPr>
            <w:tcW w:w="408" w:type="pct"/>
            <w:shd w:val="clear" w:color="auto" w:fill="auto"/>
            <w:vAlign w:val="center"/>
          </w:tcPr>
          <w:p w14:paraId="75BE576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(11.5)</w:t>
            </w:r>
          </w:p>
        </w:tc>
        <w:tc>
          <w:tcPr>
            <w:tcW w:w="408" w:type="pct"/>
            <w:shd w:val="clear" w:color="auto" w:fill="auto"/>
            <w:noWrap/>
            <w:vAlign w:val="center"/>
          </w:tcPr>
          <w:p w14:paraId="222B84E0"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21 (80.8)</w:t>
            </w:r>
          </w:p>
        </w:tc>
        <w:tc>
          <w:tcPr>
            <w:tcW w:w="408" w:type="pct"/>
            <w:tcBorders>
              <w:right w:val="single" w:sz="4" w:space="0" w:color="auto"/>
            </w:tcBorders>
            <w:vAlign w:val="center"/>
          </w:tcPr>
          <w:p w14:paraId="7A954E6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4CEEAF9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18F17572" w14:textId="77777777" w:rsidTr="00DE61C5">
        <w:trPr>
          <w:trHeight w:val="320"/>
        </w:trPr>
        <w:tc>
          <w:tcPr>
            <w:tcW w:w="1444" w:type="pct"/>
            <w:tcBorders>
              <w:right w:val="single" w:sz="4" w:space="0" w:color="auto"/>
            </w:tcBorders>
            <w:shd w:val="clear" w:color="auto" w:fill="auto"/>
            <w:vAlign w:val="center"/>
            <w:hideMark/>
          </w:tcPr>
          <w:p w14:paraId="190FA200"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Cracking</w:t>
            </w:r>
          </w:p>
        </w:tc>
        <w:tc>
          <w:tcPr>
            <w:tcW w:w="408" w:type="pct"/>
            <w:tcBorders>
              <w:left w:val="single" w:sz="4" w:space="0" w:color="auto"/>
            </w:tcBorders>
            <w:shd w:val="clear" w:color="auto" w:fill="auto"/>
            <w:vAlign w:val="center"/>
          </w:tcPr>
          <w:p w14:paraId="07C68CE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vAlign w:val="center"/>
          </w:tcPr>
          <w:p w14:paraId="6717540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(43.2)</w:t>
            </w:r>
          </w:p>
        </w:tc>
        <w:tc>
          <w:tcPr>
            <w:tcW w:w="408" w:type="pct"/>
            <w:shd w:val="clear" w:color="auto" w:fill="auto"/>
            <w:vAlign w:val="center"/>
          </w:tcPr>
          <w:p w14:paraId="04FF648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(34.6)</w:t>
            </w:r>
          </w:p>
        </w:tc>
        <w:tc>
          <w:tcPr>
            <w:tcW w:w="408" w:type="pct"/>
            <w:tcBorders>
              <w:right w:val="single" w:sz="4" w:space="0" w:color="auto"/>
            </w:tcBorders>
            <w:vAlign w:val="center"/>
          </w:tcPr>
          <w:p w14:paraId="54C0CD5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03932A5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(12.0)</w:t>
            </w:r>
          </w:p>
        </w:tc>
        <w:tc>
          <w:tcPr>
            <w:tcW w:w="408" w:type="pct"/>
            <w:shd w:val="clear" w:color="auto" w:fill="auto"/>
            <w:vAlign w:val="center"/>
          </w:tcPr>
          <w:p w14:paraId="3FCC6FB3"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(20.0)</w:t>
            </w:r>
          </w:p>
        </w:tc>
        <w:tc>
          <w:tcPr>
            <w:tcW w:w="408" w:type="pct"/>
            <w:shd w:val="clear" w:color="auto" w:fill="auto"/>
            <w:noWrap/>
            <w:vAlign w:val="center"/>
          </w:tcPr>
          <w:p w14:paraId="20E5F7ED"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17 (68.0)</w:t>
            </w:r>
          </w:p>
        </w:tc>
        <w:tc>
          <w:tcPr>
            <w:tcW w:w="408" w:type="pct"/>
            <w:tcBorders>
              <w:right w:val="single" w:sz="4" w:space="0" w:color="auto"/>
            </w:tcBorders>
            <w:vAlign w:val="center"/>
          </w:tcPr>
          <w:p w14:paraId="3165070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0BCB7FC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9D23E3A" w14:textId="77777777" w:rsidTr="00DE61C5">
        <w:trPr>
          <w:trHeight w:val="320"/>
        </w:trPr>
        <w:tc>
          <w:tcPr>
            <w:tcW w:w="1444" w:type="pct"/>
            <w:tcBorders>
              <w:right w:val="single" w:sz="4" w:space="0" w:color="auto"/>
            </w:tcBorders>
            <w:shd w:val="clear" w:color="auto" w:fill="auto"/>
            <w:vAlign w:val="center"/>
            <w:hideMark/>
          </w:tcPr>
          <w:p w14:paraId="023357D5"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Crusting</w:t>
            </w:r>
          </w:p>
        </w:tc>
        <w:tc>
          <w:tcPr>
            <w:tcW w:w="408" w:type="pct"/>
            <w:tcBorders>
              <w:left w:val="single" w:sz="4" w:space="0" w:color="auto"/>
            </w:tcBorders>
            <w:shd w:val="clear" w:color="auto" w:fill="auto"/>
            <w:vAlign w:val="center"/>
          </w:tcPr>
          <w:p w14:paraId="06BD297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(26.9)</w:t>
            </w:r>
          </w:p>
        </w:tc>
        <w:tc>
          <w:tcPr>
            <w:tcW w:w="408" w:type="pct"/>
            <w:shd w:val="clear" w:color="auto" w:fill="auto"/>
            <w:vAlign w:val="center"/>
          </w:tcPr>
          <w:p w14:paraId="21EBD48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(38.5)</w:t>
            </w:r>
          </w:p>
        </w:tc>
        <w:tc>
          <w:tcPr>
            <w:tcW w:w="408" w:type="pct"/>
            <w:shd w:val="clear" w:color="auto" w:fill="auto"/>
            <w:vAlign w:val="center"/>
          </w:tcPr>
          <w:p w14:paraId="6F4629C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(34.6)</w:t>
            </w:r>
          </w:p>
        </w:tc>
        <w:tc>
          <w:tcPr>
            <w:tcW w:w="408" w:type="pct"/>
            <w:tcBorders>
              <w:right w:val="single" w:sz="4" w:space="0" w:color="auto"/>
            </w:tcBorders>
            <w:vAlign w:val="center"/>
          </w:tcPr>
          <w:p w14:paraId="71BCF4C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7907F4F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(15.4)</w:t>
            </w:r>
          </w:p>
        </w:tc>
        <w:tc>
          <w:tcPr>
            <w:tcW w:w="408" w:type="pct"/>
            <w:shd w:val="clear" w:color="auto" w:fill="auto"/>
            <w:vAlign w:val="center"/>
          </w:tcPr>
          <w:p w14:paraId="414DDD95"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6 (16.0)</w:t>
            </w:r>
          </w:p>
        </w:tc>
        <w:tc>
          <w:tcPr>
            <w:tcW w:w="408" w:type="pct"/>
            <w:shd w:val="clear" w:color="auto" w:fill="auto"/>
            <w:noWrap/>
            <w:vAlign w:val="center"/>
          </w:tcPr>
          <w:p w14:paraId="633A70F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16 (61.5)</w:t>
            </w:r>
          </w:p>
        </w:tc>
        <w:tc>
          <w:tcPr>
            <w:tcW w:w="408" w:type="pct"/>
            <w:tcBorders>
              <w:right w:val="single" w:sz="4" w:space="0" w:color="auto"/>
            </w:tcBorders>
            <w:vAlign w:val="center"/>
          </w:tcPr>
          <w:p w14:paraId="540CE41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0D97F65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2F0E4ED" w14:textId="77777777" w:rsidTr="00DE61C5">
        <w:trPr>
          <w:trHeight w:val="320"/>
        </w:trPr>
        <w:tc>
          <w:tcPr>
            <w:tcW w:w="1444" w:type="pct"/>
            <w:tcBorders>
              <w:right w:val="single" w:sz="4" w:space="0" w:color="auto"/>
            </w:tcBorders>
            <w:shd w:val="clear" w:color="auto" w:fill="auto"/>
            <w:vAlign w:val="center"/>
            <w:hideMark/>
          </w:tcPr>
          <w:p w14:paraId="31A9E9A6"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Denudation</w:t>
            </w:r>
          </w:p>
        </w:tc>
        <w:tc>
          <w:tcPr>
            <w:tcW w:w="408" w:type="pct"/>
            <w:tcBorders>
              <w:left w:val="single" w:sz="4" w:space="0" w:color="auto"/>
            </w:tcBorders>
            <w:shd w:val="clear" w:color="auto" w:fill="auto"/>
            <w:vAlign w:val="center"/>
          </w:tcPr>
          <w:p w14:paraId="5E75501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(8.0)</w:t>
            </w:r>
          </w:p>
        </w:tc>
        <w:tc>
          <w:tcPr>
            <w:tcW w:w="408" w:type="pct"/>
            <w:shd w:val="clear" w:color="auto" w:fill="auto"/>
            <w:vAlign w:val="center"/>
          </w:tcPr>
          <w:p w14:paraId="558E1A1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478C6DE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19 (76.0)</w:t>
            </w:r>
          </w:p>
        </w:tc>
        <w:tc>
          <w:tcPr>
            <w:tcW w:w="408" w:type="pct"/>
            <w:tcBorders>
              <w:right w:val="single" w:sz="4" w:space="0" w:color="auto"/>
            </w:tcBorders>
            <w:vAlign w:val="center"/>
          </w:tcPr>
          <w:p w14:paraId="7161069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3245C5BD"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(7.6)</w:t>
            </w:r>
          </w:p>
        </w:tc>
        <w:tc>
          <w:tcPr>
            <w:tcW w:w="408" w:type="pct"/>
            <w:shd w:val="clear" w:color="auto" w:fill="auto"/>
            <w:vAlign w:val="center"/>
          </w:tcPr>
          <w:p w14:paraId="39BFAE3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 (3.8)</w:t>
            </w:r>
          </w:p>
        </w:tc>
        <w:tc>
          <w:tcPr>
            <w:tcW w:w="408" w:type="pct"/>
            <w:shd w:val="clear" w:color="auto" w:fill="auto"/>
            <w:noWrap/>
            <w:vAlign w:val="center"/>
          </w:tcPr>
          <w:p w14:paraId="098B438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23 (88.4)</w:t>
            </w:r>
          </w:p>
        </w:tc>
        <w:tc>
          <w:tcPr>
            <w:tcW w:w="408" w:type="pct"/>
            <w:tcBorders>
              <w:right w:val="single" w:sz="4" w:space="0" w:color="auto"/>
            </w:tcBorders>
            <w:vAlign w:val="center"/>
          </w:tcPr>
          <w:p w14:paraId="3EAB74A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52A805B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67324C99" w14:textId="77777777" w:rsidTr="00DE61C5">
        <w:trPr>
          <w:trHeight w:val="320"/>
        </w:trPr>
        <w:tc>
          <w:tcPr>
            <w:tcW w:w="1444" w:type="pct"/>
            <w:tcBorders>
              <w:right w:val="single" w:sz="4" w:space="0" w:color="auto"/>
            </w:tcBorders>
            <w:shd w:val="clear" w:color="auto" w:fill="auto"/>
            <w:vAlign w:val="center"/>
            <w:hideMark/>
          </w:tcPr>
          <w:p w14:paraId="3E8B1397"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Desquamation</w:t>
            </w:r>
          </w:p>
        </w:tc>
        <w:tc>
          <w:tcPr>
            <w:tcW w:w="408" w:type="pct"/>
            <w:tcBorders>
              <w:left w:val="single" w:sz="4" w:space="0" w:color="auto"/>
            </w:tcBorders>
            <w:shd w:val="clear" w:color="auto" w:fill="auto"/>
            <w:vAlign w:val="center"/>
          </w:tcPr>
          <w:p w14:paraId="787B6A3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(24.0)</w:t>
            </w:r>
          </w:p>
        </w:tc>
        <w:tc>
          <w:tcPr>
            <w:tcW w:w="408" w:type="pct"/>
            <w:shd w:val="clear" w:color="auto" w:fill="auto"/>
            <w:vAlign w:val="center"/>
          </w:tcPr>
          <w:p w14:paraId="31A76C9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(32.0)</w:t>
            </w:r>
          </w:p>
        </w:tc>
        <w:tc>
          <w:tcPr>
            <w:tcW w:w="408" w:type="pct"/>
            <w:shd w:val="clear" w:color="auto" w:fill="auto"/>
            <w:vAlign w:val="center"/>
          </w:tcPr>
          <w:p w14:paraId="7EFDD32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(44.0)</w:t>
            </w:r>
          </w:p>
        </w:tc>
        <w:tc>
          <w:tcPr>
            <w:tcW w:w="408" w:type="pct"/>
            <w:tcBorders>
              <w:right w:val="single" w:sz="4" w:space="0" w:color="auto"/>
            </w:tcBorders>
            <w:vAlign w:val="center"/>
          </w:tcPr>
          <w:p w14:paraId="6A9AEB3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543D973C"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(15.3)</w:t>
            </w:r>
          </w:p>
        </w:tc>
        <w:tc>
          <w:tcPr>
            <w:tcW w:w="408" w:type="pct"/>
            <w:shd w:val="clear" w:color="auto" w:fill="auto"/>
            <w:vAlign w:val="center"/>
          </w:tcPr>
          <w:p w14:paraId="59DFA9D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(7.7)</w:t>
            </w:r>
          </w:p>
        </w:tc>
        <w:tc>
          <w:tcPr>
            <w:tcW w:w="408" w:type="pct"/>
            <w:shd w:val="clear" w:color="auto" w:fill="auto"/>
            <w:noWrap/>
            <w:vAlign w:val="center"/>
          </w:tcPr>
          <w:p w14:paraId="7484980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17 (65.4)</w:t>
            </w:r>
          </w:p>
        </w:tc>
        <w:tc>
          <w:tcPr>
            <w:tcW w:w="408" w:type="pct"/>
            <w:tcBorders>
              <w:right w:val="single" w:sz="4" w:space="0" w:color="auto"/>
            </w:tcBorders>
            <w:vAlign w:val="center"/>
          </w:tcPr>
          <w:p w14:paraId="1DC8C0A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3993691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53C1DA6" w14:textId="77777777" w:rsidTr="00DE61C5">
        <w:trPr>
          <w:trHeight w:val="320"/>
        </w:trPr>
        <w:tc>
          <w:tcPr>
            <w:tcW w:w="1444" w:type="pct"/>
            <w:tcBorders>
              <w:right w:val="single" w:sz="4" w:space="0" w:color="auto"/>
            </w:tcBorders>
            <w:shd w:val="clear" w:color="auto" w:fill="auto"/>
            <w:vAlign w:val="center"/>
            <w:hideMark/>
          </w:tcPr>
          <w:p w14:paraId="0FB175DB"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Discolouration</w:t>
            </w:r>
          </w:p>
        </w:tc>
        <w:tc>
          <w:tcPr>
            <w:tcW w:w="408" w:type="pct"/>
            <w:tcBorders>
              <w:left w:val="single" w:sz="4" w:space="0" w:color="auto"/>
            </w:tcBorders>
            <w:shd w:val="clear" w:color="auto" w:fill="auto"/>
            <w:vAlign w:val="center"/>
          </w:tcPr>
          <w:p w14:paraId="2603181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vAlign w:val="center"/>
          </w:tcPr>
          <w:p w14:paraId="5FC019C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(26.9)</w:t>
            </w:r>
          </w:p>
        </w:tc>
        <w:tc>
          <w:tcPr>
            <w:tcW w:w="408" w:type="pct"/>
            <w:shd w:val="clear" w:color="auto" w:fill="auto"/>
            <w:vAlign w:val="center"/>
          </w:tcPr>
          <w:p w14:paraId="67A99E9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14 (53.8)</w:t>
            </w:r>
          </w:p>
        </w:tc>
        <w:tc>
          <w:tcPr>
            <w:tcW w:w="408" w:type="pct"/>
            <w:tcBorders>
              <w:right w:val="single" w:sz="4" w:space="0" w:color="auto"/>
            </w:tcBorders>
            <w:vAlign w:val="center"/>
          </w:tcPr>
          <w:p w14:paraId="7135E2A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3B449AF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(8.4)</w:t>
            </w:r>
          </w:p>
        </w:tc>
        <w:tc>
          <w:tcPr>
            <w:tcW w:w="408" w:type="pct"/>
            <w:shd w:val="clear" w:color="auto" w:fill="auto"/>
            <w:vAlign w:val="center"/>
          </w:tcPr>
          <w:p w14:paraId="51FA23C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(20.9</w:t>
            </w:r>
          </w:p>
        </w:tc>
        <w:tc>
          <w:tcPr>
            <w:tcW w:w="408" w:type="pct"/>
            <w:shd w:val="clear" w:color="auto" w:fill="auto"/>
            <w:noWrap/>
            <w:vAlign w:val="center"/>
          </w:tcPr>
          <w:p w14:paraId="043BD45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17 (70.8)</w:t>
            </w:r>
          </w:p>
        </w:tc>
        <w:tc>
          <w:tcPr>
            <w:tcW w:w="408" w:type="pct"/>
            <w:tcBorders>
              <w:right w:val="single" w:sz="4" w:space="0" w:color="auto"/>
            </w:tcBorders>
            <w:vAlign w:val="center"/>
          </w:tcPr>
          <w:p w14:paraId="064E3D9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029E7D5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2745550F" w14:textId="77777777" w:rsidTr="00DE61C5">
        <w:trPr>
          <w:trHeight w:val="320"/>
        </w:trPr>
        <w:tc>
          <w:tcPr>
            <w:tcW w:w="1444" w:type="pct"/>
            <w:tcBorders>
              <w:right w:val="single" w:sz="4" w:space="0" w:color="auto"/>
            </w:tcBorders>
            <w:shd w:val="clear" w:color="auto" w:fill="auto"/>
            <w:vAlign w:val="center"/>
            <w:hideMark/>
          </w:tcPr>
          <w:p w14:paraId="3E4A1A03"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Dryness</w:t>
            </w:r>
          </w:p>
        </w:tc>
        <w:tc>
          <w:tcPr>
            <w:tcW w:w="408" w:type="pct"/>
            <w:tcBorders>
              <w:left w:val="single" w:sz="4" w:space="0" w:color="auto"/>
            </w:tcBorders>
            <w:shd w:val="clear" w:color="auto" w:fill="auto"/>
            <w:vAlign w:val="center"/>
          </w:tcPr>
          <w:p w14:paraId="3BD4B21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vAlign w:val="center"/>
          </w:tcPr>
          <w:p w14:paraId="69C1F83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(42.3)</w:t>
            </w:r>
          </w:p>
        </w:tc>
        <w:tc>
          <w:tcPr>
            <w:tcW w:w="408" w:type="pct"/>
            <w:shd w:val="clear" w:color="auto" w:fill="auto"/>
            <w:vAlign w:val="center"/>
          </w:tcPr>
          <w:p w14:paraId="515D707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(38.5)</w:t>
            </w:r>
          </w:p>
        </w:tc>
        <w:tc>
          <w:tcPr>
            <w:tcW w:w="408" w:type="pct"/>
            <w:tcBorders>
              <w:right w:val="single" w:sz="4" w:space="0" w:color="auto"/>
            </w:tcBorders>
            <w:vAlign w:val="center"/>
          </w:tcPr>
          <w:p w14:paraId="08AF539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492614E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(16.0)</w:t>
            </w:r>
          </w:p>
        </w:tc>
        <w:tc>
          <w:tcPr>
            <w:tcW w:w="408" w:type="pct"/>
            <w:shd w:val="clear" w:color="auto" w:fill="auto"/>
            <w:vAlign w:val="center"/>
          </w:tcPr>
          <w:p w14:paraId="54FCCE5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(20.0)</w:t>
            </w:r>
          </w:p>
        </w:tc>
        <w:tc>
          <w:tcPr>
            <w:tcW w:w="408" w:type="pct"/>
            <w:shd w:val="clear" w:color="auto" w:fill="auto"/>
            <w:noWrap/>
            <w:vAlign w:val="center"/>
          </w:tcPr>
          <w:p w14:paraId="0184B31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16 (64.0)</w:t>
            </w:r>
          </w:p>
        </w:tc>
        <w:tc>
          <w:tcPr>
            <w:tcW w:w="408" w:type="pct"/>
            <w:tcBorders>
              <w:right w:val="single" w:sz="4" w:space="0" w:color="auto"/>
            </w:tcBorders>
            <w:vAlign w:val="center"/>
          </w:tcPr>
          <w:p w14:paraId="5AD6C71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7CA028A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70C2C5AA" w14:textId="77777777" w:rsidTr="00DE61C5">
        <w:trPr>
          <w:trHeight w:val="320"/>
        </w:trPr>
        <w:tc>
          <w:tcPr>
            <w:tcW w:w="1444" w:type="pct"/>
            <w:tcBorders>
              <w:right w:val="single" w:sz="4" w:space="0" w:color="auto"/>
            </w:tcBorders>
            <w:shd w:val="clear" w:color="auto" w:fill="auto"/>
            <w:vAlign w:val="center"/>
            <w:hideMark/>
          </w:tcPr>
          <w:p w14:paraId="29DCDC9E"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Erosion</w:t>
            </w:r>
          </w:p>
        </w:tc>
        <w:tc>
          <w:tcPr>
            <w:tcW w:w="408" w:type="pct"/>
            <w:tcBorders>
              <w:left w:val="single" w:sz="4" w:space="0" w:color="auto"/>
            </w:tcBorders>
            <w:shd w:val="clear" w:color="auto" w:fill="auto"/>
            <w:vAlign w:val="center"/>
          </w:tcPr>
          <w:p w14:paraId="19086DC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(4.0)</w:t>
            </w:r>
          </w:p>
        </w:tc>
        <w:tc>
          <w:tcPr>
            <w:tcW w:w="408" w:type="pct"/>
            <w:shd w:val="clear" w:color="auto" w:fill="auto"/>
            <w:vAlign w:val="center"/>
          </w:tcPr>
          <w:p w14:paraId="7367E64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(24.0)</w:t>
            </w:r>
          </w:p>
        </w:tc>
        <w:tc>
          <w:tcPr>
            <w:tcW w:w="408" w:type="pct"/>
            <w:shd w:val="clear" w:color="auto" w:fill="auto"/>
            <w:vAlign w:val="center"/>
          </w:tcPr>
          <w:p w14:paraId="73F9DEB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18 (72.0)</w:t>
            </w:r>
          </w:p>
        </w:tc>
        <w:tc>
          <w:tcPr>
            <w:tcW w:w="408" w:type="pct"/>
            <w:tcBorders>
              <w:right w:val="single" w:sz="4" w:space="0" w:color="auto"/>
            </w:tcBorders>
            <w:vAlign w:val="center"/>
          </w:tcPr>
          <w:p w14:paraId="53E344F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50DA84A3"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(16.0)</w:t>
            </w:r>
          </w:p>
        </w:tc>
        <w:tc>
          <w:tcPr>
            <w:tcW w:w="408" w:type="pct"/>
            <w:shd w:val="clear" w:color="auto" w:fill="auto"/>
            <w:vAlign w:val="center"/>
          </w:tcPr>
          <w:p w14:paraId="6A1F3C2D"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 (8.0)</w:t>
            </w:r>
          </w:p>
        </w:tc>
        <w:tc>
          <w:tcPr>
            <w:tcW w:w="408" w:type="pct"/>
            <w:shd w:val="clear" w:color="auto" w:fill="auto"/>
            <w:noWrap/>
            <w:vAlign w:val="center"/>
          </w:tcPr>
          <w:p w14:paraId="4B5477D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19 (76.0)</w:t>
            </w:r>
          </w:p>
        </w:tc>
        <w:tc>
          <w:tcPr>
            <w:tcW w:w="408" w:type="pct"/>
            <w:tcBorders>
              <w:right w:val="single" w:sz="4" w:space="0" w:color="auto"/>
            </w:tcBorders>
            <w:vAlign w:val="center"/>
          </w:tcPr>
          <w:p w14:paraId="0285753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54EF05E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18B80841" w14:textId="77777777" w:rsidTr="00DE61C5">
        <w:trPr>
          <w:trHeight w:val="320"/>
        </w:trPr>
        <w:tc>
          <w:tcPr>
            <w:tcW w:w="1444" w:type="pct"/>
            <w:tcBorders>
              <w:right w:val="single" w:sz="4" w:space="0" w:color="auto"/>
            </w:tcBorders>
            <w:shd w:val="clear" w:color="auto" w:fill="auto"/>
            <w:vAlign w:val="center"/>
            <w:hideMark/>
          </w:tcPr>
          <w:p w14:paraId="7B25EB90"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Erythema</w:t>
            </w:r>
          </w:p>
        </w:tc>
        <w:tc>
          <w:tcPr>
            <w:tcW w:w="408" w:type="pct"/>
            <w:tcBorders>
              <w:left w:val="single" w:sz="4" w:space="0" w:color="auto"/>
            </w:tcBorders>
            <w:shd w:val="clear" w:color="auto" w:fill="auto"/>
            <w:vAlign w:val="center"/>
          </w:tcPr>
          <w:p w14:paraId="78CAE73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(3.8)</w:t>
            </w:r>
          </w:p>
        </w:tc>
        <w:tc>
          <w:tcPr>
            <w:tcW w:w="408" w:type="pct"/>
            <w:shd w:val="clear" w:color="auto" w:fill="auto"/>
            <w:vAlign w:val="center"/>
          </w:tcPr>
          <w:p w14:paraId="1B1575E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(11.5)</w:t>
            </w:r>
          </w:p>
        </w:tc>
        <w:tc>
          <w:tcPr>
            <w:tcW w:w="408" w:type="pct"/>
            <w:shd w:val="clear" w:color="auto" w:fill="auto"/>
            <w:vAlign w:val="center"/>
          </w:tcPr>
          <w:p w14:paraId="21593D6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22 (84.6)</w:t>
            </w:r>
          </w:p>
        </w:tc>
        <w:tc>
          <w:tcPr>
            <w:tcW w:w="408" w:type="pct"/>
            <w:tcBorders>
              <w:right w:val="single" w:sz="4" w:space="0" w:color="auto"/>
            </w:tcBorders>
            <w:vAlign w:val="center"/>
          </w:tcPr>
          <w:p w14:paraId="779505A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2B07FB0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(4.0)</w:t>
            </w:r>
          </w:p>
        </w:tc>
        <w:tc>
          <w:tcPr>
            <w:tcW w:w="408" w:type="pct"/>
            <w:shd w:val="clear" w:color="auto" w:fill="auto"/>
            <w:vAlign w:val="center"/>
          </w:tcPr>
          <w:p w14:paraId="6C36A13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(8.0)</w:t>
            </w:r>
          </w:p>
        </w:tc>
        <w:tc>
          <w:tcPr>
            <w:tcW w:w="408" w:type="pct"/>
            <w:shd w:val="clear" w:color="auto" w:fill="auto"/>
            <w:noWrap/>
            <w:vAlign w:val="center"/>
          </w:tcPr>
          <w:p w14:paraId="06D2F0F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22 (88.0)</w:t>
            </w:r>
          </w:p>
        </w:tc>
        <w:tc>
          <w:tcPr>
            <w:tcW w:w="408" w:type="pct"/>
            <w:tcBorders>
              <w:right w:val="single" w:sz="4" w:space="0" w:color="auto"/>
            </w:tcBorders>
            <w:vAlign w:val="center"/>
          </w:tcPr>
          <w:p w14:paraId="657288C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75F6D0E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160DE583" w14:textId="77777777" w:rsidTr="00DE61C5">
        <w:trPr>
          <w:trHeight w:val="320"/>
        </w:trPr>
        <w:tc>
          <w:tcPr>
            <w:tcW w:w="1444" w:type="pct"/>
            <w:tcBorders>
              <w:right w:val="single" w:sz="4" w:space="0" w:color="auto"/>
            </w:tcBorders>
            <w:shd w:val="clear" w:color="auto" w:fill="auto"/>
            <w:vAlign w:val="center"/>
            <w:hideMark/>
          </w:tcPr>
          <w:p w14:paraId="67216839"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Excoriation</w:t>
            </w:r>
          </w:p>
        </w:tc>
        <w:tc>
          <w:tcPr>
            <w:tcW w:w="408" w:type="pct"/>
            <w:tcBorders>
              <w:left w:val="single" w:sz="4" w:space="0" w:color="auto"/>
            </w:tcBorders>
            <w:shd w:val="clear" w:color="auto" w:fill="auto"/>
            <w:vAlign w:val="center"/>
          </w:tcPr>
          <w:p w14:paraId="07A83EE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(20.8)</w:t>
            </w:r>
          </w:p>
        </w:tc>
        <w:tc>
          <w:tcPr>
            <w:tcW w:w="408" w:type="pct"/>
            <w:shd w:val="clear" w:color="auto" w:fill="auto"/>
            <w:vAlign w:val="center"/>
          </w:tcPr>
          <w:p w14:paraId="5C8208D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(29.2)</w:t>
            </w:r>
          </w:p>
        </w:tc>
        <w:tc>
          <w:tcPr>
            <w:tcW w:w="408" w:type="pct"/>
            <w:shd w:val="clear" w:color="auto" w:fill="auto"/>
            <w:vAlign w:val="center"/>
          </w:tcPr>
          <w:p w14:paraId="039A3A0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(50.0)</w:t>
            </w:r>
          </w:p>
        </w:tc>
        <w:tc>
          <w:tcPr>
            <w:tcW w:w="408" w:type="pct"/>
            <w:tcBorders>
              <w:right w:val="single" w:sz="4" w:space="0" w:color="auto"/>
            </w:tcBorders>
            <w:vAlign w:val="center"/>
          </w:tcPr>
          <w:p w14:paraId="4EB03C0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59FB1E6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(20.0)</w:t>
            </w:r>
          </w:p>
        </w:tc>
        <w:tc>
          <w:tcPr>
            <w:tcW w:w="408" w:type="pct"/>
            <w:shd w:val="clear" w:color="auto" w:fill="auto"/>
            <w:vAlign w:val="center"/>
          </w:tcPr>
          <w:p w14:paraId="11CA0AB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(24.0)</w:t>
            </w:r>
          </w:p>
        </w:tc>
        <w:tc>
          <w:tcPr>
            <w:tcW w:w="408" w:type="pct"/>
            <w:shd w:val="clear" w:color="auto" w:fill="auto"/>
            <w:noWrap/>
            <w:vAlign w:val="center"/>
          </w:tcPr>
          <w:p w14:paraId="0F0907C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14 (56.0)</w:t>
            </w:r>
          </w:p>
        </w:tc>
        <w:tc>
          <w:tcPr>
            <w:tcW w:w="408" w:type="pct"/>
            <w:tcBorders>
              <w:right w:val="single" w:sz="4" w:space="0" w:color="auto"/>
            </w:tcBorders>
            <w:vAlign w:val="center"/>
          </w:tcPr>
          <w:p w14:paraId="687B870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65F8D4F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040943D" w14:textId="77777777" w:rsidTr="00DE61C5">
        <w:trPr>
          <w:trHeight w:val="320"/>
        </w:trPr>
        <w:tc>
          <w:tcPr>
            <w:tcW w:w="1444" w:type="pct"/>
            <w:tcBorders>
              <w:right w:val="single" w:sz="4" w:space="0" w:color="auto"/>
            </w:tcBorders>
            <w:shd w:val="clear" w:color="auto" w:fill="auto"/>
            <w:vAlign w:val="center"/>
            <w:hideMark/>
          </w:tcPr>
          <w:p w14:paraId="2E2AA2C4"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Exudate</w:t>
            </w:r>
          </w:p>
        </w:tc>
        <w:tc>
          <w:tcPr>
            <w:tcW w:w="408" w:type="pct"/>
            <w:tcBorders>
              <w:left w:val="single" w:sz="4" w:space="0" w:color="auto"/>
            </w:tcBorders>
            <w:shd w:val="clear" w:color="auto" w:fill="auto"/>
            <w:vAlign w:val="center"/>
          </w:tcPr>
          <w:p w14:paraId="34B2FA5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(15.4)</w:t>
            </w:r>
          </w:p>
        </w:tc>
        <w:tc>
          <w:tcPr>
            <w:tcW w:w="408" w:type="pct"/>
            <w:shd w:val="clear" w:color="auto" w:fill="auto"/>
            <w:vAlign w:val="center"/>
          </w:tcPr>
          <w:p w14:paraId="5139C95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(26.9)</w:t>
            </w:r>
          </w:p>
        </w:tc>
        <w:tc>
          <w:tcPr>
            <w:tcW w:w="408" w:type="pct"/>
            <w:shd w:val="clear" w:color="auto" w:fill="auto"/>
            <w:vAlign w:val="center"/>
          </w:tcPr>
          <w:p w14:paraId="30EE1F9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15 (57.7)</w:t>
            </w:r>
          </w:p>
        </w:tc>
        <w:tc>
          <w:tcPr>
            <w:tcW w:w="408" w:type="pct"/>
            <w:tcBorders>
              <w:right w:val="single" w:sz="4" w:space="0" w:color="auto"/>
            </w:tcBorders>
            <w:vAlign w:val="center"/>
          </w:tcPr>
          <w:p w14:paraId="3A3ECFE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16BAA7E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(7.6)</w:t>
            </w:r>
          </w:p>
        </w:tc>
        <w:tc>
          <w:tcPr>
            <w:tcW w:w="408" w:type="pct"/>
            <w:shd w:val="clear" w:color="auto" w:fill="auto"/>
            <w:vAlign w:val="center"/>
          </w:tcPr>
          <w:p w14:paraId="11C86B1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noWrap/>
            <w:vAlign w:val="center"/>
          </w:tcPr>
          <w:p w14:paraId="50C0215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19 (73.1)</w:t>
            </w:r>
          </w:p>
        </w:tc>
        <w:tc>
          <w:tcPr>
            <w:tcW w:w="408" w:type="pct"/>
            <w:tcBorders>
              <w:right w:val="single" w:sz="4" w:space="0" w:color="auto"/>
            </w:tcBorders>
            <w:vAlign w:val="center"/>
          </w:tcPr>
          <w:p w14:paraId="75CC39A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36CDCD0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37933852" w14:textId="77777777" w:rsidTr="00DE61C5">
        <w:trPr>
          <w:trHeight w:val="320"/>
        </w:trPr>
        <w:tc>
          <w:tcPr>
            <w:tcW w:w="1444" w:type="pct"/>
            <w:tcBorders>
              <w:right w:val="single" w:sz="4" w:space="0" w:color="auto"/>
            </w:tcBorders>
            <w:shd w:val="clear" w:color="auto" w:fill="auto"/>
            <w:vAlign w:val="center"/>
            <w:hideMark/>
          </w:tcPr>
          <w:p w14:paraId="1883AF32"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Glossy/shiny appearance</w:t>
            </w:r>
          </w:p>
        </w:tc>
        <w:tc>
          <w:tcPr>
            <w:tcW w:w="408" w:type="pct"/>
            <w:tcBorders>
              <w:left w:val="single" w:sz="4" w:space="0" w:color="auto"/>
            </w:tcBorders>
            <w:shd w:val="clear" w:color="auto" w:fill="auto"/>
            <w:vAlign w:val="center"/>
          </w:tcPr>
          <w:p w14:paraId="0EE4CC2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vAlign w:val="center"/>
          </w:tcPr>
          <w:p w14:paraId="7A780C5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(38.5)</w:t>
            </w:r>
          </w:p>
        </w:tc>
        <w:tc>
          <w:tcPr>
            <w:tcW w:w="408" w:type="pct"/>
            <w:shd w:val="clear" w:color="auto" w:fill="auto"/>
            <w:vAlign w:val="center"/>
          </w:tcPr>
          <w:p w14:paraId="6A7D62B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(42.3)</w:t>
            </w:r>
          </w:p>
        </w:tc>
        <w:tc>
          <w:tcPr>
            <w:tcW w:w="408" w:type="pct"/>
            <w:tcBorders>
              <w:right w:val="single" w:sz="4" w:space="0" w:color="auto"/>
            </w:tcBorders>
            <w:vAlign w:val="center"/>
          </w:tcPr>
          <w:p w14:paraId="6740872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318DD55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(6.8)</w:t>
            </w:r>
          </w:p>
        </w:tc>
        <w:tc>
          <w:tcPr>
            <w:tcW w:w="408" w:type="pct"/>
            <w:shd w:val="clear" w:color="auto" w:fill="auto"/>
            <w:vAlign w:val="center"/>
          </w:tcPr>
          <w:p w14:paraId="293EFD5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(13.7)</w:t>
            </w:r>
          </w:p>
        </w:tc>
        <w:tc>
          <w:tcPr>
            <w:tcW w:w="408" w:type="pct"/>
            <w:shd w:val="clear" w:color="auto" w:fill="auto"/>
            <w:noWrap/>
            <w:vAlign w:val="center"/>
          </w:tcPr>
          <w:p w14:paraId="708ADBE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20 (68.9)</w:t>
            </w:r>
          </w:p>
        </w:tc>
        <w:tc>
          <w:tcPr>
            <w:tcW w:w="408" w:type="pct"/>
            <w:tcBorders>
              <w:right w:val="single" w:sz="4" w:space="0" w:color="auto"/>
            </w:tcBorders>
            <w:vAlign w:val="center"/>
          </w:tcPr>
          <w:p w14:paraId="1A234E8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5788D65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7DAE16B2" w14:textId="77777777" w:rsidTr="00DE61C5">
        <w:trPr>
          <w:trHeight w:val="320"/>
        </w:trPr>
        <w:tc>
          <w:tcPr>
            <w:tcW w:w="1444" w:type="pct"/>
            <w:tcBorders>
              <w:right w:val="single" w:sz="4" w:space="0" w:color="auto"/>
            </w:tcBorders>
            <w:shd w:val="clear" w:color="auto" w:fill="auto"/>
            <w:vAlign w:val="center"/>
            <w:hideMark/>
          </w:tcPr>
          <w:p w14:paraId="25E47988"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 xml:space="preserve">Infection confirmed by culture </w:t>
            </w:r>
          </w:p>
        </w:tc>
        <w:tc>
          <w:tcPr>
            <w:tcW w:w="408" w:type="pct"/>
            <w:tcBorders>
              <w:left w:val="single" w:sz="4" w:space="0" w:color="auto"/>
            </w:tcBorders>
            <w:shd w:val="clear" w:color="auto" w:fill="auto"/>
            <w:vAlign w:val="center"/>
          </w:tcPr>
          <w:p w14:paraId="491724C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17EAE65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(28.0)</w:t>
            </w:r>
          </w:p>
        </w:tc>
        <w:tc>
          <w:tcPr>
            <w:tcW w:w="408" w:type="pct"/>
            <w:shd w:val="clear" w:color="auto" w:fill="auto"/>
            <w:vAlign w:val="center"/>
          </w:tcPr>
          <w:p w14:paraId="2993A81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14 (56.0)</w:t>
            </w:r>
          </w:p>
        </w:tc>
        <w:tc>
          <w:tcPr>
            <w:tcW w:w="408" w:type="pct"/>
            <w:tcBorders>
              <w:right w:val="single" w:sz="4" w:space="0" w:color="auto"/>
            </w:tcBorders>
            <w:vAlign w:val="center"/>
          </w:tcPr>
          <w:p w14:paraId="20A375C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39EB53A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(19.1)</w:t>
            </w:r>
          </w:p>
        </w:tc>
        <w:tc>
          <w:tcPr>
            <w:tcW w:w="408" w:type="pct"/>
            <w:shd w:val="clear" w:color="auto" w:fill="auto"/>
            <w:vAlign w:val="center"/>
          </w:tcPr>
          <w:p w14:paraId="13F5E6A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noWrap/>
            <w:vAlign w:val="center"/>
          </w:tcPr>
          <w:p w14:paraId="5B9E16C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16 (61.6)</w:t>
            </w:r>
          </w:p>
        </w:tc>
        <w:tc>
          <w:tcPr>
            <w:tcW w:w="408" w:type="pct"/>
            <w:tcBorders>
              <w:right w:val="single" w:sz="4" w:space="0" w:color="auto"/>
            </w:tcBorders>
            <w:vAlign w:val="center"/>
          </w:tcPr>
          <w:p w14:paraId="5ADC3A5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4DB6ECF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20D16A52" w14:textId="77777777" w:rsidTr="00DE61C5">
        <w:trPr>
          <w:trHeight w:val="320"/>
        </w:trPr>
        <w:tc>
          <w:tcPr>
            <w:tcW w:w="1444" w:type="pct"/>
            <w:tcBorders>
              <w:right w:val="single" w:sz="4" w:space="0" w:color="auto"/>
            </w:tcBorders>
            <w:shd w:val="clear" w:color="auto" w:fill="auto"/>
            <w:vAlign w:val="center"/>
            <w:hideMark/>
          </w:tcPr>
          <w:p w14:paraId="1AA9AFBD"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Lichenification</w:t>
            </w:r>
          </w:p>
        </w:tc>
        <w:tc>
          <w:tcPr>
            <w:tcW w:w="408" w:type="pct"/>
            <w:tcBorders>
              <w:left w:val="single" w:sz="4" w:space="0" w:color="auto"/>
            </w:tcBorders>
            <w:shd w:val="clear" w:color="auto" w:fill="auto"/>
            <w:vAlign w:val="center"/>
          </w:tcPr>
          <w:p w14:paraId="7AC7AFE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(40.9)</w:t>
            </w:r>
          </w:p>
        </w:tc>
        <w:tc>
          <w:tcPr>
            <w:tcW w:w="408" w:type="pct"/>
            <w:shd w:val="clear" w:color="auto" w:fill="auto"/>
            <w:vAlign w:val="center"/>
          </w:tcPr>
          <w:p w14:paraId="59B47E1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(50.0)</w:t>
            </w:r>
          </w:p>
        </w:tc>
        <w:tc>
          <w:tcPr>
            <w:tcW w:w="408" w:type="pct"/>
            <w:shd w:val="clear" w:color="auto" w:fill="auto"/>
            <w:vAlign w:val="center"/>
          </w:tcPr>
          <w:p w14:paraId="7C555F4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(9.1)</w:t>
            </w:r>
          </w:p>
        </w:tc>
        <w:tc>
          <w:tcPr>
            <w:tcW w:w="408" w:type="pct"/>
            <w:tcBorders>
              <w:right w:val="single" w:sz="4" w:space="0" w:color="auto"/>
            </w:tcBorders>
            <w:vAlign w:val="center"/>
          </w:tcPr>
          <w:p w14:paraId="72348EA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408" w:type="pct"/>
            <w:tcBorders>
              <w:left w:val="single" w:sz="4" w:space="0" w:color="auto"/>
            </w:tcBorders>
            <w:shd w:val="clear" w:color="auto" w:fill="auto"/>
            <w:vAlign w:val="center"/>
          </w:tcPr>
          <w:p w14:paraId="6551FD6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(26.9)</w:t>
            </w:r>
          </w:p>
        </w:tc>
        <w:tc>
          <w:tcPr>
            <w:tcW w:w="408" w:type="pct"/>
            <w:shd w:val="clear" w:color="auto" w:fill="auto"/>
            <w:vAlign w:val="center"/>
          </w:tcPr>
          <w:p w14:paraId="1572423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(30.7)</w:t>
            </w:r>
          </w:p>
        </w:tc>
        <w:tc>
          <w:tcPr>
            <w:tcW w:w="408" w:type="pct"/>
            <w:shd w:val="clear" w:color="auto" w:fill="auto"/>
            <w:noWrap/>
            <w:vAlign w:val="center"/>
          </w:tcPr>
          <w:p w14:paraId="5B61FE0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(42.3)</w:t>
            </w:r>
          </w:p>
        </w:tc>
        <w:tc>
          <w:tcPr>
            <w:tcW w:w="408" w:type="pct"/>
            <w:tcBorders>
              <w:right w:val="single" w:sz="4" w:space="0" w:color="auto"/>
            </w:tcBorders>
            <w:vAlign w:val="center"/>
          </w:tcPr>
          <w:p w14:paraId="595A730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7DFAFD3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588BDF4B" w14:textId="77777777" w:rsidTr="00DE61C5">
        <w:trPr>
          <w:trHeight w:val="320"/>
        </w:trPr>
        <w:tc>
          <w:tcPr>
            <w:tcW w:w="1444" w:type="pct"/>
            <w:tcBorders>
              <w:right w:val="single" w:sz="4" w:space="0" w:color="auto"/>
            </w:tcBorders>
            <w:shd w:val="clear" w:color="auto" w:fill="auto"/>
            <w:vAlign w:val="center"/>
            <w:hideMark/>
          </w:tcPr>
          <w:p w14:paraId="1CE893F3"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Maceration</w:t>
            </w:r>
          </w:p>
        </w:tc>
        <w:tc>
          <w:tcPr>
            <w:tcW w:w="408" w:type="pct"/>
            <w:tcBorders>
              <w:left w:val="single" w:sz="4" w:space="0" w:color="auto"/>
            </w:tcBorders>
            <w:shd w:val="clear" w:color="auto" w:fill="auto"/>
            <w:vAlign w:val="center"/>
          </w:tcPr>
          <w:p w14:paraId="218081A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(3.8)</w:t>
            </w:r>
          </w:p>
        </w:tc>
        <w:tc>
          <w:tcPr>
            <w:tcW w:w="408" w:type="pct"/>
            <w:shd w:val="clear" w:color="auto" w:fill="auto"/>
            <w:vAlign w:val="center"/>
          </w:tcPr>
          <w:p w14:paraId="59FBD71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(15.4)</w:t>
            </w:r>
          </w:p>
        </w:tc>
        <w:tc>
          <w:tcPr>
            <w:tcW w:w="408" w:type="pct"/>
            <w:shd w:val="clear" w:color="auto" w:fill="auto"/>
            <w:vAlign w:val="center"/>
          </w:tcPr>
          <w:p w14:paraId="2D774FE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21 (80.8)</w:t>
            </w:r>
          </w:p>
        </w:tc>
        <w:tc>
          <w:tcPr>
            <w:tcW w:w="408" w:type="pct"/>
            <w:tcBorders>
              <w:right w:val="single" w:sz="4" w:space="0" w:color="auto"/>
            </w:tcBorders>
            <w:vAlign w:val="center"/>
          </w:tcPr>
          <w:p w14:paraId="5540C30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3087D92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(3.8)</w:t>
            </w:r>
          </w:p>
        </w:tc>
        <w:tc>
          <w:tcPr>
            <w:tcW w:w="408" w:type="pct"/>
            <w:shd w:val="clear" w:color="auto" w:fill="auto"/>
            <w:vAlign w:val="center"/>
          </w:tcPr>
          <w:p w14:paraId="66A1E08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(15.4)</w:t>
            </w:r>
          </w:p>
        </w:tc>
        <w:tc>
          <w:tcPr>
            <w:tcW w:w="408" w:type="pct"/>
            <w:shd w:val="clear" w:color="auto" w:fill="auto"/>
            <w:noWrap/>
            <w:vAlign w:val="center"/>
          </w:tcPr>
          <w:p w14:paraId="6B2F08C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21 (80.8)</w:t>
            </w:r>
          </w:p>
        </w:tc>
        <w:tc>
          <w:tcPr>
            <w:tcW w:w="408" w:type="pct"/>
            <w:tcBorders>
              <w:right w:val="single" w:sz="4" w:space="0" w:color="auto"/>
            </w:tcBorders>
            <w:vAlign w:val="center"/>
          </w:tcPr>
          <w:p w14:paraId="066FEE6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0F194C2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35AB9D9B" w14:textId="77777777" w:rsidTr="00DE61C5">
        <w:trPr>
          <w:trHeight w:val="320"/>
        </w:trPr>
        <w:tc>
          <w:tcPr>
            <w:tcW w:w="1444" w:type="pct"/>
            <w:tcBorders>
              <w:right w:val="single" w:sz="4" w:space="0" w:color="auto"/>
            </w:tcBorders>
            <w:shd w:val="clear" w:color="auto" w:fill="auto"/>
            <w:vAlign w:val="center"/>
            <w:hideMark/>
          </w:tcPr>
          <w:p w14:paraId="090219A4"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Macules</w:t>
            </w:r>
          </w:p>
        </w:tc>
        <w:tc>
          <w:tcPr>
            <w:tcW w:w="408" w:type="pct"/>
            <w:tcBorders>
              <w:left w:val="single" w:sz="4" w:space="0" w:color="auto"/>
            </w:tcBorders>
            <w:shd w:val="clear" w:color="auto" w:fill="auto"/>
            <w:vAlign w:val="center"/>
          </w:tcPr>
          <w:p w14:paraId="309E507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(33.3)</w:t>
            </w:r>
          </w:p>
        </w:tc>
        <w:tc>
          <w:tcPr>
            <w:tcW w:w="408" w:type="pct"/>
            <w:shd w:val="clear" w:color="auto" w:fill="auto"/>
            <w:vAlign w:val="center"/>
          </w:tcPr>
          <w:p w14:paraId="4480CAC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(47.6)</w:t>
            </w:r>
          </w:p>
        </w:tc>
        <w:tc>
          <w:tcPr>
            <w:tcW w:w="408" w:type="pct"/>
            <w:shd w:val="clear" w:color="auto" w:fill="auto"/>
            <w:vAlign w:val="center"/>
          </w:tcPr>
          <w:p w14:paraId="1BF10CD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(19.0)</w:t>
            </w:r>
          </w:p>
        </w:tc>
        <w:tc>
          <w:tcPr>
            <w:tcW w:w="408" w:type="pct"/>
            <w:tcBorders>
              <w:right w:val="single" w:sz="4" w:space="0" w:color="auto"/>
            </w:tcBorders>
            <w:vAlign w:val="center"/>
          </w:tcPr>
          <w:p w14:paraId="0985687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408" w:type="pct"/>
            <w:tcBorders>
              <w:left w:val="single" w:sz="4" w:space="0" w:color="auto"/>
            </w:tcBorders>
            <w:shd w:val="clear" w:color="auto" w:fill="auto"/>
            <w:vAlign w:val="center"/>
          </w:tcPr>
          <w:p w14:paraId="5E04B1E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(20.0)</w:t>
            </w:r>
          </w:p>
        </w:tc>
        <w:tc>
          <w:tcPr>
            <w:tcW w:w="408" w:type="pct"/>
            <w:shd w:val="clear" w:color="auto" w:fill="auto"/>
            <w:vAlign w:val="center"/>
          </w:tcPr>
          <w:p w14:paraId="752AF37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(36.0)</w:t>
            </w:r>
          </w:p>
        </w:tc>
        <w:tc>
          <w:tcPr>
            <w:tcW w:w="408" w:type="pct"/>
            <w:shd w:val="clear" w:color="auto" w:fill="auto"/>
            <w:noWrap/>
            <w:vAlign w:val="center"/>
          </w:tcPr>
          <w:p w14:paraId="0BCB0DA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(44.0)</w:t>
            </w:r>
          </w:p>
        </w:tc>
        <w:tc>
          <w:tcPr>
            <w:tcW w:w="408" w:type="pct"/>
            <w:tcBorders>
              <w:right w:val="single" w:sz="4" w:space="0" w:color="auto"/>
            </w:tcBorders>
            <w:vAlign w:val="center"/>
          </w:tcPr>
          <w:p w14:paraId="07D859A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11F3164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BC8019F" w14:textId="77777777" w:rsidTr="00DE61C5">
        <w:trPr>
          <w:trHeight w:val="320"/>
        </w:trPr>
        <w:tc>
          <w:tcPr>
            <w:tcW w:w="1444" w:type="pct"/>
            <w:tcBorders>
              <w:right w:val="single" w:sz="4" w:space="0" w:color="auto"/>
            </w:tcBorders>
            <w:shd w:val="clear" w:color="auto" w:fill="auto"/>
            <w:vAlign w:val="center"/>
            <w:hideMark/>
          </w:tcPr>
          <w:p w14:paraId="13CA1309"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Maculopapular rash</w:t>
            </w:r>
          </w:p>
        </w:tc>
        <w:tc>
          <w:tcPr>
            <w:tcW w:w="408" w:type="pct"/>
            <w:tcBorders>
              <w:left w:val="single" w:sz="4" w:space="0" w:color="auto"/>
            </w:tcBorders>
            <w:shd w:val="clear" w:color="auto" w:fill="auto"/>
            <w:vAlign w:val="center"/>
          </w:tcPr>
          <w:p w14:paraId="4A48FDE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(18.2)</w:t>
            </w:r>
          </w:p>
        </w:tc>
        <w:tc>
          <w:tcPr>
            <w:tcW w:w="408" w:type="pct"/>
            <w:shd w:val="clear" w:color="auto" w:fill="auto"/>
            <w:vAlign w:val="center"/>
          </w:tcPr>
          <w:p w14:paraId="6D42A67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(45.5)</w:t>
            </w:r>
          </w:p>
        </w:tc>
        <w:tc>
          <w:tcPr>
            <w:tcW w:w="408" w:type="pct"/>
            <w:shd w:val="clear" w:color="auto" w:fill="auto"/>
            <w:vAlign w:val="center"/>
          </w:tcPr>
          <w:p w14:paraId="30F931F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(36.4)</w:t>
            </w:r>
          </w:p>
        </w:tc>
        <w:tc>
          <w:tcPr>
            <w:tcW w:w="408" w:type="pct"/>
            <w:tcBorders>
              <w:right w:val="single" w:sz="4" w:space="0" w:color="auto"/>
            </w:tcBorders>
            <w:vAlign w:val="center"/>
          </w:tcPr>
          <w:p w14:paraId="62FED1F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408" w:type="pct"/>
            <w:tcBorders>
              <w:left w:val="single" w:sz="4" w:space="0" w:color="auto"/>
            </w:tcBorders>
            <w:shd w:val="clear" w:color="auto" w:fill="auto"/>
            <w:vAlign w:val="center"/>
          </w:tcPr>
          <w:p w14:paraId="64CA70A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(12.5)</w:t>
            </w:r>
          </w:p>
        </w:tc>
        <w:tc>
          <w:tcPr>
            <w:tcW w:w="408" w:type="pct"/>
            <w:shd w:val="clear" w:color="auto" w:fill="auto"/>
            <w:vAlign w:val="center"/>
          </w:tcPr>
          <w:p w14:paraId="4551D5F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(25.0)</w:t>
            </w:r>
          </w:p>
        </w:tc>
        <w:tc>
          <w:tcPr>
            <w:tcW w:w="408" w:type="pct"/>
            <w:shd w:val="clear" w:color="auto" w:fill="auto"/>
            <w:noWrap/>
            <w:vAlign w:val="center"/>
          </w:tcPr>
          <w:p w14:paraId="6F8B6B1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15 (62.5)</w:t>
            </w:r>
          </w:p>
        </w:tc>
        <w:tc>
          <w:tcPr>
            <w:tcW w:w="408" w:type="pct"/>
            <w:tcBorders>
              <w:right w:val="single" w:sz="4" w:space="0" w:color="auto"/>
            </w:tcBorders>
            <w:vAlign w:val="center"/>
          </w:tcPr>
          <w:p w14:paraId="5298D1F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4BBC8F0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5D1F8817" w14:textId="77777777" w:rsidTr="00DE61C5">
        <w:trPr>
          <w:trHeight w:val="320"/>
        </w:trPr>
        <w:tc>
          <w:tcPr>
            <w:tcW w:w="1444" w:type="pct"/>
            <w:tcBorders>
              <w:right w:val="single" w:sz="4" w:space="0" w:color="auto"/>
            </w:tcBorders>
            <w:shd w:val="clear" w:color="auto" w:fill="auto"/>
            <w:vAlign w:val="center"/>
            <w:hideMark/>
          </w:tcPr>
          <w:p w14:paraId="62F2F0D3"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Necrosis</w:t>
            </w:r>
          </w:p>
        </w:tc>
        <w:tc>
          <w:tcPr>
            <w:tcW w:w="408" w:type="pct"/>
            <w:tcBorders>
              <w:left w:val="single" w:sz="4" w:space="0" w:color="auto"/>
            </w:tcBorders>
            <w:shd w:val="clear" w:color="auto" w:fill="auto"/>
            <w:vAlign w:val="center"/>
          </w:tcPr>
          <w:p w14:paraId="1D0DB41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(37.5)</w:t>
            </w:r>
          </w:p>
        </w:tc>
        <w:tc>
          <w:tcPr>
            <w:tcW w:w="408" w:type="pct"/>
            <w:shd w:val="clear" w:color="auto" w:fill="auto"/>
            <w:vAlign w:val="center"/>
          </w:tcPr>
          <w:p w14:paraId="31C3476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(29.2)</w:t>
            </w:r>
          </w:p>
        </w:tc>
        <w:tc>
          <w:tcPr>
            <w:tcW w:w="408" w:type="pct"/>
            <w:shd w:val="clear" w:color="auto" w:fill="auto"/>
            <w:vAlign w:val="center"/>
          </w:tcPr>
          <w:p w14:paraId="2B96FAD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(33.3)</w:t>
            </w:r>
          </w:p>
        </w:tc>
        <w:tc>
          <w:tcPr>
            <w:tcW w:w="408" w:type="pct"/>
            <w:tcBorders>
              <w:right w:val="single" w:sz="4" w:space="0" w:color="auto"/>
            </w:tcBorders>
            <w:vAlign w:val="center"/>
          </w:tcPr>
          <w:p w14:paraId="5A22857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408" w:type="pct"/>
            <w:tcBorders>
              <w:left w:val="single" w:sz="4" w:space="0" w:color="auto"/>
            </w:tcBorders>
            <w:shd w:val="clear" w:color="auto" w:fill="auto"/>
            <w:vAlign w:val="center"/>
          </w:tcPr>
          <w:p w14:paraId="7967F5C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(25)</w:t>
            </w:r>
          </w:p>
        </w:tc>
        <w:tc>
          <w:tcPr>
            <w:tcW w:w="408" w:type="pct"/>
            <w:shd w:val="clear" w:color="auto" w:fill="auto"/>
            <w:vAlign w:val="center"/>
          </w:tcPr>
          <w:p w14:paraId="244BFC2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(25)</w:t>
            </w:r>
          </w:p>
        </w:tc>
        <w:tc>
          <w:tcPr>
            <w:tcW w:w="408" w:type="pct"/>
            <w:shd w:val="clear" w:color="auto" w:fill="auto"/>
            <w:noWrap/>
            <w:vAlign w:val="center"/>
          </w:tcPr>
          <w:p w14:paraId="1215349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(49.9)</w:t>
            </w:r>
          </w:p>
        </w:tc>
        <w:tc>
          <w:tcPr>
            <w:tcW w:w="408" w:type="pct"/>
            <w:tcBorders>
              <w:right w:val="single" w:sz="4" w:space="0" w:color="auto"/>
            </w:tcBorders>
            <w:vAlign w:val="center"/>
          </w:tcPr>
          <w:p w14:paraId="528E74B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3E1F983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631BA047" w14:textId="77777777" w:rsidTr="00DE61C5">
        <w:trPr>
          <w:trHeight w:val="320"/>
        </w:trPr>
        <w:tc>
          <w:tcPr>
            <w:tcW w:w="1444" w:type="pct"/>
            <w:tcBorders>
              <w:right w:val="single" w:sz="4" w:space="0" w:color="auto"/>
            </w:tcBorders>
            <w:shd w:val="clear" w:color="auto" w:fill="auto"/>
            <w:vAlign w:val="center"/>
            <w:hideMark/>
          </w:tcPr>
          <w:p w14:paraId="1DB4BBD7"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Nodules</w:t>
            </w:r>
          </w:p>
        </w:tc>
        <w:tc>
          <w:tcPr>
            <w:tcW w:w="408" w:type="pct"/>
            <w:tcBorders>
              <w:left w:val="single" w:sz="4" w:space="0" w:color="auto"/>
            </w:tcBorders>
            <w:shd w:val="clear" w:color="auto" w:fill="auto"/>
            <w:vAlign w:val="center"/>
          </w:tcPr>
          <w:p w14:paraId="3996E6A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(43.5)</w:t>
            </w:r>
          </w:p>
        </w:tc>
        <w:tc>
          <w:tcPr>
            <w:tcW w:w="408" w:type="pct"/>
            <w:shd w:val="clear" w:color="auto" w:fill="auto"/>
            <w:vAlign w:val="center"/>
          </w:tcPr>
          <w:p w14:paraId="6D1B22F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(52.2)</w:t>
            </w:r>
          </w:p>
        </w:tc>
        <w:tc>
          <w:tcPr>
            <w:tcW w:w="408" w:type="pct"/>
            <w:shd w:val="clear" w:color="auto" w:fill="auto"/>
            <w:vAlign w:val="center"/>
          </w:tcPr>
          <w:p w14:paraId="4519C54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(4.3)</w:t>
            </w:r>
          </w:p>
        </w:tc>
        <w:tc>
          <w:tcPr>
            <w:tcW w:w="408" w:type="pct"/>
            <w:tcBorders>
              <w:right w:val="single" w:sz="4" w:space="0" w:color="auto"/>
            </w:tcBorders>
            <w:vAlign w:val="center"/>
          </w:tcPr>
          <w:p w14:paraId="08B1594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408" w:type="pct"/>
            <w:tcBorders>
              <w:left w:val="single" w:sz="4" w:space="0" w:color="auto"/>
            </w:tcBorders>
            <w:shd w:val="clear" w:color="auto" w:fill="auto"/>
            <w:vAlign w:val="center"/>
          </w:tcPr>
          <w:p w14:paraId="16BBE77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(50.0)</w:t>
            </w:r>
          </w:p>
        </w:tc>
        <w:tc>
          <w:tcPr>
            <w:tcW w:w="408" w:type="pct"/>
            <w:shd w:val="clear" w:color="auto" w:fill="auto"/>
            <w:vAlign w:val="center"/>
          </w:tcPr>
          <w:p w14:paraId="41ACA4A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(33.3)</w:t>
            </w:r>
          </w:p>
        </w:tc>
        <w:tc>
          <w:tcPr>
            <w:tcW w:w="408" w:type="pct"/>
            <w:shd w:val="clear" w:color="auto" w:fill="auto"/>
            <w:noWrap/>
            <w:vAlign w:val="center"/>
          </w:tcPr>
          <w:p w14:paraId="1735EA1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(16.7)</w:t>
            </w:r>
          </w:p>
        </w:tc>
        <w:tc>
          <w:tcPr>
            <w:tcW w:w="408" w:type="pct"/>
            <w:tcBorders>
              <w:right w:val="single" w:sz="4" w:space="0" w:color="auto"/>
            </w:tcBorders>
            <w:vAlign w:val="center"/>
          </w:tcPr>
          <w:p w14:paraId="0A6185F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5A5DFF6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50D870F1" w14:textId="77777777" w:rsidTr="00DE61C5">
        <w:trPr>
          <w:trHeight w:val="320"/>
        </w:trPr>
        <w:tc>
          <w:tcPr>
            <w:tcW w:w="1444" w:type="pct"/>
            <w:tcBorders>
              <w:right w:val="single" w:sz="4" w:space="0" w:color="auto"/>
            </w:tcBorders>
            <w:shd w:val="clear" w:color="auto" w:fill="auto"/>
            <w:vAlign w:val="center"/>
            <w:hideMark/>
          </w:tcPr>
          <w:p w14:paraId="35E0B4C9"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Oedema</w:t>
            </w:r>
          </w:p>
        </w:tc>
        <w:tc>
          <w:tcPr>
            <w:tcW w:w="408" w:type="pct"/>
            <w:tcBorders>
              <w:left w:val="single" w:sz="4" w:space="0" w:color="auto"/>
            </w:tcBorders>
            <w:shd w:val="clear" w:color="auto" w:fill="auto"/>
            <w:vAlign w:val="center"/>
          </w:tcPr>
          <w:p w14:paraId="0884599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vAlign w:val="center"/>
          </w:tcPr>
          <w:p w14:paraId="586CBB4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(50.0)</w:t>
            </w:r>
          </w:p>
        </w:tc>
        <w:tc>
          <w:tcPr>
            <w:tcW w:w="408" w:type="pct"/>
            <w:shd w:val="clear" w:color="auto" w:fill="auto"/>
            <w:vAlign w:val="center"/>
          </w:tcPr>
          <w:p w14:paraId="5E59AE6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(30.8)</w:t>
            </w:r>
          </w:p>
        </w:tc>
        <w:tc>
          <w:tcPr>
            <w:tcW w:w="408" w:type="pct"/>
            <w:tcBorders>
              <w:right w:val="single" w:sz="4" w:space="0" w:color="auto"/>
            </w:tcBorders>
            <w:vAlign w:val="center"/>
          </w:tcPr>
          <w:p w14:paraId="318522F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5B9B9E1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7C0BFCC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(20.0)</w:t>
            </w:r>
          </w:p>
        </w:tc>
        <w:tc>
          <w:tcPr>
            <w:tcW w:w="408" w:type="pct"/>
            <w:shd w:val="clear" w:color="auto" w:fill="auto"/>
            <w:noWrap/>
            <w:vAlign w:val="center"/>
          </w:tcPr>
          <w:p w14:paraId="72EDD2E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16.0 (64.0)</w:t>
            </w:r>
          </w:p>
        </w:tc>
        <w:tc>
          <w:tcPr>
            <w:tcW w:w="408" w:type="pct"/>
            <w:tcBorders>
              <w:right w:val="single" w:sz="4" w:space="0" w:color="auto"/>
            </w:tcBorders>
            <w:vAlign w:val="center"/>
          </w:tcPr>
          <w:p w14:paraId="28C1F6E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w:t>
            </w:r>
          </w:p>
        </w:tc>
        <w:tc>
          <w:tcPr>
            <w:tcW w:w="292" w:type="pct"/>
            <w:tcBorders>
              <w:left w:val="single" w:sz="4" w:space="0" w:color="auto"/>
            </w:tcBorders>
            <w:shd w:val="clear" w:color="auto" w:fill="auto"/>
            <w:vAlign w:val="center"/>
          </w:tcPr>
          <w:p w14:paraId="342A2BA0"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Out</w:t>
            </w:r>
          </w:p>
        </w:tc>
      </w:tr>
      <w:tr w:rsidR="00F24F47" w:rsidRPr="00DE61C5" w14:paraId="1491FE36" w14:textId="77777777" w:rsidTr="00DE61C5">
        <w:trPr>
          <w:trHeight w:val="320"/>
        </w:trPr>
        <w:tc>
          <w:tcPr>
            <w:tcW w:w="1444" w:type="pct"/>
            <w:tcBorders>
              <w:right w:val="single" w:sz="4" w:space="0" w:color="auto"/>
            </w:tcBorders>
            <w:shd w:val="clear" w:color="auto" w:fill="auto"/>
            <w:vAlign w:val="center"/>
            <w:hideMark/>
          </w:tcPr>
          <w:p w14:paraId="1A71A2E6"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Oozing</w:t>
            </w:r>
          </w:p>
        </w:tc>
        <w:tc>
          <w:tcPr>
            <w:tcW w:w="408" w:type="pct"/>
            <w:tcBorders>
              <w:left w:val="single" w:sz="4" w:space="0" w:color="auto"/>
            </w:tcBorders>
            <w:shd w:val="clear" w:color="auto" w:fill="auto"/>
            <w:vAlign w:val="center"/>
          </w:tcPr>
          <w:p w14:paraId="148300C3"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7 (29.2)</w:t>
            </w:r>
          </w:p>
        </w:tc>
        <w:tc>
          <w:tcPr>
            <w:tcW w:w="408" w:type="pct"/>
            <w:shd w:val="clear" w:color="auto" w:fill="auto"/>
            <w:vAlign w:val="center"/>
          </w:tcPr>
          <w:p w14:paraId="00C0FCF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11 (45.8)</w:t>
            </w:r>
          </w:p>
        </w:tc>
        <w:tc>
          <w:tcPr>
            <w:tcW w:w="408" w:type="pct"/>
            <w:shd w:val="clear" w:color="auto" w:fill="auto"/>
            <w:vAlign w:val="center"/>
          </w:tcPr>
          <w:p w14:paraId="06B4D46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6 (25.0)</w:t>
            </w:r>
          </w:p>
        </w:tc>
        <w:tc>
          <w:tcPr>
            <w:tcW w:w="408" w:type="pct"/>
            <w:tcBorders>
              <w:right w:val="single" w:sz="4" w:space="0" w:color="auto"/>
            </w:tcBorders>
            <w:vAlign w:val="center"/>
          </w:tcPr>
          <w:p w14:paraId="6244B933"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w:t>
            </w:r>
          </w:p>
        </w:tc>
        <w:tc>
          <w:tcPr>
            <w:tcW w:w="408" w:type="pct"/>
            <w:tcBorders>
              <w:left w:val="single" w:sz="4" w:space="0" w:color="auto"/>
            </w:tcBorders>
            <w:shd w:val="clear" w:color="auto" w:fill="auto"/>
            <w:vAlign w:val="center"/>
          </w:tcPr>
          <w:p w14:paraId="0181B9B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(21.7)</w:t>
            </w:r>
          </w:p>
        </w:tc>
        <w:tc>
          <w:tcPr>
            <w:tcW w:w="408" w:type="pct"/>
            <w:shd w:val="clear" w:color="auto" w:fill="auto"/>
            <w:vAlign w:val="center"/>
          </w:tcPr>
          <w:p w14:paraId="68BDD3D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(21.7)</w:t>
            </w:r>
          </w:p>
        </w:tc>
        <w:tc>
          <w:tcPr>
            <w:tcW w:w="408" w:type="pct"/>
            <w:shd w:val="clear" w:color="auto" w:fill="auto"/>
            <w:noWrap/>
            <w:vAlign w:val="center"/>
          </w:tcPr>
          <w:p w14:paraId="55754B8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13 (56.4)</w:t>
            </w:r>
          </w:p>
        </w:tc>
        <w:tc>
          <w:tcPr>
            <w:tcW w:w="408" w:type="pct"/>
            <w:tcBorders>
              <w:right w:val="single" w:sz="4" w:space="0" w:color="auto"/>
            </w:tcBorders>
            <w:vAlign w:val="center"/>
          </w:tcPr>
          <w:p w14:paraId="0FDE7C1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w:t>
            </w:r>
          </w:p>
        </w:tc>
        <w:tc>
          <w:tcPr>
            <w:tcW w:w="292" w:type="pct"/>
            <w:tcBorders>
              <w:left w:val="single" w:sz="4" w:space="0" w:color="auto"/>
            </w:tcBorders>
            <w:shd w:val="clear" w:color="auto" w:fill="auto"/>
            <w:vAlign w:val="center"/>
          </w:tcPr>
          <w:p w14:paraId="654B4B3B"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Out</w:t>
            </w:r>
          </w:p>
        </w:tc>
      </w:tr>
      <w:tr w:rsidR="00F24F47" w:rsidRPr="00DE61C5" w14:paraId="2D3F0E7B" w14:textId="77777777" w:rsidTr="00DE61C5">
        <w:trPr>
          <w:trHeight w:val="320"/>
        </w:trPr>
        <w:tc>
          <w:tcPr>
            <w:tcW w:w="1444" w:type="pct"/>
            <w:tcBorders>
              <w:right w:val="single" w:sz="4" w:space="0" w:color="auto"/>
            </w:tcBorders>
            <w:shd w:val="clear" w:color="auto" w:fill="auto"/>
            <w:vAlign w:val="center"/>
            <w:hideMark/>
          </w:tcPr>
          <w:p w14:paraId="3FD2270C"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Papules</w:t>
            </w:r>
          </w:p>
        </w:tc>
        <w:tc>
          <w:tcPr>
            <w:tcW w:w="408" w:type="pct"/>
            <w:tcBorders>
              <w:left w:val="single" w:sz="4" w:space="0" w:color="auto"/>
            </w:tcBorders>
            <w:shd w:val="clear" w:color="auto" w:fill="auto"/>
            <w:vAlign w:val="center"/>
          </w:tcPr>
          <w:p w14:paraId="7C30D17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10 (41.7)</w:t>
            </w:r>
          </w:p>
        </w:tc>
        <w:tc>
          <w:tcPr>
            <w:tcW w:w="408" w:type="pct"/>
            <w:shd w:val="clear" w:color="auto" w:fill="auto"/>
            <w:vAlign w:val="center"/>
          </w:tcPr>
          <w:p w14:paraId="77E1E2A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10 (41.7)</w:t>
            </w:r>
          </w:p>
        </w:tc>
        <w:tc>
          <w:tcPr>
            <w:tcW w:w="408" w:type="pct"/>
            <w:shd w:val="clear" w:color="auto" w:fill="auto"/>
            <w:vAlign w:val="center"/>
          </w:tcPr>
          <w:p w14:paraId="2FC21CA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(16.7)</w:t>
            </w:r>
          </w:p>
        </w:tc>
        <w:tc>
          <w:tcPr>
            <w:tcW w:w="408" w:type="pct"/>
            <w:tcBorders>
              <w:right w:val="single" w:sz="4" w:space="0" w:color="auto"/>
            </w:tcBorders>
            <w:vAlign w:val="center"/>
          </w:tcPr>
          <w:p w14:paraId="44D12A3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2</w:t>
            </w:r>
          </w:p>
        </w:tc>
        <w:tc>
          <w:tcPr>
            <w:tcW w:w="408" w:type="pct"/>
            <w:tcBorders>
              <w:left w:val="single" w:sz="4" w:space="0" w:color="auto"/>
            </w:tcBorders>
            <w:shd w:val="clear" w:color="auto" w:fill="auto"/>
            <w:vAlign w:val="center"/>
          </w:tcPr>
          <w:p w14:paraId="274DAF7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5 (20.0)</w:t>
            </w:r>
          </w:p>
        </w:tc>
        <w:tc>
          <w:tcPr>
            <w:tcW w:w="408" w:type="pct"/>
            <w:shd w:val="clear" w:color="auto" w:fill="auto"/>
            <w:vAlign w:val="center"/>
          </w:tcPr>
          <w:p w14:paraId="6A512B2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 (16.0)</w:t>
            </w:r>
          </w:p>
        </w:tc>
        <w:tc>
          <w:tcPr>
            <w:tcW w:w="408" w:type="pct"/>
            <w:shd w:val="clear" w:color="auto" w:fill="auto"/>
            <w:noWrap/>
            <w:vAlign w:val="center"/>
          </w:tcPr>
          <w:p w14:paraId="46F0E5C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16 (64.0)</w:t>
            </w:r>
          </w:p>
        </w:tc>
        <w:tc>
          <w:tcPr>
            <w:tcW w:w="408" w:type="pct"/>
            <w:tcBorders>
              <w:right w:val="single" w:sz="4" w:space="0" w:color="auto"/>
            </w:tcBorders>
            <w:vAlign w:val="center"/>
          </w:tcPr>
          <w:p w14:paraId="22AC247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w:t>
            </w:r>
          </w:p>
        </w:tc>
        <w:tc>
          <w:tcPr>
            <w:tcW w:w="292" w:type="pct"/>
            <w:tcBorders>
              <w:left w:val="single" w:sz="4" w:space="0" w:color="auto"/>
            </w:tcBorders>
            <w:shd w:val="clear" w:color="auto" w:fill="auto"/>
            <w:vAlign w:val="center"/>
          </w:tcPr>
          <w:p w14:paraId="40FFB7E8"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Out</w:t>
            </w:r>
          </w:p>
        </w:tc>
      </w:tr>
      <w:tr w:rsidR="00F24F47" w:rsidRPr="00DE61C5" w14:paraId="03D2A0AC" w14:textId="77777777" w:rsidTr="00DE61C5">
        <w:trPr>
          <w:trHeight w:val="320"/>
        </w:trPr>
        <w:tc>
          <w:tcPr>
            <w:tcW w:w="1444" w:type="pct"/>
            <w:tcBorders>
              <w:right w:val="single" w:sz="4" w:space="0" w:color="auto"/>
            </w:tcBorders>
            <w:shd w:val="clear" w:color="auto" w:fill="auto"/>
            <w:vAlign w:val="center"/>
            <w:hideMark/>
          </w:tcPr>
          <w:p w14:paraId="671B5E4C"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Pigmentation</w:t>
            </w:r>
          </w:p>
        </w:tc>
        <w:tc>
          <w:tcPr>
            <w:tcW w:w="408" w:type="pct"/>
            <w:tcBorders>
              <w:left w:val="single" w:sz="4" w:space="0" w:color="auto"/>
            </w:tcBorders>
            <w:shd w:val="clear" w:color="auto" w:fill="auto"/>
            <w:vAlign w:val="center"/>
          </w:tcPr>
          <w:p w14:paraId="1FFD6CB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10 (38.5)</w:t>
            </w:r>
          </w:p>
        </w:tc>
        <w:tc>
          <w:tcPr>
            <w:tcW w:w="408" w:type="pct"/>
            <w:shd w:val="clear" w:color="auto" w:fill="auto"/>
            <w:vAlign w:val="center"/>
          </w:tcPr>
          <w:p w14:paraId="58417469"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13 (50.0)</w:t>
            </w:r>
          </w:p>
        </w:tc>
        <w:tc>
          <w:tcPr>
            <w:tcW w:w="408" w:type="pct"/>
            <w:shd w:val="clear" w:color="auto" w:fill="auto"/>
            <w:vAlign w:val="center"/>
          </w:tcPr>
          <w:p w14:paraId="621BD39B"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(11.5)</w:t>
            </w:r>
          </w:p>
        </w:tc>
        <w:tc>
          <w:tcPr>
            <w:tcW w:w="408" w:type="pct"/>
            <w:tcBorders>
              <w:right w:val="single" w:sz="4" w:space="0" w:color="auto"/>
            </w:tcBorders>
            <w:vAlign w:val="center"/>
          </w:tcPr>
          <w:p w14:paraId="6091DDFD"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0</w:t>
            </w:r>
          </w:p>
        </w:tc>
        <w:tc>
          <w:tcPr>
            <w:tcW w:w="408" w:type="pct"/>
            <w:tcBorders>
              <w:left w:val="single" w:sz="4" w:space="0" w:color="auto"/>
            </w:tcBorders>
            <w:shd w:val="clear" w:color="auto" w:fill="auto"/>
            <w:vAlign w:val="center"/>
          </w:tcPr>
          <w:p w14:paraId="56FE1657"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3 (12.5)</w:t>
            </w:r>
          </w:p>
        </w:tc>
        <w:tc>
          <w:tcPr>
            <w:tcW w:w="408" w:type="pct"/>
            <w:shd w:val="clear" w:color="auto" w:fill="auto"/>
            <w:vAlign w:val="center"/>
          </w:tcPr>
          <w:p w14:paraId="6CABE2DE"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11 (45.8)</w:t>
            </w:r>
          </w:p>
        </w:tc>
        <w:tc>
          <w:tcPr>
            <w:tcW w:w="408" w:type="pct"/>
            <w:shd w:val="clear" w:color="auto" w:fill="auto"/>
            <w:noWrap/>
            <w:vAlign w:val="center"/>
          </w:tcPr>
          <w:p w14:paraId="192B41A2"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10 (41.7)</w:t>
            </w:r>
          </w:p>
        </w:tc>
        <w:tc>
          <w:tcPr>
            <w:tcW w:w="408" w:type="pct"/>
            <w:tcBorders>
              <w:right w:val="single" w:sz="4" w:space="0" w:color="auto"/>
            </w:tcBorders>
            <w:vAlign w:val="center"/>
          </w:tcPr>
          <w:p w14:paraId="2B81956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4</w:t>
            </w:r>
          </w:p>
        </w:tc>
        <w:tc>
          <w:tcPr>
            <w:tcW w:w="292" w:type="pct"/>
            <w:tcBorders>
              <w:left w:val="single" w:sz="4" w:space="0" w:color="auto"/>
            </w:tcBorders>
            <w:shd w:val="clear" w:color="auto" w:fill="auto"/>
            <w:vAlign w:val="center"/>
          </w:tcPr>
          <w:p w14:paraId="254C868D"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Out</w:t>
            </w:r>
          </w:p>
        </w:tc>
      </w:tr>
      <w:tr w:rsidR="00F24F47" w:rsidRPr="00DE61C5" w14:paraId="3F5F4905" w14:textId="77777777" w:rsidTr="00DE61C5">
        <w:trPr>
          <w:trHeight w:val="320"/>
        </w:trPr>
        <w:tc>
          <w:tcPr>
            <w:tcW w:w="1444" w:type="pct"/>
            <w:tcBorders>
              <w:right w:val="single" w:sz="4" w:space="0" w:color="auto"/>
            </w:tcBorders>
            <w:shd w:val="clear" w:color="auto" w:fill="auto"/>
            <w:vAlign w:val="center"/>
            <w:hideMark/>
          </w:tcPr>
          <w:p w14:paraId="426AAAF8"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Purulent exudate</w:t>
            </w:r>
          </w:p>
        </w:tc>
        <w:tc>
          <w:tcPr>
            <w:tcW w:w="408" w:type="pct"/>
            <w:tcBorders>
              <w:left w:val="single" w:sz="4" w:space="0" w:color="auto"/>
            </w:tcBorders>
            <w:shd w:val="clear" w:color="auto" w:fill="auto"/>
            <w:vAlign w:val="center"/>
          </w:tcPr>
          <w:p w14:paraId="112DC6AF"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9 (34.6)</w:t>
            </w:r>
          </w:p>
        </w:tc>
        <w:tc>
          <w:tcPr>
            <w:tcW w:w="408" w:type="pct"/>
            <w:shd w:val="clear" w:color="auto" w:fill="auto"/>
            <w:vAlign w:val="center"/>
          </w:tcPr>
          <w:p w14:paraId="242BF234"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8 (30.8)</w:t>
            </w:r>
          </w:p>
        </w:tc>
        <w:tc>
          <w:tcPr>
            <w:tcW w:w="408" w:type="pct"/>
            <w:shd w:val="clear" w:color="auto" w:fill="auto"/>
            <w:vAlign w:val="center"/>
          </w:tcPr>
          <w:p w14:paraId="44F78B6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(34.6)</w:t>
            </w:r>
          </w:p>
        </w:tc>
        <w:tc>
          <w:tcPr>
            <w:tcW w:w="408" w:type="pct"/>
            <w:tcBorders>
              <w:right w:val="single" w:sz="4" w:space="0" w:color="auto"/>
            </w:tcBorders>
            <w:vAlign w:val="center"/>
          </w:tcPr>
          <w:p w14:paraId="67ACF34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70FE798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(20.0)</w:t>
            </w:r>
          </w:p>
        </w:tc>
        <w:tc>
          <w:tcPr>
            <w:tcW w:w="408" w:type="pct"/>
            <w:shd w:val="clear" w:color="auto" w:fill="auto"/>
            <w:vAlign w:val="center"/>
          </w:tcPr>
          <w:p w14:paraId="6D88545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(32.0)</w:t>
            </w:r>
          </w:p>
        </w:tc>
        <w:tc>
          <w:tcPr>
            <w:tcW w:w="408" w:type="pct"/>
            <w:shd w:val="clear" w:color="auto" w:fill="auto"/>
            <w:noWrap/>
            <w:vAlign w:val="center"/>
          </w:tcPr>
          <w:p w14:paraId="22180E2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(48.0)</w:t>
            </w:r>
          </w:p>
        </w:tc>
        <w:tc>
          <w:tcPr>
            <w:tcW w:w="408" w:type="pct"/>
            <w:tcBorders>
              <w:right w:val="single" w:sz="4" w:space="0" w:color="auto"/>
            </w:tcBorders>
            <w:vAlign w:val="center"/>
          </w:tcPr>
          <w:p w14:paraId="0FE2EC5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0F90C19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4810CEF2" w14:textId="77777777" w:rsidTr="00DE61C5">
        <w:trPr>
          <w:trHeight w:val="320"/>
        </w:trPr>
        <w:tc>
          <w:tcPr>
            <w:tcW w:w="1444" w:type="pct"/>
            <w:tcBorders>
              <w:right w:val="single" w:sz="4" w:space="0" w:color="auto"/>
            </w:tcBorders>
            <w:shd w:val="clear" w:color="auto" w:fill="auto"/>
            <w:vAlign w:val="center"/>
            <w:hideMark/>
          </w:tcPr>
          <w:p w14:paraId="45812121"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Pustules</w:t>
            </w:r>
          </w:p>
        </w:tc>
        <w:tc>
          <w:tcPr>
            <w:tcW w:w="408" w:type="pct"/>
            <w:tcBorders>
              <w:left w:val="single" w:sz="4" w:space="0" w:color="auto"/>
            </w:tcBorders>
            <w:shd w:val="clear" w:color="auto" w:fill="auto"/>
            <w:vAlign w:val="center"/>
          </w:tcPr>
          <w:p w14:paraId="05E0C07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(38.5)</w:t>
            </w:r>
          </w:p>
        </w:tc>
        <w:tc>
          <w:tcPr>
            <w:tcW w:w="408" w:type="pct"/>
            <w:shd w:val="clear" w:color="auto" w:fill="auto"/>
            <w:vAlign w:val="center"/>
          </w:tcPr>
          <w:p w14:paraId="1A434D2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(23.1)</w:t>
            </w:r>
          </w:p>
        </w:tc>
        <w:tc>
          <w:tcPr>
            <w:tcW w:w="408" w:type="pct"/>
            <w:shd w:val="clear" w:color="auto" w:fill="auto"/>
            <w:vAlign w:val="center"/>
          </w:tcPr>
          <w:p w14:paraId="22F46B9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(38.5)</w:t>
            </w:r>
          </w:p>
        </w:tc>
        <w:tc>
          <w:tcPr>
            <w:tcW w:w="408" w:type="pct"/>
            <w:tcBorders>
              <w:right w:val="single" w:sz="4" w:space="0" w:color="auto"/>
            </w:tcBorders>
            <w:vAlign w:val="center"/>
          </w:tcPr>
          <w:p w14:paraId="15CFB10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5BC7567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(12.0)</w:t>
            </w:r>
          </w:p>
        </w:tc>
        <w:tc>
          <w:tcPr>
            <w:tcW w:w="408" w:type="pct"/>
            <w:shd w:val="clear" w:color="auto" w:fill="auto"/>
            <w:vAlign w:val="center"/>
          </w:tcPr>
          <w:p w14:paraId="094C4BC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(12.0)</w:t>
            </w:r>
          </w:p>
        </w:tc>
        <w:tc>
          <w:tcPr>
            <w:tcW w:w="408" w:type="pct"/>
            <w:shd w:val="clear" w:color="auto" w:fill="auto"/>
            <w:noWrap/>
            <w:vAlign w:val="center"/>
          </w:tcPr>
          <w:p w14:paraId="4F02D3A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19 (76.0)</w:t>
            </w:r>
          </w:p>
        </w:tc>
        <w:tc>
          <w:tcPr>
            <w:tcW w:w="408" w:type="pct"/>
            <w:tcBorders>
              <w:right w:val="single" w:sz="4" w:space="0" w:color="auto"/>
            </w:tcBorders>
            <w:vAlign w:val="center"/>
          </w:tcPr>
          <w:p w14:paraId="3A7E6B6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1EEB686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253A070F" w14:textId="77777777" w:rsidTr="00DE61C5">
        <w:trPr>
          <w:trHeight w:val="320"/>
        </w:trPr>
        <w:tc>
          <w:tcPr>
            <w:tcW w:w="1444" w:type="pct"/>
            <w:tcBorders>
              <w:right w:val="single" w:sz="4" w:space="0" w:color="auto"/>
            </w:tcBorders>
            <w:shd w:val="clear" w:color="auto" w:fill="auto"/>
            <w:vAlign w:val="center"/>
            <w:hideMark/>
          </w:tcPr>
          <w:p w14:paraId="47DFF51A"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Roughness</w:t>
            </w:r>
          </w:p>
        </w:tc>
        <w:tc>
          <w:tcPr>
            <w:tcW w:w="408" w:type="pct"/>
            <w:tcBorders>
              <w:left w:val="single" w:sz="4" w:space="0" w:color="auto"/>
            </w:tcBorders>
            <w:shd w:val="clear" w:color="auto" w:fill="auto"/>
            <w:vAlign w:val="center"/>
          </w:tcPr>
          <w:p w14:paraId="75CAC27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(48.0)</w:t>
            </w:r>
          </w:p>
        </w:tc>
        <w:tc>
          <w:tcPr>
            <w:tcW w:w="408" w:type="pct"/>
            <w:shd w:val="clear" w:color="auto" w:fill="auto"/>
            <w:vAlign w:val="center"/>
          </w:tcPr>
          <w:p w14:paraId="7E92DE7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(44.0)</w:t>
            </w:r>
          </w:p>
        </w:tc>
        <w:tc>
          <w:tcPr>
            <w:tcW w:w="408" w:type="pct"/>
            <w:shd w:val="clear" w:color="auto" w:fill="auto"/>
            <w:vAlign w:val="center"/>
          </w:tcPr>
          <w:p w14:paraId="636C6A1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(8.0)</w:t>
            </w:r>
          </w:p>
        </w:tc>
        <w:tc>
          <w:tcPr>
            <w:tcW w:w="408" w:type="pct"/>
            <w:tcBorders>
              <w:right w:val="single" w:sz="4" w:space="0" w:color="auto"/>
            </w:tcBorders>
            <w:vAlign w:val="center"/>
          </w:tcPr>
          <w:p w14:paraId="512EFAD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125A58C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(36.0)</w:t>
            </w:r>
          </w:p>
        </w:tc>
        <w:tc>
          <w:tcPr>
            <w:tcW w:w="408" w:type="pct"/>
            <w:shd w:val="clear" w:color="auto" w:fill="auto"/>
            <w:vAlign w:val="center"/>
          </w:tcPr>
          <w:p w14:paraId="2F0BE2F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(36.0)</w:t>
            </w:r>
          </w:p>
        </w:tc>
        <w:tc>
          <w:tcPr>
            <w:tcW w:w="408" w:type="pct"/>
            <w:shd w:val="clear" w:color="auto" w:fill="auto"/>
            <w:noWrap/>
            <w:vAlign w:val="center"/>
          </w:tcPr>
          <w:p w14:paraId="760F0B6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(28.0)</w:t>
            </w:r>
          </w:p>
        </w:tc>
        <w:tc>
          <w:tcPr>
            <w:tcW w:w="408" w:type="pct"/>
            <w:tcBorders>
              <w:right w:val="single" w:sz="4" w:space="0" w:color="auto"/>
            </w:tcBorders>
            <w:vAlign w:val="center"/>
          </w:tcPr>
          <w:p w14:paraId="3A362B7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4B2D559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25110B98" w14:textId="77777777" w:rsidTr="00DE61C5">
        <w:trPr>
          <w:trHeight w:val="320"/>
        </w:trPr>
        <w:tc>
          <w:tcPr>
            <w:tcW w:w="1444" w:type="pct"/>
            <w:tcBorders>
              <w:right w:val="single" w:sz="4" w:space="0" w:color="auto"/>
            </w:tcBorders>
            <w:shd w:val="clear" w:color="auto" w:fill="auto"/>
            <w:vAlign w:val="center"/>
            <w:hideMark/>
          </w:tcPr>
          <w:p w14:paraId="3E2D8591"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lastRenderedPageBreak/>
              <w:t>Satellite lesions</w:t>
            </w:r>
          </w:p>
        </w:tc>
        <w:tc>
          <w:tcPr>
            <w:tcW w:w="408" w:type="pct"/>
            <w:tcBorders>
              <w:left w:val="single" w:sz="4" w:space="0" w:color="auto"/>
            </w:tcBorders>
            <w:shd w:val="clear" w:color="auto" w:fill="auto"/>
            <w:vAlign w:val="center"/>
          </w:tcPr>
          <w:p w14:paraId="7369F19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(7.7)</w:t>
            </w:r>
          </w:p>
        </w:tc>
        <w:tc>
          <w:tcPr>
            <w:tcW w:w="408" w:type="pct"/>
            <w:shd w:val="clear" w:color="auto" w:fill="auto"/>
            <w:vAlign w:val="center"/>
          </w:tcPr>
          <w:p w14:paraId="426595C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(30.8)</w:t>
            </w:r>
          </w:p>
        </w:tc>
        <w:tc>
          <w:tcPr>
            <w:tcW w:w="408" w:type="pct"/>
            <w:shd w:val="clear" w:color="auto" w:fill="auto"/>
            <w:vAlign w:val="center"/>
          </w:tcPr>
          <w:p w14:paraId="4E30CDF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16 (61.5)</w:t>
            </w:r>
          </w:p>
        </w:tc>
        <w:tc>
          <w:tcPr>
            <w:tcW w:w="408" w:type="pct"/>
            <w:tcBorders>
              <w:right w:val="single" w:sz="4" w:space="0" w:color="auto"/>
            </w:tcBorders>
            <w:vAlign w:val="center"/>
          </w:tcPr>
          <w:p w14:paraId="415B27B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610EA7C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(3.8)</w:t>
            </w:r>
          </w:p>
        </w:tc>
        <w:tc>
          <w:tcPr>
            <w:tcW w:w="408" w:type="pct"/>
            <w:shd w:val="clear" w:color="auto" w:fill="auto"/>
            <w:vAlign w:val="center"/>
          </w:tcPr>
          <w:p w14:paraId="0A46C45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(11.4)</w:t>
            </w:r>
          </w:p>
        </w:tc>
        <w:tc>
          <w:tcPr>
            <w:tcW w:w="408" w:type="pct"/>
            <w:shd w:val="clear" w:color="auto" w:fill="auto"/>
            <w:noWrap/>
            <w:vAlign w:val="center"/>
          </w:tcPr>
          <w:p w14:paraId="57E7625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22 (84.6)</w:t>
            </w:r>
          </w:p>
        </w:tc>
        <w:tc>
          <w:tcPr>
            <w:tcW w:w="408" w:type="pct"/>
            <w:tcBorders>
              <w:right w:val="single" w:sz="4" w:space="0" w:color="auto"/>
            </w:tcBorders>
            <w:vAlign w:val="center"/>
          </w:tcPr>
          <w:p w14:paraId="62B5C0C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71B0C20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01C7F97A" w14:textId="77777777" w:rsidTr="00DE61C5">
        <w:trPr>
          <w:trHeight w:val="320"/>
        </w:trPr>
        <w:tc>
          <w:tcPr>
            <w:tcW w:w="1444" w:type="pct"/>
            <w:tcBorders>
              <w:right w:val="single" w:sz="4" w:space="0" w:color="auto"/>
            </w:tcBorders>
            <w:shd w:val="clear" w:color="auto" w:fill="auto"/>
            <w:vAlign w:val="center"/>
            <w:hideMark/>
          </w:tcPr>
          <w:p w14:paraId="19F699C4"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Scabbing</w:t>
            </w:r>
          </w:p>
        </w:tc>
        <w:tc>
          <w:tcPr>
            <w:tcW w:w="408" w:type="pct"/>
            <w:tcBorders>
              <w:left w:val="single" w:sz="4" w:space="0" w:color="auto"/>
            </w:tcBorders>
            <w:shd w:val="clear" w:color="auto" w:fill="auto"/>
            <w:vAlign w:val="center"/>
          </w:tcPr>
          <w:p w14:paraId="2475BBF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(40.0)</w:t>
            </w:r>
          </w:p>
        </w:tc>
        <w:tc>
          <w:tcPr>
            <w:tcW w:w="408" w:type="pct"/>
            <w:shd w:val="clear" w:color="auto" w:fill="auto"/>
            <w:vAlign w:val="center"/>
          </w:tcPr>
          <w:p w14:paraId="53B98CD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(48.0)</w:t>
            </w:r>
          </w:p>
        </w:tc>
        <w:tc>
          <w:tcPr>
            <w:tcW w:w="408" w:type="pct"/>
            <w:shd w:val="clear" w:color="auto" w:fill="auto"/>
            <w:vAlign w:val="center"/>
          </w:tcPr>
          <w:p w14:paraId="105CC2D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(12.0)</w:t>
            </w:r>
          </w:p>
        </w:tc>
        <w:tc>
          <w:tcPr>
            <w:tcW w:w="408" w:type="pct"/>
            <w:tcBorders>
              <w:right w:val="single" w:sz="4" w:space="0" w:color="auto"/>
            </w:tcBorders>
            <w:vAlign w:val="center"/>
          </w:tcPr>
          <w:p w14:paraId="51AC58F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5BDD32C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(16.7)</w:t>
            </w:r>
          </w:p>
        </w:tc>
        <w:tc>
          <w:tcPr>
            <w:tcW w:w="408" w:type="pct"/>
            <w:shd w:val="clear" w:color="auto" w:fill="auto"/>
            <w:vAlign w:val="center"/>
          </w:tcPr>
          <w:p w14:paraId="4FF0CCB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(37.5)</w:t>
            </w:r>
          </w:p>
        </w:tc>
        <w:tc>
          <w:tcPr>
            <w:tcW w:w="408" w:type="pct"/>
            <w:shd w:val="clear" w:color="auto" w:fill="auto"/>
            <w:noWrap/>
            <w:vAlign w:val="center"/>
          </w:tcPr>
          <w:p w14:paraId="63EB321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(45.8)</w:t>
            </w:r>
          </w:p>
        </w:tc>
        <w:tc>
          <w:tcPr>
            <w:tcW w:w="408" w:type="pct"/>
            <w:tcBorders>
              <w:right w:val="single" w:sz="4" w:space="0" w:color="auto"/>
            </w:tcBorders>
            <w:vAlign w:val="center"/>
          </w:tcPr>
          <w:p w14:paraId="50EDAED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49594C1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479043F9" w14:textId="77777777" w:rsidTr="00DE61C5">
        <w:trPr>
          <w:trHeight w:val="320"/>
        </w:trPr>
        <w:tc>
          <w:tcPr>
            <w:tcW w:w="1444" w:type="pct"/>
            <w:tcBorders>
              <w:right w:val="single" w:sz="4" w:space="0" w:color="auto"/>
            </w:tcBorders>
            <w:shd w:val="clear" w:color="auto" w:fill="auto"/>
            <w:vAlign w:val="center"/>
            <w:hideMark/>
          </w:tcPr>
          <w:p w14:paraId="6FBA73DE"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Scaling</w:t>
            </w:r>
          </w:p>
        </w:tc>
        <w:tc>
          <w:tcPr>
            <w:tcW w:w="408" w:type="pct"/>
            <w:tcBorders>
              <w:left w:val="single" w:sz="4" w:space="0" w:color="auto"/>
            </w:tcBorders>
            <w:shd w:val="clear" w:color="auto" w:fill="auto"/>
            <w:vAlign w:val="center"/>
          </w:tcPr>
          <w:p w14:paraId="5EFBEE7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(40.0)</w:t>
            </w:r>
          </w:p>
        </w:tc>
        <w:tc>
          <w:tcPr>
            <w:tcW w:w="408" w:type="pct"/>
            <w:shd w:val="clear" w:color="auto" w:fill="auto"/>
            <w:vAlign w:val="center"/>
          </w:tcPr>
          <w:p w14:paraId="01F8C59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(40.0)</w:t>
            </w:r>
          </w:p>
        </w:tc>
        <w:tc>
          <w:tcPr>
            <w:tcW w:w="408" w:type="pct"/>
            <w:shd w:val="clear" w:color="auto" w:fill="auto"/>
            <w:vAlign w:val="center"/>
          </w:tcPr>
          <w:p w14:paraId="3FC0203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(20.0)</w:t>
            </w:r>
          </w:p>
        </w:tc>
        <w:tc>
          <w:tcPr>
            <w:tcW w:w="408" w:type="pct"/>
            <w:tcBorders>
              <w:right w:val="single" w:sz="4" w:space="0" w:color="auto"/>
            </w:tcBorders>
            <w:vAlign w:val="center"/>
          </w:tcPr>
          <w:p w14:paraId="489FF3C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3B592E4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6751511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(44.0)</w:t>
            </w:r>
          </w:p>
        </w:tc>
        <w:tc>
          <w:tcPr>
            <w:tcW w:w="408" w:type="pct"/>
            <w:shd w:val="clear" w:color="auto" w:fill="auto"/>
            <w:noWrap/>
            <w:vAlign w:val="center"/>
          </w:tcPr>
          <w:p w14:paraId="35A04CB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(48.0)</w:t>
            </w:r>
          </w:p>
        </w:tc>
        <w:tc>
          <w:tcPr>
            <w:tcW w:w="408" w:type="pct"/>
            <w:tcBorders>
              <w:right w:val="single" w:sz="4" w:space="0" w:color="auto"/>
            </w:tcBorders>
            <w:vAlign w:val="center"/>
          </w:tcPr>
          <w:p w14:paraId="61AB401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01C6ED7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48FA678F" w14:textId="77777777" w:rsidTr="00DE61C5">
        <w:trPr>
          <w:trHeight w:val="320"/>
        </w:trPr>
        <w:tc>
          <w:tcPr>
            <w:tcW w:w="1444" w:type="pct"/>
            <w:tcBorders>
              <w:right w:val="single" w:sz="4" w:space="0" w:color="auto"/>
            </w:tcBorders>
            <w:shd w:val="clear" w:color="auto" w:fill="auto"/>
            <w:vAlign w:val="center"/>
            <w:hideMark/>
          </w:tcPr>
          <w:p w14:paraId="048C7038"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Scratch marks</w:t>
            </w:r>
          </w:p>
        </w:tc>
        <w:tc>
          <w:tcPr>
            <w:tcW w:w="408" w:type="pct"/>
            <w:tcBorders>
              <w:left w:val="single" w:sz="4" w:space="0" w:color="auto"/>
            </w:tcBorders>
            <w:shd w:val="clear" w:color="auto" w:fill="auto"/>
            <w:vAlign w:val="center"/>
          </w:tcPr>
          <w:p w14:paraId="1AB9C6C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(38.5)</w:t>
            </w:r>
          </w:p>
        </w:tc>
        <w:tc>
          <w:tcPr>
            <w:tcW w:w="408" w:type="pct"/>
            <w:shd w:val="clear" w:color="auto" w:fill="auto"/>
            <w:vAlign w:val="center"/>
          </w:tcPr>
          <w:p w14:paraId="640B56C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(46.2)</w:t>
            </w:r>
          </w:p>
        </w:tc>
        <w:tc>
          <w:tcPr>
            <w:tcW w:w="408" w:type="pct"/>
            <w:shd w:val="clear" w:color="auto" w:fill="auto"/>
            <w:vAlign w:val="center"/>
          </w:tcPr>
          <w:p w14:paraId="220CB04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(15.4)</w:t>
            </w:r>
          </w:p>
        </w:tc>
        <w:tc>
          <w:tcPr>
            <w:tcW w:w="408" w:type="pct"/>
            <w:tcBorders>
              <w:right w:val="single" w:sz="4" w:space="0" w:color="auto"/>
            </w:tcBorders>
            <w:vAlign w:val="center"/>
          </w:tcPr>
          <w:p w14:paraId="5BD3CFD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67DA27F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(26.9)</w:t>
            </w:r>
          </w:p>
        </w:tc>
        <w:tc>
          <w:tcPr>
            <w:tcW w:w="408" w:type="pct"/>
            <w:shd w:val="clear" w:color="auto" w:fill="auto"/>
            <w:vAlign w:val="center"/>
          </w:tcPr>
          <w:p w14:paraId="373C81B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(42.2)</w:t>
            </w:r>
          </w:p>
        </w:tc>
        <w:tc>
          <w:tcPr>
            <w:tcW w:w="408" w:type="pct"/>
            <w:shd w:val="clear" w:color="auto" w:fill="auto"/>
            <w:noWrap/>
            <w:vAlign w:val="center"/>
          </w:tcPr>
          <w:p w14:paraId="2749A99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(30.7)</w:t>
            </w:r>
          </w:p>
        </w:tc>
        <w:tc>
          <w:tcPr>
            <w:tcW w:w="408" w:type="pct"/>
            <w:tcBorders>
              <w:right w:val="single" w:sz="4" w:space="0" w:color="auto"/>
            </w:tcBorders>
            <w:vAlign w:val="center"/>
          </w:tcPr>
          <w:p w14:paraId="4FFBEAB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0E680E5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10D1021C" w14:textId="77777777" w:rsidTr="00DE61C5">
        <w:trPr>
          <w:trHeight w:val="320"/>
        </w:trPr>
        <w:tc>
          <w:tcPr>
            <w:tcW w:w="1444" w:type="pct"/>
            <w:tcBorders>
              <w:right w:val="single" w:sz="4" w:space="0" w:color="auto"/>
            </w:tcBorders>
            <w:shd w:val="clear" w:color="auto" w:fill="auto"/>
            <w:vAlign w:val="center"/>
            <w:hideMark/>
          </w:tcPr>
          <w:p w14:paraId="4963B7E2"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Shiny appearance</w:t>
            </w:r>
          </w:p>
        </w:tc>
        <w:tc>
          <w:tcPr>
            <w:tcW w:w="408" w:type="pct"/>
            <w:tcBorders>
              <w:left w:val="single" w:sz="4" w:space="0" w:color="auto"/>
            </w:tcBorders>
            <w:shd w:val="clear" w:color="auto" w:fill="auto"/>
            <w:vAlign w:val="center"/>
          </w:tcPr>
          <w:p w14:paraId="1192384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(23.1)</w:t>
            </w:r>
          </w:p>
        </w:tc>
        <w:tc>
          <w:tcPr>
            <w:tcW w:w="408" w:type="pct"/>
            <w:shd w:val="clear" w:color="auto" w:fill="auto"/>
            <w:vAlign w:val="center"/>
          </w:tcPr>
          <w:p w14:paraId="3185300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(46.2)</w:t>
            </w:r>
          </w:p>
        </w:tc>
        <w:tc>
          <w:tcPr>
            <w:tcW w:w="408" w:type="pct"/>
            <w:shd w:val="clear" w:color="auto" w:fill="auto"/>
            <w:vAlign w:val="center"/>
          </w:tcPr>
          <w:p w14:paraId="5D90D75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(30.8)</w:t>
            </w:r>
          </w:p>
        </w:tc>
        <w:tc>
          <w:tcPr>
            <w:tcW w:w="408" w:type="pct"/>
            <w:tcBorders>
              <w:right w:val="single" w:sz="4" w:space="0" w:color="auto"/>
            </w:tcBorders>
            <w:vAlign w:val="center"/>
          </w:tcPr>
          <w:p w14:paraId="18A1C0B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106A97A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(15.3)</w:t>
            </w:r>
          </w:p>
        </w:tc>
        <w:tc>
          <w:tcPr>
            <w:tcW w:w="408" w:type="pct"/>
            <w:shd w:val="clear" w:color="auto" w:fill="auto"/>
            <w:vAlign w:val="center"/>
          </w:tcPr>
          <w:p w14:paraId="6448A87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(23.1)</w:t>
            </w:r>
          </w:p>
        </w:tc>
        <w:tc>
          <w:tcPr>
            <w:tcW w:w="408" w:type="pct"/>
            <w:shd w:val="clear" w:color="auto" w:fill="auto"/>
            <w:noWrap/>
            <w:vAlign w:val="center"/>
          </w:tcPr>
          <w:p w14:paraId="52741CB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16 (61.5)</w:t>
            </w:r>
          </w:p>
        </w:tc>
        <w:tc>
          <w:tcPr>
            <w:tcW w:w="408" w:type="pct"/>
            <w:tcBorders>
              <w:right w:val="single" w:sz="4" w:space="0" w:color="auto"/>
            </w:tcBorders>
            <w:vAlign w:val="center"/>
          </w:tcPr>
          <w:p w14:paraId="4B7FAFB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7C84E1A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4A3AD70E" w14:textId="77777777" w:rsidTr="00DE61C5">
        <w:trPr>
          <w:trHeight w:val="320"/>
        </w:trPr>
        <w:tc>
          <w:tcPr>
            <w:tcW w:w="1444" w:type="pct"/>
            <w:tcBorders>
              <w:right w:val="single" w:sz="4" w:space="0" w:color="auto"/>
            </w:tcBorders>
            <w:shd w:val="clear" w:color="auto" w:fill="auto"/>
            <w:vAlign w:val="center"/>
            <w:hideMark/>
          </w:tcPr>
          <w:p w14:paraId="3D4AA232"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Skin barrier properties</w:t>
            </w:r>
          </w:p>
        </w:tc>
        <w:tc>
          <w:tcPr>
            <w:tcW w:w="408" w:type="pct"/>
            <w:tcBorders>
              <w:left w:val="single" w:sz="4" w:space="0" w:color="auto"/>
            </w:tcBorders>
            <w:shd w:val="clear" w:color="auto" w:fill="auto"/>
            <w:vAlign w:val="center"/>
          </w:tcPr>
          <w:p w14:paraId="733D309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0D7D847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(32.0)</w:t>
            </w:r>
          </w:p>
        </w:tc>
        <w:tc>
          <w:tcPr>
            <w:tcW w:w="408" w:type="pct"/>
            <w:shd w:val="clear" w:color="auto" w:fill="auto"/>
            <w:vAlign w:val="center"/>
          </w:tcPr>
          <w:p w14:paraId="2350B0D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(52.0)</w:t>
            </w:r>
          </w:p>
        </w:tc>
        <w:tc>
          <w:tcPr>
            <w:tcW w:w="408" w:type="pct"/>
            <w:tcBorders>
              <w:right w:val="single" w:sz="4" w:space="0" w:color="auto"/>
            </w:tcBorders>
            <w:vAlign w:val="center"/>
          </w:tcPr>
          <w:p w14:paraId="699BE9A3"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1D5EF66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(16.7)</w:t>
            </w:r>
          </w:p>
        </w:tc>
        <w:tc>
          <w:tcPr>
            <w:tcW w:w="408" w:type="pct"/>
            <w:shd w:val="clear" w:color="auto" w:fill="auto"/>
            <w:vAlign w:val="center"/>
          </w:tcPr>
          <w:p w14:paraId="5F1F54E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(4.2)</w:t>
            </w:r>
          </w:p>
        </w:tc>
        <w:tc>
          <w:tcPr>
            <w:tcW w:w="408" w:type="pct"/>
            <w:shd w:val="clear" w:color="auto" w:fill="auto"/>
            <w:noWrap/>
            <w:vAlign w:val="center"/>
          </w:tcPr>
          <w:p w14:paraId="50094EC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19 (79.1)</w:t>
            </w:r>
          </w:p>
        </w:tc>
        <w:tc>
          <w:tcPr>
            <w:tcW w:w="408" w:type="pct"/>
            <w:tcBorders>
              <w:right w:val="single" w:sz="4" w:space="0" w:color="auto"/>
            </w:tcBorders>
            <w:vAlign w:val="center"/>
          </w:tcPr>
          <w:p w14:paraId="102003D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3740C10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09FC15D3" w14:textId="77777777" w:rsidTr="00DE61C5">
        <w:trPr>
          <w:trHeight w:val="320"/>
        </w:trPr>
        <w:tc>
          <w:tcPr>
            <w:tcW w:w="1444" w:type="pct"/>
            <w:tcBorders>
              <w:right w:val="single" w:sz="4" w:space="0" w:color="auto"/>
            </w:tcBorders>
            <w:shd w:val="clear" w:color="auto" w:fill="auto"/>
            <w:vAlign w:val="center"/>
            <w:hideMark/>
          </w:tcPr>
          <w:p w14:paraId="4E590AED"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Skin loss</w:t>
            </w:r>
          </w:p>
        </w:tc>
        <w:tc>
          <w:tcPr>
            <w:tcW w:w="408" w:type="pct"/>
            <w:tcBorders>
              <w:left w:val="single" w:sz="4" w:space="0" w:color="auto"/>
            </w:tcBorders>
            <w:shd w:val="clear" w:color="auto" w:fill="auto"/>
            <w:vAlign w:val="center"/>
          </w:tcPr>
          <w:p w14:paraId="490513F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(3.8)</w:t>
            </w:r>
          </w:p>
        </w:tc>
        <w:tc>
          <w:tcPr>
            <w:tcW w:w="408" w:type="pct"/>
            <w:shd w:val="clear" w:color="auto" w:fill="auto"/>
            <w:vAlign w:val="center"/>
          </w:tcPr>
          <w:p w14:paraId="62DAE95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(15.4)</w:t>
            </w:r>
          </w:p>
        </w:tc>
        <w:tc>
          <w:tcPr>
            <w:tcW w:w="408" w:type="pct"/>
            <w:shd w:val="clear" w:color="auto" w:fill="auto"/>
            <w:vAlign w:val="center"/>
          </w:tcPr>
          <w:p w14:paraId="0336211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21 (80.8)</w:t>
            </w:r>
          </w:p>
        </w:tc>
        <w:tc>
          <w:tcPr>
            <w:tcW w:w="408" w:type="pct"/>
            <w:tcBorders>
              <w:right w:val="single" w:sz="4" w:space="0" w:color="auto"/>
            </w:tcBorders>
            <w:vAlign w:val="center"/>
          </w:tcPr>
          <w:p w14:paraId="4EA1616D"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2023712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 (4.0)</w:t>
            </w:r>
          </w:p>
        </w:tc>
        <w:tc>
          <w:tcPr>
            <w:tcW w:w="408" w:type="pct"/>
            <w:shd w:val="clear" w:color="auto" w:fill="auto"/>
            <w:vAlign w:val="center"/>
          </w:tcPr>
          <w:p w14:paraId="0AB9053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(8.0)</w:t>
            </w:r>
          </w:p>
        </w:tc>
        <w:tc>
          <w:tcPr>
            <w:tcW w:w="408" w:type="pct"/>
            <w:shd w:val="clear" w:color="auto" w:fill="auto"/>
            <w:noWrap/>
            <w:vAlign w:val="center"/>
          </w:tcPr>
          <w:p w14:paraId="7709E83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22 (88.0)</w:t>
            </w:r>
          </w:p>
        </w:tc>
        <w:tc>
          <w:tcPr>
            <w:tcW w:w="408" w:type="pct"/>
            <w:tcBorders>
              <w:right w:val="single" w:sz="4" w:space="0" w:color="auto"/>
            </w:tcBorders>
            <w:vAlign w:val="center"/>
          </w:tcPr>
          <w:p w14:paraId="521E92F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79FA14C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In</w:t>
            </w:r>
          </w:p>
        </w:tc>
      </w:tr>
      <w:tr w:rsidR="00F24F47" w:rsidRPr="00DE61C5" w14:paraId="767E69C4" w14:textId="77777777" w:rsidTr="00DE61C5">
        <w:trPr>
          <w:trHeight w:val="320"/>
        </w:trPr>
        <w:tc>
          <w:tcPr>
            <w:tcW w:w="1444" w:type="pct"/>
            <w:tcBorders>
              <w:right w:val="single" w:sz="4" w:space="0" w:color="auto"/>
            </w:tcBorders>
            <w:shd w:val="clear" w:color="auto" w:fill="auto"/>
            <w:vAlign w:val="center"/>
            <w:hideMark/>
          </w:tcPr>
          <w:p w14:paraId="26DDF920" w14:textId="77777777" w:rsidR="00F24F47" w:rsidRPr="00DE61C5" w:rsidRDefault="00F24F47" w:rsidP="00DE61C5">
            <w:pPr>
              <w:spacing w:after="0" w:line="240" w:lineRule="auto"/>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Slough present in the wound bed (yellow / brown / greyish)</w:t>
            </w:r>
          </w:p>
        </w:tc>
        <w:tc>
          <w:tcPr>
            <w:tcW w:w="408" w:type="pct"/>
            <w:tcBorders>
              <w:left w:val="single" w:sz="4" w:space="0" w:color="auto"/>
            </w:tcBorders>
            <w:shd w:val="clear" w:color="auto" w:fill="auto"/>
            <w:vAlign w:val="center"/>
          </w:tcPr>
          <w:p w14:paraId="2CAB0051"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7 (26.9)</w:t>
            </w:r>
          </w:p>
        </w:tc>
        <w:tc>
          <w:tcPr>
            <w:tcW w:w="408" w:type="pct"/>
            <w:shd w:val="clear" w:color="auto" w:fill="auto"/>
            <w:vAlign w:val="center"/>
          </w:tcPr>
          <w:p w14:paraId="3737E60A" w14:textId="77777777" w:rsidR="00F24F47" w:rsidRPr="00DE61C5" w:rsidRDefault="00F24F47" w:rsidP="00DE61C5">
            <w:pPr>
              <w:spacing w:after="0" w:line="240" w:lineRule="auto"/>
              <w:jc w:val="center"/>
              <w:rPr>
                <w:rFonts w:asciiTheme="majorBidi" w:eastAsia="Times New Roman" w:hAnsiTheme="majorBidi" w:cstheme="majorBidi"/>
                <w:sz w:val="18"/>
                <w:szCs w:val="18"/>
                <w:lang w:val="en-US" w:eastAsia="nl-BE"/>
              </w:rPr>
            </w:pPr>
            <w:r w:rsidRPr="00DE61C5">
              <w:rPr>
                <w:rFonts w:asciiTheme="majorBidi" w:eastAsia="Times New Roman" w:hAnsiTheme="majorBidi" w:cstheme="majorBidi"/>
                <w:sz w:val="18"/>
                <w:szCs w:val="18"/>
                <w:lang w:val="en-US" w:eastAsia="nl-BE"/>
              </w:rPr>
              <w:t>11 (42.3)</w:t>
            </w:r>
          </w:p>
        </w:tc>
        <w:tc>
          <w:tcPr>
            <w:tcW w:w="408" w:type="pct"/>
            <w:shd w:val="clear" w:color="auto" w:fill="auto"/>
            <w:vAlign w:val="center"/>
          </w:tcPr>
          <w:p w14:paraId="7680D377"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8 (30.8)</w:t>
            </w:r>
          </w:p>
        </w:tc>
        <w:tc>
          <w:tcPr>
            <w:tcW w:w="408" w:type="pct"/>
            <w:tcBorders>
              <w:right w:val="single" w:sz="4" w:space="0" w:color="auto"/>
            </w:tcBorders>
            <w:vAlign w:val="center"/>
          </w:tcPr>
          <w:p w14:paraId="473D6129"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18C52F2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(19.2)</w:t>
            </w:r>
          </w:p>
        </w:tc>
        <w:tc>
          <w:tcPr>
            <w:tcW w:w="408" w:type="pct"/>
            <w:shd w:val="clear" w:color="auto" w:fill="auto"/>
            <w:vAlign w:val="center"/>
          </w:tcPr>
          <w:p w14:paraId="5FAE82B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(23.0)</w:t>
            </w:r>
          </w:p>
        </w:tc>
        <w:tc>
          <w:tcPr>
            <w:tcW w:w="408" w:type="pct"/>
            <w:shd w:val="clear" w:color="auto" w:fill="auto"/>
            <w:noWrap/>
            <w:vAlign w:val="center"/>
          </w:tcPr>
          <w:p w14:paraId="44D8C1D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15 (57.7)</w:t>
            </w:r>
          </w:p>
        </w:tc>
        <w:tc>
          <w:tcPr>
            <w:tcW w:w="408" w:type="pct"/>
            <w:tcBorders>
              <w:right w:val="single" w:sz="4" w:space="0" w:color="auto"/>
            </w:tcBorders>
            <w:vAlign w:val="center"/>
          </w:tcPr>
          <w:p w14:paraId="4A91A43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w:t>
            </w:r>
          </w:p>
        </w:tc>
        <w:tc>
          <w:tcPr>
            <w:tcW w:w="292" w:type="pct"/>
            <w:tcBorders>
              <w:left w:val="single" w:sz="4" w:space="0" w:color="auto"/>
            </w:tcBorders>
            <w:shd w:val="clear" w:color="auto" w:fill="auto"/>
            <w:vAlign w:val="center"/>
          </w:tcPr>
          <w:p w14:paraId="5055613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5EA5AA57" w14:textId="77777777" w:rsidTr="00DE61C5">
        <w:trPr>
          <w:trHeight w:val="320"/>
        </w:trPr>
        <w:tc>
          <w:tcPr>
            <w:tcW w:w="1444" w:type="pct"/>
            <w:tcBorders>
              <w:right w:val="single" w:sz="4" w:space="0" w:color="auto"/>
            </w:tcBorders>
            <w:shd w:val="clear" w:color="auto" w:fill="auto"/>
            <w:vAlign w:val="center"/>
            <w:hideMark/>
          </w:tcPr>
          <w:p w14:paraId="6AAC83A7"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Swelling</w:t>
            </w:r>
          </w:p>
        </w:tc>
        <w:tc>
          <w:tcPr>
            <w:tcW w:w="408" w:type="pct"/>
            <w:tcBorders>
              <w:left w:val="single" w:sz="4" w:space="0" w:color="auto"/>
            </w:tcBorders>
            <w:shd w:val="clear" w:color="auto" w:fill="auto"/>
            <w:vAlign w:val="center"/>
          </w:tcPr>
          <w:p w14:paraId="77439CD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(26.9)</w:t>
            </w:r>
          </w:p>
        </w:tc>
        <w:tc>
          <w:tcPr>
            <w:tcW w:w="408" w:type="pct"/>
            <w:shd w:val="clear" w:color="auto" w:fill="auto"/>
            <w:vAlign w:val="center"/>
          </w:tcPr>
          <w:p w14:paraId="77E4077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(34.6)</w:t>
            </w:r>
          </w:p>
        </w:tc>
        <w:tc>
          <w:tcPr>
            <w:tcW w:w="408" w:type="pct"/>
            <w:shd w:val="clear" w:color="auto" w:fill="auto"/>
            <w:vAlign w:val="center"/>
          </w:tcPr>
          <w:p w14:paraId="0200598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(38.5)</w:t>
            </w:r>
          </w:p>
        </w:tc>
        <w:tc>
          <w:tcPr>
            <w:tcW w:w="408" w:type="pct"/>
            <w:tcBorders>
              <w:right w:val="single" w:sz="4" w:space="0" w:color="auto"/>
            </w:tcBorders>
            <w:vAlign w:val="center"/>
          </w:tcPr>
          <w:p w14:paraId="6276263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0</w:t>
            </w:r>
          </w:p>
        </w:tc>
        <w:tc>
          <w:tcPr>
            <w:tcW w:w="408" w:type="pct"/>
            <w:tcBorders>
              <w:left w:val="single" w:sz="4" w:space="0" w:color="auto"/>
            </w:tcBorders>
            <w:shd w:val="clear" w:color="auto" w:fill="auto"/>
            <w:vAlign w:val="center"/>
          </w:tcPr>
          <w:p w14:paraId="69A40376"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(20.3)</w:t>
            </w:r>
          </w:p>
        </w:tc>
        <w:tc>
          <w:tcPr>
            <w:tcW w:w="408" w:type="pct"/>
            <w:shd w:val="clear" w:color="auto" w:fill="auto"/>
            <w:vAlign w:val="center"/>
          </w:tcPr>
          <w:p w14:paraId="5425B8A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 (25.0)</w:t>
            </w:r>
          </w:p>
        </w:tc>
        <w:tc>
          <w:tcPr>
            <w:tcW w:w="408" w:type="pct"/>
            <w:shd w:val="clear" w:color="auto" w:fill="auto"/>
            <w:noWrap/>
            <w:vAlign w:val="center"/>
          </w:tcPr>
          <w:p w14:paraId="4629E95C"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13 (54.2)</w:t>
            </w:r>
          </w:p>
        </w:tc>
        <w:tc>
          <w:tcPr>
            <w:tcW w:w="408" w:type="pct"/>
            <w:tcBorders>
              <w:right w:val="single" w:sz="4" w:space="0" w:color="auto"/>
            </w:tcBorders>
            <w:vAlign w:val="center"/>
          </w:tcPr>
          <w:p w14:paraId="50EA509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w:t>
            </w:r>
          </w:p>
        </w:tc>
        <w:tc>
          <w:tcPr>
            <w:tcW w:w="292" w:type="pct"/>
            <w:tcBorders>
              <w:left w:val="single" w:sz="4" w:space="0" w:color="auto"/>
            </w:tcBorders>
            <w:shd w:val="clear" w:color="auto" w:fill="auto"/>
            <w:vAlign w:val="center"/>
          </w:tcPr>
          <w:p w14:paraId="482215A8"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2A016F0D" w14:textId="77777777" w:rsidTr="00DE61C5">
        <w:trPr>
          <w:trHeight w:val="320"/>
        </w:trPr>
        <w:tc>
          <w:tcPr>
            <w:tcW w:w="1444" w:type="pct"/>
            <w:tcBorders>
              <w:right w:val="single" w:sz="4" w:space="0" w:color="auto"/>
            </w:tcBorders>
            <w:shd w:val="clear" w:color="auto" w:fill="auto"/>
            <w:vAlign w:val="center"/>
            <w:hideMark/>
          </w:tcPr>
          <w:p w14:paraId="1484C36B"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Vesicles</w:t>
            </w:r>
          </w:p>
        </w:tc>
        <w:tc>
          <w:tcPr>
            <w:tcW w:w="408" w:type="pct"/>
            <w:tcBorders>
              <w:left w:val="single" w:sz="4" w:space="0" w:color="auto"/>
            </w:tcBorders>
            <w:shd w:val="clear" w:color="auto" w:fill="auto"/>
            <w:vAlign w:val="center"/>
          </w:tcPr>
          <w:p w14:paraId="4449A45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583311A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(40.0)</w:t>
            </w:r>
          </w:p>
        </w:tc>
        <w:tc>
          <w:tcPr>
            <w:tcW w:w="408" w:type="pct"/>
            <w:shd w:val="clear" w:color="auto" w:fill="auto"/>
            <w:vAlign w:val="center"/>
          </w:tcPr>
          <w:p w14:paraId="3A38D7E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11 (44.0)</w:t>
            </w:r>
          </w:p>
        </w:tc>
        <w:tc>
          <w:tcPr>
            <w:tcW w:w="408" w:type="pct"/>
            <w:tcBorders>
              <w:right w:val="single" w:sz="4" w:space="0" w:color="auto"/>
            </w:tcBorders>
            <w:vAlign w:val="center"/>
          </w:tcPr>
          <w:p w14:paraId="31C0C25E"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w:t>
            </w:r>
          </w:p>
        </w:tc>
        <w:tc>
          <w:tcPr>
            <w:tcW w:w="408" w:type="pct"/>
            <w:tcBorders>
              <w:left w:val="single" w:sz="4" w:space="0" w:color="auto"/>
            </w:tcBorders>
            <w:shd w:val="clear" w:color="auto" w:fill="auto"/>
            <w:vAlign w:val="center"/>
          </w:tcPr>
          <w:p w14:paraId="4AED621F"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4 (16.0)</w:t>
            </w:r>
          </w:p>
        </w:tc>
        <w:tc>
          <w:tcPr>
            <w:tcW w:w="408" w:type="pct"/>
            <w:shd w:val="clear" w:color="auto" w:fill="auto"/>
            <w:vAlign w:val="center"/>
          </w:tcPr>
          <w:p w14:paraId="0FDA0E2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 (20.0)</w:t>
            </w:r>
          </w:p>
        </w:tc>
        <w:tc>
          <w:tcPr>
            <w:tcW w:w="408" w:type="pct"/>
            <w:shd w:val="clear" w:color="auto" w:fill="auto"/>
            <w:noWrap/>
            <w:vAlign w:val="center"/>
          </w:tcPr>
          <w:p w14:paraId="3B5E1F0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16 (64.0)</w:t>
            </w:r>
          </w:p>
        </w:tc>
        <w:tc>
          <w:tcPr>
            <w:tcW w:w="408" w:type="pct"/>
            <w:tcBorders>
              <w:right w:val="single" w:sz="4" w:space="0" w:color="auto"/>
            </w:tcBorders>
            <w:vAlign w:val="center"/>
          </w:tcPr>
          <w:p w14:paraId="24D8104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w:t>
            </w:r>
          </w:p>
        </w:tc>
        <w:tc>
          <w:tcPr>
            <w:tcW w:w="292" w:type="pct"/>
            <w:tcBorders>
              <w:left w:val="single" w:sz="4" w:space="0" w:color="auto"/>
            </w:tcBorders>
            <w:shd w:val="clear" w:color="auto" w:fill="auto"/>
            <w:vAlign w:val="center"/>
          </w:tcPr>
          <w:p w14:paraId="0FF44B8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DE61C5" w14:paraId="32D45BED" w14:textId="77777777" w:rsidTr="00544450">
        <w:trPr>
          <w:trHeight w:val="320"/>
        </w:trPr>
        <w:tc>
          <w:tcPr>
            <w:tcW w:w="1444" w:type="pct"/>
            <w:tcBorders>
              <w:bottom w:val="single" w:sz="4" w:space="0" w:color="auto"/>
              <w:right w:val="single" w:sz="4" w:space="0" w:color="auto"/>
            </w:tcBorders>
            <w:shd w:val="clear" w:color="auto" w:fill="auto"/>
            <w:vAlign w:val="center"/>
            <w:hideMark/>
          </w:tcPr>
          <w:p w14:paraId="140E21BD" w14:textId="77777777" w:rsidR="00F24F47" w:rsidRPr="00DE61C5" w:rsidRDefault="00F24F47" w:rsidP="00DE61C5">
            <w:pPr>
              <w:spacing w:after="0" w:line="240" w:lineRule="auto"/>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White scaling</w:t>
            </w:r>
          </w:p>
        </w:tc>
        <w:tc>
          <w:tcPr>
            <w:tcW w:w="408" w:type="pct"/>
            <w:tcBorders>
              <w:left w:val="single" w:sz="4" w:space="0" w:color="auto"/>
              <w:bottom w:val="single" w:sz="4" w:space="0" w:color="auto"/>
            </w:tcBorders>
            <w:shd w:val="clear" w:color="auto" w:fill="auto"/>
            <w:vAlign w:val="center"/>
          </w:tcPr>
          <w:p w14:paraId="7D31053B"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7 (33.3)</w:t>
            </w:r>
          </w:p>
        </w:tc>
        <w:tc>
          <w:tcPr>
            <w:tcW w:w="408" w:type="pct"/>
            <w:tcBorders>
              <w:bottom w:val="single" w:sz="4" w:space="0" w:color="auto"/>
            </w:tcBorders>
            <w:shd w:val="clear" w:color="auto" w:fill="auto"/>
            <w:vAlign w:val="center"/>
          </w:tcPr>
          <w:p w14:paraId="5CA2A3C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12 (571)</w:t>
            </w:r>
          </w:p>
        </w:tc>
        <w:tc>
          <w:tcPr>
            <w:tcW w:w="408" w:type="pct"/>
            <w:tcBorders>
              <w:bottom w:val="single" w:sz="4" w:space="0" w:color="auto"/>
            </w:tcBorders>
            <w:shd w:val="clear" w:color="auto" w:fill="auto"/>
            <w:vAlign w:val="center"/>
          </w:tcPr>
          <w:p w14:paraId="66716F71"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2 (9.5)</w:t>
            </w:r>
          </w:p>
        </w:tc>
        <w:tc>
          <w:tcPr>
            <w:tcW w:w="408" w:type="pct"/>
            <w:tcBorders>
              <w:bottom w:val="single" w:sz="4" w:space="0" w:color="auto"/>
              <w:right w:val="single" w:sz="4" w:space="0" w:color="auto"/>
            </w:tcBorders>
            <w:vAlign w:val="center"/>
          </w:tcPr>
          <w:p w14:paraId="28CD28B4"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5</w:t>
            </w:r>
          </w:p>
        </w:tc>
        <w:tc>
          <w:tcPr>
            <w:tcW w:w="408" w:type="pct"/>
            <w:tcBorders>
              <w:left w:val="single" w:sz="4" w:space="0" w:color="auto"/>
              <w:bottom w:val="single" w:sz="4" w:space="0" w:color="auto"/>
            </w:tcBorders>
            <w:shd w:val="clear" w:color="auto" w:fill="auto"/>
            <w:vAlign w:val="center"/>
          </w:tcPr>
          <w:p w14:paraId="619F556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10 (45.4)</w:t>
            </w:r>
          </w:p>
        </w:tc>
        <w:tc>
          <w:tcPr>
            <w:tcW w:w="408" w:type="pct"/>
            <w:tcBorders>
              <w:bottom w:val="single" w:sz="4" w:space="0" w:color="auto"/>
            </w:tcBorders>
            <w:shd w:val="clear" w:color="auto" w:fill="auto"/>
            <w:vAlign w:val="center"/>
          </w:tcPr>
          <w:p w14:paraId="389B8232"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3 (13.6)</w:t>
            </w:r>
          </w:p>
        </w:tc>
        <w:tc>
          <w:tcPr>
            <w:tcW w:w="408" w:type="pct"/>
            <w:tcBorders>
              <w:bottom w:val="single" w:sz="4" w:space="0" w:color="auto"/>
            </w:tcBorders>
            <w:shd w:val="clear" w:color="auto" w:fill="auto"/>
            <w:noWrap/>
            <w:vAlign w:val="center"/>
          </w:tcPr>
          <w:p w14:paraId="40DE79BA"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9 (41.9)</w:t>
            </w:r>
          </w:p>
        </w:tc>
        <w:tc>
          <w:tcPr>
            <w:tcW w:w="408" w:type="pct"/>
            <w:tcBorders>
              <w:bottom w:val="single" w:sz="4" w:space="0" w:color="auto"/>
              <w:right w:val="single" w:sz="4" w:space="0" w:color="auto"/>
            </w:tcBorders>
            <w:vAlign w:val="center"/>
          </w:tcPr>
          <w:p w14:paraId="31F0ABF0"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6</w:t>
            </w:r>
          </w:p>
        </w:tc>
        <w:tc>
          <w:tcPr>
            <w:tcW w:w="292" w:type="pct"/>
            <w:tcBorders>
              <w:left w:val="single" w:sz="4" w:space="0" w:color="auto"/>
              <w:bottom w:val="single" w:sz="4" w:space="0" w:color="auto"/>
            </w:tcBorders>
            <w:shd w:val="clear" w:color="auto" w:fill="auto"/>
            <w:vAlign w:val="center"/>
          </w:tcPr>
          <w:p w14:paraId="7900E815" w14:textId="77777777" w:rsidR="00F24F47" w:rsidRPr="00DE61C5" w:rsidRDefault="00F24F47" w:rsidP="00DE61C5">
            <w:pPr>
              <w:spacing w:after="0" w:line="240" w:lineRule="auto"/>
              <w:jc w:val="center"/>
              <w:rPr>
                <w:rFonts w:asciiTheme="majorBidi" w:eastAsia="Times New Roman" w:hAnsiTheme="majorBidi" w:cstheme="majorBidi"/>
                <w:sz w:val="18"/>
                <w:szCs w:val="18"/>
                <w:lang w:eastAsia="nl-BE"/>
              </w:rPr>
            </w:pPr>
            <w:r w:rsidRPr="00DE61C5">
              <w:rPr>
                <w:rFonts w:asciiTheme="majorBidi" w:eastAsia="Times New Roman" w:hAnsiTheme="majorBidi" w:cstheme="majorBidi"/>
                <w:sz w:val="18"/>
                <w:szCs w:val="18"/>
                <w:lang w:eastAsia="nl-BE"/>
              </w:rPr>
              <w:t>Out</w:t>
            </w:r>
          </w:p>
        </w:tc>
      </w:tr>
      <w:tr w:rsidR="00F24F47" w:rsidRPr="00671139" w14:paraId="3AE32E3F" w14:textId="77777777" w:rsidTr="00671139">
        <w:trPr>
          <w:trHeight w:val="320"/>
        </w:trPr>
        <w:tc>
          <w:tcPr>
            <w:tcW w:w="5000" w:type="pct"/>
            <w:gridSpan w:val="10"/>
            <w:tcBorders>
              <w:top w:val="single" w:sz="4" w:space="0" w:color="auto"/>
            </w:tcBorders>
            <w:shd w:val="clear" w:color="auto" w:fill="auto"/>
          </w:tcPr>
          <w:p w14:paraId="17D754F6" w14:textId="77777777" w:rsidR="00F24F47" w:rsidRPr="00DC7F1D" w:rsidRDefault="00F24F47" w:rsidP="00671139">
            <w:pPr>
              <w:jc w:val="both"/>
              <w:rPr>
                <w:rFonts w:asciiTheme="majorBidi" w:eastAsia="Times New Roman" w:hAnsiTheme="majorBidi" w:cstheme="majorBidi"/>
                <w:sz w:val="18"/>
                <w:szCs w:val="18"/>
                <w:lang w:val="en-US" w:eastAsia="nl-BE"/>
              </w:rPr>
            </w:pPr>
            <w:r w:rsidRPr="00671139">
              <w:rPr>
                <w:rFonts w:asciiTheme="majorBidi" w:hAnsiTheme="majorBidi" w:cstheme="majorBidi"/>
                <w:color w:val="FF0000"/>
                <w:sz w:val="18"/>
                <w:szCs w:val="18"/>
                <w:lang w:val="en-US"/>
              </w:rPr>
              <w:t xml:space="preserve">IAD, incontinence-associated dermatitis. </w:t>
            </w:r>
            <w:r w:rsidRPr="00671139">
              <w:rPr>
                <w:rFonts w:asciiTheme="majorBidi" w:hAnsiTheme="majorBidi" w:cstheme="majorBidi"/>
                <w:sz w:val="18"/>
                <w:szCs w:val="18"/>
                <w:lang w:val="en-US"/>
              </w:rPr>
              <w:t>† 3-point scale [(1) not important enough to be considered in the COS for IAD, (2) important but not critical to be considered in the COS for IAD, and (3) critical, should be included in the COS for IAD]. ‡ 9-point scale [from ‘not important for inclusion’ to ‘critical, should be included in a COS for IAD’]. § Don’t know: ‘I can’t rate the importance of the outcome because I don’t know the outcome’. ¶ 70% of panelists in both groups rate the outcome as ‘critical for inclusion’.</w:t>
            </w:r>
          </w:p>
        </w:tc>
      </w:tr>
    </w:tbl>
    <w:p w14:paraId="3871E84D" w14:textId="77777777" w:rsidR="00F24F47" w:rsidRPr="00DE61C5" w:rsidRDefault="00F24F47" w:rsidP="00347E4F">
      <w:pPr>
        <w:rPr>
          <w:rFonts w:asciiTheme="majorBidi" w:hAnsiTheme="majorBidi" w:cstheme="majorBidi"/>
          <w:b/>
          <w:bCs/>
          <w:sz w:val="20"/>
          <w:szCs w:val="20"/>
          <w:lang w:val="en-US"/>
        </w:rPr>
      </w:pPr>
    </w:p>
    <w:p w14:paraId="722B8237" w14:textId="77B71E04"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6D1600AC" w14:textId="77777777" w:rsidR="00F24F47" w:rsidRDefault="00F24F47" w:rsidP="0022144D">
      <w:pPr>
        <w:spacing w:line="360" w:lineRule="auto"/>
        <w:jc w:val="both"/>
        <w:rPr>
          <w:rFonts w:asciiTheme="majorBidi" w:hAnsiTheme="majorBidi" w:cstheme="majorBidi"/>
          <w:sz w:val="24"/>
          <w:szCs w:val="24"/>
          <w:lang w:val="en-GB"/>
        </w:rPr>
        <w:sectPr w:rsidR="00F24F47" w:rsidSect="00F24F47">
          <w:pgSz w:w="16840" w:h="11879" w:orient="landscape"/>
          <w:pgMar w:top="1418" w:right="1418" w:bottom="1418" w:left="1418" w:header="709" w:footer="709" w:gutter="0"/>
          <w:cols w:space="708"/>
          <w:docGrid w:linePitch="360"/>
        </w:sectPr>
      </w:pPr>
    </w:p>
    <w:p w14:paraId="00F743D0" w14:textId="77777777" w:rsidR="00F24F47" w:rsidRPr="00553E1A" w:rsidRDefault="00F24F47" w:rsidP="003C0F9F">
      <w:pPr>
        <w:rPr>
          <w:rFonts w:asciiTheme="majorBidi" w:hAnsiTheme="majorBidi" w:cstheme="majorBidi"/>
          <w:sz w:val="20"/>
          <w:szCs w:val="20"/>
          <w:lang w:val="en-US"/>
        </w:rPr>
      </w:pPr>
      <w:r w:rsidRPr="00553E1A">
        <w:rPr>
          <w:rFonts w:asciiTheme="majorBidi" w:hAnsiTheme="majorBidi" w:cstheme="majorBidi"/>
          <w:sz w:val="20"/>
          <w:szCs w:val="20"/>
          <w:lang w:val="en-US"/>
        </w:rPr>
        <w:lastRenderedPageBreak/>
        <w:t xml:space="preserve">Table 2. Ratings of 9 outcome domains in the second Delphi round – 43 </w:t>
      </w:r>
      <w:proofErr w:type="spellStart"/>
      <w:r w:rsidRPr="00553E1A">
        <w:rPr>
          <w:rFonts w:asciiTheme="majorBidi" w:hAnsiTheme="majorBidi" w:cstheme="majorBidi"/>
          <w:sz w:val="20"/>
          <w:szCs w:val="20"/>
          <w:lang w:val="en-US"/>
        </w:rPr>
        <w:t>panel</w:t>
      </w:r>
      <w:r>
        <w:rPr>
          <w:rFonts w:asciiTheme="majorBidi" w:hAnsiTheme="majorBidi" w:cstheme="majorBidi"/>
          <w:sz w:val="20"/>
          <w:szCs w:val="20"/>
          <w:lang w:val="en-US"/>
        </w:rPr>
        <w:t>l</w:t>
      </w:r>
      <w:r w:rsidRPr="00553E1A">
        <w:rPr>
          <w:rFonts w:asciiTheme="majorBidi" w:hAnsiTheme="majorBidi" w:cstheme="majorBidi"/>
          <w:sz w:val="20"/>
          <w:szCs w:val="20"/>
          <w:lang w:val="en-US"/>
        </w:rPr>
        <w:t>ists</w:t>
      </w:r>
      <w:proofErr w:type="spellEnd"/>
    </w:p>
    <w:tbl>
      <w:tblPr>
        <w:tblStyle w:val="TableGrid"/>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1"/>
        <w:gridCol w:w="709"/>
        <w:gridCol w:w="1127"/>
        <w:gridCol w:w="1132"/>
        <w:gridCol w:w="989"/>
        <w:gridCol w:w="989"/>
      </w:tblGrid>
      <w:tr w:rsidR="00F24F47" w:rsidRPr="00DE61C5" w14:paraId="6DC9C27E" w14:textId="77777777" w:rsidTr="00480C97">
        <w:trPr>
          <w:trHeight w:val="431"/>
        </w:trPr>
        <w:tc>
          <w:tcPr>
            <w:tcW w:w="2349" w:type="pct"/>
            <w:tcBorders>
              <w:top w:val="single" w:sz="4" w:space="0" w:color="auto"/>
              <w:bottom w:val="single" w:sz="4" w:space="0" w:color="auto"/>
            </w:tcBorders>
            <w:vAlign w:val="center"/>
          </w:tcPr>
          <w:p w14:paraId="28F139F0" w14:textId="77777777" w:rsidR="00F24F47" w:rsidRPr="00DE61C5" w:rsidRDefault="00F24F47" w:rsidP="00480C97">
            <w:pPr>
              <w:rPr>
                <w:rFonts w:asciiTheme="majorBidi" w:hAnsiTheme="majorBidi" w:cstheme="majorBidi"/>
                <w:b/>
                <w:bCs/>
                <w:sz w:val="18"/>
                <w:szCs w:val="18"/>
                <w:lang w:val="en-US"/>
              </w:rPr>
            </w:pPr>
            <w:r w:rsidRPr="00DE61C5">
              <w:rPr>
                <w:rFonts w:asciiTheme="majorBidi" w:hAnsiTheme="majorBidi" w:cstheme="majorBidi"/>
                <w:b/>
                <w:bCs/>
                <w:sz w:val="18"/>
                <w:szCs w:val="18"/>
                <w:lang w:val="en-US"/>
              </w:rPr>
              <w:t>Outcome domain and definition</w:t>
            </w:r>
          </w:p>
        </w:tc>
        <w:tc>
          <w:tcPr>
            <w:tcW w:w="380" w:type="pct"/>
            <w:tcBorders>
              <w:top w:val="single" w:sz="4" w:space="0" w:color="auto"/>
              <w:bottom w:val="single" w:sz="4" w:space="0" w:color="auto"/>
            </w:tcBorders>
            <w:vAlign w:val="center"/>
          </w:tcPr>
          <w:p w14:paraId="49486895" w14:textId="77777777" w:rsidR="00F24F47" w:rsidRPr="00480C97" w:rsidRDefault="00F24F47" w:rsidP="00480C97">
            <w:pPr>
              <w:rPr>
                <w:rFonts w:asciiTheme="majorBidi" w:hAnsiTheme="majorBidi" w:cstheme="majorBidi"/>
                <w:i/>
                <w:iCs/>
                <w:sz w:val="18"/>
                <w:szCs w:val="18"/>
                <w:lang w:val="en-US"/>
              </w:rPr>
            </w:pPr>
            <w:r>
              <w:rPr>
                <w:rFonts w:asciiTheme="majorBidi" w:hAnsiTheme="majorBidi" w:cstheme="majorBidi"/>
                <w:i/>
                <w:iCs/>
                <w:sz w:val="18"/>
                <w:szCs w:val="18"/>
                <w:lang w:val="en-US"/>
              </w:rPr>
              <w:t xml:space="preserve">n </w:t>
            </w:r>
            <w:r w:rsidRPr="00480C97">
              <w:rPr>
                <w:rFonts w:asciiTheme="majorBidi" w:hAnsiTheme="majorBidi" w:cstheme="majorBidi"/>
                <w:i/>
                <w:iCs/>
                <w:sz w:val="18"/>
                <w:szCs w:val="18"/>
                <w:lang w:val="en-US"/>
              </w:rPr>
              <w:t>(%)</w:t>
            </w:r>
          </w:p>
        </w:tc>
        <w:tc>
          <w:tcPr>
            <w:tcW w:w="604" w:type="pct"/>
            <w:tcBorders>
              <w:top w:val="single" w:sz="4" w:space="0" w:color="auto"/>
              <w:bottom w:val="single" w:sz="4" w:space="0" w:color="auto"/>
            </w:tcBorders>
            <w:vAlign w:val="center"/>
          </w:tcPr>
          <w:p w14:paraId="79E0EA8A" w14:textId="77777777" w:rsidR="00F24F47" w:rsidRPr="00DC7F1D" w:rsidRDefault="00F24F47" w:rsidP="0038673B">
            <w:pPr>
              <w:jc w:val="center"/>
              <w:rPr>
                <w:rFonts w:asciiTheme="majorBidi" w:eastAsia="Times New Roman" w:hAnsiTheme="majorBidi" w:cstheme="majorBidi"/>
                <w:b/>
                <w:bCs/>
                <w:sz w:val="18"/>
                <w:szCs w:val="18"/>
                <w:lang w:val="en-US" w:eastAsia="nl-BE"/>
              </w:rPr>
            </w:pPr>
            <w:r w:rsidRPr="00DC7F1D">
              <w:rPr>
                <w:rFonts w:asciiTheme="majorBidi" w:eastAsia="Times New Roman" w:hAnsiTheme="majorBidi" w:cstheme="majorBidi"/>
                <w:b/>
                <w:bCs/>
                <w:sz w:val="18"/>
                <w:szCs w:val="18"/>
                <w:lang w:val="en-US" w:eastAsia="nl-BE"/>
              </w:rPr>
              <w:t>Not important</w:t>
            </w:r>
            <w:r w:rsidRPr="0038673B">
              <w:rPr>
                <w:rFonts w:asciiTheme="majorBidi" w:eastAsia="Times New Roman" w:hAnsiTheme="majorBidi" w:cstheme="majorBidi"/>
                <w:b/>
                <w:bCs/>
                <w:sz w:val="18"/>
                <w:szCs w:val="18"/>
                <w:vertAlign w:val="superscript"/>
                <w:lang w:val="en-US" w:eastAsia="nl-BE"/>
              </w:rPr>
              <w:t>†</w:t>
            </w:r>
          </w:p>
        </w:tc>
        <w:tc>
          <w:tcPr>
            <w:tcW w:w="607" w:type="pct"/>
            <w:tcBorders>
              <w:top w:val="single" w:sz="4" w:space="0" w:color="auto"/>
              <w:bottom w:val="single" w:sz="4" w:space="0" w:color="auto"/>
            </w:tcBorders>
            <w:vAlign w:val="center"/>
          </w:tcPr>
          <w:p w14:paraId="4492A086" w14:textId="77777777" w:rsidR="00F24F47" w:rsidRPr="00DE61C5" w:rsidRDefault="00F24F47" w:rsidP="00407FEA">
            <w:pPr>
              <w:jc w:val="center"/>
              <w:rPr>
                <w:rFonts w:asciiTheme="majorBidi" w:eastAsia="Times New Roman" w:hAnsiTheme="majorBidi" w:cstheme="majorBidi"/>
                <w:b/>
                <w:bCs/>
                <w:sz w:val="18"/>
                <w:szCs w:val="18"/>
                <w:lang w:eastAsia="nl-BE"/>
              </w:rPr>
            </w:pPr>
            <w:proofErr w:type="spellStart"/>
            <w:r w:rsidRPr="00DC7F1D">
              <w:rPr>
                <w:rFonts w:asciiTheme="majorBidi" w:eastAsia="Times New Roman" w:hAnsiTheme="majorBidi" w:cstheme="majorBidi"/>
                <w:b/>
                <w:bCs/>
                <w:sz w:val="18"/>
                <w:szCs w:val="18"/>
                <w:lang w:val="en-US" w:eastAsia="nl-BE"/>
              </w:rPr>
              <w:t>Impor</w:t>
            </w:r>
            <w:proofErr w:type="spellEnd"/>
            <w:r w:rsidRPr="00DE61C5">
              <w:rPr>
                <w:rFonts w:asciiTheme="majorBidi" w:eastAsia="Times New Roman" w:hAnsiTheme="majorBidi" w:cstheme="majorBidi"/>
                <w:b/>
                <w:bCs/>
                <w:sz w:val="18"/>
                <w:szCs w:val="18"/>
                <w:lang w:eastAsia="nl-BE"/>
              </w:rPr>
              <w:t>tant</w:t>
            </w:r>
          </w:p>
        </w:tc>
        <w:tc>
          <w:tcPr>
            <w:tcW w:w="530" w:type="pct"/>
            <w:tcBorders>
              <w:top w:val="single" w:sz="4" w:space="0" w:color="auto"/>
              <w:bottom w:val="single" w:sz="4" w:space="0" w:color="auto"/>
            </w:tcBorders>
            <w:vAlign w:val="center"/>
          </w:tcPr>
          <w:p w14:paraId="48252034" w14:textId="77777777" w:rsidR="00F24F47" w:rsidRPr="00DE61C5" w:rsidRDefault="00F24F47" w:rsidP="00407FEA">
            <w:pPr>
              <w:jc w:val="center"/>
              <w:rPr>
                <w:rFonts w:asciiTheme="majorBidi" w:eastAsia="Times New Roman" w:hAnsiTheme="majorBidi" w:cstheme="majorBidi"/>
                <w:b/>
                <w:bCs/>
                <w:sz w:val="18"/>
                <w:szCs w:val="18"/>
                <w:lang w:eastAsia="nl-BE"/>
              </w:rPr>
            </w:pPr>
            <w:r w:rsidRPr="00DE61C5">
              <w:rPr>
                <w:rFonts w:asciiTheme="majorBidi" w:eastAsia="Times New Roman" w:hAnsiTheme="majorBidi" w:cstheme="majorBidi"/>
                <w:b/>
                <w:bCs/>
                <w:sz w:val="18"/>
                <w:szCs w:val="18"/>
                <w:lang w:eastAsia="nl-BE"/>
              </w:rPr>
              <w:t>Critical</w:t>
            </w:r>
          </w:p>
        </w:tc>
        <w:tc>
          <w:tcPr>
            <w:tcW w:w="530" w:type="pct"/>
            <w:tcBorders>
              <w:top w:val="single" w:sz="4" w:space="0" w:color="auto"/>
              <w:bottom w:val="single" w:sz="4" w:space="0" w:color="auto"/>
            </w:tcBorders>
            <w:vAlign w:val="center"/>
          </w:tcPr>
          <w:p w14:paraId="53513777" w14:textId="77777777" w:rsidR="00F24F47" w:rsidRPr="00383931" w:rsidRDefault="00F24F47" w:rsidP="00407FEA">
            <w:pPr>
              <w:jc w:val="center"/>
              <w:rPr>
                <w:rFonts w:asciiTheme="majorBidi" w:hAnsiTheme="majorBidi" w:cstheme="majorBidi"/>
                <w:b/>
                <w:bCs/>
                <w:sz w:val="18"/>
                <w:szCs w:val="18"/>
                <w:lang w:val="en-US"/>
              </w:rPr>
            </w:pPr>
            <w:r>
              <w:rPr>
                <w:rFonts w:asciiTheme="majorBidi" w:hAnsiTheme="majorBidi" w:cstheme="majorBidi"/>
                <w:b/>
                <w:bCs/>
                <w:sz w:val="18"/>
                <w:szCs w:val="18"/>
                <w:lang w:val="en-US"/>
              </w:rPr>
              <w:t>Result</w:t>
            </w:r>
            <w:r w:rsidRPr="0038673B">
              <w:rPr>
                <w:rFonts w:asciiTheme="majorBidi" w:hAnsiTheme="majorBidi" w:cstheme="majorBidi"/>
                <w:b/>
                <w:bCs/>
                <w:sz w:val="18"/>
                <w:szCs w:val="18"/>
                <w:vertAlign w:val="superscript"/>
                <w:lang w:val="en-US"/>
              </w:rPr>
              <w:t>‡</w:t>
            </w:r>
          </w:p>
        </w:tc>
      </w:tr>
      <w:tr w:rsidR="00F24F47" w:rsidRPr="00DE61C5" w14:paraId="1E8DBB2F" w14:textId="77777777" w:rsidTr="00480C97">
        <w:trPr>
          <w:trHeight w:val="317"/>
        </w:trPr>
        <w:tc>
          <w:tcPr>
            <w:tcW w:w="2729" w:type="pct"/>
            <w:gridSpan w:val="2"/>
            <w:tcBorders>
              <w:top w:val="single" w:sz="4" w:space="0" w:color="auto"/>
            </w:tcBorders>
          </w:tcPr>
          <w:p w14:paraId="70375C0C"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Clinical signs of inflammation</w:t>
            </w:r>
          </w:p>
          <w:p w14:paraId="16D3375E" w14:textId="77777777" w:rsidR="00F24F47" w:rsidRPr="003A34DD"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Clinical signs of inflammation</w:t>
            </w:r>
            <w:r w:rsidRPr="00DE61C5">
              <w:rPr>
                <w:rFonts w:asciiTheme="majorBidi" w:hAnsiTheme="majorBidi" w:cstheme="majorBidi"/>
                <w:sz w:val="18"/>
                <w:szCs w:val="18"/>
                <w:lang w:val="en-US"/>
              </w:rPr>
              <w:t xml:space="preserve"> </w:t>
            </w:r>
            <w:proofErr w:type="gramStart"/>
            <w:r w:rsidRPr="00DE61C5">
              <w:rPr>
                <w:rFonts w:asciiTheme="majorBidi" w:hAnsiTheme="majorBidi" w:cstheme="majorBidi"/>
                <w:sz w:val="18"/>
                <w:szCs w:val="18"/>
                <w:lang w:val="en-US"/>
              </w:rPr>
              <w:t>is</w:t>
            </w:r>
            <w:proofErr w:type="gramEnd"/>
            <w:r w:rsidRPr="00DE61C5">
              <w:rPr>
                <w:rFonts w:asciiTheme="majorBidi" w:hAnsiTheme="majorBidi" w:cstheme="majorBidi"/>
                <w:sz w:val="18"/>
                <w:szCs w:val="18"/>
                <w:lang w:val="en-US"/>
              </w:rPr>
              <w:t xml:space="preserve"> defined as the presence of dolor (pain), </w:t>
            </w:r>
            <w:proofErr w:type="spellStart"/>
            <w:r w:rsidRPr="00DE61C5">
              <w:rPr>
                <w:rFonts w:asciiTheme="majorBidi" w:hAnsiTheme="majorBidi" w:cstheme="majorBidi"/>
                <w:sz w:val="18"/>
                <w:szCs w:val="18"/>
                <w:lang w:val="en-US"/>
              </w:rPr>
              <w:t>rubor</w:t>
            </w:r>
            <w:proofErr w:type="spellEnd"/>
            <w:r w:rsidRPr="00DE61C5">
              <w:rPr>
                <w:rFonts w:asciiTheme="majorBidi" w:hAnsiTheme="majorBidi" w:cstheme="majorBidi"/>
                <w:sz w:val="18"/>
                <w:szCs w:val="18"/>
                <w:lang w:val="en-US"/>
              </w:rPr>
              <w:t xml:space="preserve"> (erythema), </w:t>
            </w:r>
            <w:proofErr w:type="spellStart"/>
            <w:r w:rsidRPr="00DE61C5">
              <w:rPr>
                <w:rFonts w:asciiTheme="majorBidi" w:hAnsiTheme="majorBidi" w:cstheme="majorBidi"/>
                <w:sz w:val="18"/>
                <w:szCs w:val="18"/>
                <w:lang w:val="en-US"/>
              </w:rPr>
              <w:t>calor</w:t>
            </w:r>
            <w:proofErr w:type="spellEnd"/>
            <w:r w:rsidRPr="00DE61C5">
              <w:rPr>
                <w:rFonts w:asciiTheme="majorBidi" w:hAnsiTheme="majorBidi" w:cstheme="majorBidi"/>
                <w:sz w:val="18"/>
                <w:szCs w:val="18"/>
                <w:lang w:val="en-US"/>
              </w:rPr>
              <w:t xml:space="preserve"> (warmth), tumor (edema/swelling), and function </w:t>
            </w:r>
            <w:proofErr w:type="spellStart"/>
            <w:r w:rsidRPr="00DE61C5">
              <w:rPr>
                <w:rFonts w:asciiTheme="majorBidi" w:hAnsiTheme="majorBidi" w:cstheme="majorBidi"/>
                <w:sz w:val="18"/>
                <w:szCs w:val="18"/>
                <w:lang w:val="en-US"/>
              </w:rPr>
              <w:t>lesa</w:t>
            </w:r>
            <w:proofErr w:type="spellEnd"/>
            <w:r w:rsidRPr="00DE61C5">
              <w:rPr>
                <w:rFonts w:asciiTheme="majorBidi" w:hAnsiTheme="majorBidi" w:cstheme="majorBidi"/>
                <w:sz w:val="18"/>
                <w:szCs w:val="18"/>
                <w:lang w:val="en-US"/>
              </w:rPr>
              <w:t xml:space="preserve"> (disturbed skin barrier)</w:t>
            </w:r>
            <w:r>
              <w:rPr>
                <w:rFonts w:asciiTheme="majorBidi" w:hAnsiTheme="majorBidi" w:cstheme="majorBidi"/>
                <w:sz w:val="18"/>
                <w:szCs w:val="18"/>
                <w:lang w:val="en-US"/>
              </w:rPr>
              <w:t xml:space="preserve"> (Schultz et al., 2003).</w:t>
            </w:r>
          </w:p>
        </w:tc>
        <w:tc>
          <w:tcPr>
            <w:tcW w:w="604" w:type="pct"/>
            <w:tcBorders>
              <w:top w:val="single" w:sz="4" w:space="0" w:color="auto"/>
            </w:tcBorders>
          </w:tcPr>
          <w:p w14:paraId="3FFFC021"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1 (2.3)</w:t>
            </w:r>
          </w:p>
        </w:tc>
        <w:tc>
          <w:tcPr>
            <w:tcW w:w="607" w:type="pct"/>
            <w:tcBorders>
              <w:top w:val="single" w:sz="4" w:space="0" w:color="auto"/>
            </w:tcBorders>
          </w:tcPr>
          <w:p w14:paraId="517A878E"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 (7.0)</w:t>
            </w:r>
          </w:p>
        </w:tc>
        <w:tc>
          <w:tcPr>
            <w:tcW w:w="530" w:type="pct"/>
            <w:tcBorders>
              <w:top w:val="single" w:sz="4" w:space="0" w:color="auto"/>
            </w:tcBorders>
          </w:tcPr>
          <w:p w14:paraId="64AF3D0F"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39 (</w:t>
            </w:r>
            <w:r w:rsidRPr="00DE61C5">
              <w:rPr>
                <w:rFonts w:asciiTheme="majorBidi" w:hAnsiTheme="majorBidi" w:cstheme="majorBidi"/>
                <w:sz w:val="18"/>
                <w:szCs w:val="18"/>
                <w:lang w:val="en-US"/>
              </w:rPr>
              <w:t>90.8</w:t>
            </w:r>
            <w:r>
              <w:rPr>
                <w:rFonts w:asciiTheme="majorBidi" w:hAnsiTheme="majorBidi" w:cstheme="majorBidi"/>
                <w:sz w:val="18"/>
                <w:szCs w:val="18"/>
                <w:lang w:val="en-US"/>
              </w:rPr>
              <w:t>)</w:t>
            </w:r>
          </w:p>
        </w:tc>
        <w:tc>
          <w:tcPr>
            <w:tcW w:w="530" w:type="pct"/>
            <w:tcBorders>
              <w:top w:val="single" w:sz="4" w:space="0" w:color="auto"/>
            </w:tcBorders>
          </w:tcPr>
          <w:p w14:paraId="31C6468F"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In</w:t>
            </w:r>
          </w:p>
        </w:tc>
      </w:tr>
      <w:tr w:rsidR="00F24F47" w:rsidRPr="00DE61C5" w14:paraId="72121B0D" w14:textId="77777777" w:rsidTr="00480C97">
        <w:trPr>
          <w:trHeight w:val="317"/>
        </w:trPr>
        <w:tc>
          <w:tcPr>
            <w:tcW w:w="2729" w:type="pct"/>
            <w:gridSpan w:val="2"/>
          </w:tcPr>
          <w:p w14:paraId="3E52CEBE"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Clinical signs of infection</w:t>
            </w:r>
          </w:p>
          <w:p w14:paraId="09D2329B" w14:textId="77777777" w:rsidR="00F24F47" w:rsidRPr="00DE61C5"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Clinical signs of infection</w:t>
            </w:r>
            <w:r w:rsidRPr="00DE61C5">
              <w:rPr>
                <w:rFonts w:asciiTheme="majorBidi" w:hAnsiTheme="majorBidi" w:cstheme="majorBidi"/>
                <w:sz w:val="18"/>
                <w:szCs w:val="18"/>
                <w:lang w:val="en-US"/>
              </w:rPr>
              <w:t xml:space="preserve"> is defined as the presence of </w:t>
            </w:r>
            <w:proofErr w:type="spellStart"/>
            <w:r w:rsidRPr="00DE61C5">
              <w:rPr>
                <w:rFonts w:asciiTheme="majorBidi" w:hAnsiTheme="majorBidi" w:cstheme="majorBidi"/>
                <w:sz w:val="18"/>
                <w:szCs w:val="18"/>
                <w:lang w:val="en-US"/>
              </w:rPr>
              <w:t>nonhealing</w:t>
            </w:r>
            <w:proofErr w:type="spellEnd"/>
            <w:r w:rsidRPr="00DE61C5">
              <w:rPr>
                <w:rFonts w:asciiTheme="majorBidi" w:hAnsiTheme="majorBidi" w:cstheme="majorBidi"/>
                <w:sz w:val="18"/>
                <w:szCs w:val="18"/>
                <w:lang w:val="en-US"/>
              </w:rPr>
              <w:t xml:space="preserve">, pain, increased wound size, warmth, white scaling of the skin (suggesting a fungal infection), satellite lesions (pustules surrounding the lesion, suggesting a </w:t>
            </w:r>
            <w:r w:rsidRPr="00DE61C5">
              <w:rPr>
                <w:rFonts w:asciiTheme="majorBidi" w:hAnsiTheme="majorBidi" w:cstheme="majorBidi"/>
                <w:i/>
                <w:iCs/>
                <w:sz w:val="18"/>
                <w:szCs w:val="18"/>
                <w:lang w:val="en-US"/>
              </w:rPr>
              <w:t xml:space="preserve">Candida </w:t>
            </w:r>
            <w:proofErr w:type="spellStart"/>
            <w:r w:rsidRPr="00DE61C5">
              <w:rPr>
                <w:rFonts w:asciiTheme="majorBidi" w:hAnsiTheme="majorBidi" w:cstheme="majorBidi"/>
                <w:i/>
                <w:iCs/>
                <w:sz w:val="18"/>
                <w:szCs w:val="18"/>
                <w:lang w:val="en-US"/>
              </w:rPr>
              <w:t>albicans</w:t>
            </w:r>
            <w:proofErr w:type="spellEnd"/>
            <w:r w:rsidRPr="00DE61C5">
              <w:rPr>
                <w:rFonts w:asciiTheme="majorBidi" w:hAnsiTheme="majorBidi" w:cstheme="majorBidi"/>
                <w:sz w:val="18"/>
                <w:szCs w:val="18"/>
                <w:lang w:val="en-US"/>
              </w:rPr>
              <w:t xml:space="preserve"> fungal infection), slough visible in the wound bed (yellow/brown/greyish), a green appearance within the wound bed (suggesting a bacterial infection with </w:t>
            </w:r>
            <w:r w:rsidRPr="00DE61C5">
              <w:rPr>
                <w:rFonts w:asciiTheme="majorBidi" w:hAnsiTheme="majorBidi" w:cstheme="majorBidi"/>
                <w:i/>
                <w:iCs/>
                <w:sz w:val="18"/>
                <w:szCs w:val="18"/>
                <w:lang w:val="en-US"/>
              </w:rPr>
              <w:t>Pseudomonas aeruginosa</w:t>
            </w:r>
            <w:r w:rsidRPr="00DE61C5">
              <w:rPr>
                <w:rFonts w:asciiTheme="majorBidi" w:hAnsiTheme="majorBidi" w:cstheme="majorBidi"/>
                <w:sz w:val="18"/>
                <w:szCs w:val="18"/>
                <w:lang w:val="en-US"/>
              </w:rPr>
              <w:t>), increased exudate levels, purulent exudate (pus), or a shiny appearance of the wound bed due to the presence of replicating microorganisms within the wound and the presence of injury to the host (adap</w:t>
            </w:r>
            <w:r>
              <w:rPr>
                <w:rFonts w:asciiTheme="majorBidi" w:hAnsiTheme="majorBidi" w:cstheme="majorBidi"/>
                <w:sz w:val="18"/>
                <w:szCs w:val="18"/>
                <w:lang w:val="en-US"/>
              </w:rPr>
              <w:t>ted from Schultz et al., 2003).</w:t>
            </w:r>
          </w:p>
        </w:tc>
        <w:tc>
          <w:tcPr>
            <w:tcW w:w="604" w:type="pct"/>
          </w:tcPr>
          <w:p w14:paraId="5FEC2725"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 (6.9)</w:t>
            </w:r>
          </w:p>
        </w:tc>
        <w:tc>
          <w:tcPr>
            <w:tcW w:w="607" w:type="pct"/>
          </w:tcPr>
          <w:p w14:paraId="01A6912F"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 (6.9)</w:t>
            </w:r>
          </w:p>
        </w:tc>
        <w:tc>
          <w:tcPr>
            <w:tcW w:w="530" w:type="pct"/>
          </w:tcPr>
          <w:p w14:paraId="6E1C6A46"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37 (</w:t>
            </w:r>
            <w:r w:rsidRPr="00DE61C5">
              <w:rPr>
                <w:rFonts w:asciiTheme="majorBidi" w:hAnsiTheme="majorBidi" w:cstheme="majorBidi"/>
                <w:sz w:val="18"/>
                <w:szCs w:val="18"/>
                <w:lang w:val="en-US"/>
              </w:rPr>
              <w:t>86.1</w:t>
            </w:r>
            <w:r>
              <w:rPr>
                <w:rFonts w:asciiTheme="majorBidi" w:hAnsiTheme="majorBidi" w:cstheme="majorBidi"/>
                <w:sz w:val="18"/>
                <w:szCs w:val="18"/>
                <w:lang w:val="en-US"/>
              </w:rPr>
              <w:t>)</w:t>
            </w:r>
          </w:p>
        </w:tc>
        <w:tc>
          <w:tcPr>
            <w:tcW w:w="530" w:type="pct"/>
          </w:tcPr>
          <w:p w14:paraId="5325F418"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In</w:t>
            </w:r>
          </w:p>
        </w:tc>
      </w:tr>
      <w:tr w:rsidR="00F24F47" w:rsidRPr="00DE61C5" w14:paraId="215B3556" w14:textId="77777777" w:rsidTr="00480C97">
        <w:trPr>
          <w:trHeight w:val="317"/>
        </w:trPr>
        <w:tc>
          <w:tcPr>
            <w:tcW w:w="2729" w:type="pct"/>
            <w:gridSpan w:val="2"/>
          </w:tcPr>
          <w:p w14:paraId="3BA4B5DD"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 xml:space="preserve">Cost-effectiveness </w:t>
            </w:r>
          </w:p>
          <w:p w14:paraId="38E1A7BE" w14:textId="77777777" w:rsidR="00F24F47" w:rsidRPr="003A34DD"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Cost-effectiveness</w:t>
            </w:r>
            <w:r w:rsidRPr="00DE61C5">
              <w:rPr>
                <w:rFonts w:asciiTheme="majorBidi" w:hAnsiTheme="majorBidi" w:cstheme="majorBidi"/>
                <w:sz w:val="18"/>
                <w:szCs w:val="18"/>
                <w:lang w:val="en-US"/>
              </w:rPr>
              <w:t xml:space="preserve"> is defined as the ratio of the cost of the intervention to the health effects of the intervention (Gold, 1996).</w:t>
            </w:r>
          </w:p>
        </w:tc>
        <w:tc>
          <w:tcPr>
            <w:tcW w:w="604" w:type="pct"/>
          </w:tcPr>
          <w:p w14:paraId="43ECF04D"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2 (4.6)</w:t>
            </w:r>
          </w:p>
        </w:tc>
        <w:tc>
          <w:tcPr>
            <w:tcW w:w="607" w:type="pct"/>
          </w:tcPr>
          <w:p w14:paraId="73CB905D"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14 (32.7)</w:t>
            </w:r>
          </w:p>
        </w:tc>
        <w:tc>
          <w:tcPr>
            <w:tcW w:w="530" w:type="pct"/>
          </w:tcPr>
          <w:p w14:paraId="636E2A2E"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27 (</w:t>
            </w:r>
            <w:r w:rsidRPr="00DE61C5">
              <w:rPr>
                <w:rFonts w:asciiTheme="majorBidi" w:hAnsiTheme="majorBidi" w:cstheme="majorBidi"/>
                <w:sz w:val="18"/>
                <w:szCs w:val="18"/>
                <w:lang w:val="en-US"/>
              </w:rPr>
              <w:t>62.8</w:t>
            </w:r>
            <w:r>
              <w:rPr>
                <w:rFonts w:asciiTheme="majorBidi" w:hAnsiTheme="majorBidi" w:cstheme="majorBidi"/>
                <w:sz w:val="18"/>
                <w:szCs w:val="18"/>
                <w:lang w:val="en-US"/>
              </w:rPr>
              <w:t>)</w:t>
            </w:r>
          </w:p>
        </w:tc>
        <w:tc>
          <w:tcPr>
            <w:tcW w:w="530" w:type="pct"/>
          </w:tcPr>
          <w:p w14:paraId="14552438"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Out</w:t>
            </w:r>
          </w:p>
        </w:tc>
      </w:tr>
      <w:tr w:rsidR="00F24F47" w:rsidRPr="00DE61C5" w14:paraId="00B75CDF" w14:textId="77777777" w:rsidTr="00480C97">
        <w:trPr>
          <w:trHeight w:val="317"/>
        </w:trPr>
        <w:tc>
          <w:tcPr>
            <w:tcW w:w="2729" w:type="pct"/>
            <w:gridSpan w:val="2"/>
          </w:tcPr>
          <w:p w14:paraId="4319F889"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 xml:space="preserve">Erosion </w:t>
            </w:r>
          </w:p>
          <w:p w14:paraId="566086DF" w14:textId="77777777" w:rsidR="00F24F47" w:rsidRPr="00DE61C5"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Erosion</w:t>
            </w:r>
            <w:r w:rsidRPr="00DE61C5">
              <w:rPr>
                <w:rFonts w:asciiTheme="majorBidi" w:hAnsiTheme="majorBidi" w:cstheme="majorBidi"/>
                <w:sz w:val="18"/>
                <w:szCs w:val="18"/>
                <w:lang w:val="en-US"/>
              </w:rPr>
              <w:t xml:space="preserve"> is defined as the loss of either a portion or the entire</w:t>
            </w:r>
            <w:r>
              <w:rPr>
                <w:rFonts w:asciiTheme="majorBidi" w:hAnsiTheme="majorBidi" w:cstheme="majorBidi"/>
                <w:sz w:val="18"/>
                <w:szCs w:val="18"/>
                <w:lang w:val="en-US"/>
              </w:rPr>
              <w:t xml:space="preserve"> epidermis (Nast et al., 2015).</w:t>
            </w:r>
          </w:p>
        </w:tc>
        <w:tc>
          <w:tcPr>
            <w:tcW w:w="604" w:type="pct"/>
          </w:tcPr>
          <w:p w14:paraId="5022F074"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1 (2.3)</w:t>
            </w:r>
          </w:p>
        </w:tc>
        <w:tc>
          <w:tcPr>
            <w:tcW w:w="607" w:type="pct"/>
          </w:tcPr>
          <w:p w14:paraId="676F6B01"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 (7.0)</w:t>
            </w:r>
          </w:p>
        </w:tc>
        <w:tc>
          <w:tcPr>
            <w:tcW w:w="530" w:type="pct"/>
          </w:tcPr>
          <w:p w14:paraId="3868EF8A"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39 (</w:t>
            </w:r>
            <w:r w:rsidRPr="00DE61C5">
              <w:rPr>
                <w:rFonts w:asciiTheme="majorBidi" w:hAnsiTheme="majorBidi" w:cstheme="majorBidi"/>
                <w:sz w:val="18"/>
                <w:szCs w:val="18"/>
                <w:lang w:val="en-US"/>
              </w:rPr>
              <w:t>90.7</w:t>
            </w:r>
            <w:r>
              <w:rPr>
                <w:rFonts w:asciiTheme="majorBidi" w:hAnsiTheme="majorBidi" w:cstheme="majorBidi"/>
                <w:sz w:val="18"/>
                <w:szCs w:val="18"/>
                <w:lang w:val="en-US"/>
              </w:rPr>
              <w:t>)</w:t>
            </w:r>
          </w:p>
        </w:tc>
        <w:tc>
          <w:tcPr>
            <w:tcW w:w="530" w:type="pct"/>
          </w:tcPr>
          <w:p w14:paraId="2CBA435F"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In</w:t>
            </w:r>
          </w:p>
        </w:tc>
      </w:tr>
      <w:tr w:rsidR="00F24F47" w:rsidRPr="00DE61C5" w14:paraId="510D4BBF" w14:textId="77777777" w:rsidTr="00480C97">
        <w:trPr>
          <w:trHeight w:val="317"/>
        </w:trPr>
        <w:tc>
          <w:tcPr>
            <w:tcW w:w="2729" w:type="pct"/>
            <w:gridSpan w:val="2"/>
          </w:tcPr>
          <w:p w14:paraId="157283D2"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IAD-related Quality of Life</w:t>
            </w:r>
          </w:p>
          <w:p w14:paraId="6537DA97" w14:textId="77777777" w:rsidR="00F24F47" w:rsidRPr="003A34DD"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IAD-related Quality of Life</w:t>
            </w:r>
            <w:r w:rsidRPr="00DE61C5">
              <w:rPr>
                <w:rFonts w:asciiTheme="majorBidi" w:hAnsiTheme="majorBidi" w:cstheme="majorBidi"/>
                <w:sz w:val="18"/>
                <w:szCs w:val="18"/>
                <w:lang w:val="en-US"/>
              </w:rPr>
              <w:t xml:space="preserve"> is defined as physical, material, social, and emotional wellbeing and comfort compromised by the presence of IAD and its associated care by (in)formal caregivers (</w:t>
            </w:r>
            <w:proofErr w:type="spellStart"/>
            <w:r w:rsidRPr="00DE61C5">
              <w:rPr>
                <w:rFonts w:asciiTheme="majorBidi" w:hAnsiTheme="majorBidi" w:cstheme="majorBidi"/>
                <w:sz w:val="18"/>
                <w:szCs w:val="18"/>
                <w:lang w:val="en-US"/>
              </w:rPr>
              <w:t>Felce</w:t>
            </w:r>
            <w:proofErr w:type="spellEnd"/>
            <w:r w:rsidRPr="00DE61C5">
              <w:rPr>
                <w:rFonts w:asciiTheme="majorBidi" w:hAnsiTheme="majorBidi" w:cstheme="majorBidi"/>
                <w:sz w:val="18"/>
                <w:szCs w:val="18"/>
                <w:lang w:val="en-US"/>
              </w:rPr>
              <w:t xml:space="preserve"> and Perry, 1995).</w:t>
            </w:r>
            <w:r w:rsidRPr="00DE61C5">
              <w:rPr>
                <w:rFonts w:asciiTheme="majorBidi" w:hAnsiTheme="majorBidi" w:cstheme="majorBidi"/>
                <w:b/>
                <w:bCs/>
                <w:sz w:val="18"/>
                <w:szCs w:val="18"/>
                <w:lang w:val="en-US"/>
              </w:rPr>
              <w:t xml:space="preserve"> </w:t>
            </w:r>
          </w:p>
        </w:tc>
        <w:tc>
          <w:tcPr>
            <w:tcW w:w="604" w:type="pct"/>
          </w:tcPr>
          <w:p w14:paraId="2AC9CD41"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1 (2.3)</w:t>
            </w:r>
          </w:p>
        </w:tc>
        <w:tc>
          <w:tcPr>
            <w:tcW w:w="607" w:type="pct"/>
          </w:tcPr>
          <w:p w14:paraId="1AD3F21C"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13 (30.3)</w:t>
            </w:r>
          </w:p>
        </w:tc>
        <w:tc>
          <w:tcPr>
            <w:tcW w:w="530" w:type="pct"/>
          </w:tcPr>
          <w:p w14:paraId="4FFBD830"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29 (</w:t>
            </w:r>
            <w:r w:rsidRPr="00DE61C5">
              <w:rPr>
                <w:rFonts w:asciiTheme="majorBidi" w:hAnsiTheme="majorBidi" w:cstheme="majorBidi"/>
                <w:sz w:val="18"/>
                <w:szCs w:val="18"/>
                <w:lang w:val="en-US"/>
              </w:rPr>
              <w:t>67.5</w:t>
            </w:r>
            <w:r>
              <w:rPr>
                <w:rFonts w:asciiTheme="majorBidi" w:hAnsiTheme="majorBidi" w:cstheme="majorBidi"/>
                <w:sz w:val="18"/>
                <w:szCs w:val="18"/>
                <w:lang w:val="en-US"/>
              </w:rPr>
              <w:t>)</w:t>
            </w:r>
          </w:p>
        </w:tc>
        <w:tc>
          <w:tcPr>
            <w:tcW w:w="530" w:type="pct"/>
          </w:tcPr>
          <w:p w14:paraId="0BA1963D"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Out</w:t>
            </w:r>
          </w:p>
        </w:tc>
      </w:tr>
      <w:tr w:rsidR="00F24F47" w:rsidRPr="00DE61C5" w14:paraId="55E05700" w14:textId="77777777" w:rsidTr="00480C97">
        <w:trPr>
          <w:trHeight w:val="317"/>
        </w:trPr>
        <w:tc>
          <w:tcPr>
            <w:tcW w:w="2729" w:type="pct"/>
            <w:gridSpan w:val="2"/>
          </w:tcPr>
          <w:p w14:paraId="061FB0F6"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Itching</w:t>
            </w:r>
          </w:p>
          <w:p w14:paraId="08D4874A" w14:textId="77777777" w:rsidR="00F24F47" w:rsidRPr="003A34DD"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Itching</w:t>
            </w:r>
            <w:r w:rsidRPr="00DE61C5">
              <w:rPr>
                <w:rFonts w:asciiTheme="majorBidi" w:hAnsiTheme="majorBidi" w:cstheme="majorBidi"/>
                <w:sz w:val="18"/>
                <w:szCs w:val="18"/>
                <w:lang w:val="en-US"/>
              </w:rPr>
              <w:t xml:space="preserve"> is defined as the unpleasant cutaneous sensation which provokes the desire to </w:t>
            </w:r>
            <w:r>
              <w:rPr>
                <w:rFonts w:asciiTheme="majorBidi" w:hAnsiTheme="majorBidi" w:cstheme="majorBidi"/>
                <w:sz w:val="18"/>
                <w:szCs w:val="18"/>
                <w:lang w:val="en-US"/>
              </w:rPr>
              <w:t>scratch (</w:t>
            </w:r>
            <w:proofErr w:type="spellStart"/>
            <w:r>
              <w:rPr>
                <w:rFonts w:asciiTheme="majorBidi" w:hAnsiTheme="majorBidi" w:cstheme="majorBidi"/>
                <w:sz w:val="18"/>
                <w:szCs w:val="18"/>
                <w:lang w:val="en-US"/>
              </w:rPr>
              <w:t>Ständer</w:t>
            </w:r>
            <w:proofErr w:type="spellEnd"/>
            <w:r>
              <w:rPr>
                <w:rFonts w:asciiTheme="majorBidi" w:hAnsiTheme="majorBidi" w:cstheme="majorBidi"/>
                <w:sz w:val="18"/>
                <w:szCs w:val="18"/>
                <w:lang w:val="en-US"/>
              </w:rPr>
              <w:t xml:space="preserve"> et al., 2007).</w:t>
            </w:r>
          </w:p>
        </w:tc>
        <w:tc>
          <w:tcPr>
            <w:tcW w:w="604" w:type="pct"/>
          </w:tcPr>
          <w:p w14:paraId="5C56E504"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5 (11.7)</w:t>
            </w:r>
          </w:p>
        </w:tc>
        <w:tc>
          <w:tcPr>
            <w:tcW w:w="607" w:type="pct"/>
          </w:tcPr>
          <w:p w14:paraId="0C9CC111"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13 (30.3)</w:t>
            </w:r>
          </w:p>
        </w:tc>
        <w:tc>
          <w:tcPr>
            <w:tcW w:w="530" w:type="pct"/>
          </w:tcPr>
          <w:p w14:paraId="74A77141"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25 (</w:t>
            </w:r>
            <w:r w:rsidRPr="00DE61C5">
              <w:rPr>
                <w:rFonts w:asciiTheme="majorBidi" w:hAnsiTheme="majorBidi" w:cstheme="majorBidi"/>
                <w:sz w:val="18"/>
                <w:szCs w:val="18"/>
                <w:lang w:val="en-US"/>
              </w:rPr>
              <w:t>58.2</w:t>
            </w:r>
            <w:r>
              <w:rPr>
                <w:rFonts w:asciiTheme="majorBidi" w:hAnsiTheme="majorBidi" w:cstheme="majorBidi"/>
                <w:sz w:val="18"/>
                <w:szCs w:val="18"/>
                <w:lang w:val="en-US"/>
              </w:rPr>
              <w:t>)</w:t>
            </w:r>
          </w:p>
        </w:tc>
        <w:tc>
          <w:tcPr>
            <w:tcW w:w="530" w:type="pct"/>
          </w:tcPr>
          <w:p w14:paraId="56B0C0C6"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Out</w:t>
            </w:r>
          </w:p>
        </w:tc>
      </w:tr>
      <w:tr w:rsidR="00F24F47" w:rsidRPr="00DE61C5" w14:paraId="68B98623" w14:textId="77777777" w:rsidTr="00480C97">
        <w:trPr>
          <w:trHeight w:val="317"/>
        </w:trPr>
        <w:tc>
          <w:tcPr>
            <w:tcW w:w="2729" w:type="pct"/>
            <w:gridSpan w:val="2"/>
          </w:tcPr>
          <w:p w14:paraId="1A768A7F"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Maceration</w:t>
            </w:r>
          </w:p>
          <w:p w14:paraId="50ABE867" w14:textId="77777777" w:rsidR="00F24F47" w:rsidRPr="003A34DD"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Maceration</w:t>
            </w:r>
            <w:r w:rsidRPr="00DE61C5">
              <w:rPr>
                <w:rFonts w:asciiTheme="majorBidi" w:hAnsiTheme="majorBidi" w:cstheme="majorBidi"/>
                <w:sz w:val="18"/>
                <w:szCs w:val="18"/>
                <w:lang w:val="en-US"/>
              </w:rPr>
              <w:t xml:space="preserve"> is defined as the softening and subsequent breakdown of skin characterized by a whitened appearance and swelling caused by prolonged exposure to moisture (Ichikawa-Shigeta et </w:t>
            </w:r>
            <w:r>
              <w:rPr>
                <w:rFonts w:asciiTheme="majorBidi" w:hAnsiTheme="majorBidi" w:cstheme="majorBidi"/>
                <w:sz w:val="18"/>
                <w:szCs w:val="18"/>
                <w:lang w:val="en-US"/>
              </w:rPr>
              <w:t xml:space="preserve">al. 2014; </w:t>
            </w:r>
            <w:proofErr w:type="spellStart"/>
            <w:r>
              <w:rPr>
                <w:rFonts w:asciiTheme="majorBidi" w:hAnsiTheme="majorBidi" w:cstheme="majorBidi"/>
                <w:sz w:val="18"/>
                <w:szCs w:val="18"/>
                <w:lang w:val="en-US"/>
              </w:rPr>
              <w:t>Mugita</w:t>
            </w:r>
            <w:proofErr w:type="spellEnd"/>
            <w:r>
              <w:rPr>
                <w:rFonts w:asciiTheme="majorBidi" w:hAnsiTheme="majorBidi" w:cstheme="majorBidi"/>
                <w:sz w:val="18"/>
                <w:szCs w:val="18"/>
                <w:lang w:val="en-US"/>
              </w:rPr>
              <w:t xml:space="preserve"> et al., 2015).</w:t>
            </w:r>
          </w:p>
        </w:tc>
        <w:tc>
          <w:tcPr>
            <w:tcW w:w="604" w:type="pct"/>
          </w:tcPr>
          <w:p w14:paraId="6DFF8F15"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 (7.0)</w:t>
            </w:r>
          </w:p>
        </w:tc>
        <w:tc>
          <w:tcPr>
            <w:tcW w:w="607" w:type="pct"/>
          </w:tcPr>
          <w:p w14:paraId="00210667"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 (6.9)</w:t>
            </w:r>
          </w:p>
        </w:tc>
        <w:tc>
          <w:tcPr>
            <w:tcW w:w="530" w:type="pct"/>
          </w:tcPr>
          <w:p w14:paraId="0DFF54F1"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37 (</w:t>
            </w:r>
            <w:r w:rsidRPr="00DE61C5">
              <w:rPr>
                <w:rFonts w:asciiTheme="majorBidi" w:hAnsiTheme="majorBidi" w:cstheme="majorBidi"/>
                <w:sz w:val="18"/>
                <w:szCs w:val="18"/>
                <w:lang w:val="en-US"/>
              </w:rPr>
              <w:t>86.1</w:t>
            </w:r>
            <w:r>
              <w:rPr>
                <w:rFonts w:asciiTheme="majorBidi" w:hAnsiTheme="majorBidi" w:cstheme="majorBidi"/>
                <w:sz w:val="18"/>
                <w:szCs w:val="18"/>
                <w:lang w:val="en-US"/>
              </w:rPr>
              <w:t>)</w:t>
            </w:r>
          </w:p>
        </w:tc>
        <w:tc>
          <w:tcPr>
            <w:tcW w:w="530" w:type="pct"/>
          </w:tcPr>
          <w:p w14:paraId="176A6BE2"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In</w:t>
            </w:r>
          </w:p>
        </w:tc>
      </w:tr>
      <w:tr w:rsidR="00F24F47" w:rsidRPr="00DE61C5" w14:paraId="79DC44E5" w14:textId="77777777" w:rsidTr="00480C97">
        <w:trPr>
          <w:trHeight w:val="317"/>
        </w:trPr>
        <w:tc>
          <w:tcPr>
            <w:tcW w:w="2729" w:type="pct"/>
            <w:gridSpan w:val="2"/>
          </w:tcPr>
          <w:p w14:paraId="305BD23A"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Pain</w:t>
            </w:r>
          </w:p>
          <w:p w14:paraId="4D9CBB22" w14:textId="77777777" w:rsidR="00F24F47" w:rsidRPr="003A34DD"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Pain</w:t>
            </w:r>
            <w:r w:rsidRPr="00DE61C5">
              <w:rPr>
                <w:rFonts w:asciiTheme="majorBidi" w:hAnsiTheme="majorBidi" w:cstheme="majorBidi"/>
                <w:sz w:val="18"/>
                <w:szCs w:val="18"/>
                <w:lang w:val="en-US"/>
              </w:rPr>
              <w:t xml:space="preserve"> is defined as the magnitude and frequency of how much a patient hurts at the affected area. Pain can be expressed by the patient as</w:t>
            </w:r>
            <w:r>
              <w:rPr>
                <w:rFonts w:asciiTheme="majorBidi" w:hAnsiTheme="majorBidi" w:cstheme="majorBidi"/>
                <w:sz w:val="18"/>
                <w:szCs w:val="18"/>
                <w:lang w:val="en-US"/>
              </w:rPr>
              <w:t xml:space="preserve"> stinging, tingling of burning.</w:t>
            </w:r>
          </w:p>
        </w:tc>
        <w:tc>
          <w:tcPr>
            <w:tcW w:w="604" w:type="pct"/>
          </w:tcPr>
          <w:p w14:paraId="10C3ECCF"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0 (0.0)</w:t>
            </w:r>
          </w:p>
        </w:tc>
        <w:tc>
          <w:tcPr>
            <w:tcW w:w="607" w:type="pct"/>
          </w:tcPr>
          <w:p w14:paraId="4760726D"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5 (11.7)</w:t>
            </w:r>
          </w:p>
        </w:tc>
        <w:tc>
          <w:tcPr>
            <w:tcW w:w="530" w:type="pct"/>
          </w:tcPr>
          <w:p w14:paraId="5A12A666"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38 (</w:t>
            </w:r>
            <w:r w:rsidRPr="00DE61C5">
              <w:rPr>
                <w:rFonts w:asciiTheme="majorBidi" w:hAnsiTheme="majorBidi" w:cstheme="majorBidi"/>
                <w:sz w:val="18"/>
                <w:szCs w:val="18"/>
                <w:lang w:val="en-US"/>
              </w:rPr>
              <w:t>88.4</w:t>
            </w:r>
            <w:r>
              <w:rPr>
                <w:rFonts w:asciiTheme="majorBidi" w:hAnsiTheme="majorBidi" w:cstheme="majorBidi"/>
                <w:sz w:val="18"/>
                <w:szCs w:val="18"/>
                <w:lang w:val="en-US"/>
              </w:rPr>
              <w:t>)</w:t>
            </w:r>
          </w:p>
        </w:tc>
        <w:tc>
          <w:tcPr>
            <w:tcW w:w="530" w:type="pct"/>
          </w:tcPr>
          <w:p w14:paraId="188678FD"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In</w:t>
            </w:r>
          </w:p>
        </w:tc>
      </w:tr>
      <w:tr w:rsidR="00F24F47" w:rsidRPr="00DE61C5" w14:paraId="540D3184" w14:textId="77777777" w:rsidTr="00480C97">
        <w:trPr>
          <w:trHeight w:val="317"/>
        </w:trPr>
        <w:tc>
          <w:tcPr>
            <w:tcW w:w="2729" w:type="pct"/>
            <w:gridSpan w:val="2"/>
            <w:tcBorders>
              <w:bottom w:val="single" w:sz="4" w:space="0" w:color="auto"/>
            </w:tcBorders>
          </w:tcPr>
          <w:p w14:paraId="124BEDDF" w14:textId="77777777" w:rsidR="00F24F47" w:rsidRPr="00DE61C5" w:rsidRDefault="00F24F47" w:rsidP="006F53D1">
            <w:pPr>
              <w:pStyle w:val="ListParagraph"/>
              <w:numPr>
                <w:ilvl w:val="0"/>
                <w:numId w:val="6"/>
              </w:numPr>
              <w:spacing w:line="360" w:lineRule="auto"/>
              <w:ind w:left="357" w:hanging="357"/>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Patient satisfaction</w:t>
            </w:r>
          </w:p>
          <w:p w14:paraId="05F12E0D" w14:textId="77777777" w:rsidR="00F24F47" w:rsidRPr="003A34DD" w:rsidRDefault="00F24F47" w:rsidP="003A34DD">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Patient satisfaction</w:t>
            </w:r>
            <w:r w:rsidRPr="00DE61C5">
              <w:rPr>
                <w:rFonts w:asciiTheme="majorBidi" w:hAnsiTheme="majorBidi" w:cstheme="majorBidi"/>
                <w:sz w:val="18"/>
                <w:szCs w:val="18"/>
                <w:lang w:val="en-US"/>
              </w:rPr>
              <w:t xml:space="preserve"> is defined as the degree to which the individual regards the health care service or product (the intervention) or the manner in which it is delivered by the provider as useful, effective, or benefici</w:t>
            </w:r>
            <w:r>
              <w:rPr>
                <w:rFonts w:asciiTheme="majorBidi" w:hAnsiTheme="majorBidi" w:cstheme="majorBidi"/>
                <w:sz w:val="18"/>
                <w:szCs w:val="18"/>
                <w:lang w:val="en-US"/>
              </w:rPr>
              <w:t xml:space="preserve">al (NCBI </w:t>
            </w:r>
            <w:proofErr w:type="spellStart"/>
            <w:r>
              <w:rPr>
                <w:rFonts w:asciiTheme="majorBidi" w:hAnsiTheme="majorBidi" w:cstheme="majorBidi"/>
                <w:sz w:val="18"/>
                <w:szCs w:val="18"/>
                <w:lang w:val="en-US"/>
              </w:rPr>
              <w:t>MeSH</w:t>
            </w:r>
            <w:proofErr w:type="spellEnd"/>
            <w:r>
              <w:rPr>
                <w:rFonts w:asciiTheme="majorBidi" w:hAnsiTheme="majorBidi" w:cstheme="majorBidi"/>
                <w:sz w:val="18"/>
                <w:szCs w:val="18"/>
                <w:lang w:val="en-US"/>
              </w:rPr>
              <w:t xml:space="preserve"> term definition).</w:t>
            </w:r>
          </w:p>
        </w:tc>
        <w:tc>
          <w:tcPr>
            <w:tcW w:w="604" w:type="pct"/>
            <w:tcBorders>
              <w:bottom w:val="single" w:sz="4" w:space="0" w:color="auto"/>
            </w:tcBorders>
          </w:tcPr>
          <w:p w14:paraId="10805861"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 (7.0)</w:t>
            </w:r>
          </w:p>
        </w:tc>
        <w:tc>
          <w:tcPr>
            <w:tcW w:w="607" w:type="pct"/>
            <w:tcBorders>
              <w:bottom w:val="single" w:sz="4" w:space="0" w:color="auto"/>
            </w:tcBorders>
          </w:tcPr>
          <w:p w14:paraId="26CB48CC"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6 (13.9)</w:t>
            </w:r>
          </w:p>
        </w:tc>
        <w:tc>
          <w:tcPr>
            <w:tcW w:w="530" w:type="pct"/>
            <w:tcBorders>
              <w:bottom w:val="single" w:sz="4" w:space="0" w:color="auto"/>
            </w:tcBorders>
          </w:tcPr>
          <w:p w14:paraId="5FB47F7E" w14:textId="77777777" w:rsidR="00F24F47" w:rsidRPr="00DE61C5" w:rsidRDefault="00F24F47" w:rsidP="00B3638C">
            <w:pPr>
              <w:jc w:val="center"/>
              <w:rPr>
                <w:rFonts w:asciiTheme="majorBidi" w:hAnsiTheme="majorBidi" w:cstheme="majorBidi"/>
                <w:sz w:val="18"/>
                <w:szCs w:val="18"/>
                <w:lang w:val="en-US"/>
              </w:rPr>
            </w:pPr>
            <w:r>
              <w:rPr>
                <w:rFonts w:asciiTheme="majorBidi" w:hAnsiTheme="majorBidi" w:cstheme="majorBidi"/>
                <w:sz w:val="18"/>
                <w:szCs w:val="18"/>
                <w:lang w:val="en-US"/>
              </w:rPr>
              <w:t>34 (</w:t>
            </w:r>
            <w:r w:rsidRPr="00DE61C5">
              <w:rPr>
                <w:rFonts w:asciiTheme="majorBidi" w:hAnsiTheme="majorBidi" w:cstheme="majorBidi"/>
                <w:sz w:val="18"/>
                <w:szCs w:val="18"/>
                <w:lang w:val="en-US"/>
              </w:rPr>
              <w:t>79.1</w:t>
            </w:r>
            <w:r>
              <w:rPr>
                <w:rFonts w:asciiTheme="majorBidi" w:hAnsiTheme="majorBidi" w:cstheme="majorBidi"/>
                <w:sz w:val="18"/>
                <w:szCs w:val="18"/>
                <w:lang w:val="en-US"/>
              </w:rPr>
              <w:t>)</w:t>
            </w:r>
          </w:p>
        </w:tc>
        <w:tc>
          <w:tcPr>
            <w:tcW w:w="530" w:type="pct"/>
            <w:tcBorders>
              <w:bottom w:val="single" w:sz="4" w:space="0" w:color="auto"/>
            </w:tcBorders>
          </w:tcPr>
          <w:p w14:paraId="2A8BE642" w14:textId="77777777" w:rsidR="00F24F47" w:rsidRPr="00DE61C5" w:rsidRDefault="00F24F47" w:rsidP="00407FEA">
            <w:pPr>
              <w:jc w:val="center"/>
              <w:rPr>
                <w:rFonts w:asciiTheme="majorBidi" w:hAnsiTheme="majorBidi" w:cstheme="majorBidi"/>
                <w:sz w:val="18"/>
                <w:szCs w:val="18"/>
                <w:lang w:val="en-US"/>
              </w:rPr>
            </w:pPr>
            <w:r w:rsidRPr="00DE61C5">
              <w:rPr>
                <w:rFonts w:asciiTheme="majorBidi" w:hAnsiTheme="majorBidi" w:cstheme="majorBidi"/>
                <w:sz w:val="18"/>
                <w:szCs w:val="18"/>
                <w:lang w:val="en-US"/>
              </w:rPr>
              <w:t>In</w:t>
            </w:r>
          </w:p>
        </w:tc>
      </w:tr>
      <w:tr w:rsidR="00F24F47" w:rsidRPr="001418D7" w14:paraId="18A2315A" w14:textId="77777777" w:rsidTr="00383931">
        <w:trPr>
          <w:trHeight w:val="317"/>
        </w:trPr>
        <w:tc>
          <w:tcPr>
            <w:tcW w:w="5000" w:type="pct"/>
            <w:gridSpan w:val="6"/>
            <w:tcBorders>
              <w:top w:val="single" w:sz="4" w:space="0" w:color="auto"/>
            </w:tcBorders>
          </w:tcPr>
          <w:p w14:paraId="19316FFE" w14:textId="77777777" w:rsidR="00F24F47" w:rsidRPr="00DE61C5" w:rsidRDefault="00F24F47" w:rsidP="00317369">
            <w:pPr>
              <w:jc w:val="both"/>
              <w:rPr>
                <w:rFonts w:asciiTheme="majorBidi" w:hAnsiTheme="majorBidi" w:cstheme="majorBidi"/>
                <w:sz w:val="18"/>
                <w:szCs w:val="18"/>
                <w:lang w:val="en-US"/>
              </w:rPr>
            </w:pPr>
            <w:r w:rsidRPr="00317369">
              <w:rPr>
                <w:rFonts w:asciiTheme="majorBidi" w:hAnsiTheme="majorBidi" w:cstheme="majorBidi"/>
                <w:color w:val="FF0000"/>
                <w:sz w:val="18"/>
                <w:szCs w:val="18"/>
                <w:lang w:val="en-US"/>
              </w:rPr>
              <w:t xml:space="preserve">IAD, incontinence-associated dermatitis. </w:t>
            </w:r>
            <w:r w:rsidRPr="00317369">
              <w:rPr>
                <w:rFonts w:asciiTheme="majorBidi" w:hAnsiTheme="majorBidi" w:cstheme="majorBidi"/>
                <w:sz w:val="18"/>
                <w:szCs w:val="18"/>
                <w:lang w:val="en-US"/>
              </w:rPr>
              <w:t>† 9-point scale [from ‘not important for inclusion’ to ‘critical, should be included in a COS for IAD’]. ‡ 70% of panelists rate the outcome as ‘critical for inclusion’.</w:t>
            </w:r>
          </w:p>
        </w:tc>
      </w:tr>
    </w:tbl>
    <w:p w14:paraId="214C0783" w14:textId="77777777" w:rsidR="00F24F47" w:rsidRPr="00DE61C5" w:rsidRDefault="00F24F47" w:rsidP="00617EBB">
      <w:pPr>
        <w:rPr>
          <w:lang w:val="en-US"/>
        </w:rPr>
      </w:pPr>
    </w:p>
    <w:p w14:paraId="1407902D" w14:textId="77777777" w:rsidR="00F24F47" w:rsidRPr="00602577" w:rsidRDefault="00F24F47" w:rsidP="00F058B0">
      <w:pPr>
        <w:rPr>
          <w:rFonts w:asciiTheme="majorBidi" w:hAnsiTheme="majorBidi" w:cstheme="majorBidi"/>
          <w:sz w:val="20"/>
          <w:szCs w:val="20"/>
          <w:lang w:val="en-US"/>
        </w:rPr>
      </w:pPr>
      <w:r w:rsidRPr="00602577">
        <w:rPr>
          <w:rFonts w:asciiTheme="majorBidi" w:hAnsiTheme="majorBidi" w:cstheme="majorBidi"/>
          <w:sz w:val="20"/>
          <w:szCs w:val="20"/>
          <w:lang w:val="en-US"/>
        </w:rPr>
        <w:t xml:space="preserve">Table 3. Ratings of 7 outcome domains in the third Delphi round – 37 </w:t>
      </w:r>
      <w:proofErr w:type="spellStart"/>
      <w:r w:rsidRPr="00602577">
        <w:rPr>
          <w:rFonts w:asciiTheme="majorBidi" w:hAnsiTheme="majorBidi" w:cstheme="majorBidi"/>
          <w:sz w:val="20"/>
          <w:szCs w:val="20"/>
          <w:lang w:val="en-US"/>
        </w:rPr>
        <w:t>pane</w:t>
      </w:r>
      <w:r>
        <w:rPr>
          <w:rFonts w:asciiTheme="majorBidi" w:hAnsiTheme="majorBidi" w:cstheme="majorBidi"/>
          <w:sz w:val="20"/>
          <w:szCs w:val="20"/>
          <w:lang w:val="en-US"/>
        </w:rPr>
        <w:t>l</w:t>
      </w:r>
      <w:r w:rsidRPr="00602577">
        <w:rPr>
          <w:rFonts w:asciiTheme="majorBidi" w:hAnsiTheme="majorBidi" w:cstheme="majorBidi"/>
          <w:sz w:val="20"/>
          <w:szCs w:val="20"/>
          <w:lang w:val="en-US"/>
        </w:rPr>
        <w:t>lists</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77"/>
        <w:gridCol w:w="986"/>
        <w:gridCol w:w="1413"/>
        <w:gridCol w:w="1128"/>
        <w:gridCol w:w="706"/>
      </w:tblGrid>
      <w:tr w:rsidR="00F24F47" w:rsidRPr="00DE61C5" w14:paraId="7FCEF74A" w14:textId="77777777" w:rsidTr="00052B7B">
        <w:tc>
          <w:tcPr>
            <w:tcW w:w="2341" w:type="pct"/>
            <w:tcBorders>
              <w:top w:val="single" w:sz="4" w:space="0" w:color="auto"/>
              <w:bottom w:val="single" w:sz="4" w:space="0" w:color="auto"/>
            </w:tcBorders>
            <w:vAlign w:val="center"/>
          </w:tcPr>
          <w:p w14:paraId="0132D8C1" w14:textId="77777777" w:rsidR="00F24F47" w:rsidRPr="00DE61C5" w:rsidRDefault="00F24F47" w:rsidP="009A76AD">
            <w:pPr>
              <w:rPr>
                <w:rFonts w:asciiTheme="majorBidi" w:hAnsiTheme="majorBidi" w:cstheme="majorBidi"/>
                <w:b/>
                <w:bCs/>
                <w:sz w:val="18"/>
                <w:szCs w:val="18"/>
              </w:rPr>
            </w:pPr>
            <w:r w:rsidRPr="00DE61C5">
              <w:rPr>
                <w:rFonts w:asciiTheme="majorBidi" w:hAnsiTheme="majorBidi" w:cstheme="majorBidi"/>
                <w:b/>
                <w:bCs/>
                <w:sz w:val="18"/>
                <w:szCs w:val="18"/>
                <w:lang w:val="en-US"/>
              </w:rPr>
              <w:t>Outcome domain and definition</w:t>
            </w:r>
          </w:p>
        </w:tc>
        <w:tc>
          <w:tcPr>
            <w:tcW w:w="318" w:type="pct"/>
            <w:tcBorders>
              <w:top w:val="single" w:sz="4" w:space="0" w:color="auto"/>
              <w:bottom w:val="single" w:sz="4" w:space="0" w:color="auto"/>
            </w:tcBorders>
            <w:vAlign w:val="center"/>
          </w:tcPr>
          <w:p w14:paraId="16B225C1" w14:textId="77777777" w:rsidR="00F24F47" w:rsidRPr="00480C97" w:rsidRDefault="00F24F47" w:rsidP="00480C97">
            <w:pPr>
              <w:jc w:val="right"/>
              <w:rPr>
                <w:rFonts w:asciiTheme="majorBidi" w:hAnsiTheme="majorBidi" w:cstheme="majorBidi"/>
                <w:i/>
                <w:iCs/>
                <w:sz w:val="18"/>
                <w:szCs w:val="18"/>
              </w:rPr>
            </w:pPr>
            <w:r w:rsidRPr="00480C97">
              <w:rPr>
                <w:rFonts w:asciiTheme="majorBidi" w:hAnsiTheme="majorBidi" w:cstheme="majorBidi"/>
                <w:i/>
                <w:iCs/>
                <w:sz w:val="18"/>
                <w:szCs w:val="18"/>
              </w:rPr>
              <w:t>n(%)</w:t>
            </w:r>
          </w:p>
        </w:tc>
        <w:tc>
          <w:tcPr>
            <w:tcW w:w="546" w:type="pct"/>
            <w:tcBorders>
              <w:top w:val="single" w:sz="4" w:space="0" w:color="auto"/>
              <w:bottom w:val="single" w:sz="4" w:space="0" w:color="auto"/>
            </w:tcBorders>
            <w:vAlign w:val="center"/>
          </w:tcPr>
          <w:p w14:paraId="4B5F1516" w14:textId="77777777" w:rsidR="00F24F47" w:rsidRPr="00DE61C5" w:rsidRDefault="00F24F47" w:rsidP="003A34DD">
            <w:pPr>
              <w:jc w:val="center"/>
              <w:rPr>
                <w:rFonts w:asciiTheme="majorBidi" w:hAnsiTheme="majorBidi" w:cstheme="majorBidi"/>
                <w:b/>
                <w:bCs/>
                <w:sz w:val="18"/>
                <w:szCs w:val="18"/>
              </w:rPr>
            </w:pPr>
            <w:r w:rsidRPr="00DE61C5">
              <w:rPr>
                <w:rFonts w:asciiTheme="majorBidi" w:hAnsiTheme="majorBidi" w:cstheme="majorBidi"/>
                <w:b/>
                <w:bCs/>
                <w:sz w:val="18"/>
                <w:szCs w:val="18"/>
              </w:rPr>
              <w:t>Yes, I approve</w:t>
            </w:r>
          </w:p>
        </w:tc>
        <w:tc>
          <w:tcPr>
            <w:tcW w:w="782" w:type="pct"/>
            <w:tcBorders>
              <w:top w:val="single" w:sz="4" w:space="0" w:color="auto"/>
              <w:bottom w:val="single" w:sz="4" w:space="0" w:color="auto"/>
            </w:tcBorders>
            <w:vAlign w:val="center"/>
          </w:tcPr>
          <w:p w14:paraId="19B8C646" w14:textId="77777777" w:rsidR="00F24F47" w:rsidRPr="00DE61C5" w:rsidRDefault="00F24F47" w:rsidP="003A34DD">
            <w:pPr>
              <w:jc w:val="center"/>
              <w:rPr>
                <w:rFonts w:asciiTheme="majorBidi" w:hAnsiTheme="majorBidi" w:cstheme="majorBidi"/>
                <w:b/>
                <w:bCs/>
                <w:sz w:val="18"/>
                <w:szCs w:val="18"/>
                <w:lang w:val="en-US"/>
              </w:rPr>
            </w:pPr>
            <w:r w:rsidRPr="00DE61C5">
              <w:rPr>
                <w:rFonts w:asciiTheme="majorBidi" w:hAnsiTheme="majorBidi" w:cstheme="majorBidi"/>
                <w:b/>
                <w:bCs/>
                <w:sz w:val="18"/>
                <w:szCs w:val="18"/>
                <w:lang w:val="en-US"/>
              </w:rPr>
              <w:t>Yes, I approve but with minor suggestions</w:t>
            </w:r>
          </w:p>
        </w:tc>
        <w:tc>
          <w:tcPr>
            <w:tcW w:w="624" w:type="pct"/>
            <w:tcBorders>
              <w:top w:val="single" w:sz="4" w:space="0" w:color="auto"/>
              <w:bottom w:val="single" w:sz="4" w:space="0" w:color="auto"/>
            </w:tcBorders>
            <w:shd w:val="clear" w:color="auto" w:fill="auto"/>
            <w:vAlign w:val="center"/>
          </w:tcPr>
          <w:p w14:paraId="609B1BFB" w14:textId="77777777" w:rsidR="00F24F47" w:rsidRPr="00DE61C5" w:rsidRDefault="00F24F47" w:rsidP="003A34DD">
            <w:pPr>
              <w:jc w:val="center"/>
              <w:rPr>
                <w:rFonts w:asciiTheme="majorBidi" w:hAnsiTheme="majorBidi" w:cstheme="majorBidi"/>
                <w:b/>
                <w:bCs/>
                <w:sz w:val="18"/>
                <w:szCs w:val="18"/>
                <w:lang w:val="en-US"/>
              </w:rPr>
            </w:pPr>
            <w:r w:rsidRPr="00DE61C5">
              <w:rPr>
                <w:rFonts w:asciiTheme="majorBidi" w:hAnsiTheme="majorBidi" w:cstheme="majorBidi"/>
                <w:b/>
                <w:bCs/>
                <w:sz w:val="18"/>
                <w:szCs w:val="18"/>
                <w:lang w:val="en-US"/>
              </w:rPr>
              <w:t>No, I have major concerns</w:t>
            </w:r>
          </w:p>
        </w:tc>
        <w:tc>
          <w:tcPr>
            <w:tcW w:w="390" w:type="pct"/>
            <w:tcBorders>
              <w:top w:val="single" w:sz="4" w:space="0" w:color="auto"/>
              <w:bottom w:val="single" w:sz="4" w:space="0" w:color="auto"/>
            </w:tcBorders>
            <w:vAlign w:val="center"/>
          </w:tcPr>
          <w:p w14:paraId="398D60FF" w14:textId="77777777" w:rsidR="00F24F47" w:rsidRPr="00DE61C5" w:rsidRDefault="00F24F47" w:rsidP="003A34DD">
            <w:pPr>
              <w:jc w:val="center"/>
              <w:rPr>
                <w:rFonts w:asciiTheme="majorBidi" w:hAnsiTheme="majorBidi" w:cstheme="majorBidi"/>
                <w:b/>
                <w:bCs/>
                <w:sz w:val="18"/>
                <w:szCs w:val="18"/>
                <w:lang w:val="en-US"/>
              </w:rPr>
            </w:pPr>
            <w:r>
              <w:rPr>
                <w:rFonts w:asciiTheme="majorBidi" w:hAnsiTheme="majorBidi" w:cstheme="majorBidi"/>
                <w:b/>
                <w:bCs/>
                <w:sz w:val="18"/>
                <w:szCs w:val="18"/>
                <w:lang w:val="en-US"/>
              </w:rPr>
              <w:t>Result</w:t>
            </w:r>
          </w:p>
        </w:tc>
      </w:tr>
      <w:tr w:rsidR="00F24F47" w:rsidRPr="00DE61C5" w14:paraId="70184852" w14:textId="77777777" w:rsidTr="00052B7B">
        <w:tc>
          <w:tcPr>
            <w:tcW w:w="2659" w:type="pct"/>
            <w:gridSpan w:val="2"/>
            <w:tcBorders>
              <w:top w:val="single" w:sz="4" w:space="0" w:color="auto"/>
            </w:tcBorders>
          </w:tcPr>
          <w:p w14:paraId="41F1DE39" w14:textId="77777777" w:rsidR="00F24F47" w:rsidRPr="00DE61C5" w:rsidRDefault="00F24F47" w:rsidP="006F53D1">
            <w:pPr>
              <w:pStyle w:val="ListParagraph"/>
              <w:numPr>
                <w:ilvl w:val="0"/>
                <w:numId w:val="8"/>
              </w:numPr>
              <w:spacing w:line="360" w:lineRule="auto"/>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Erythema</w:t>
            </w:r>
          </w:p>
          <w:p w14:paraId="76E712C9" w14:textId="77777777" w:rsidR="00F24F47" w:rsidRPr="00DE61C5" w:rsidRDefault="00F24F47" w:rsidP="00A239CB">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lastRenderedPageBreak/>
              <w:t>Erythema</w:t>
            </w:r>
            <w:r w:rsidRPr="00DE61C5">
              <w:rPr>
                <w:rFonts w:asciiTheme="majorBidi" w:hAnsiTheme="majorBidi" w:cstheme="majorBidi"/>
                <w:sz w:val="18"/>
                <w:szCs w:val="18"/>
                <w:lang w:val="en-US"/>
              </w:rPr>
              <w:t xml:space="preserve"> is defined as redness of the skin. A variety of tones of redness may be present. In patients with darker skin tones, the skin may be paler or darker than their</w:t>
            </w:r>
            <w:r>
              <w:rPr>
                <w:rFonts w:asciiTheme="majorBidi" w:hAnsiTheme="majorBidi" w:cstheme="majorBidi"/>
                <w:sz w:val="18"/>
                <w:szCs w:val="18"/>
                <w:lang w:val="en-US"/>
              </w:rPr>
              <w:t xml:space="preserve"> normal skin </w:t>
            </w:r>
            <w:proofErr w:type="spellStart"/>
            <w:r>
              <w:rPr>
                <w:rFonts w:asciiTheme="majorBidi" w:hAnsiTheme="majorBidi" w:cstheme="majorBidi"/>
                <w:sz w:val="18"/>
                <w:szCs w:val="18"/>
                <w:lang w:val="en-US"/>
              </w:rPr>
              <w:t>colour</w:t>
            </w:r>
            <w:proofErr w:type="spellEnd"/>
            <w:r>
              <w:rPr>
                <w:rFonts w:asciiTheme="majorBidi" w:hAnsiTheme="majorBidi" w:cstheme="majorBidi"/>
                <w:sz w:val="18"/>
                <w:szCs w:val="18"/>
                <w:lang w:val="en-US"/>
              </w:rPr>
              <w:t>, or purple.</w:t>
            </w:r>
          </w:p>
        </w:tc>
        <w:tc>
          <w:tcPr>
            <w:tcW w:w="546" w:type="pct"/>
            <w:tcBorders>
              <w:top w:val="single" w:sz="4" w:space="0" w:color="auto"/>
            </w:tcBorders>
          </w:tcPr>
          <w:p w14:paraId="19C8A04F"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lastRenderedPageBreak/>
              <w:t>34 (91.9)</w:t>
            </w:r>
          </w:p>
        </w:tc>
        <w:tc>
          <w:tcPr>
            <w:tcW w:w="782" w:type="pct"/>
            <w:tcBorders>
              <w:top w:val="single" w:sz="4" w:space="0" w:color="auto"/>
            </w:tcBorders>
          </w:tcPr>
          <w:p w14:paraId="40BAB0C5"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3 (8.1)</w:t>
            </w:r>
          </w:p>
        </w:tc>
        <w:tc>
          <w:tcPr>
            <w:tcW w:w="624" w:type="pct"/>
            <w:tcBorders>
              <w:top w:val="single" w:sz="4" w:space="0" w:color="auto"/>
            </w:tcBorders>
            <w:shd w:val="clear" w:color="auto" w:fill="auto"/>
          </w:tcPr>
          <w:p w14:paraId="551C46A3"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0 (0.0)</w:t>
            </w:r>
          </w:p>
        </w:tc>
        <w:tc>
          <w:tcPr>
            <w:tcW w:w="390" w:type="pct"/>
            <w:tcBorders>
              <w:top w:val="single" w:sz="4" w:space="0" w:color="auto"/>
            </w:tcBorders>
          </w:tcPr>
          <w:p w14:paraId="38CEC996" w14:textId="77777777" w:rsidR="00F24F47" w:rsidRPr="00DE61C5" w:rsidRDefault="00F24F47" w:rsidP="007311BC">
            <w:pPr>
              <w:jc w:val="center"/>
              <w:rPr>
                <w:rFonts w:asciiTheme="majorBidi" w:hAnsiTheme="majorBidi" w:cstheme="majorBidi"/>
                <w:sz w:val="18"/>
                <w:szCs w:val="18"/>
              </w:rPr>
            </w:pPr>
            <w:r>
              <w:rPr>
                <w:rFonts w:asciiTheme="majorBidi" w:hAnsiTheme="majorBidi" w:cstheme="majorBidi"/>
                <w:sz w:val="18"/>
                <w:szCs w:val="18"/>
              </w:rPr>
              <w:t>In</w:t>
            </w:r>
          </w:p>
        </w:tc>
      </w:tr>
      <w:tr w:rsidR="00F24F47" w:rsidRPr="00DE61C5" w14:paraId="1721811D" w14:textId="77777777" w:rsidTr="00052B7B">
        <w:tc>
          <w:tcPr>
            <w:tcW w:w="2659" w:type="pct"/>
            <w:gridSpan w:val="2"/>
          </w:tcPr>
          <w:p w14:paraId="6E9B60E8" w14:textId="77777777" w:rsidR="00F24F47" w:rsidRPr="00DE61C5" w:rsidRDefault="00F24F47" w:rsidP="006F53D1">
            <w:pPr>
              <w:pStyle w:val="ListParagraph"/>
              <w:numPr>
                <w:ilvl w:val="0"/>
                <w:numId w:val="8"/>
              </w:numPr>
              <w:spacing w:line="360" w:lineRule="auto"/>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 xml:space="preserve">Erosion </w:t>
            </w:r>
          </w:p>
          <w:p w14:paraId="59E18C81" w14:textId="77777777" w:rsidR="00F24F47" w:rsidRPr="00DE61C5" w:rsidRDefault="00F24F47" w:rsidP="00A239CB">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Erosion</w:t>
            </w:r>
            <w:r w:rsidRPr="00DE61C5">
              <w:rPr>
                <w:rFonts w:asciiTheme="majorBidi" w:hAnsiTheme="majorBidi" w:cstheme="majorBidi"/>
                <w:sz w:val="18"/>
                <w:szCs w:val="18"/>
                <w:lang w:val="en-US"/>
              </w:rPr>
              <w:t xml:space="preserve"> is defined as the loss of either a portion or either the entire</w:t>
            </w:r>
            <w:r>
              <w:rPr>
                <w:rFonts w:asciiTheme="majorBidi" w:hAnsiTheme="majorBidi" w:cstheme="majorBidi"/>
                <w:sz w:val="18"/>
                <w:szCs w:val="18"/>
                <w:lang w:val="en-US"/>
              </w:rPr>
              <w:t xml:space="preserve"> epidermis (Nast et al., 2015).</w:t>
            </w:r>
          </w:p>
        </w:tc>
        <w:tc>
          <w:tcPr>
            <w:tcW w:w="546" w:type="pct"/>
          </w:tcPr>
          <w:p w14:paraId="3CD8242E"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32 (86.5)</w:t>
            </w:r>
          </w:p>
        </w:tc>
        <w:tc>
          <w:tcPr>
            <w:tcW w:w="782" w:type="pct"/>
          </w:tcPr>
          <w:p w14:paraId="4AF0C117"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5 (13.5)</w:t>
            </w:r>
          </w:p>
        </w:tc>
        <w:tc>
          <w:tcPr>
            <w:tcW w:w="624" w:type="pct"/>
            <w:shd w:val="clear" w:color="auto" w:fill="auto"/>
          </w:tcPr>
          <w:p w14:paraId="112C7B08"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0 (0.0)</w:t>
            </w:r>
          </w:p>
        </w:tc>
        <w:tc>
          <w:tcPr>
            <w:tcW w:w="390" w:type="pct"/>
          </w:tcPr>
          <w:p w14:paraId="7278960E" w14:textId="77777777" w:rsidR="00F24F47" w:rsidRPr="00DE61C5" w:rsidRDefault="00F24F47" w:rsidP="007311BC">
            <w:pPr>
              <w:jc w:val="center"/>
              <w:rPr>
                <w:rFonts w:asciiTheme="majorBidi" w:hAnsiTheme="majorBidi" w:cstheme="majorBidi"/>
                <w:sz w:val="18"/>
                <w:szCs w:val="18"/>
              </w:rPr>
            </w:pPr>
            <w:r>
              <w:rPr>
                <w:rFonts w:asciiTheme="majorBidi" w:hAnsiTheme="majorBidi" w:cstheme="majorBidi"/>
                <w:sz w:val="18"/>
                <w:szCs w:val="18"/>
              </w:rPr>
              <w:t>In</w:t>
            </w:r>
          </w:p>
        </w:tc>
      </w:tr>
      <w:tr w:rsidR="00F24F47" w:rsidRPr="00DE61C5" w14:paraId="5A97EA21" w14:textId="77777777" w:rsidTr="00052B7B">
        <w:tc>
          <w:tcPr>
            <w:tcW w:w="2659" w:type="pct"/>
            <w:gridSpan w:val="2"/>
          </w:tcPr>
          <w:p w14:paraId="7B62E9E8" w14:textId="77777777" w:rsidR="00F24F47" w:rsidRPr="00DE61C5" w:rsidRDefault="00F24F47" w:rsidP="006F53D1">
            <w:pPr>
              <w:pStyle w:val="ListParagraph"/>
              <w:numPr>
                <w:ilvl w:val="0"/>
                <w:numId w:val="8"/>
              </w:numPr>
              <w:spacing w:line="360" w:lineRule="auto"/>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 xml:space="preserve">Maceration </w:t>
            </w:r>
          </w:p>
          <w:p w14:paraId="1CB46836" w14:textId="77777777" w:rsidR="00F24F47" w:rsidRPr="00DE61C5" w:rsidRDefault="00F24F47" w:rsidP="00A239CB">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Maceration</w:t>
            </w:r>
            <w:r w:rsidRPr="00DE61C5">
              <w:rPr>
                <w:rFonts w:asciiTheme="majorBidi" w:hAnsiTheme="majorBidi" w:cstheme="majorBidi"/>
                <w:sz w:val="18"/>
                <w:szCs w:val="18"/>
                <w:lang w:val="en-US"/>
              </w:rPr>
              <w:t xml:space="preserve"> of the skin is defined as the softening of the epidermis and dermis characterized by a whitened appearance and swelling caused by prolonged exposure to urine and feces (Ichikawa-Shigeta et </w:t>
            </w:r>
            <w:r>
              <w:rPr>
                <w:rFonts w:asciiTheme="majorBidi" w:hAnsiTheme="majorBidi" w:cstheme="majorBidi"/>
                <w:sz w:val="18"/>
                <w:szCs w:val="18"/>
                <w:lang w:val="en-US"/>
              </w:rPr>
              <w:t xml:space="preserve">al. 2014; </w:t>
            </w:r>
            <w:proofErr w:type="spellStart"/>
            <w:r>
              <w:rPr>
                <w:rFonts w:asciiTheme="majorBidi" w:hAnsiTheme="majorBidi" w:cstheme="majorBidi"/>
                <w:sz w:val="18"/>
                <w:szCs w:val="18"/>
                <w:lang w:val="en-US"/>
              </w:rPr>
              <w:t>Mugita</w:t>
            </w:r>
            <w:proofErr w:type="spellEnd"/>
            <w:r>
              <w:rPr>
                <w:rFonts w:asciiTheme="majorBidi" w:hAnsiTheme="majorBidi" w:cstheme="majorBidi"/>
                <w:sz w:val="18"/>
                <w:szCs w:val="18"/>
                <w:lang w:val="en-US"/>
              </w:rPr>
              <w:t xml:space="preserve"> et al., 2015).</w:t>
            </w:r>
          </w:p>
        </w:tc>
        <w:tc>
          <w:tcPr>
            <w:tcW w:w="546" w:type="pct"/>
          </w:tcPr>
          <w:p w14:paraId="500EAE11"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27 (73.0)</w:t>
            </w:r>
          </w:p>
        </w:tc>
        <w:tc>
          <w:tcPr>
            <w:tcW w:w="782" w:type="pct"/>
          </w:tcPr>
          <w:p w14:paraId="5E38A2D5"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9 (24.3)</w:t>
            </w:r>
          </w:p>
        </w:tc>
        <w:tc>
          <w:tcPr>
            <w:tcW w:w="624" w:type="pct"/>
            <w:shd w:val="clear" w:color="auto" w:fill="auto"/>
          </w:tcPr>
          <w:p w14:paraId="3DCBAB5B"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1 (2.7)</w:t>
            </w:r>
          </w:p>
        </w:tc>
        <w:tc>
          <w:tcPr>
            <w:tcW w:w="390" w:type="pct"/>
          </w:tcPr>
          <w:p w14:paraId="4979A411" w14:textId="77777777" w:rsidR="00F24F47" w:rsidRPr="00DE61C5" w:rsidRDefault="00F24F47" w:rsidP="007311BC">
            <w:pPr>
              <w:jc w:val="center"/>
              <w:rPr>
                <w:rFonts w:asciiTheme="majorBidi" w:hAnsiTheme="majorBidi" w:cstheme="majorBidi"/>
                <w:sz w:val="18"/>
                <w:szCs w:val="18"/>
              </w:rPr>
            </w:pPr>
            <w:r>
              <w:rPr>
                <w:rFonts w:asciiTheme="majorBidi" w:hAnsiTheme="majorBidi" w:cstheme="majorBidi"/>
                <w:sz w:val="18"/>
                <w:szCs w:val="18"/>
              </w:rPr>
              <w:t>In</w:t>
            </w:r>
          </w:p>
        </w:tc>
      </w:tr>
      <w:tr w:rsidR="00F24F47" w:rsidRPr="00DE61C5" w14:paraId="2B93B80A" w14:textId="77777777" w:rsidTr="00052B7B">
        <w:tc>
          <w:tcPr>
            <w:tcW w:w="2659" w:type="pct"/>
            <w:gridSpan w:val="2"/>
          </w:tcPr>
          <w:p w14:paraId="10FDD88C" w14:textId="77777777" w:rsidR="00F24F47" w:rsidRPr="00DE61C5" w:rsidRDefault="00F24F47" w:rsidP="006F53D1">
            <w:pPr>
              <w:pStyle w:val="ListParagraph"/>
              <w:numPr>
                <w:ilvl w:val="0"/>
                <w:numId w:val="8"/>
              </w:numPr>
              <w:spacing w:line="360" w:lineRule="auto"/>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 xml:space="preserve">IAD related pain </w:t>
            </w:r>
          </w:p>
          <w:p w14:paraId="75691D31" w14:textId="77777777" w:rsidR="00F24F47" w:rsidRPr="00383931" w:rsidRDefault="00F24F47" w:rsidP="00A239CB">
            <w:pPr>
              <w:spacing w:after="60"/>
              <w:jc w:val="both"/>
              <w:rPr>
                <w:rFonts w:asciiTheme="majorBidi" w:hAnsiTheme="majorBidi" w:cstheme="majorBidi"/>
                <w:strike/>
                <w:sz w:val="18"/>
                <w:szCs w:val="18"/>
                <w:lang w:val="en-US"/>
              </w:rPr>
            </w:pPr>
            <w:r w:rsidRPr="00DE61C5">
              <w:rPr>
                <w:rFonts w:asciiTheme="majorBidi" w:hAnsiTheme="majorBidi" w:cstheme="majorBidi"/>
                <w:b/>
                <w:bCs/>
                <w:sz w:val="18"/>
                <w:szCs w:val="18"/>
                <w:lang w:val="en-US"/>
              </w:rPr>
              <w:t>IAD related pain</w:t>
            </w:r>
            <w:r w:rsidRPr="00DE61C5">
              <w:rPr>
                <w:rFonts w:asciiTheme="majorBidi" w:hAnsiTheme="majorBidi" w:cstheme="majorBidi"/>
                <w:sz w:val="18"/>
                <w:szCs w:val="18"/>
                <w:lang w:val="en-US"/>
              </w:rPr>
              <w:t xml:space="preserve"> is defined as a symptom that is subjectively expressed by the patient. It composes of both the magnitude and the frequency of how much at the affected area hurts. Pain can be expressed as non-verbal sounds (e.g. crying), vocal complaints of pain (e.g. that hurts), facial expressions (e.g. grimaces), protective body movements or postures (e.g. bracing).</w:t>
            </w:r>
          </w:p>
        </w:tc>
        <w:tc>
          <w:tcPr>
            <w:tcW w:w="546" w:type="pct"/>
          </w:tcPr>
          <w:p w14:paraId="5C91D2B1"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29 (78.4)</w:t>
            </w:r>
          </w:p>
        </w:tc>
        <w:tc>
          <w:tcPr>
            <w:tcW w:w="782" w:type="pct"/>
          </w:tcPr>
          <w:p w14:paraId="614CADBC"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8 (21.6)</w:t>
            </w:r>
          </w:p>
        </w:tc>
        <w:tc>
          <w:tcPr>
            <w:tcW w:w="624" w:type="pct"/>
            <w:shd w:val="clear" w:color="auto" w:fill="auto"/>
          </w:tcPr>
          <w:p w14:paraId="55B1F28B"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0 (0.0)</w:t>
            </w:r>
          </w:p>
        </w:tc>
        <w:tc>
          <w:tcPr>
            <w:tcW w:w="390" w:type="pct"/>
          </w:tcPr>
          <w:p w14:paraId="26B291E5" w14:textId="77777777" w:rsidR="00F24F47" w:rsidRPr="00DE61C5" w:rsidRDefault="00F24F47" w:rsidP="007311BC">
            <w:pPr>
              <w:jc w:val="center"/>
              <w:rPr>
                <w:rFonts w:asciiTheme="majorBidi" w:hAnsiTheme="majorBidi" w:cstheme="majorBidi"/>
                <w:sz w:val="18"/>
                <w:szCs w:val="18"/>
              </w:rPr>
            </w:pPr>
            <w:r>
              <w:rPr>
                <w:rFonts w:asciiTheme="majorBidi" w:hAnsiTheme="majorBidi" w:cstheme="majorBidi"/>
                <w:sz w:val="18"/>
                <w:szCs w:val="18"/>
              </w:rPr>
              <w:t>In</w:t>
            </w:r>
          </w:p>
        </w:tc>
      </w:tr>
      <w:tr w:rsidR="00F24F47" w:rsidRPr="00DE61C5" w14:paraId="7FA39B32" w14:textId="77777777" w:rsidTr="00052B7B">
        <w:tc>
          <w:tcPr>
            <w:tcW w:w="2659" w:type="pct"/>
            <w:gridSpan w:val="2"/>
          </w:tcPr>
          <w:p w14:paraId="5D0813CC" w14:textId="77777777" w:rsidR="00F24F47" w:rsidRPr="00DE61C5" w:rsidRDefault="00F24F47" w:rsidP="006F53D1">
            <w:pPr>
              <w:pStyle w:val="ListParagraph"/>
              <w:numPr>
                <w:ilvl w:val="0"/>
                <w:numId w:val="8"/>
              </w:numPr>
              <w:spacing w:line="360" w:lineRule="auto"/>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Major colonization and infection of IAD</w:t>
            </w:r>
          </w:p>
          <w:p w14:paraId="19EC73D8" w14:textId="77777777" w:rsidR="00F24F47" w:rsidRPr="00DE61C5" w:rsidRDefault="00F24F47" w:rsidP="00392681">
            <w:pPr>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Major colonization and infection of IAD</w:t>
            </w:r>
            <w:r w:rsidRPr="00DE61C5">
              <w:rPr>
                <w:rFonts w:asciiTheme="majorBidi" w:hAnsiTheme="majorBidi" w:cstheme="majorBidi"/>
                <w:sz w:val="18"/>
                <w:szCs w:val="18"/>
                <w:lang w:val="en-US"/>
              </w:rPr>
              <w:t xml:space="preserve"> can manifest both loco-regional and/or systemically:</w:t>
            </w:r>
          </w:p>
          <w:p w14:paraId="1F24ED2D" w14:textId="77777777" w:rsidR="00F24F47" w:rsidRPr="00DE61C5" w:rsidRDefault="00F24F47" w:rsidP="006F53D1">
            <w:pPr>
              <w:pStyle w:val="ListParagraph"/>
              <w:numPr>
                <w:ilvl w:val="0"/>
                <w:numId w:val="7"/>
              </w:numPr>
              <w:jc w:val="both"/>
              <w:rPr>
                <w:rFonts w:asciiTheme="majorBidi" w:hAnsiTheme="majorBidi" w:cstheme="majorBidi"/>
                <w:sz w:val="18"/>
                <w:szCs w:val="18"/>
                <w:lang w:val="en-US"/>
              </w:rPr>
            </w:pPr>
            <w:r w:rsidRPr="00DE61C5">
              <w:rPr>
                <w:rFonts w:asciiTheme="majorBidi" w:hAnsiTheme="majorBidi" w:cstheme="majorBidi"/>
                <w:i/>
                <w:iCs/>
                <w:sz w:val="18"/>
                <w:szCs w:val="18"/>
                <w:lang w:val="en-US"/>
              </w:rPr>
              <w:t>Loco-regional signs of major colonization of IAD</w:t>
            </w:r>
            <w:r w:rsidRPr="00DE61C5">
              <w:rPr>
                <w:rFonts w:asciiTheme="majorBidi" w:hAnsiTheme="majorBidi" w:cstheme="majorBidi"/>
                <w:sz w:val="18"/>
                <w:szCs w:val="18"/>
                <w:lang w:val="en-US"/>
              </w:rPr>
              <w:t xml:space="preserve"> are (increased) malodor, increased wound size, increased exudate levels, purulent exudate (pus), slough visible in the wound bed (yellow/brown/greyish/green), and shiny appearance of the wound bed (friable granulation tissue).</w:t>
            </w:r>
          </w:p>
          <w:p w14:paraId="66ABAAAA" w14:textId="77777777" w:rsidR="00F24F47" w:rsidRPr="00DE61C5" w:rsidRDefault="00F24F47" w:rsidP="006F53D1">
            <w:pPr>
              <w:pStyle w:val="ListParagraph"/>
              <w:numPr>
                <w:ilvl w:val="0"/>
                <w:numId w:val="7"/>
              </w:numPr>
              <w:jc w:val="both"/>
              <w:rPr>
                <w:rFonts w:asciiTheme="majorBidi" w:hAnsiTheme="majorBidi" w:cstheme="majorBidi"/>
                <w:sz w:val="18"/>
                <w:szCs w:val="18"/>
                <w:lang w:val="en-US"/>
              </w:rPr>
            </w:pPr>
            <w:r w:rsidRPr="00DE61C5">
              <w:rPr>
                <w:rFonts w:asciiTheme="majorBidi" w:hAnsiTheme="majorBidi" w:cstheme="majorBidi"/>
                <w:i/>
                <w:iCs/>
                <w:sz w:val="18"/>
                <w:szCs w:val="18"/>
                <w:lang w:val="en-US"/>
              </w:rPr>
              <w:t>Loco-regional signs of microbiological infection of IAD</w:t>
            </w:r>
            <w:r w:rsidRPr="00DE61C5">
              <w:rPr>
                <w:rFonts w:asciiTheme="majorBidi" w:hAnsiTheme="majorBidi" w:cstheme="majorBidi"/>
                <w:sz w:val="18"/>
                <w:szCs w:val="18"/>
                <w:lang w:val="en-US"/>
              </w:rPr>
              <w:t xml:space="preserve"> are </w:t>
            </w:r>
            <w:proofErr w:type="spellStart"/>
            <w:r w:rsidRPr="00DE61C5">
              <w:rPr>
                <w:rFonts w:asciiTheme="majorBidi" w:hAnsiTheme="majorBidi" w:cstheme="majorBidi"/>
                <w:sz w:val="18"/>
                <w:szCs w:val="18"/>
                <w:lang w:val="en-US"/>
              </w:rPr>
              <w:t>rubor</w:t>
            </w:r>
            <w:proofErr w:type="spellEnd"/>
            <w:r w:rsidRPr="00DE61C5">
              <w:rPr>
                <w:rFonts w:asciiTheme="majorBidi" w:hAnsiTheme="majorBidi" w:cstheme="majorBidi"/>
                <w:sz w:val="18"/>
                <w:szCs w:val="18"/>
                <w:lang w:val="en-US"/>
              </w:rPr>
              <w:t xml:space="preserve"> (redness), </w:t>
            </w:r>
            <w:proofErr w:type="spellStart"/>
            <w:r w:rsidRPr="00DE61C5">
              <w:rPr>
                <w:rFonts w:asciiTheme="majorBidi" w:hAnsiTheme="majorBidi" w:cstheme="majorBidi"/>
                <w:sz w:val="18"/>
                <w:szCs w:val="18"/>
                <w:lang w:val="en-US"/>
              </w:rPr>
              <w:t>calor</w:t>
            </w:r>
            <w:proofErr w:type="spellEnd"/>
            <w:r w:rsidRPr="00DE61C5">
              <w:rPr>
                <w:rFonts w:asciiTheme="majorBidi" w:hAnsiTheme="majorBidi" w:cstheme="majorBidi"/>
                <w:sz w:val="18"/>
                <w:szCs w:val="18"/>
                <w:lang w:val="en-US"/>
              </w:rPr>
              <w:t xml:space="preserve"> (increased localized warmth), dolor (increased and excessive level pain), and tumor (increased edema/swelling).</w:t>
            </w:r>
          </w:p>
          <w:p w14:paraId="62BF3B5C" w14:textId="77777777" w:rsidR="00F24F47" w:rsidRPr="00DE61C5" w:rsidRDefault="00F24F47" w:rsidP="006F53D1">
            <w:pPr>
              <w:pStyle w:val="ListParagraph"/>
              <w:numPr>
                <w:ilvl w:val="0"/>
                <w:numId w:val="7"/>
              </w:numPr>
              <w:jc w:val="both"/>
              <w:rPr>
                <w:rFonts w:asciiTheme="majorBidi" w:hAnsiTheme="majorBidi" w:cstheme="majorBidi"/>
                <w:sz w:val="18"/>
                <w:szCs w:val="18"/>
                <w:lang w:val="en-US"/>
              </w:rPr>
            </w:pPr>
            <w:r w:rsidRPr="00DE61C5">
              <w:rPr>
                <w:rFonts w:asciiTheme="majorBidi" w:hAnsiTheme="majorBidi" w:cstheme="majorBidi"/>
                <w:i/>
                <w:iCs/>
                <w:sz w:val="18"/>
                <w:szCs w:val="18"/>
                <w:lang w:val="en-US"/>
              </w:rPr>
              <w:t>Loco-regional signs of bacterial infection of IAD</w:t>
            </w:r>
            <w:r w:rsidRPr="00DE61C5">
              <w:rPr>
                <w:rFonts w:asciiTheme="majorBidi" w:hAnsiTheme="majorBidi" w:cstheme="majorBidi"/>
                <w:sz w:val="18"/>
                <w:szCs w:val="18"/>
                <w:lang w:val="en-US"/>
              </w:rPr>
              <w:t xml:space="preserve"> include (increased) malodor, increased wound size, increased exudate levels, purulent exudate (pus), slough visible in the wound bed (yellow/brown/greyish/green), and shiny appearance of the wound bed (friable granulation tissue).</w:t>
            </w:r>
          </w:p>
          <w:p w14:paraId="5D551F12" w14:textId="77777777" w:rsidR="00F24F47" w:rsidRPr="00DE61C5" w:rsidRDefault="00F24F47" w:rsidP="006F53D1">
            <w:pPr>
              <w:pStyle w:val="ListParagraph"/>
              <w:numPr>
                <w:ilvl w:val="0"/>
                <w:numId w:val="7"/>
              </w:numPr>
              <w:jc w:val="both"/>
              <w:rPr>
                <w:rFonts w:asciiTheme="majorBidi" w:hAnsiTheme="majorBidi" w:cstheme="majorBidi"/>
                <w:sz w:val="18"/>
                <w:szCs w:val="18"/>
                <w:lang w:val="en-US"/>
              </w:rPr>
            </w:pPr>
            <w:r w:rsidRPr="00DE61C5">
              <w:rPr>
                <w:rFonts w:asciiTheme="majorBidi" w:hAnsiTheme="majorBidi" w:cstheme="majorBidi"/>
                <w:i/>
                <w:iCs/>
                <w:sz w:val="18"/>
                <w:szCs w:val="18"/>
                <w:lang w:val="en-US"/>
              </w:rPr>
              <w:t>Loco-regional signs of fungal infection of IAD</w:t>
            </w:r>
            <w:r w:rsidRPr="00DE61C5">
              <w:rPr>
                <w:rFonts w:asciiTheme="majorBidi" w:hAnsiTheme="majorBidi" w:cstheme="majorBidi"/>
                <w:sz w:val="18"/>
                <w:szCs w:val="18"/>
                <w:lang w:val="en-US"/>
              </w:rPr>
              <w:t xml:space="preserve"> are white scaling on the edge of the lesion, and satellite lesions (pustules surrounding the lesion).</w:t>
            </w:r>
          </w:p>
          <w:p w14:paraId="2595EFE6" w14:textId="77777777" w:rsidR="00F24F47" w:rsidRPr="00383931" w:rsidRDefault="00F24F47" w:rsidP="006F53D1">
            <w:pPr>
              <w:pStyle w:val="ListParagraph"/>
              <w:numPr>
                <w:ilvl w:val="0"/>
                <w:numId w:val="7"/>
              </w:numPr>
              <w:spacing w:after="60"/>
              <w:ind w:left="357" w:hanging="357"/>
              <w:jc w:val="both"/>
              <w:rPr>
                <w:rFonts w:asciiTheme="majorBidi" w:hAnsiTheme="majorBidi" w:cstheme="majorBidi"/>
                <w:sz w:val="18"/>
                <w:szCs w:val="18"/>
                <w:lang w:val="en-US"/>
              </w:rPr>
            </w:pPr>
            <w:r w:rsidRPr="00DE61C5">
              <w:rPr>
                <w:rFonts w:asciiTheme="majorBidi" w:hAnsiTheme="majorBidi" w:cstheme="majorBidi"/>
                <w:i/>
                <w:iCs/>
                <w:sz w:val="18"/>
                <w:szCs w:val="18"/>
                <w:lang w:val="en-US"/>
              </w:rPr>
              <w:t>Signs of systemic infection related to the presence of IAD</w:t>
            </w:r>
            <w:r w:rsidRPr="00DE61C5">
              <w:rPr>
                <w:rFonts w:asciiTheme="majorBidi" w:hAnsiTheme="majorBidi" w:cstheme="majorBidi"/>
                <w:sz w:val="18"/>
                <w:szCs w:val="18"/>
                <w:lang w:val="en-US"/>
              </w:rPr>
              <w:t xml:space="preserve"> may include fever, malaise, tachycardia, and hypotension.</w:t>
            </w:r>
          </w:p>
        </w:tc>
        <w:tc>
          <w:tcPr>
            <w:tcW w:w="546" w:type="pct"/>
            <w:shd w:val="clear" w:color="auto" w:fill="auto"/>
          </w:tcPr>
          <w:p w14:paraId="042115C9"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20 (54.1)</w:t>
            </w:r>
          </w:p>
        </w:tc>
        <w:tc>
          <w:tcPr>
            <w:tcW w:w="782" w:type="pct"/>
            <w:shd w:val="clear" w:color="auto" w:fill="auto"/>
          </w:tcPr>
          <w:p w14:paraId="044D8196"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11 (29.7)</w:t>
            </w:r>
          </w:p>
        </w:tc>
        <w:tc>
          <w:tcPr>
            <w:tcW w:w="624" w:type="pct"/>
            <w:shd w:val="clear" w:color="auto" w:fill="auto"/>
          </w:tcPr>
          <w:p w14:paraId="2C71087F"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6 (16.2)</w:t>
            </w:r>
          </w:p>
        </w:tc>
        <w:tc>
          <w:tcPr>
            <w:tcW w:w="390" w:type="pct"/>
          </w:tcPr>
          <w:p w14:paraId="075FC20A" w14:textId="77777777" w:rsidR="00F24F47" w:rsidRPr="00DE61C5" w:rsidRDefault="00F24F47" w:rsidP="007311BC">
            <w:pPr>
              <w:jc w:val="center"/>
              <w:rPr>
                <w:rFonts w:asciiTheme="majorBidi" w:hAnsiTheme="majorBidi" w:cstheme="majorBidi"/>
                <w:sz w:val="18"/>
                <w:szCs w:val="18"/>
              </w:rPr>
            </w:pPr>
            <w:r>
              <w:rPr>
                <w:rFonts w:asciiTheme="majorBidi" w:hAnsiTheme="majorBidi" w:cstheme="majorBidi"/>
                <w:sz w:val="18"/>
                <w:szCs w:val="18"/>
              </w:rPr>
              <w:t>Out</w:t>
            </w:r>
          </w:p>
        </w:tc>
      </w:tr>
      <w:tr w:rsidR="00F24F47" w:rsidRPr="00DE61C5" w14:paraId="138CD711" w14:textId="77777777" w:rsidTr="00052B7B">
        <w:tc>
          <w:tcPr>
            <w:tcW w:w="2659" w:type="pct"/>
            <w:gridSpan w:val="2"/>
          </w:tcPr>
          <w:p w14:paraId="4285DBC1" w14:textId="77777777" w:rsidR="00F24F47" w:rsidRPr="00DE61C5" w:rsidRDefault="00F24F47" w:rsidP="006F53D1">
            <w:pPr>
              <w:pStyle w:val="ListParagraph"/>
              <w:numPr>
                <w:ilvl w:val="0"/>
                <w:numId w:val="8"/>
              </w:numPr>
              <w:spacing w:line="360" w:lineRule="auto"/>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 xml:space="preserve">IAD related Quality of Life </w:t>
            </w:r>
          </w:p>
          <w:p w14:paraId="244C4811" w14:textId="77777777" w:rsidR="00F24F47" w:rsidRPr="00DE61C5" w:rsidRDefault="00F24F47" w:rsidP="00A239CB">
            <w:pPr>
              <w:spacing w:after="60"/>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IAD related Quality of Life</w:t>
            </w:r>
            <w:r w:rsidRPr="00DE61C5">
              <w:rPr>
                <w:rFonts w:asciiTheme="majorBidi" w:hAnsiTheme="majorBidi" w:cstheme="majorBidi"/>
                <w:sz w:val="18"/>
                <w:szCs w:val="18"/>
                <w:lang w:val="en-US"/>
              </w:rPr>
              <w:t xml:space="preserve"> is defined as the degree of physical, material, social, and emotional wellbeing and comfort compromised by the presence of IAD and its associated care by (in)formal caregivers (</w:t>
            </w:r>
            <w:proofErr w:type="spellStart"/>
            <w:r w:rsidRPr="00DE61C5">
              <w:rPr>
                <w:rFonts w:asciiTheme="majorBidi" w:hAnsiTheme="majorBidi" w:cstheme="majorBidi"/>
                <w:sz w:val="18"/>
                <w:szCs w:val="18"/>
                <w:lang w:val="en-US"/>
              </w:rPr>
              <w:t>Felce</w:t>
            </w:r>
            <w:proofErr w:type="spellEnd"/>
            <w:r w:rsidRPr="00DE61C5">
              <w:rPr>
                <w:rFonts w:asciiTheme="majorBidi" w:hAnsiTheme="majorBidi" w:cstheme="majorBidi"/>
                <w:sz w:val="18"/>
                <w:szCs w:val="18"/>
                <w:lang w:val="en-US"/>
              </w:rPr>
              <w:t xml:space="preserve"> and Perry, 1995).</w:t>
            </w:r>
            <w:r w:rsidRPr="00DE61C5">
              <w:rPr>
                <w:rFonts w:asciiTheme="majorBidi" w:hAnsiTheme="majorBidi" w:cstheme="majorBidi"/>
                <w:b/>
                <w:bCs/>
                <w:sz w:val="18"/>
                <w:szCs w:val="18"/>
                <w:lang w:val="en-US"/>
              </w:rPr>
              <w:t xml:space="preserve"> </w:t>
            </w:r>
          </w:p>
        </w:tc>
        <w:tc>
          <w:tcPr>
            <w:tcW w:w="546" w:type="pct"/>
          </w:tcPr>
          <w:p w14:paraId="1D757C8F"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30 (81.1)</w:t>
            </w:r>
          </w:p>
        </w:tc>
        <w:tc>
          <w:tcPr>
            <w:tcW w:w="782" w:type="pct"/>
          </w:tcPr>
          <w:p w14:paraId="3F383F42"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3 (8.1)</w:t>
            </w:r>
          </w:p>
        </w:tc>
        <w:tc>
          <w:tcPr>
            <w:tcW w:w="624" w:type="pct"/>
            <w:shd w:val="clear" w:color="auto" w:fill="auto"/>
          </w:tcPr>
          <w:p w14:paraId="6BDFA17D"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4 (10.8)</w:t>
            </w:r>
          </w:p>
        </w:tc>
        <w:tc>
          <w:tcPr>
            <w:tcW w:w="390" w:type="pct"/>
          </w:tcPr>
          <w:p w14:paraId="7D43226E" w14:textId="77777777" w:rsidR="00F24F47" w:rsidRPr="00DE61C5" w:rsidRDefault="00F24F47" w:rsidP="007311BC">
            <w:pPr>
              <w:jc w:val="center"/>
              <w:rPr>
                <w:rFonts w:asciiTheme="majorBidi" w:hAnsiTheme="majorBidi" w:cstheme="majorBidi"/>
                <w:sz w:val="18"/>
                <w:szCs w:val="18"/>
              </w:rPr>
            </w:pPr>
            <w:r>
              <w:rPr>
                <w:rFonts w:asciiTheme="majorBidi" w:hAnsiTheme="majorBidi" w:cstheme="majorBidi"/>
                <w:sz w:val="18"/>
                <w:szCs w:val="18"/>
              </w:rPr>
              <w:t>Out</w:t>
            </w:r>
          </w:p>
        </w:tc>
      </w:tr>
      <w:tr w:rsidR="00F24F47" w:rsidRPr="00392681" w14:paraId="3CB1E049" w14:textId="77777777" w:rsidTr="00052B7B">
        <w:tc>
          <w:tcPr>
            <w:tcW w:w="2659" w:type="pct"/>
            <w:gridSpan w:val="2"/>
            <w:tcBorders>
              <w:bottom w:val="single" w:sz="4" w:space="0" w:color="auto"/>
            </w:tcBorders>
          </w:tcPr>
          <w:p w14:paraId="1D235975" w14:textId="77777777" w:rsidR="00F24F47" w:rsidRPr="00DE61C5" w:rsidRDefault="00F24F47" w:rsidP="006F53D1">
            <w:pPr>
              <w:pStyle w:val="ListParagraph"/>
              <w:numPr>
                <w:ilvl w:val="0"/>
                <w:numId w:val="8"/>
              </w:numPr>
              <w:spacing w:line="360" w:lineRule="auto"/>
              <w:jc w:val="both"/>
              <w:rPr>
                <w:rFonts w:asciiTheme="majorBidi" w:hAnsiTheme="majorBidi" w:cstheme="majorBidi"/>
                <w:b/>
                <w:bCs/>
                <w:sz w:val="18"/>
                <w:szCs w:val="18"/>
                <w:lang w:val="en-US"/>
              </w:rPr>
            </w:pPr>
            <w:r w:rsidRPr="00DE61C5">
              <w:rPr>
                <w:rFonts w:asciiTheme="majorBidi" w:hAnsiTheme="majorBidi" w:cstheme="majorBidi"/>
                <w:b/>
                <w:bCs/>
                <w:sz w:val="18"/>
                <w:szCs w:val="18"/>
                <w:lang w:val="en-US"/>
              </w:rPr>
              <w:t xml:space="preserve">Patient satisfaction </w:t>
            </w:r>
          </w:p>
          <w:p w14:paraId="702B8C68" w14:textId="77777777" w:rsidR="00F24F47" w:rsidRPr="00DE61C5" w:rsidRDefault="00F24F47" w:rsidP="00383931">
            <w:pPr>
              <w:jc w:val="both"/>
              <w:rPr>
                <w:rFonts w:asciiTheme="majorBidi" w:hAnsiTheme="majorBidi" w:cstheme="majorBidi"/>
                <w:sz w:val="18"/>
                <w:szCs w:val="18"/>
                <w:lang w:val="en-US"/>
              </w:rPr>
            </w:pPr>
            <w:r w:rsidRPr="00DE61C5">
              <w:rPr>
                <w:rFonts w:asciiTheme="majorBidi" w:hAnsiTheme="majorBidi" w:cstheme="majorBidi"/>
                <w:b/>
                <w:bCs/>
                <w:sz w:val="18"/>
                <w:szCs w:val="18"/>
                <w:lang w:val="en-US"/>
              </w:rPr>
              <w:t>Patient satisfaction</w:t>
            </w:r>
            <w:r w:rsidRPr="00DE61C5">
              <w:rPr>
                <w:rFonts w:asciiTheme="majorBidi" w:hAnsiTheme="majorBidi" w:cstheme="majorBidi"/>
                <w:sz w:val="18"/>
                <w:szCs w:val="18"/>
                <w:lang w:val="en-US"/>
              </w:rPr>
              <w:t xml:space="preserve"> is defined as the degree to which the individual regards the intervention (e.g. service, product, program) or the procedure in which it is delivered as useful, effective, or beneficial (based on NCBI </w:t>
            </w:r>
            <w:proofErr w:type="spellStart"/>
            <w:r w:rsidRPr="00DE61C5">
              <w:rPr>
                <w:rFonts w:asciiTheme="majorBidi" w:hAnsiTheme="majorBidi" w:cstheme="majorBidi"/>
                <w:sz w:val="18"/>
                <w:szCs w:val="18"/>
                <w:lang w:val="en-US"/>
              </w:rPr>
              <w:t>MeSH</w:t>
            </w:r>
            <w:proofErr w:type="spellEnd"/>
            <w:r w:rsidRPr="00DE61C5">
              <w:rPr>
                <w:rFonts w:asciiTheme="majorBidi" w:hAnsiTheme="majorBidi" w:cstheme="majorBidi"/>
                <w:sz w:val="18"/>
                <w:szCs w:val="18"/>
                <w:lang w:val="en-US"/>
              </w:rPr>
              <w:t xml:space="preserve"> term defini</w:t>
            </w:r>
            <w:r>
              <w:rPr>
                <w:rFonts w:asciiTheme="majorBidi" w:hAnsiTheme="majorBidi" w:cstheme="majorBidi"/>
                <w:sz w:val="18"/>
                <w:szCs w:val="18"/>
                <w:lang w:val="en-US"/>
              </w:rPr>
              <w:t>tion).</w:t>
            </w:r>
          </w:p>
        </w:tc>
        <w:tc>
          <w:tcPr>
            <w:tcW w:w="546" w:type="pct"/>
            <w:tcBorders>
              <w:bottom w:val="single" w:sz="4" w:space="0" w:color="auto"/>
            </w:tcBorders>
          </w:tcPr>
          <w:p w14:paraId="51B666BE"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33 (89.2)</w:t>
            </w:r>
          </w:p>
        </w:tc>
        <w:tc>
          <w:tcPr>
            <w:tcW w:w="782" w:type="pct"/>
            <w:tcBorders>
              <w:bottom w:val="single" w:sz="4" w:space="0" w:color="auto"/>
            </w:tcBorders>
          </w:tcPr>
          <w:p w14:paraId="5D9075B1" w14:textId="77777777" w:rsidR="00F24F47" w:rsidRPr="00DE61C5"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3 (8.1)</w:t>
            </w:r>
          </w:p>
        </w:tc>
        <w:tc>
          <w:tcPr>
            <w:tcW w:w="624" w:type="pct"/>
            <w:tcBorders>
              <w:bottom w:val="single" w:sz="4" w:space="0" w:color="auto"/>
            </w:tcBorders>
            <w:shd w:val="clear" w:color="auto" w:fill="auto"/>
          </w:tcPr>
          <w:p w14:paraId="09FFEC02" w14:textId="77777777" w:rsidR="00F24F47" w:rsidRPr="00392681" w:rsidRDefault="00F24F47" w:rsidP="007311BC">
            <w:pPr>
              <w:jc w:val="center"/>
              <w:rPr>
                <w:rFonts w:asciiTheme="majorBidi" w:hAnsiTheme="majorBidi" w:cstheme="majorBidi"/>
                <w:sz w:val="18"/>
                <w:szCs w:val="18"/>
              </w:rPr>
            </w:pPr>
            <w:r w:rsidRPr="00DE61C5">
              <w:rPr>
                <w:rFonts w:asciiTheme="majorBidi" w:hAnsiTheme="majorBidi" w:cstheme="majorBidi"/>
                <w:sz w:val="18"/>
                <w:szCs w:val="18"/>
              </w:rPr>
              <w:t>1 (2.7)</w:t>
            </w:r>
          </w:p>
        </w:tc>
        <w:tc>
          <w:tcPr>
            <w:tcW w:w="390" w:type="pct"/>
            <w:tcBorders>
              <w:bottom w:val="single" w:sz="4" w:space="0" w:color="auto"/>
            </w:tcBorders>
          </w:tcPr>
          <w:p w14:paraId="3A0DC100" w14:textId="77777777" w:rsidR="00F24F47" w:rsidRPr="00DE61C5" w:rsidRDefault="00F24F47" w:rsidP="007311BC">
            <w:pPr>
              <w:jc w:val="center"/>
              <w:rPr>
                <w:rFonts w:asciiTheme="majorBidi" w:hAnsiTheme="majorBidi" w:cstheme="majorBidi"/>
                <w:sz w:val="18"/>
                <w:szCs w:val="18"/>
              </w:rPr>
            </w:pPr>
            <w:r>
              <w:rPr>
                <w:rFonts w:asciiTheme="majorBidi" w:hAnsiTheme="majorBidi" w:cstheme="majorBidi"/>
                <w:sz w:val="18"/>
                <w:szCs w:val="18"/>
              </w:rPr>
              <w:t>In</w:t>
            </w:r>
          </w:p>
        </w:tc>
      </w:tr>
      <w:tr w:rsidR="00F24F47" w:rsidRPr="00392681" w14:paraId="156A9599" w14:textId="77777777" w:rsidTr="00052B7B">
        <w:tc>
          <w:tcPr>
            <w:tcW w:w="5000" w:type="pct"/>
            <w:gridSpan w:val="6"/>
            <w:tcBorders>
              <w:top w:val="single" w:sz="4" w:space="0" w:color="auto"/>
            </w:tcBorders>
          </w:tcPr>
          <w:p w14:paraId="0EF62EB5" w14:textId="77777777" w:rsidR="00F24F47" w:rsidRPr="00DF40A2" w:rsidRDefault="00F24F47" w:rsidP="00052B7B">
            <w:pPr>
              <w:rPr>
                <w:rFonts w:asciiTheme="majorBidi" w:hAnsiTheme="majorBidi" w:cstheme="majorBidi"/>
                <w:color w:val="FF0000"/>
                <w:sz w:val="18"/>
                <w:szCs w:val="18"/>
              </w:rPr>
            </w:pPr>
            <w:r w:rsidRPr="00F058B0">
              <w:rPr>
                <w:rFonts w:asciiTheme="majorBidi" w:hAnsiTheme="majorBidi" w:cstheme="majorBidi"/>
                <w:color w:val="FF0000"/>
                <w:sz w:val="18"/>
                <w:szCs w:val="18"/>
              </w:rPr>
              <w:t>IAD, incontinence-associated dermatitis.</w:t>
            </w:r>
          </w:p>
        </w:tc>
      </w:tr>
    </w:tbl>
    <w:p w14:paraId="34F9B8C5" w14:textId="77777777" w:rsidR="00F24F47" w:rsidRDefault="00F24F47" w:rsidP="007311BC">
      <w:pPr>
        <w:tabs>
          <w:tab w:val="left" w:pos="2460"/>
        </w:tabs>
        <w:rPr>
          <w:rFonts w:asciiTheme="majorBidi" w:hAnsiTheme="majorBidi" w:cstheme="majorBidi"/>
          <w:b/>
          <w:bCs/>
          <w:sz w:val="20"/>
          <w:szCs w:val="20"/>
          <w:lang w:val="en-US"/>
        </w:rPr>
      </w:pPr>
    </w:p>
    <w:p w14:paraId="6B321B28" w14:textId="77777777" w:rsidR="00F24F47" w:rsidRPr="00DE61C5" w:rsidRDefault="00F24F47" w:rsidP="003C0F9F">
      <w:pPr>
        <w:rPr>
          <w:rFonts w:asciiTheme="majorBidi" w:hAnsiTheme="majorBidi" w:cstheme="majorBidi"/>
          <w:b/>
          <w:bCs/>
          <w:sz w:val="20"/>
          <w:szCs w:val="20"/>
          <w:lang w:val="en-US"/>
        </w:rPr>
      </w:pPr>
    </w:p>
    <w:p w14:paraId="47076608" w14:textId="7C48B335"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3E317625" w14:textId="77777777" w:rsidR="00F24F47" w:rsidRPr="00400451" w:rsidRDefault="006F53D1" w:rsidP="008E6D08">
      <w:pPr>
        <w:rPr>
          <w:lang w:val="en-GB"/>
        </w:rPr>
      </w:pPr>
      <w:r>
        <w:rPr>
          <w:noProof/>
        </w:rPr>
        <w:object w:dxaOrig="6973" w:dyaOrig="9324" w14:anchorId="54D9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48.6pt;height:466.95pt;mso-width-percent:0;mso-height-percent:0;mso-width-percent:0;mso-height-percent:0" o:ole="">
            <v:imagedata r:id="rId11" o:title=""/>
          </v:shape>
          <o:OLEObject Type="Embed" ProgID="Visio.Drawing.15" ShapeID="_x0000_i1027" DrawAspect="Content" ObjectID="_1580889782" r:id="rId12"/>
        </w:object>
      </w:r>
    </w:p>
    <w:p w14:paraId="0A8E2E15" w14:textId="77777777" w:rsidR="00F24F47" w:rsidRPr="008E6D08" w:rsidRDefault="00F24F47" w:rsidP="008E6D08">
      <w:pPr>
        <w:rPr>
          <w:rFonts w:asciiTheme="majorBidi" w:hAnsiTheme="majorBidi" w:cstheme="majorBidi"/>
          <w:sz w:val="20"/>
          <w:szCs w:val="20"/>
          <w:lang w:val="en-US"/>
        </w:rPr>
      </w:pPr>
      <w:r w:rsidRPr="008E6D08">
        <w:rPr>
          <w:rFonts w:asciiTheme="majorBidi" w:hAnsiTheme="majorBidi" w:cstheme="majorBidi"/>
          <w:sz w:val="20"/>
          <w:szCs w:val="20"/>
          <w:lang w:val="en-US"/>
        </w:rPr>
        <w:t>Figure 1. COS domain development process</w:t>
      </w:r>
    </w:p>
    <w:p w14:paraId="0B8A82E5" w14:textId="77777777" w:rsidR="00F24F47" w:rsidRPr="008E6D08" w:rsidRDefault="00F24F47">
      <w:pPr>
        <w:rPr>
          <w:lang w:val="en-GB"/>
        </w:rPr>
      </w:pPr>
    </w:p>
    <w:p w14:paraId="0C0FE4D4" w14:textId="3D421C54"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22298B82" w14:textId="77777777" w:rsidR="00F24F47" w:rsidRPr="00702815" w:rsidRDefault="006F53D1" w:rsidP="00A81A78">
      <w:pPr>
        <w:rPr>
          <w:lang w:val="en-GB"/>
        </w:rPr>
      </w:pPr>
      <w:r>
        <w:rPr>
          <w:noProof/>
        </w:rPr>
        <w:object w:dxaOrig="8677" w:dyaOrig="8137" w14:anchorId="783A52E4">
          <v:shape id="_x0000_i1026" type="#_x0000_t75" alt="" style="width:433.45pt;height:407.05pt;mso-width-percent:0;mso-height-percent:0;mso-width-percent:0;mso-height-percent:0" o:ole="">
            <v:imagedata r:id="rId13" o:title=""/>
          </v:shape>
          <o:OLEObject Type="Embed" ProgID="Visio.Drawing.15" ShapeID="_x0000_i1026" DrawAspect="Content" ObjectID="_1580889783" r:id="rId14"/>
        </w:object>
      </w:r>
    </w:p>
    <w:p w14:paraId="2ED9AD2E" w14:textId="77777777" w:rsidR="00F24F47" w:rsidRPr="00A81A78" w:rsidRDefault="00F24F47" w:rsidP="00A81A78">
      <w:pPr>
        <w:rPr>
          <w:rFonts w:asciiTheme="majorBidi" w:hAnsiTheme="majorBidi" w:cstheme="majorBidi"/>
          <w:sz w:val="20"/>
          <w:szCs w:val="20"/>
          <w:lang w:val="en-US"/>
        </w:rPr>
      </w:pPr>
      <w:r w:rsidRPr="00A81A78">
        <w:rPr>
          <w:rFonts w:asciiTheme="majorBidi" w:hAnsiTheme="majorBidi" w:cstheme="majorBidi"/>
          <w:sz w:val="20"/>
          <w:szCs w:val="20"/>
          <w:lang w:val="en-US"/>
        </w:rPr>
        <w:t>Figure 2. Results of search strategy and outcome extraction</w:t>
      </w:r>
    </w:p>
    <w:p w14:paraId="6FD584F7" w14:textId="77777777" w:rsidR="00F24F47" w:rsidRPr="00A81A78" w:rsidRDefault="00F24F47">
      <w:pPr>
        <w:rPr>
          <w:lang w:val="en-US"/>
        </w:rPr>
      </w:pPr>
    </w:p>
    <w:p w14:paraId="2C45A666" w14:textId="62090809"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38B49CB7" w14:textId="77777777" w:rsidR="00F24F47" w:rsidRPr="00E163F9" w:rsidRDefault="00F24F47" w:rsidP="00D57E5E">
      <w:pPr>
        <w:rPr>
          <w:rFonts w:asciiTheme="majorBidi" w:hAnsiTheme="majorBidi" w:cstheme="majorBidi"/>
          <w:sz w:val="20"/>
          <w:szCs w:val="20"/>
          <w:lang w:val="en-US"/>
        </w:rPr>
      </w:pPr>
      <w:r w:rsidRPr="00E163F9">
        <w:rPr>
          <w:rFonts w:asciiTheme="majorBidi" w:hAnsiTheme="majorBidi" w:cstheme="majorBidi"/>
          <w:sz w:val="20"/>
          <w:szCs w:val="20"/>
          <w:lang w:val="en-US"/>
        </w:rPr>
        <w:lastRenderedPageBreak/>
        <w:t>Table S1. Characteristics of the panelists per round of the Delphi study</w:t>
      </w:r>
    </w:p>
    <w:tbl>
      <w:tblPr>
        <w:tblW w:w="9072" w:type="dxa"/>
        <w:tblCellMar>
          <w:left w:w="70" w:type="dxa"/>
          <w:right w:w="70" w:type="dxa"/>
        </w:tblCellMar>
        <w:tblLook w:val="04A0" w:firstRow="1" w:lastRow="0" w:firstColumn="1" w:lastColumn="0" w:noHBand="0" w:noVBand="1"/>
      </w:tblPr>
      <w:tblGrid>
        <w:gridCol w:w="3402"/>
        <w:gridCol w:w="1418"/>
        <w:gridCol w:w="1559"/>
        <w:gridCol w:w="1418"/>
        <w:gridCol w:w="1275"/>
      </w:tblGrid>
      <w:tr w:rsidR="00F24F47" w:rsidRPr="00DE61C5" w14:paraId="7F9A41CD" w14:textId="77777777" w:rsidTr="00347C04">
        <w:trPr>
          <w:trHeight w:val="289"/>
        </w:trPr>
        <w:tc>
          <w:tcPr>
            <w:tcW w:w="3402" w:type="dxa"/>
            <w:tcBorders>
              <w:top w:val="single" w:sz="4" w:space="0" w:color="auto"/>
              <w:left w:val="nil"/>
              <w:right w:val="nil"/>
            </w:tcBorders>
            <w:shd w:val="clear" w:color="auto" w:fill="auto"/>
            <w:noWrap/>
            <w:vAlign w:val="center"/>
          </w:tcPr>
          <w:p w14:paraId="03ECEBA8" w14:textId="77777777" w:rsidR="00F24F47" w:rsidRPr="00DE61C5" w:rsidRDefault="00F24F47" w:rsidP="00347C04">
            <w:pPr>
              <w:spacing w:after="0" w:line="240" w:lineRule="auto"/>
              <w:rPr>
                <w:rFonts w:asciiTheme="majorBidi" w:eastAsia="Times New Roman" w:hAnsiTheme="majorBidi" w:cstheme="majorBidi"/>
                <w:color w:val="000000"/>
                <w:sz w:val="20"/>
                <w:szCs w:val="20"/>
                <w:lang w:val="en-US" w:eastAsia="nl-BE"/>
              </w:rPr>
            </w:pPr>
          </w:p>
        </w:tc>
        <w:tc>
          <w:tcPr>
            <w:tcW w:w="2977" w:type="dxa"/>
            <w:gridSpan w:val="2"/>
            <w:tcBorders>
              <w:top w:val="single" w:sz="4" w:space="0" w:color="auto"/>
              <w:left w:val="nil"/>
              <w:right w:val="nil"/>
            </w:tcBorders>
            <w:shd w:val="clear" w:color="auto" w:fill="auto"/>
            <w:noWrap/>
            <w:vAlign w:val="center"/>
          </w:tcPr>
          <w:p w14:paraId="331930F9" w14:textId="77777777" w:rsidR="00F24F47" w:rsidRPr="00DE61C5" w:rsidRDefault="00F24F47" w:rsidP="00347C04">
            <w:pPr>
              <w:spacing w:after="0" w:line="240" w:lineRule="auto"/>
              <w:jc w:val="center"/>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Round 1</w:t>
            </w:r>
          </w:p>
        </w:tc>
        <w:tc>
          <w:tcPr>
            <w:tcW w:w="1418" w:type="dxa"/>
            <w:vMerge w:val="restart"/>
            <w:tcBorders>
              <w:top w:val="single" w:sz="4" w:space="0" w:color="auto"/>
              <w:left w:val="nil"/>
              <w:right w:val="nil"/>
            </w:tcBorders>
            <w:vAlign w:val="center"/>
          </w:tcPr>
          <w:p w14:paraId="687888FC" w14:textId="77777777" w:rsidR="00F24F47" w:rsidRPr="00DE61C5" w:rsidRDefault="00F24F47" w:rsidP="00347C04">
            <w:pPr>
              <w:spacing w:after="0" w:line="240" w:lineRule="auto"/>
              <w:jc w:val="center"/>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Round 2</w:t>
            </w:r>
          </w:p>
        </w:tc>
        <w:tc>
          <w:tcPr>
            <w:tcW w:w="1275" w:type="dxa"/>
            <w:vMerge w:val="restart"/>
            <w:tcBorders>
              <w:top w:val="single" w:sz="4" w:space="0" w:color="auto"/>
              <w:left w:val="nil"/>
              <w:right w:val="nil"/>
            </w:tcBorders>
            <w:vAlign w:val="center"/>
          </w:tcPr>
          <w:p w14:paraId="732C2527" w14:textId="77777777" w:rsidR="00F24F47" w:rsidRPr="00DE61C5" w:rsidRDefault="00F24F47" w:rsidP="00347C04">
            <w:pPr>
              <w:spacing w:after="0" w:line="240" w:lineRule="auto"/>
              <w:jc w:val="center"/>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Round 3</w:t>
            </w:r>
          </w:p>
        </w:tc>
      </w:tr>
      <w:tr w:rsidR="00F24F47" w:rsidRPr="00DE61C5" w14:paraId="5819F01A" w14:textId="77777777" w:rsidTr="00E178EF">
        <w:trPr>
          <w:trHeight w:val="289"/>
        </w:trPr>
        <w:tc>
          <w:tcPr>
            <w:tcW w:w="3402" w:type="dxa"/>
            <w:tcBorders>
              <w:left w:val="nil"/>
              <w:bottom w:val="single" w:sz="4" w:space="0" w:color="auto"/>
              <w:right w:val="nil"/>
            </w:tcBorders>
            <w:shd w:val="clear" w:color="auto" w:fill="auto"/>
            <w:noWrap/>
            <w:vAlign w:val="center"/>
            <w:hideMark/>
          </w:tcPr>
          <w:p w14:paraId="5BDB4065" w14:textId="77777777" w:rsidR="00F24F47" w:rsidRPr="00DE61C5" w:rsidRDefault="00F24F47" w:rsidP="00E178EF">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 </w:t>
            </w:r>
          </w:p>
        </w:tc>
        <w:tc>
          <w:tcPr>
            <w:tcW w:w="1418" w:type="dxa"/>
            <w:tcBorders>
              <w:left w:val="nil"/>
              <w:bottom w:val="single" w:sz="4" w:space="0" w:color="auto"/>
              <w:right w:val="nil"/>
            </w:tcBorders>
            <w:shd w:val="clear" w:color="auto" w:fill="auto"/>
            <w:noWrap/>
            <w:vAlign w:val="center"/>
          </w:tcPr>
          <w:p w14:paraId="05424454" w14:textId="77777777" w:rsidR="00F24F47" w:rsidRPr="0068515F" w:rsidRDefault="00F24F47" w:rsidP="00E178EF">
            <w:pPr>
              <w:spacing w:after="0" w:line="240" w:lineRule="auto"/>
              <w:jc w:val="center"/>
              <w:rPr>
                <w:rFonts w:asciiTheme="majorBidi" w:hAnsiTheme="majorBidi" w:cstheme="majorBidi"/>
                <w:b/>
                <w:bCs/>
                <w:color w:val="FF0000"/>
                <w:sz w:val="18"/>
                <w:szCs w:val="18"/>
                <w:lang w:val="en-US"/>
              </w:rPr>
            </w:pPr>
            <w:r w:rsidRPr="0068515F">
              <w:rPr>
                <w:rFonts w:asciiTheme="majorBidi" w:hAnsiTheme="majorBidi" w:cstheme="majorBidi"/>
                <w:b/>
                <w:bCs/>
                <w:color w:val="FF0000"/>
                <w:sz w:val="18"/>
                <w:szCs w:val="18"/>
                <w:lang w:val="en-US"/>
              </w:rPr>
              <w:t>Group 1</w:t>
            </w:r>
            <w:r w:rsidRPr="0068515F">
              <w:rPr>
                <w:rFonts w:asciiTheme="majorBidi" w:hAnsiTheme="majorBidi" w:cstheme="majorBidi"/>
                <w:color w:val="FF0000"/>
                <w:sz w:val="20"/>
                <w:szCs w:val="20"/>
                <w:vertAlign w:val="superscript"/>
                <w:lang w:val="en-US"/>
              </w:rPr>
              <w:t>†</w:t>
            </w:r>
          </w:p>
        </w:tc>
        <w:tc>
          <w:tcPr>
            <w:tcW w:w="1559" w:type="dxa"/>
            <w:tcBorders>
              <w:left w:val="nil"/>
              <w:bottom w:val="single" w:sz="4" w:space="0" w:color="auto"/>
              <w:right w:val="nil"/>
            </w:tcBorders>
            <w:shd w:val="clear" w:color="auto" w:fill="auto"/>
            <w:noWrap/>
            <w:vAlign w:val="center"/>
          </w:tcPr>
          <w:p w14:paraId="5A43F1A0" w14:textId="77777777" w:rsidR="00F24F47" w:rsidRPr="0068515F" w:rsidRDefault="00F24F47" w:rsidP="00E178EF">
            <w:pPr>
              <w:spacing w:after="0" w:line="240" w:lineRule="auto"/>
              <w:jc w:val="center"/>
              <w:rPr>
                <w:rFonts w:asciiTheme="majorBidi" w:hAnsiTheme="majorBidi" w:cstheme="majorBidi"/>
                <w:b/>
                <w:bCs/>
                <w:color w:val="FF0000"/>
                <w:sz w:val="18"/>
                <w:szCs w:val="18"/>
                <w:lang w:val="en-US"/>
              </w:rPr>
            </w:pPr>
            <w:r w:rsidRPr="0068515F">
              <w:rPr>
                <w:rFonts w:asciiTheme="majorBidi" w:hAnsiTheme="majorBidi" w:cstheme="majorBidi"/>
                <w:b/>
                <w:bCs/>
                <w:color w:val="FF0000"/>
                <w:sz w:val="18"/>
                <w:szCs w:val="18"/>
                <w:lang w:val="en-US"/>
              </w:rPr>
              <w:t>Group 2</w:t>
            </w:r>
            <w:r w:rsidRPr="0068515F">
              <w:rPr>
                <w:rFonts w:asciiTheme="majorBidi" w:hAnsiTheme="majorBidi" w:cstheme="majorBidi"/>
                <w:color w:val="FF0000"/>
                <w:sz w:val="20"/>
                <w:szCs w:val="20"/>
                <w:vertAlign w:val="superscript"/>
                <w:lang w:val="en-US"/>
              </w:rPr>
              <w:t>‡</w:t>
            </w:r>
          </w:p>
        </w:tc>
        <w:tc>
          <w:tcPr>
            <w:tcW w:w="1418" w:type="dxa"/>
            <w:vMerge/>
            <w:tcBorders>
              <w:left w:val="nil"/>
              <w:bottom w:val="single" w:sz="4" w:space="0" w:color="auto"/>
              <w:right w:val="nil"/>
            </w:tcBorders>
            <w:vAlign w:val="center"/>
          </w:tcPr>
          <w:p w14:paraId="7B998048"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275" w:type="dxa"/>
            <w:vMerge/>
            <w:tcBorders>
              <w:left w:val="nil"/>
              <w:bottom w:val="single" w:sz="4" w:space="0" w:color="auto"/>
              <w:right w:val="nil"/>
            </w:tcBorders>
            <w:vAlign w:val="center"/>
          </w:tcPr>
          <w:p w14:paraId="4ADB3F58"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r>
      <w:tr w:rsidR="00F24F47" w:rsidRPr="00DE61C5" w14:paraId="7D2BAF75" w14:textId="77777777" w:rsidTr="00347C04">
        <w:trPr>
          <w:trHeight w:val="289"/>
        </w:trPr>
        <w:tc>
          <w:tcPr>
            <w:tcW w:w="3402" w:type="dxa"/>
            <w:tcBorders>
              <w:top w:val="nil"/>
              <w:left w:val="nil"/>
              <w:bottom w:val="nil"/>
              <w:right w:val="nil"/>
            </w:tcBorders>
            <w:shd w:val="clear" w:color="auto" w:fill="auto"/>
            <w:noWrap/>
            <w:vAlign w:val="center"/>
            <w:hideMark/>
          </w:tcPr>
          <w:p w14:paraId="761D0D2E" w14:textId="77777777" w:rsidR="00F24F47" w:rsidRPr="00DE61C5" w:rsidRDefault="00F24F47" w:rsidP="00E178EF">
            <w:pPr>
              <w:spacing w:after="0" w:line="240" w:lineRule="auto"/>
              <w:rPr>
                <w:rFonts w:asciiTheme="majorBidi" w:eastAsia="Times New Roman" w:hAnsiTheme="majorBidi" w:cstheme="majorBidi"/>
                <w:i/>
                <w:iCs/>
                <w:color w:val="000000"/>
                <w:sz w:val="20"/>
                <w:szCs w:val="20"/>
                <w:lang w:eastAsia="nl-BE"/>
              </w:rPr>
            </w:pPr>
            <w:r w:rsidRPr="00DE61C5">
              <w:rPr>
                <w:rFonts w:asciiTheme="majorBidi" w:eastAsia="Times New Roman" w:hAnsiTheme="majorBidi" w:cstheme="majorBidi"/>
                <w:i/>
                <w:iCs/>
                <w:color w:val="000000"/>
                <w:sz w:val="20"/>
                <w:szCs w:val="20"/>
                <w:lang w:eastAsia="nl-BE"/>
              </w:rPr>
              <w:t>n (%)</w:t>
            </w:r>
          </w:p>
        </w:tc>
        <w:tc>
          <w:tcPr>
            <w:tcW w:w="1418" w:type="dxa"/>
            <w:tcBorders>
              <w:top w:val="nil"/>
              <w:left w:val="nil"/>
              <w:bottom w:val="nil"/>
              <w:right w:val="nil"/>
            </w:tcBorders>
            <w:shd w:val="clear" w:color="auto" w:fill="auto"/>
            <w:noWrap/>
            <w:vAlign w:val="center"/>
            <w:hideMark/>
          </w:tcPr>
          <w:p w14:paraId="538F819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 = 28</w:t>
            </w:r>
          </w:p>
        </w:tc>
        <w:tc>
          <w:tcPr>
            <w:tcW w:w="1559" w:type="dxa"/>
            <w:tcBorders>
              <w:top w:val="nil"/>
              <w:left w:val="nil"/>
              <w:bottom w:val="nil"/>
              <w:right w:val="nil"/>
            </w:tcBorders>
            <w:shd w:val="clear" w:color="auto" w:fill="auto"/>
            <w:noWrap/>
            <w:vAlign w:val="center"/>
            <w:hideMark/>
          </w:tcPr>
          <w:p w14:paraId="436B5CA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 = 29</w:t>
            </w:r>
          </w:p>
        </w:tc>
        <w:tc>
          <w:tcPr>
            <w:tcW w:w="1418" w:type="dxa"/>
            <w:tcBorders>
              <w:top w:val="nil"/>
              <w:left w:val="nil"/>
              <w:bottom w:val="nil"/>
              <w:right w:val="nil"/>
            </w:tcBorders>
            <w:vAlign w:val="center"/>
          </w:tcPr>
          <w:p w14:paraId="08CDD0C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 = 43</w:t>
            </w:r>
          </w:p>
        </w:tc>
        <w:tc>
          <w:tcPr>
            <w:tcW w:w="1275" w:type="dxa"/>
            <w:tcBorders>
              <w:top w:val="nil"/>
              <w:left w:val="nil"/>
              <w:bottom w:val="nil"/>
              <w:right w:val="nil"/>
            </w:tcBorders>
            <w:vAlign w:val="center"/>
          </w:tcPr>
          <w:p w14:paraId="5AD01E6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 = 37</w:t>
            </w:r>
          </w:p>
        </w:tc>
      </w:tr>
      <w:tr w:rsidR="00F24F47" w:rsidRPr="00DE61C5" w14:paraId="470B6556" w14:textId="77777777" w:rsidTr="00347C04">
        <w:trPr>
          <w:trHeight w:val="289"/>
        </w:trPr>
        <w:tc>
          <w:tcPr>
            <w:tcW w:w="3402" w:type="dxa"/>
            <w:tcBorders>
              <w:top w:val="nil"/>
              <w:left w:val="nil"/>
              <w:bottom w:val="nil"/>
              <w:right w:val="nil"/>
            </w:tcBorders>
            <w:shd w:val="clear" w:color="auto" w:fill="auto"/>
            <w:noWrap/>
            <w:vAlign w:val="center"/>
            <w:hideMark/>
          </w:tcPr>
          <w:p w14:paraId="0FF70B60"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Country</w:t>
            </w:r>
          </w:p>
        </w:tc>
        <w:tc>
          <w:tcPr>
            <w:tcW w:w="1418" w:type="dxa"/>
            <w:tcBorders>
              <w:top w:val="nil"/>
              <w:left w:val="nil"/>
              <w:bottom w:val="nil"/>
              <w:right w:val="nil"/>
            </w:tcBorders>
            <w:shd w:val="clear" w:color="auto" w:fill="auto"/>
            <w:noWrap/>
            <w:vAlign w:val="center"/>
            <w:hideMark/>
          </w:tcPr>
          <w:p w14:paraId="137C1CB2"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559" w:type="dxa"/>
            <w:tcBorders>
              <w:top w:val="nil"/>
              <w:left w:val="nil"/>
              <w:bottom w:val="nil"/>
              <w:right w:val="nil"/>
            </w:tcBorders>
            <w:shd w:val="clear" w:color="auto" w:fill="auto"/>
            <w:noWrap/>
            <w:vAlign w:val="center"/>
            <w:hideMark/>
          </w:tcPr>
          <w:p w14:paraId="1B65A2B2"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418" w:type="dxa"/>
            <w:tcBorders>
              <w:top w:val="nil"/>
              <w:left w:val="nil"/>
              <w:bottom w:val="nil"/>
              <w:right w:val="nil"/>
            </w:tcBorders>
            <w:vAlign w:val="center"/>
          </w:tcPr>
          <w:p w14:paraId="251F4BD3"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275" w:type="dxa"/>
            <w:tcBorders>
              <w:top w:val="nil"/>
              <w:left w:val="nil"/>
              <w:bottom w:val="nil"/>
              <w:right w:val="nil"/>
            </w:tcBorders>
            <w:vAlign w:val="center"/>
          </w:tcPr>
          <w:p w14:paraId="3CACAA3B"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r>
      <w:tr w:rsidR="00F24F47" w:rsidRPr="00DE61C5" w14:paraId="27E48D5B" w14:textId="77777777" w:rsidTr="00347C04">
        <w:trPr>
          <w:trHeight w:val="289"/>
        </w:trPr>
        <w:tc>
          <w:tcPr>
            <w:tcW w:w="3402" w:type="dxa"/>
            <w:tcBorders>
              <w:top w:val="nil"/>
              <w:left w:val="nil"/>
              <w:bottom w:val="nil"/>
              <w:right w:val="nil"/>
            </w:tcBorders>
            <w:shd w:val="clear" w:color="auto" w:fill="auto"/>
            <w:noWrap/>
            <w:vAlign w:val="center"/>
            <w:hideMark/>
          </w:tcPr>
          <w:p w14:paraId="1B3B6E29"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Australia</w:t>
            </w:r>
          </w:p>
        </w:tc>
        <w:tc>
          <w:tcPr>
            <w:tcW w:w="1418" w:type="dxa"/>
            <w:tcBorders>
              <w:top w:val="nil"/>
              <w:left w:val="nil"/>
              <w:bottom w:val="nil"/>
              <w:right w:val="nil"/>
            </w:tcBorders>
            <w:shd w:val="clear" w:color="auto" w:fill="auto"/>
            <w:noWrap/>
            <w:vAlign w:val="center"/>
            <w:hideMark/>
          </w:tcPr>
          <w:p w14:paraId="51FDCD2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(10.7)</w:t>
            </w:r>
          </w:p>
        </w:tc>
        <w:tc>
          <w:tcPr>
            <w:tcW w:w="1559" w:type="dxa"/>
            <w:tcBorders>
              <w:top w:val="nil"/>
              <w:left w:val="nil"/>
              <w:bottom w:val="nil"/>
              <w:right w:val="nil"/>
            </w:tcBorders>
            <w:shd w:val="clear" w:color="auto" w:fill="auto"/>
            <w:noWrap/>
            <w:vAlign w:val="center"/>
            <w:hideMark/>
          </w:tcPr>
          <w:p w14:paraId="10B4E64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(3.4)</w:t>
            </w:r>
          </w:p>
        </w:tc>
        <w:tc>
          <w:tcPr>
            <w:tcW w:w="1418" w:type="dxa"/>
            <w:tcBorders>
              <w:top w:val="nil"/>
              <w:left w:val="nil"/>
              <w:bottom w:val="nil"/>
              <w:right w:val="nil"/>
            </w:tcBorders>
            <w:vAlign w:val="center"/>
          </w:tcPr>
          <w:p w14:paraId="06F21A3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(7)</w:t>
            </w:r>
          </w:p>
        </w:tc>
        <w:tc>
          <w:tcPr>
            <w:tcW w:w="1275" w:type="dxa"/>
            <w:tcBorders>
              <w:top w:val="nil"/>
              <w:left w:val="nil"/>
              <w:bottom w:val="nil"/>
              <w:right w:val="nil"/>
            </w:tcBorders>
            <w:vAlign w:val="center"/>
          </w:tcPr>
          <w:p w14:paraId="10E4783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(8.1)</w:t>
            </w:r>
          </w:p>
        </w:tc>
      </w:tr>
      <w:tr w:rsidR="00F24F47" w:rsidRPr="00DE61C5" w14:paraId="66D38CB3" w14:textId="77777777" w:rsidTr="00347C04">
        <w:trPr>
          <w:trHeight w:val="289"/>
        </w:trPr>
        <w:tc>
          <w:tcPr>
            <w:tcW w:w="3402" w:type="dxa"/>
            <w:tcBorders>
              <w:top w:val="nil"/>
              <w:left w:val="nil"/>
              <w:bottom w:val="nil"/>
              <w:right w:val="nil"/>
            </w:tcBorders>
            <w:shd w:val="clear" w:color="auto" w:fill="auto"/>
            <w:noWrap/>
            <w:vAlign w:val="center"/>
            <w:hideMark/>
          </w:tcPr>
          <w:p w14:paraId="060F9874"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Austria</w:t>
            </w:r>
          </w:p>
        </w:tc>
        <w:tc>
          <w:tcPr>
            <w:tcW w:w="1418" w:type="dxa"/>
            <w:tcBorders>
              <w:top w:val="nil"/>
              <w:left w:val="nil"/>
              <w:bottom w:val="nil"/>
              <w:right w:val="nil"/>
            </w:tcBorders>
            <w:shd w:val="clear" w:color="auto" w:fill="auto"/>
            <w:noWrap/>
            <w:vAlign w:val="center"/>
            <w:hideMark/>
          </w:tcPr>
          <w:p w14:paraId="1F585D0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(7.1)</w:t>
            </w:r>
          </w:p>
        </w:tc>
        <w:tc>
          <w:tcPr>
            <w:tcW w:w="1559" w:type="dxa"/>
            <w:tcBorders>
              <w:top w:val="nil"/>
              <w:left w:val="nil"/>
              <w:bottom w:val="nil"/>
              <w:right w:val="nil"/>
            </w:tcBorders>
            <w:shd w:val="clear" w:color="auto" w:fill="auto"/>
            <w:noWrap/>
            <w:vAlign w:val="center"/>
            <w:hideMark/>
          </w:tcPr>
          <w:p w14:paraId="1BF69D6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(13.8)</w:t>
            </w:r>
          </w:p>
        </w:tc>
        <w:tc>
          <w:tcPr>
            <w:tcW w:w="1418" w:type="dxa"/>
            <w:tcBorders>
              <w:top w:val="nil"/>
              <w:left w:val="nil"/>
              <w:bottom w:val="nil"/>
              <w:right w:val="nil"/>
            </w:tcBorders>
            <w:vAlign w:val="center"/>
          </w:tcPr>
          <w:p w14:paraId="5F02596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(11.6)</w:t>
            </w:r>
          </w:p>
        </w:tc>
        <w:tc>
          <w:tcPr>
            <w:tcW w:w="1275" w:type="dxa"/>
            <w:tcBorders>
              <w:top w:val="nil"/>
              <w:left w:val="nil"/>
              <w:bottom w:val="nil"/>
              <w:right w:val="nil"/>
            </w:tcBorders>
            <w:vAlign w:val="center"/>
          </w:tcPr>
          <w:p w14:paraId="782CB97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(13.5)</w:t>
            </w:r>
          </w:p>
        </w:tc>
      </w:tr>
      <w:tr w:rsidR="00F24F47" w:rsidRPr="00DE61C5" w14:paraId="650FFCD0" w14:textId="77777777" w:rsidTr="00347C04">
        <w:trPr>
          <w:trHeight w:val="289"/>
        </w:trPr>
        <w:tc>
          <w:tcPr>
            <w:tcW w:w="3402" w:type="dxa"/>
            <w:tcBorders>
              <w:top w:val="nil"/>
              <w:left w:val="nil"/>
              <w:bottom w:val="nil"/>
              <w:right w:val="nil"/>
            </w:tcBorders>
            <w:shd w:val="clear" w:color="auto" w:fill="auto"/>
            <w:noWrap/>
            <w:vAlign w:val="center"/>
            <w:hideMark/>
          </w:tcPr>
          <w:p w14:paraId="5CC9AF14"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Belgium</w:t>
            </w:r>
          </w:p>
        </w:tc>
        <w:tc>
          <w:tcPr>
            <w:tcW w:w="1418" w:type="dxa"/>
            <w:tcBorders>
              <w:top w:val="nil"/>
              <w:left w:val="nil"/>
              <w:bottom w:val="nil"/>
              <w:right w:val="nil"/>
            </w:tcBorders>
            <w:shd w:val="clear" w:color="auto" w:fill="auto"/>
            <w:noWrap/>
            <w:vAlign w:val="center"/>
            <w:hideMark/>
          </w:tcPr>
          <w:p w14:paraId="404E7C5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8 (28.6)</w:t>
            </w:r>
          </w:p>
        </w:tc>
        <w:tc>
          <w:tcPr>
            <w:tcW w:w="1559" w:type="dxa"/>
            <w:tcBorders>
              <w:top w:val="nil"/>
              <w:left w:val="nil"/>
              <w:bottom w:val="nil"/>
              <w:right w:val="nil"/>
            </w:tcBorders>
            <w:shd w:val="clear" w:color="auto" w:fill="auto"/>
            <w:noWrap/>
            <w:vAlign w:val="center"/>
            <w:hideMark/>
          </w:tcPr>
          <w:p w14:paraId="1E05DD6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(13.8)</w:t>
            </w:r>
          </w:p>
        </w:tc>
        <w:tc>
          <w:tcPr>
            <w:tcW w:w="1418" w:type="dxa"/>
            <w:tcBorders>
              <w:top w:val="nil"/>
              <w:left w:val="nil"/>
              <w:bottom w:val="nil"/>
              <w:right w:val="nil"/>
            </w:tcBorders>
            <w:vAlign w:val="center"/>
          </w:tcPr>
          <w:p w14:paraId="620C1F5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10 (23.3)</w:t>
            </w:r>
          </w:p>
        </w:tc>
        <w:tc>
          <w:tcPr>
            <w:tcW w:w="1275" w:type="dxa"/>
            <w:tcBorders>
              <w:top w:val="nil"/>
              <w:left w:val="nil"/>
              <w:bottom w:val="nil"/>
              <w:right w:val="nil"/>
            </w:tcBorders>
            <w:vAlign w:val="center"/>
          </w:tcPr>
          <w:p w14:paraId="061B6C2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(16.2)</w:t>
            </w:r>
          </w:p>
        </w:tc>
      </w:tr>
      <w:tr w:rsidR="00F24F47" w:rsidRPr="00DE61C5" w14:paraId="64F9B53E" w14:textId="77777777" w:rsidTr="00347C04">
        <w:trPr>
          <w:trHeight w:val="289"/>
        </w:trPr>
        <w:tc>
          <w:tcPr>
            <w:tcW w:w="3402" w:type="dxa"/>
            <w:tcBorders>
              <w:top w:val="nil"/>
              <w:left w:val="nil"/>
              <w:bottom w:val="nil"/>
              <w:right w:val="nil"/>
            </w:tcBorders>
            <w:shd w:val="clear" w:color="auto" w:fill="auto"/>
            <w:noWrap/>
            <w:vAlign w:val="center"/>
            <w:hideMark/>
          </w:tcPr>
          <w:p w14:paraId="316294B3"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Canada</w:t>
            </w:r>
          </w:p>
        </w:tc>
        <w:tc>
          <w:tcPr>
            <w:tcW w:w="1418" w:type="dxa"/>
            <w:tcBorders>
              <w:top w:val="nil"/>
              <w:left w:val="nil"/>
              <w:bottom w:val="nil"/>
              <w:right w:val="nil"/>
            </w:tcBorders>
            <w:shd w:val="clear" w:color="auto" w:fill="auto"/>
            <w:noWrap/>
            <w:vAlign w:val="center"/>
            <w:hideMark/>
          </w:tcPr>
          <w:p w14:paraId="2DEF686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5484F4E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418" w:type="dxa"/>
            <w:tcBorders>
              <w:top w:val="nil"/>
              <w:left w:val="nil"/>
              <w:bottom w:val="nil"/>
              <w:right w:val="nil"/>
            </w:tcBorders>
            <w:vAlign w:val="center"/>
          </w:tcPr>
          <w:p w14:paraId="0BB5538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4652790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52677016" w14:textId="77777777" w:rsidTr="00347C04">
        <w:trPr>
          <w:trHeight w:val="289"/>
        </w:trPr>
        <w:tc>
          <w:tcPr>
            <w:tcW w:w="3402" w:type="dxa"/>
            <w:tcBorders>
              <w:top w:val="nil"/>
              <w:left w:val="nil"/>
              <w:bottom w:val="nil"/>
              <w:right w:val="nil"/>
            </w:tcBorders>
            <w:shd w:val="clear" w:color="auto" w:fill="auto"/>
            <w:noWrap/>
            <w:vAlign w:val="center"/>
            <w:hideMark/>
          </w:tcPr>
          <w:p w14:paraId="5AAAF219"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Chile</w:t>
            </w:r>
          </w:p>
        </w:tc>
        <w:tc>
          <w:tcPr>
            <w:tcW w:w="1418" w:type="dxa"/>
            <w:tcBorders>
              <w:top w:val="nil"/>
              <w:left w:val="nil"/>
              <w:bottom w:val="nil"/>
              <w:right w:val="nil"/>
            </w:tcBorders>
            <w:shd w:val="clear" w:color="auto" w:fill="auto"/>
            <w:noWrap/>
            <w:vAlign w:val="center"/>
            <w:hideMark/>
          </w:tcPr>
          <w:p w14:paraId="6B169C7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5D7D9D4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(3.4)</w:t>
            </w:r>
          </w:p>
        </w:tc>
        <w:tc>
          <w:tcPr>
            <w:tcW w:w="1418" w:type="dxa"/>
            <w:tcBorders>
              <w:top w:val="nil"/>
              <w:left w:val="nil"/>
              <w:bottom w:val="nil"/>
              <w:right w:val="nil"/>
            </w:tcBorders>
            <w:vAlign w:val="center"/>
          </w:tcPr>
          <w:p w14:paraId="3708A0F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6113DF3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43944A4F" w14:textId="77777777" w:rsidTr="00347C04">
        <w:trPr>
          <w:trHeight w:val="289"/>
        </w:trPr>
        <w:tc>
          <w:tcPr>
            <w:tcW w:w="3402" w:type="dxa"/>
            <w:tcBorders>
              <w:top w:val="nil"/>
              <w:left w:val="nil"/>
              <w:bottom w:val="nil"/>
              <w:right w:val="nil"/>
            </w:tcBorders>
            <w:shd w:val="clear" w:color="auto" w:fill="auto"/>
            <w:noWrap/>
            <w:vAlign w:val="center"/>
            <w:hideMark/>
          </w:tcPr>
          <w:p w14:paraId="6543E8C9"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Czech Republic</w:t>
            </w:r>
          </w:p>
        </w:tc>
        <w:tc>
          <w:tcPr>
            <w:tcW w:w="1418" w:type="dxa"/>
            <w:tcBorders>
              <w:top w:val="nil"/>
              <w:left w:val="nil"/>
              <w:bottom w:val="nil"/>
              <w:right w:val="nil"/>
            </w:tcBorders>
            <w:shd w:val="clear" w:color="auto" w:fill="auto"/>
            <w:noWrap/>
            <w:vAlign w:val="center"/>
            <w:hideMark/>
          </w:tcPr>
          <w:p w14:paraId="79465D5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1B77587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(3.4)</w:t>
            </w:r>
          </w:p>
        </w:tc>
        <w:tc>
          <w:tcPr>
            <w:tcW w:w="1418" w:type="dxa"/>
            <w:tcBorders>
              <w:top w:val="nil"/>
              <w:left w:val="nil"/>
              <w:bottom w:val="nil"/>
              <w:right w:val="nil"/>
            </w:tcBorders>
            <w:vAlign w:val="center"/>
          </w:tcPr>
          <w:p w14:paraId="4C89143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41D92CB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7196A2FF" w14:textId="77777777" w:rsidTr="00347C04">
        <w:trPr>
          <w:trHeight w:val="289"/>
        </w:trPr>
        <w:tc>
          <w:tcPr>
            <w:tcW w:w="3402" w:type="dxa"/>
            <w:tcBorders>
              <w:top w:val="nil"/>
              <w:left w:val="nil"/>
              <w:bottom w:val="nil"/>
              <w:right w:val="nil"/>
            </w:tcBorders>
            <w:shd w:val="clear" w:color="auto" w:fill="auto"/>
            <w:noWrap/>
            <w:vAlign w:val="center"/>
            <w:hideMark/>
          </w:tcPr>
          <w:p w14:paraId="2AF38188"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France</w:t>
            </w:r>
          </w:p>
        </w:tc>
        <w:tc>
          <w:tcPr>
            <w:tcW w:w="1418" w:type="dxa"/>
            <w:tcBorders>
              <w:top w:val="nil"/>
              <w:left w:val="nil"/>
              <w:bottom w:val="nil"/>
              <w:right w:val="nil"/>
            </w:tcBorders>
            <w:shd w:val="clear" w:color="auto" w:fill="auto"/>
            <w:noWrap/>
            <w:vAlign w:val="center"/>
            <w:hideMark/>
          </w:tcPr>
          <w:p w14:paraId="5ABD072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20C8980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(3.4)</w:t>
            </w:r>
          </w:p>
        </w:tc>
        <w:tc>
          <w:tcPr>
            <w:tcW w:w="1418" w:type="dxa"/>
            <w:tcBorders>
              <w:top w:val="nil"/>
              <w:left w:val="nil"/>
              <w:bottom w:val="nil"/>
              <w:right w:val="nil"/>
            </w:tcBorders>
            <w:vAlign w:val="center"/>
          </w:tcPr>
          <w:p w14:paraId="4A7DCA4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56C57E9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r>
      <w:tr w:rsidR="00F24F47" w:rsidRPr="00DE61C5" w14:paraId="24248A05" w14:textId="77777777" w:rsidTr="00347C04">
        <w:trPr>
          <w:trHeight w:val="289"/>
        </w:trPr>
        <w:tc>
          <w:tcPr>
            <w:tcW w:w="3402" w:type="dxa"/>
            <w:tcBorders>
              <w:top w:val="nil"/>
              <w:left w:val="nil"/>
              <w:bottom w:val="nil"/>
              <w:right w:val="nil"/>
            </w:tcBorders>
            <w:shd w:val="clear" w:color="auto" w:fill="auto"/>
            <w:noWrap/>
            <w:vAlign w:val="center"/>
            <w:hideMark/>
          </w:tcPr>
          <w:p w14:paraId="3AF814A9"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Italy</w:t>
            </w:r>
          </w:p>
        </w:tc>
        <w:tc>
          <w:tcPr>
            <w:tcW w:w="1418" w:type="dxa"/>
            <w:tcBorders>
              <w:top w:val="nil"/>
              <w:left w:val="nil"/>
              <w:bottom w:val="nil"/>
              <w:right w:val="nil"/>
            </w:tcBorders>
            <w:shd w:val="clear" w:color="auto" w:fill="auto"/>
            <w:noWrap/>
            <w:vAlign w:val="center"/>
            <w:hideMark/>
          </w:tcPr>
          <w:p w14:paraId="5A3D735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027E58D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418" w:type="dxa"/>
            <w:tcBorders>
              <w:top w:val="nil"/>
              <w:left w:val="nil"/>
              <w:bottom w:val="nil"/>
              <w:right w:val="nil"/>
            </w:tcBorders>
            <w:vAlign w:val="center"/>
          </w:tcPr>
          <w:p w14:paraId="442355E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1AA4177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3572DC0A" w14:textId="77777777" w:rsidTr="00347C04">
        <w:trPr>
          <w:trHeight w:val="289"/>
        </w:trPr>
        <w:tc>
          <w:tcPr>
            <w:tcW w:w="3402" w:type="dxa"/>
            <w:tcBorders>
              <w:top w:val="nil"/>
              <w:left w:val="nil"/>
              <w:bottom w:val="nil"/>
              <w:right w:val="nil"/>
            </w:tcBorders>
            <w:shd w:val="clear" w:color="auto" w:fill="auto"/>
            <w:noWrap/>
            <w:vAlign w:val="center"/>
            <w:hideMark/>
          </w:tcPr>
          <w:p w14:paraId="28CFA33B"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Germany</w:t>
            </w:r>
          </w:p>
        </w:tc>
        <w:tc>
          <w:tcPr>
            <w:tcW w:w="1418" w:type="dxa"/>
            <w:tcBorders>
              <w:top w:val="nil"/>
              <w:left w:val="nil"/>
              <w:bottom w:val="nil"/>
              <w:right w:val="nil"/>
            </w:tcBorders>
            <w:shd w:val="clear" w:color="auto" w:fill="auto"/>
            <w:noWrap/>
            <w:vAlign w:val="center"/>
            <w:hideMark/>
          </w:tcPr>
          <w:p w14:paraId="40B5D7D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1B27136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(3.4)</w:t>
            </w:r>
          </w:p>
        </w:tc>
        <w:tc>
          <w:tcPr>
            <w:tcW w:w="1418" w:type="dxa"/>
            <w:tcBorders>
              <w:top w:val="nil"/>
              <w:left w:val="nil"/>
              <w:bottom w:val="nil"/>
              <w:right w:val="nil"/>
            </w:tcBorders>
            <w:vAlign w:val="center"/>
          </w:tcPr>
          <w:p w14:paraId="452103C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1E9AD89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6BA62709" w14:textId="77777777" w:rsidTr="00347C04">
        <w:trPr>
          <w:trHeight w:val="289"/>
        </w:trPr>
        <w:tc>
          <w:tcPr>
            <w:tcW w:w="3402" w:type="dxa"/>
            <w:tcBorders>
              <w:top w:val="nil"/>
              <w:left w:val="nil"/>
              <w:bottom w:val="nil"/>
              <w:right w:val="nil"/>
            </w:tcBorders>
            <w:shd w:val="clear" w:color="auto" w:fill="auto"/>
            <w:noWrap/>
            <w:vAlign w:val="center"/>
            <w:hideMark/>
          </w:tcPr>
          <w:p w14:paraId="1270294D"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Norway</w:t>
            </w:r>
          </w:p>
        </w:tc>
        <w:tc>
          <w:tcPr>
            <w:tcW w:w="1418" w:type="dxa"/>
            <w:tcBorders>
              <w:top w:val="nil"/>
              <w:left w:val="nil"/>
              <w:bottom w:val="nil"/>
              <w:right w:val="nil"/>
            </w:tcBorders>
            <w:shd w:val="clear" w:color="auto" w:fill="auto"/>
            <w:noWrap/>
            <w:vAlign w:val="center"/>
            <w:hideMark/>
          </w:tcPr>
          <w:p w14:paraId="73ED354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6E20E6F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(3.4)</w:t>
            </w:r>
          </w:p>
        </w:tc>
        <w:tc>
          <w:tcPr>
            <w:tcW w:w="1418" w:type="dxa"/>
            <w:tcBorders>
              <w:top w:val="nil"/>
              <w:left w:val="nil"/>
              <w:bottom w:val="nil"/>
              <w:right w:val="nil"/>
            </w:tcBorders>
            <w:vAlign w:val="center"/>
          </w:tcPr>
          <w:p w14:paraId="7F4A52C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615742A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77BB2C6B" w14:textId="77777777" w:rsidTr="00347C04">
        <w:trPr>
          <w:trHeight w:val="289"/>
        </w:trPr>
        <w:tc>
          <w:tcPr>
            <w:tcW w:w="3402" w:type="dxa"/>
            <w:tcBorders>
              <w:top w:val="nil"/>
              <w:left w:val="nil"/>
              <w:bottom w:val="nil"/>
              <w:right w:val="nil"/>
            </w:tcBorders>
            <w:shd w:val="clear" w:color="auto" w:fill="auto"/>
            <w:noWrap/>
            <w:vAlign w:val="center"/>
            <w:hideMark/>
          </w:tcPr>
          <w:p w14:paraId="603480F3"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South Africa</w:t>
            </w:r>
          </w:p>
        </w:tc>
        <w:tc>
          <w:tcPr>
            <w:tcW w:w="1418" w:type="dxa"/>
            <w:tcBorders>
              <w:top w:val="nil"/>
              <w:left w:val="nil"/>
              <w:bottom w:val="nil"/>
              <w:right w:val="nil"/>
            </w:tcBorders>
            <w:shd w:val="clear" w:color="auto" w:fill="auto"/>
            <w:noWrap/>
            <w:vAlign w:val="center"/>
            <w:hideMark/>
          </w:tcPr>
          <w:p w14:paraId="5943CDB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(7.1)</w:t>
            </w:r>
          </w:p>
        </w:tc>
        <w:tc>
          <w:tcPr>
            <w:tcW w:w="1559" w:type="dxa"/>
            <w:tcBorders>
              <w:top w:val="nil"/>
              <w:left w:val="nil"/>
              <w:bottom w:val="nil"/>
              <w:right w:val="nil"/>
            </w:tcBorders>
            <w:shd w:val="clear" w:color="auto" w:fill="auto"/>
            <w:noWrap/>
            <w:vAlign w:val="center"/>
            <w:hideMark/>
          </w:tcPr>
          <w:p w14:paraId="1937740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418" w:type="dxa"/>
            <w:tcBorders>
              <w:top w:val="nil"/>
              <w:left w:val="nil"/>
              <w:bottom w:val="nil"/>
              <w:right w:val="nil"/>
            </w:tcBorders>
            <w:vAlign w:val="center"/>
          </w:tcPr>
          <w:p w14:paraId="7F6AA06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(4.7)</w:t>
            </w:r>
          </w:p>
        </w:tc>
        <w:tc>
          <w:tcPr>
            <w:tcW w:w="1275" w:type="dxa"/>
            <w:tcBorders>
              <w:top w:val="nil"/>
              <w:left w:val="nil"/>
              <w:bottom w:val="nil"/>
              <w:right w:val="nil"/>
            </w:tcBorders>
            <w:vAlign w:val="center"/>
          </w:tcPr>
          <w:p w14:paraId="38999A2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(5.4)</w:t>
            </w:r>
          </w:p>
        </w:tc>
      </w:tr>
      <w:tr w:rsidR="00F24F47" w:rsidRPr="00DE61C5" w14:paraId="57584489" w14:textId="77777777" w:rsidTr="00347C04">
        <w:trPr>
          <w:trHeight w:val="289"/>
        </w:trPr>
        <w:tc>
          <w:tcPr>
            <w:tcW w:w="3402" w:type="dxa"/>
            <w:tcBorders>
              <w:top w:val="nil"/>
              <w:left w:val="nil"/>
              <w:bottom w:val="nil"/>
              <w:right w:val="nil"/>
            </w:tcBorders>
            <w:shd w:val="clear" w:color="auto" w:fill="auto"/>
            <w:noWrap/>
            <w:vAlign w:val="center"/>
            <w:hideMark/>
          </w:tcPr>
          <w:p w14:paraId="62A400CD"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Spain</w:t>
            </w:r>
          </w:p>
        </w:tc>
        <w:tc>
          <w:tcPr>
            <w:tcW w:w="1418" w:type="dxa"/>
            <w:tcBorders>
              <w:top w:val="nil"/>
              <w:left w:val="nil"/>
              <w:bottom w:val="nil"/>
              <w:right w:val="nil"/>
            </w:tcBorders>
            <w:shd w:val="clear" w:color="auto" w:fill="auto"/>
            <w:noWrap/>
            <w:vAlign w:val="center"/>
            <w:hideMark/>
          </w:tcPr>
          <w:p w14:paraId="48BFA31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7AE0BBC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(3.4)</w:t>
            </w:r>
          </w:p>
        </w:tc>
        <w:tc>
          <w:tcPr>
            <w:tcW w:w="1418" w:type="dxa"/>
            <w:tcBorders>
              <w:top w:val="nil"/>
              <w:left w:val="nil"/>
              <w:bottom w:val="nil"/>
              <w:right w:val="nil"/>
            </w:tcBorders>
            <w:vAlign w:val="center"/>
          </w:tcPr>
          <w:p w14:paraId="1A90253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26EFC4A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392E6C6E" w14:textId="77777777" w:rsidTr="00347C04">
        <w:trPr>
          <w:trHeight w:val="289"/>
        </w:trPr>
        <w:tc>
          <w:tcPr>
            <w:tcW w:w="3402" w:type="dxa"/>
            <w:tcBorders>
              <w:top w:val="nil"/>
              <w:left w:val="nil"/>
              <w:bottom w:val="nil"/>
              <w:right w:val="nil"/>
            </w:tcBorders>
            <w:shd w:val="clear" w:color="auto" w:fill="auto"/>
            <w:noWrap/>
            <w:vAlign w:val="center"/>
            <w:hideMark/>
          </w:tcPr>
          <w:p w14:paraId="704A1DFF"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Sweden</w:t>
            </w:r>
          </w:p>
        </w:tc>
        <w:tc>
          <w:tcPr>
            <w:tcW w:w="1418" w:type="dxa"/>
            <w:tcBorders>
              <w:top w:val="nil"/>
              <w:left w:val="nil"/>
              <w:bottom w:val="nil"/>
              <w:right w:val="nil"/>
            </w:tcBorders>
            <w:shd w:val="clear" w:color="auto" w:fill="auto"/>
            <w:noWrap/>
            <w:vAlign w:val="center"/>
            <w:hideMark/>
          </w:tcPr>
          <w:p w14:paraId="666DC4D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1C26044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797E5E1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(4.7)</w:t>
            </w:r>
          </w:p>
        </w:tc>
        <w:tc>
          <w:tcPr>
            <w:tcW w:w="1275" w:type="dxa"/>
            <w:tcBorders>
              <w:top w:val="nil"/>
              <w:left w:val="nil"/>
              <w:bottom w:val="nil"/>
              <w:right w:val="nil"/>
            </w:tcBorders>
            <w:vAlign w:val="center"/>
          </w:tcPr>
          <w:p w14:paraId="7FECC42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(5.4)</w:t>
            </w:r>
          </w:p>
        </w:tc>
      </w:tr>
      <w:tr w:rsidR="00F24F47" w:rsidRPr="00DE61C5" w14:paraId="730AF671" w14:textId="77777777" w:rsidTr="00347C04">
        <w:trPr>
          <w:trHeight w:val="289"/>
        </w:trPr>
        <w:tc>
          <w:tcPr>
            <w:tcW w:w="3402" w:type="dxa"/>
            <w:tcBorders>
              <w:top w:val="nil"/>
              <w:left w:val="nil"/>
              <w:bottom w:val="nil"/>
              <w:right w:val="nil"/>
            </w:tcBorders>
            <w:shd w:val="clear" w:color="auto" w:fill="auto"/>
            <w:noWrap/>
            <w:vAlign w:val="center"/>
            <w:hideMark/>
          </w:tcPr>
          <w:p w14:paraId="45028476"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Thailand</w:t>
            </w:r>
          </w:p>
        </w:tc>
        <w:tc>
          <w:tcPr>
            <w:tcW w:w="1418" w:type="dxa"/>
            <w:tcBorders>
              <w:top w:val="nil"/>
              <w:left w:val="nil"/>
              <w:bottom w:val="nil"/>
              <w:right w:val="nil"/>
            </w:tcBorders>
            <w:shd w:val="clear" w:color="auto" w:fill="auto"/>
            <w:noWrap/>
            <w:vAlign w:val="center"/>
            <w:hideMark/>
          </w:tcPr>
          <w:p w14:paraId="0CA08E2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067ABF4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418" w:type="dxa"/>
            <w:tcBorders>
              <w:top w:val="nil"/>
              <w:left w:val="nil"/>
              <w:bottom w:val="nil"/>
              <w:right w:val="nil"/>
            </w:tcBorders>
            <w:vAlign w:val="center"/>
          </w:tcPr>
          <w:p w14:paraId="2E09788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275" w:type="dxa"/>
            <w:tcBorders>
              <w:top w:val="nil"/>
              <w:left w:val="nil"/>
              <w:bottom w:val="nil"/>
              <w:right w:val="nil"/>
            </w:tcBorders>
            <w:vAlign w:val="center"/>
          </w:tcPr>
          <w:p w14:paraId="3C61126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r>
      <w:tr w:rsidR="00F24F47" w:rsidRPr="00DE61C5" w14:paraId="03AB19E1" w14:textId="77777777" w:rsidTr="00347C04">
        <w:trPr>
          <w:trHeight w:val="289"/>
        </w:trPr>
        <w:tc>
          <w:tcPr>
            <w:tcW w:w="3402" w:type="dxa"/>
            <w:tcBorders>
              <w:top w:val="nil"/>
              <w:left w:val="nil"/>
              <w:bottom w:val="nil"/>
              <w:right w:val="nil"/>
            </w:tcBorders>
            <w:shd w:val="clear" w:color="auto" w:fill="auto"/>
            <w:noWrap/>
            <w:vAlign w:val="center"/>
            <w:hideMark/>
          </w:tcPr>
          <w:p w14:paraId="069D39C7"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Turkey</w:t>
            </w:r>
          </w:p>
        </w:tc>
        <w:tc>
          <w:tcPr>
            <w:tcW w:w="1418" w:type="dxa"/>
            <w:tcBorders>
              <w:top w:val="nil"/>
              <w:left w:val="nil"/>
              <w:bottom w:val="nil"/>
              <w:right w:val="nil"/>
            </w:tcBorders>
            <w:shd w:val="clear" w:color="auto" w:fill="auto"/>
            <w:noWrap/>
            <w:vAlign w:val="center"/>
            <w:hideMark/>
          </w:tcPr>
          <w:p w14:paraId="58BE29F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125D863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418" w:type="dxa"/>
            <w:tcBorders>
              <w:top w:val="nil"/>
              <w:left w:val="nil"/>
              <w:bottom w:val="nil"/>
              <w:right w:val="nil"/>
            </w:tcBorders>
            <w:vAlign w:val="center"/>
          </w:tcPr>
          <w:p w14:paraId="28F27B0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79671C0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07E2C62C" w14:textId="77777777" w:rsidTr="00347C04">
        <w:trPr>
          <w:trHeight w:val="289"/>
        </w:trPr>
        <w:tc>
          <w:tcPr>
            <w:tcW w:w="3402" w:type="dxa"/>
            <w:tcBorders>
              <w:top w:val="nil"/>
              <w:left w:val="nil"/>
              <w:bottom w:val="nil"/>
              <w:right w:val="nil"/>
            </w:tcBorders>
            <w:shd w:val="clear" w:color="auto" w:fill="auto"/>
            <w:noWrap/>
            <w:vAlign w:val="center"/>
            <w:hideMark/>
          </w:tcPr>
          <w:p w14:paraId="560C7E6A"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United Kingdom</w:t>
            </w:r>
          </w:p>
        </w:tc>
        <w:tc>
          <w:tcPr>
            <w:tcW w:w="1418" w:type="dxa"/>
            <w:tcBorders>
              <w:top w:val="nil"/>
              <w:left w:val="nil"/>
              <w:bottom w:val="nil"/>
              <w:right w:val="nil"/>
            </w:tcBorders>
            <w:shd w:val="clear" w:color="auto" w:fill="auto"/>
            <w:noWrap/>
            <w:vAlign w:val="center"/>
            <w:hideMark/>
          </w:tcPr>
          <w:p w14:paraId="385A92C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(17.9)</w:t>
            </w:r>
          </w:p>
        </w:tc>
        <w:tc>
          <w:tcPr>
            <w:tcW w:w="1559" w:type="dxa"/>
            <w:tcBorders>
              <w:top w:val="nil"/>
              <w:left w:val="nil"/>
              <w:bottom w:val="nil"/>
              <w:right w:val="nil"/>
            </w:tcBorders>
            <w:shd w:val="clear" w:color="auto" w:fill="auto"/>
            <w:noWrap/>
            <w:vAlign w:val="center"/>
            <w:hideMark/>
          </w:tcPr>
          <w:p w14:paraId="05BCE5A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(13.8)</w:t>
            </w:r>
          </w:p>
        </w:tc>
        <w:tc>
          <w:tcPr>
            <w:tcW w:w="1418" w:type="dxa"/>
            <w:tcBorders>
              <w:top w:val="nil"/>
              <w:left w:val="nil"/>
              <w:bottom w:val="nil"/>
              <w:right w:val="nil"/>
            </w:tcBorders>
            <w:vAlign w:val="center"/>
          </w:tcPr>
          <w:p w14:paraId="3AC42FC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(14.0)</w:t>
            </w:r>
          </w:p>
        </w:tc>
        <w:tc>
          <w:tcPr>
            <w:tcW w:w="1275" w:type="dxa"/>
            <w:tcBorders>
              <w:top w:val="nil"/>
              <w:left w:val="nil"/>
              <w:bottom w:val="nil"/>
              <w:right w:val="nil"/>
            </w:tcBorders>
            <w:vAlign w:val="center"/>
          </w:tcPr>
          <w:p w14:paraId="136AEBB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(13.5)</w:t>
            </w:r>
          </w:p>
        </w:tc>
      </w:tr>
      <w:tr w:rsidR="00F24F47" w:rsidRPr="00DE61C5" w14:paraId="704260AF" w14:textId="77777777" w:rsidTr="00347C04">
        <w:trPr>
          <w:trHeight w:val="289"/>
        </w:trPr>
        <w:tc>
          <w:tcPr>
            <w:tcW w:w="3402" w:type="dxa"/>
            <w:tcBorders>
              <w:top w:val="nil"/>
              <w:left w:val="nil"/>
              <w:bottom w:val="nil"/>
              <w:right w:val="nil"/>
            </w:tcBorders>
            <w:shd w:val="clear" w:color="auto" w:fill="auto"/>
            <w:noWrap/>
            <w:vAlign w:val="center"/>
            <w:hideMark/>
          </w:tcPr>
          <w:p w14:paraId="21D939E9"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United States</w:t>
            </w:r>
          </w:p>
        </w:tc>
        <w:tc>
          <w:tcPr>
            <w:tcW w:w="1418" w:type="dxa"/>
            <w:tcBorders>
              <w:top w:val="nil"/>
              <w:left w:val="nil"/>
              <w:bottom w:val="nil"/>
              <w:right w:val="nil"/>
            </w:tcBorders>
            <w:shd w:val="clear" w:color="auto" w:fill="auto"/>
            <w:noWrap/>
            <w:vAlign w:val="center"/>
            <w:hideMark/>
          </w:tcPr>
          <w:p w14:paraId="258F74C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(10.7)</w:t>
            </w:r>
          </w:p>
        </w:tc>
        <w:tc>
          <w:tcPr>
            <w:tcW w:w="1559" w:type="dxa"/>
            <w:tcBorders>
              <w:top w:val="nil"/>
              <w:left w:val="nil"/>
              <w:bottom w:val="nil"/>
              <w:right w:val="nil"/>
            </w:tcBorders>
            <w:shd w:val="clear" w:color="auto" w:fill="auto"/>
            <w:noWrap/>
            <w:vAlign w:val="center"/>
            <w:hideMark/>
          </w:tcPr>
          <w:p w14:paraId="0B7F43D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8 (27.6)</w:t>
            </w:r>
          </w:p>
        </w:tc>
        <w:tc>
          <w:tcPr>
            <w:tcW w:w="1418" w:type="dxa"/>
            <w:tcBorders>
              <w:top w:val="nil"/>
              <w:left w:val="nil"/>
              <w:bottom w:val="nil"/>
              <w:right w:val="nil"/>
            </w:tcBorders>
            <w:vAlign w:val="center"/>
          </w:tcPr>
          <w:p w14:paraId="2C5B6C1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(14.0)</w:t>
            </w:r>
          </w:p>
        </w:tc>
        <w:tc>
          <w:tcPr>
            <w:tcW w:w="1275" w:type="dxa"/>
            <w:tcBorders>
              <w:top w:val="nil"/>
              <w:left w:val="nil"/>
              <w:bottom w:val="nil"/>
              <w:right w:val="nil"/>
            </w:tcBorders>
            <w:vAlign w:val="center"/>
          </w:tcPr>
          <w:p w14:paraId="4A4FBE3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(16.2)</w:t>
            </w:r>
          </w:p>
        </w:tc>
      </w:tr>
      <w:tr w:rsidR="00F24F47" w:rsidRPr="00DE61C5" w14:paraId="1B6AC2AE" w14:textId="77777777" w:rsidTr="00347C04">
        <w:trPr>
          <w:trHeight w:val="289"/>
        </w:trPr>
        <w:tc>
          <w:tcPr>
            <w:tcW w:w="3402" w:type="dxa"/>
            <w:tcBorders>
              <w:top w:val="nil"/>
              <w:left w:val="nil"/>
              <w:bottom w:val="nil"/>
              <w:right w:val="nil"/>
            </w:tcBorders>
            <w:shd w:val="clear" w:color="auto" w:fill="auto"/>
            <w:noWrap/>
            <w:vAlign w:val="center"/>
            <w:hideMark/>
          </w:tcPr>
          <w:p w14:paraId="3D8405B2"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Gender</w:t>
            </w:r>
          </w:p>
        </w:tc>
        <w:tc>
          <w:tcPr>
            <w:tcW w:w="1418" w:type="dxa"/>
            <w:tcBorders>
              <w:top w:val="nil"/>
              <w:left w:val="nil"/>
              <w:bottom w:val="nil"/>
              <w:right w:val="nil"/>
            </w:tcBorders>
            <w:shd w:val="clear" w:color="auto" w:fill="auto"/>
            <w:noWrap/>
            <w:vAlign w:val="center"/>
            <w:hideMark/>
          </w:tcPr>
          <w:p w14:paraId="0CDB5BB4"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559" w:type="dxa"/>
            <w:tcBorders>
              <w:top w:val="nil"/>
              <w:left w:val="nil"/>
              <w:bottom w:val="nil"/>
              <w:right w:val="nil"/>
            </w:tcBorders>
            <w:shd w:val="clear" w:color="auto" w:fill="auto"/>
            <w:noWrap/>
            <w:vAlign w:val="center"/>
            <w:hideMark/>
          </w:tcPr>
          <w:p w14:paraId="5659BA4B"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418" w:type="dxa"/>
            <w:tcBorders>
              <w:top w:val="nil"/>
              <w:left w:val="nil"/>
              <w:bottom w:val="nil"/>
              <w:right w:val="nil"/>
            </w:tcBorders>
            <w:vAlign w:val="center"/>
          </w:tcPr>
          <w:p w14:paraId="4B4CA809"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275" w:type="dxa"/>
            <w:tcBorders>
              <w:top w:val="nil"/>
              <w:left w:val="nil"/>
              <w:bottom w:val="nil"/>
              <w:right w:val="nil"/>
            </w:tcBorders>
            <w:vAlign w:val="center"/>
          </w:tcPr>
          <w:p w14:paraId="56D74479"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r>
      <w:tr w:rsidR="00F24F47" w:rsidRPr="00DE61C5" w14:paraId="157FFA0A" w14:textId="77777777" w:rsidTr="00347C04">
        <w:trPr>
          <w:trHeight w:val="289"/>
        </w:trPr>
        <w:tc>
          <w:tcPr>
            <w:tcW w:w="3402" w:type="dxa"/>
            <w:tcBorders>
              <w:top w:val="nil"/>
              <w:left w:val="nil"/>
              <w:bottom w:val="nil"/>
              <w:right w:val="nil"/>
            </w:tcBorders>
            <w:shd w:val="clear" w:color="auto" w:fill="auto"/>
            <w:noWrap/>
            <w:vAlign w:val="center"/>
            <w:hideMark/>
          </w:tcPr>
          <w:p w14:paraId="69BB5630"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Female</w:t>
            </w:r>
          </w:p>
        </w:tc>
        <w:tc>
          <w:tcPr>
            <w:tcW w:w="1418" w:type="dxa"/>
            <w:tcBorders>
              <w:top w:val="nil"/>
              <w:left w:val="nil"/>
              <w:bottom w:val="nil"/>
              <w:right w:val="nil"/>
            </w:tcBorders>
            <w:shd w:val="clear" w:color="auto" w:fill="auto"/>
            <w:noWrap/>
            <w:vAlign w:val="center"/>
            <w:hideMark/>
          </w:tcPr>
          <w:p w14:paraId="52E66C7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21 (75)</w:t>
            </w:r>
          </w:p>
        </w:tc>
        <w:tc>
          <w:tcPr>
            <w:tcW w:w="1559" w:type="dxa"/>
            <w:tcBorders>
              <w:top w:val="nil"/>
              <w:left w:val="nil"/>
              <w:bottom w:val="nil"/>
              <w:right w:val="nil"/>
            </w:tcBorders>
            <w:shd w:val="clear" w:color="auto" w:fill="auto"/>
            <w:noWrap/>
            <w:vAlign w:val="center"/>
            <w:hideMark/>
          </w:tcPr>
          <w:p w14:paraId="6CDCFDA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21 (72.4)</w:t>
            </w:r>
          </w:p>
        </w:tc>
        <w:tc>
          <w:tcPr>
            <w:tcW w:w="1418" w:type="dxa"/>
            <w:tcBorders>
              <w:top w:val="nil"/>
              <w:left w:val="nil"/>
              <w:bottom w:val="nil"/>
              <w:right w:val="nil"/>
            </w:tcBorders>
            <w:vAlign w:val="center"/>
          </w:tcPr>
          <w:p w14:paraId="74FCE93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31 (72.1)</w:t>
            </w:r>
          </w:p>
        </w:tc>
        <w:tc>
          <w:tcPr>
            <w:tcW w:w="1275" w:type="dxa"/>
            <w:tcBorders>
              <w:top w:val="nil"/>
              <w:left w:val="nil"/>
              <w:bottom w:val="nil"/>
              <w:right w:val="nil"/>
            </w:tcBorders>
            <w:vAlign w:val="center"/>
          </w:tcPr>
          <w:p w14:paraId="258C615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27 (73.0)</w:t>
            </w:r>
          </w:p>
        </w:tc>
      </w:tr>
      <w:tr w:rsidR="00F24F47" w:rsidRPr="00DE61C5" w14:paraId="76379412" w14:textId="77777777" w:rsidTr="00347C04">
        <w:trPr>
          <w:trHeight w:val="289"/>
        </w:trPr>
        <w:tc>
          <w:tcPr>
            <w:tcW w:w="3402" w:type="dxa"/>
            <w:tcBorders>
              <w:top w:val="nil"/>
              <w:left w:val="nil"/>
              <w:bottom w:val="nil"/>
              <w:right w:val="nil"/>
            </w:tcBorders>
            <w:shd w:val="clear" w:color="auto" w:fill="auto"/>
            <w:noWrap/>
            <w:vAlign w:val="center"/>
            <w:hideMark/>
          </w:tcPr>
          <w:p w14:paraId="69A80F85"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Age</w:t>
            </w:r>
          </w:p>
        </w:tc>
        <w:tc>
          <w:tcPr>
            <w:tcW w:w="1418" w:type="dxa"/>
            <w:tcBorders>
              <w:top w:val="nil"/>
              <w:left w:val="nil"/>
              <w:bottom w:val="nil"/>
              <w:right w:val="nil"/>
            </w:tcBorders>
            <w:shd w:val="clear" w:color="auto" w:fill="auto"/>
            <w:noWrap/>
            <w:vAlign w:val="center"/>
          </w:tcPr>
          <w:p w14:paraId="6F6862D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559" w:type="dxa"/>
            <w:tcBorders>
              <w:top w:val="nil"/>
              <w:left w:val="nil"/>
              <w:bottom w:val="nil"/>
              <w:right w:val="nil"/>
            </w:tcBorders>
            <w:shd w:val="clear" w:color="auto" w:fill="auto"/>
            <w:noWrap/>
            <w:vAlign w:val="center"/>
          </w:tcPr>
          <w:p w14:paraId="12A5BAA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418" w:type="dxa"/>
            <w:tcBorders>
              <w:top w:val="nil"/>
              <w:left w:val="nil"/>
              <w:bottom w:val="nil"/>
              <w:right w:val="nil"/>
            </w:tcBorders>
            <w:vAlign w:val="center"/>
          </w:tcPr>
          <w:p w14:paraId="7AF6C15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275" w:type="dxa"/>
            <w:tcBorders>
              <w:top w:val="nil"/>
              <w:left w:val="nil"/>
              <w:bottom w:val="nil"/>
              <w:right w:val="nil"/>
            </w:tcBorders>
            <w:vAlign w:val="center"/>
          </w:tcPr>
          <w:p w14:paraId="6763AED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r>
      <w:tr w:rsidR="00F24F47" w:rsidRPr="00DE61C5" w14:paraId="6203FA8B" w14:textId="77777777" w:rsidTr="00347C04">
        <w:trPr>
          <w:trHeight w:val="289"/>
        </w:trPr>
        <w:tc>
          <w:tcPr>
            <w:tcW w:w="3402" w:type="dxa"/>
            <w:tcBorders>
              <w:top w:val="nil"/>
              <w:left w:val="nil"/>
              <w:bottom w:val="nil"/>
              <w:right w:val="nil"/>
            </w:tcBorders>
            <w:shd w:val="clear" w:color="auto" w:fill="auto"/>
            <w:noWrap/>
            <w:vAlign w:val="center"/>
            <w:hideMark/>
          </w:tcPr>
          <w:p w14:paraId="4D385D31"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mean (SD) years</w:t>
            </w:r>
          </w:p>
        </w:tc>
        <w:tc>
          <w:tcPr>
            <w:tcW w:w="1418" w:type="dxa"/>
            <w:tcBorders>
              <w:top w:val="nil"/>
              <w:left w:val="nil"/>
              <w:bottom w:val="nil"/>
              <w:right w:val="nil"/>
            </w:tcBorders>
            <w:shd w:val="clear" w:color="auto" w:fill="auto"/>
            <w:noWrap/>
            <w:vAlign w:val="center"/>
            <w:hideMark/>
          </w:tcPr>
          <w:p w14:paraId="065BF4F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50.0 (8.7)</w:t>
            </w:r>
          </w:p>
        </w:tc>
        <w:tc>
          <w:tcPr>
            <w:tcW w:w="1559" w:type="dxa"/>
            <w:tcBorders>
              <w:top w:val="nil"/>
              <w:left w:val="nil"/>
              <w:bottom w:val="nil"/>
              <w:right w:val="nil"/>
            </w:tcBorders>
            <w:shd w:val="clear" w:color="auto" w:fill="auto"/>
            <w:noWrap/>
            <w:vAlign w:val="center"/>
            <w:hideMark/>
          </w:tcPr>
          <w:p w14:paraId="10D0C11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50.7 (8.2)</w:t>
            </w:r>
          </w:p>
        </w:tc>
        <w:tc>
          <w:tcPr>
            <w:tcW w:w="1418" w:type="dxa"/>
            <w:tcBorders>
              <w:top w:val="nil"/>
              <w:left w:val="nil"/>
              <w:bottom w:val="nil"/>
              <w:right w:val="nil"/>
            </w:tcBorders>
            <w:vAlign w:val="center"/>
          </w:tcPr>
          <w:p w14:paraId="338BFBF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49.7 (8.8)</w:t>
            </w:r>
          </w:p>
        </w:tc>
        <w:tc>
          <w:tcPr>
            <w:tcW w:w="1275" w:type="dxa"/>
            <w:tcBorders>
              <w:top w:val="nil"/>
              <w:left w:val="nil"/>
              <w:bottom w:val="nil"/>
              <w:right w:val="nil"/>
            </w:tcBorders>
            <w:vAlign w:val="center"/>
          </w:tcPr>
          <w:p w14:paraId="1C4D716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49.6 (8.9)</w:t>
            </w:r>
          </w:p>
        </w:tc>
      </w:tr>
      <w:tr w:rsidR="00F24F47" w:rsidRPr="00DE61C5" w14:paraId="316857A3" w14:textId="77777777" w:rsidTr="00347C04">
        <w:trPr>
          <w:trHeight w:val="289"/>
        </w:trPr>
        <w:tc>
          <w:tcPr>
            <w:tcW w:w="3402" w:type="dxa"/>
            <w:tcBorders>
              <w:top w:val="nil"/>
              <w:left w:val="nil"/>
              <w:bottom w:val="nil"/>
              <w:right w:val="nil"/>
            </w:tcBorders>
            <w:shd w:val="clear" w:color="auto" w:fill="auto"/>
            <w:noWrap/>
            <w:vAlign w:val="center"/>
            <w:hideMark/>
          </w:tcPr>
          <w:p w14:paraId="4DAF91F1"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val="en-US" w:eastAsia="nl-BE"/>
              </w:rPr>
            </w:pPr>
            <w:r w:rsidRPr="00DE61C5">
              <w:rPr>
                <w:rFonts w:asciiTheme="majorBidi" w:eastAsia="Times New Roman" w:hAnsiTheme="majorBidi" w:cstheme="majorBidi"/>
                <w:b/>
                <w:bCs/>
                <w:color w:val="000000"/>
                <w:sz w:val="20"/>
                <w:szCs w:val="20"/>
                <w:lang w:val="en-US" w:eastAsia="nl-BE"/>
              </w:rPr>
              <w:t>Education</w:t>
            </w:r>
          </w:p>
        </w:tc>
        <w:tc>
          <w:tcPr>
            <w:tcW w:w="1418" w:type="dxa"/>
            <w:tcBorders>
              <w:top w:val="nil"/>
              <w:left w:val="nil"/>
              <w:bottom w:val="nil"/>
              <w:right w:val="nil"/>
            </w:tcBorders>
            <w:shd w:val="clear" w:color="auto" w:fill="auto"/>
            <w:noWrap/>
            <w:vAlign w:val="center"/>
            <w:hideMark/>
          </w:tcPr>
          <w:p w14:paraId="637EB685"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val="en-US" w:eastAsia="nl-BE"/>
              </w:rPr>
            </w:pPr>
          </w:p>
        </w:tc>
        <w:tc>
          <w:tcPr>
            <w:tcW w:w="1559" w:type="dxa"/>
            <w:tcBorders>
              <w:top w:val="nil"/>
              <w:left w:val="nil"/>
              <w:bottom w:val="nil"/>
              <w:right w:val="nil"/>
            </w:tcBorders>
            <w:shd w:val="clear" w:color="auto" w:fill="auto"/>
            <w:noWrap/>
            <w:vAlign w:val="center"/>
            <w:hideMark/>
          </w:tcPr>
          <w:p w14:paraId="0F2D02B5" w14:textId="77777777" w:rsidR="00F24F47" w:rsidRPr="00DE61C5" w:rsidRDefault="00F24F47" w:rsidP="00E178EF">
            <w:pPr>
              <w:spacing w:after="0" w:line="240" w:lineRule="auto"/>
              <w:jc w:val="center"/>
              <w:rPr>
                <w:rFonts w:asciiTheme="majorBidi" w:eastAsia="Times New Roman" w:hAnsiTheme="majorBidi" w:cstheme="majorBidi"/>
                <w:sz w:val="20"/>
                <w:szCs w:val="20"/>
                <w:lang w:val="en-US" w:eastAsia="nl-BE"/>
              </w:rPr>
            </w:pPr>
          </w:p>
        </w:tc>
        <w:tc>
          <w:tcPr>
            <w:tcW w:w="1418" w:type="dxa"/>
            <w:tcBorders>
              <w:top w:val="nil"/>
              <w:left w:val="nil"/>
              <w:bottom w:val="nil"/>
              <w:right w:val="nil"/>
            </w:tcBorders>
            <w:vAlign w:val="center"/>
          </w:tcPr>
          <w:p w14:paraId="4CCD8CEE" w14:textId="77777777" w:rsidR="00F24F47" w:rsidRPr="00DE61C5" w:rsidRDefault="00F24F47" w:rsidP="00E178EF">
            <w:pPr>
              <w:spacing w:after="0" w:line="240" w:lineRule="auto"/>
              <w:jc w:val="center"/>
              <w:rPr>
                <w:rFonts w:asciiTheme="majorBidi" w:eastAsia="Times New Roman" w:hAnsiTheme="majorBidi" w:cstheme="majorBidi"/>
                <w:sz w:val="20"/>
                <w:szCs w:val="20"/>
                <w:lang w:val="en-US" w:eastAsia="nl-BE"/>
              </w:rPr>
            </w:pPr>
          </w:p>
        </w:tc>
        <w:tc>
          <w:tcPr>
            <w:tcW w:w="1275" w:type="dxa"/>
            <w:tcBorders>
              <w:top w:val="nil"/>
              <w:left w:val="nil"/>
              <w:bottom w:val="nil"/>
              <w:right w:val="nil"/>
            </w:tcBorders>
            <w:vAlign w:val="center"/>
          </w:tcPr>
          <w:p w14:paraId="04A462A0" w14:textId="77777777" w:rsidR="00F24F47" w:rsidRPr="00DE61C5" w:rsidRDefault="00F24F47" w:rsidP="00E178EF">
            <w:pPr>
              <w:spacing w:after="0" w:line="240" w:lineRule="auto"/>
              <w:jc w:val="center"/>
              <w:rPr>
                <w:rFonts w:asciiTheme="majorBidi" w:eastAsia="Times New Roman" w:hAnsiTheme="majorBidi" w:cstheme="majorBidi"/>
                <w:sz w:val="20"/>
                <w:szCs w:val="20"/>
                <w:lang w:val="en-US" w:eastAsia="nl-BE"/>
              </w:rPr>
            </w:pPr>
          </w:p>
        </w:tc>
      </w:tr>
      <w:tr w:rsidR="00F24F47" w:rsidRPr="00DE61C5" w14:paraId="0789C758" w14:textId="77777777" w:rsidTr="00347C04">
        <w:trPr>
          <w:trHeight w:val="289"/>
        </w:trPr>
        <w:tc>
          <w:tcPr>
            <w:tcW w:w="3402" w:type="dxa"/>
            <w:tcBorders>
              <w:top w:val="nil"/>
              <w:left w:val="nil"/>
              <w:bottom w:val="nil"/>
              <w:right w:val="nil"/>
            </w:tcBorders>
            <w:shd w:val="clear" w:color="auto" w:fill="auto"/>
            <w:noWrap/>
            <w:vAlign w:val="center"/>
            <w:hideMark/>
          </w:tcPr>
          <w:p w14:paraId="0AF6D4F2"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High school</w:t>
            </w:r>
          </w:p>
        </w:tc>
        <w:tc>
          <w:tcPr>
            <w:tcW w:w="1418" w:type="dxa"/>
            <w:tcBorders>
              <w:top w:val="nil"/>
              <w:left w:val="nil"/>
              <w:bottom w:val="nil"/>
              <w:right w:val="nil"/>
            </w:tcBorders>
            <w:shd w:val="clear" w:color="auto" w:fill="auto"/>
            <w:noWrap/>
            <w:vAlign w:val="center"/>
            <w:hideMark/>
          </w:tcPr>
          <w:p w14:paraId="3A53FB6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 (3.6)</w:t>
            </w:r>
          </w:p>
        </w:tc>
        <w:tc>
          <w:tcPr>
            <w:tcW w:w="1559" w:type="dxa"/>
            <w:tcBorders>
              <w:top w:val="nil"/>
              <w:left w:val="nil"/>
              <w:bottom w:val="nil"/>
              <w:right w:val="nil"/>
            </w:tcBorders>
            <w:shd w:val="clear" w:color="auto" w:fill="auto"/>
            <w:noWrap/>
            <w:vAlign w:val="center"/>
            <w:hideMark/>
          </w:tcPr>
          <w:p w14:paraId="42DFFD0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0 (0.0)</w:t>
            </w:r>
          </w:p>
        </w:tc>
        <w:tc>
          <w:tcPr>
            <w:tcW w:w="1418" w:type="dxa"/>
            <w:tcBorders>
              <w:top w:val="nil"/>
              <w:left w:val="nil"/>
              <w:bottom w:val="nil"/>
              <w:right w:val="nil"/>
            </w:tcBorders>
            <w:vAlign w:val="center"/>
          </w:tcPr>
          <w:p w14:paraId="25F9C26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0 (0.0)</w:t>
            </w:r>
          </w:p>
        </w:tc>
        <w:tc>
          <w:tcPr>
            <w:tcW w:w="1275" w:type="dxa"/>
            <w:tcBorders>
              <w:top w:val="nil"/>
              <w:left w:val="nil"/>
              <w:bottom w:val="nil"/>
              <w:right w:val="nil"/>
            </w:tcBorders>
            <w:vAlign w:val="center"/>
          </w:tcPr>
          <w:p w14:paraId="79A3448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0 (0.0)</w:t>
            </w:r>
          </w:p>
        </w:tc>
      </w:tr>
      <w:tr w:rsidR="00F24F47" w:rsidRPr="00DE61C5" w14:paraId="087B95D6" w14:textId="77777777" w:rsidTr="00347C04">
        <w:trPr>
          <w:trHeight w:val="289"/>
        </w:trPr>
        <w:tc>
          <w:tcPr>
            <w:tcW w:w="3402" w:type="dxa"/>
            <w:tcBorders>
              <w:top w:val="nil"/>
              <w:left w:val="nil"/>
              <w:bottom w:val="nil"/>
              <w:right w:val="nil"/>
            </w:tcBorders>
            <w:shd w:val="clear" w:color="auto" w:fill="auto"/>
            <w:noWrap/>
            <w:vAlign w:val="center"/>
            <w:hideMark/>
          </w:tcPr>
          <w:p w14:paraId="4BB120A8"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College degree</w:t>
            </w:r>
          </w:p>
        </w:tc>
        <w:tc>
          <w:tcPr>
            <w:tcW w:w="1418" w:type="dxa"/>
            <w:tcBorders>
              <w:top w:val="nil"/>
              <w:left w:val="nil"/>
              <w:bottom w:val="nil"/>
              <w:right w:val="nil"/>
            </w:tcBorders>
            <w:shd w:val="clear" w:color="auto" w:fill="auto"/>
            <w:noWrap/>
            <w:vAlign w:val="center"/>
            <w:hideMark/>
          </w:tcPr>
          <w:p w14:paraId="653EB4E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 (3.6)</w:t>
            </w:r>
          </w:p>
        </w:tc>
        <w:tc>
          <w:tcPr>
            <w:tcW w:w="1559" w:type="dxa"/>
            <w:tcBorders>
              <w:top w:val="nil"/>
              <w:left w:val="nil"/>
              <w:bottom w:val="nil"/>
              <w:right w:val="nil"/>
            </w:tcBorders>
            <w:shd w:val="clear" w:color="auto" w:fill="auto"/>
            <w:noWrap/>
            <w:vAlign w:val="center"/>
            <w:hideMark/>
          </w:tcPr>
          <w:p w14:paraId="31AE128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 (3.4)</w:t>
            </w:r>
          </w:p>
        </w:tc>
        <w:tc>
          <w:tcPr>
            <w:tcW w:w="1418" w:type="dxa"/>
            <w:tcBorders>
              <w:top w:val="nil"/>
              <w:left w:val="nil"/>
              <w:bottom w:val="nil"/>
              <w:right w:val="nil"/>
            </w:tcBorders>
            <w:vAlign w:val="center"/>
          </w:tcPr>
          <w:p w14:paraId="7E088E8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2 (4.7)</w:t>
            </w:r>
          </w:p>
        </w:tc>
        <w:tc>
          <w:tcPr>
            <w:tcW w:w="1275" w:type="dxa"/>
            <w:tcBorders>
              <w:top w:val="nil"/>
              <w:left w:val="nil"/>
              <w:bottom w:val="nil"/>
              <w:right w:val="nil"/>
            </w:tcBorders>
            <w:vAlign w:val="center"/>
          </w:tcPr>
          <w:p w14:paraId="29504BE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2 (5.4)</w:t>
            </w:r>
          </w:p>
        </w:tc>
      </w:tr>
      <w:tr w:rsidR="00F24F47" w:rsidRPr="00DE61C5" w14:paraId="76BD0D79" w14:textId="77777777" w:rsidTr="00347C04">
        <w:trPr>
          <w:trHeight w:val="289"/>
        </w:trPr>
        <w:tc>
          <w:tcPr>
            <w:tcW w:w="3402" w:type="dxa"/>
            <w:tcBorders>
              <w:top w:val="nil"/>
              <w:left w:val="nil"/>
              <w:bottom w:val="nil"/>
              <w:right w:val="nil"/>
            </w:tcBorders>
            <w:shd w:val="clear" w:color="auto" w:fill="auto"/>
            <w:noWrap/>
            <w:vAlign w:val="center"/>
            <w:hideMark/>
          </w:tcPr>
          <w:p w14:paraId="082FF4D5"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val="en-US" w:eastAsia="nl-BE"/>
              </w:rPr>
              <w:t xml:space="preserve">Bachelor </w:t>
            </w:r>
            <w:r w:rsidRPr="00DE61C5">
              <w:rPr>
                <w:rFonts w:asciiTheme="majorBidi" w:eastAsia="Times New Roman" w:hAnsiTheme="majorBidi" w:cstheme="majorBidi"/>
                <w:color w:val="000000"/>
                <w:sz w:val="20"/>
                <w:szCs w:val="20"/>
                <w:lang w:eastAsia="nl-BE"/>
              </w:rPr>
              <w:t>degree</w:t>
            </w:r>
          </w:p>
        </w:tc>
        <w:tc>
          <w:tcPr>
            <w:tcW w:w="1418" w:type="dxa"/>
            <w:tcBorders>
              <w:top w:val="nil"/>
              <w:left w:val="nil"/>
              <w:bottom w:val="nil"/>
              <w:right w:val="nil"/>
            </w:tcBorders>
            <w:shd w:val="clear" w:color="auto" w:fill="auto"/>
            <w:noWrap/>
            <w:vAlign w:val="center"/>
            <w:hideMark/>
          </w:tcPr>
          <w:p w14:paraId="32D04AC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(21.4)</w:t>
            </w:r>
          </w:p>
        </w:tc>
        <w:tc>
          <w:tcPr>
            <w:tcW w:w="1559" w:type="dxa"/>
            <w:tcBorders>
              <w:top w:val="nil"/>
              <w:left w:val="nil"/>
              <w:bottom w:val="nil"/>
              <w:right w:val="nil"/>
            </w:tcBorders>
            <w:shd w:val="clear" w:color="auto" w:fill="auto"/>
            <w:noWrap/>
            <w:vAlign w:val="center"/>
            <w:hideMark/>
          </w:tcPr>
          <w:p w14:paraId="7BD24F8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4E41923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7 (16.3)</w:t>
            </w:r>
          </w:p>
        </w:tc>
        <w:tc>
          <w:tcPr>
            <w:tcW w:w="1275" w:type="dxa"/>
            <w:tcBorders>
              <w:top w:val="nil"/>
              <w:left w:val="nil"/>
              <w:bottom w:val="nil"/>
              <w:right w:val="nil"/>
            </w:tcBorders>
            <w:vAlign w:val="center"/>
          </w:tcPr>
          <w:p w14:paraId="4493D77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(13.5)</w:t>
            </w:r>
          </w:p>
        </w:tc>
      </w:tr>
      <w:tr w:rsidR="00F24F47" w:rsidRPr="00DE61C5" w14:paraId="2F7FF69B" w14:textId="77777777" w:rsidTr="00347C04">
        <w:trPr>
          <w:trHeight w:val="289"/>
        </w:trPr>
        <w:tc>
          <w:tcPr>
            <w:tcW w:w="3402" w:type="dxa"/>
            <w:tcBorders>
              <w:top w:val="nil"/>
              <w:left w:val="nil"/>
              <w:bottom w:val="nil"/>
              <w:right w:val="nil"/>
            </w:tcBorders>
            <w:shd w:val="clear" w:color="auto" w:fill="auto"/>
            <w:noWrap/>
            <w:vAlign w:val="center"/>
            <w:hideMark/>
          </w:tcPr>
          <w:p w14:paraId="4DBACBB9"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Master degree</w:t>
            </w:r>
          </w:p>
        </w:tc>
        <w:tc>
          <w:tcPr>
            <w:tcW w:w="1418" w:type="dxa"/>
            <w:tcBorders>
              <w:top w:val="nil"/>
              <w:left w:val="nil"/>
              <w:bottom w:val="nil"/>
              <w:right w:val="nil"/>
            </w:tcBorders>
            <w:shd w:val="clear" w:color="auto" w:fill="auto"/>
            <w:noWrap/>
            <w:vAlign w:val="center"/>
            <w:hideMark/>
          </w:tcPr>
          <w:p w14:paraId="1226604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9 (32.1)</w:t>
            </w:r>
          </w:p>
        </w:tc>
        <w:tc>
          <w:tcPr>
            <w:tcW w:w="1559" w:type="dxa"/>
            <w:tcBorders>
              <w:top w:val="nil"/>
              <w:left w:val="nil"/>
              <w:bottom w:val="nil"/>
              <w:right w:val="nil"/>
            </w:tcBorders>
            <w:shd w:val="clear" w:color="auto" w:fill="auto"/>
            <w:noWrap/>
            <w:vAlign w:val="center"/>
            <w:hideMark/>
          </w:tcPr>
          <w:p w14:paraId="65488F7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9 (31.0)</w:t>
            </w:r>
          </w:p>
        </w:tc>
        <w:tc>
          <w:tcPr>
            <w:tcW w:w="1418" w:type="dxa"/>
            <w:tcBorders>
              <w:top w:val="nil"/>
              <w:left w:val="nil"/>
              <w:bottom w:val="nil"/>
              <w:right w:val="nil"/>
            </w:tcBorders>
            <w:vAlign w:val="center"/>
          </w:tcPr>
          <w:p w14:paraId="2BB46B8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10 (23.3)</w:t>
            </w:r>
          </w:p>
        </w:tc>
        <w:tc>
          <w:tcPr>
            <w:tcW w:w="1275" w:type="dxa"/>
            <w:tcBorders>
              <w:top w:val="nil"/>
              <w:left w:val="nil"/>
              <w:bottom w:val="nil"/>
              <w:right w:val="nil"/>
            </w:tcBorders>
            <w:vAlign w:val="center"/>
          </w:tcPr>
          <w:p w14:paraId="438DBC5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10 (27.0)</w:t>
            </w:r>
          </w:p>
        </w:tc>
      </w:tr>
      <w:tr w:rsidR="00F24F47" w:rsidRPr="00DE61C5" w14:paraId="117864EE" w14:textId="77777777" w:rsidTr="00347C04">
        <w:trPr>
          <w:trHeight w:val="289"/>
        </w:trPr>
        <w:tc>
          <w:tcPr>
            <w:tcW w:w="3402" w:type="dxa"/>
            <w:tcBorders>
              <w:top w:val="nil"/>
              <w:left w:val="nil"/>
              <w:bottom w:val="nil"/>
              <w:right w:val="nil"/>
            </w:tcBorders>
            <w:shd w:val="clear" w:color="auto" w:fill="auto"/>
            <w:noWrap/>
            <w:vAlign w:val="center"/>
            <w:hideMark/>
          </w:tcPr>
          <w:p w14:paraId="5B246256"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Doctoral degree</w:t>
            </w:r>
          </w:p>
        </w:tc>
        <w:tc>
          <w:tcPr>
            <w:tcW w:w="1418" w:type="dxa"/>
            <w:tcBorders>
              <w:top w:val="nil"/>
              <w:left w:val="nil"/>
              <w:bottom w:val="nil"/>
              <w:right w:val="nil"/>
            </w:tcBorders>
            <w:shd w:val="clear" w:color="auto" w:fill="auto"/>
            <w:noWrap/>
            <w:vAlign w:val="center"/>
            <w:hideMark/>
          </w:tcPr>
          <w:p w14:paraId="1DDD68C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11 (39.3)</w:t>
            </w:r>
          </w:p>
        </w:tc>
        <w:tc>
          <w:tcPr>
            <w:tcW w:w="1559" w:type="dxa"/>
            <w:tcBorders>
              <w:top w:val="nil"/>
              <w:left w:val="nil"/>
              <w:bottom w:val="nil"/>
              <w:right w:val="nil"/>
            </w:tcBorders>
            <w:shd w:val="clear" w:color="auto" w:fill="auto"/>
            <w:noWrap/>
            <w:vAlign w:val="center"/>
            <w:hideMark/>
          </w:tcPr>
          <w:p w14:paraId="5208F3C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15 (51.7)</w:t>
            </w:r>
          </w:p>
        </w:tc>
        <w:tc>
          <w:tcPr>
            <w:tcW w:w="1418" w:type="dxa"/>
            <w:tcBorders>
              <w:top w:val="nil"/>
              <w:left w:val="nil"/>
              <w:bottom w:val="nil"/>
              <w:right w:val="nil"/>
            </w:tcBorders>
            <w:vAlign w:val="center"/>
          </w:tcPr>
          <w:p w14:paraId="3C7D0B8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23 (53.5)</w:t>
            </w:r>
          </w:p>
        </w:tc>
        <w:tc>
          <w:tcPr>
            <w:tcW w:w="1275" w:type="dxa"/>
            <w:tcBorders>
              <w:top w:val="nil"/>
              <w:left w:val="nil"/>
              <w:bottom w:val="nil"/>
              <w:right w:val="nil"/>
            </w:tcBorders>
            <w:vAlign w:val="center"/>
          </w:tcPr>
          <w:p w14:paraId="243146D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19 (51.4)</w:t>
            </w:r>
          </w:p>
        </w:tc>
      </w:tr>
      <w:tr w:rsidR="00F24F47" w:rsidRPr="00DE61C5" w14:paraId="10E2FEE7" w14:textId="77777777" w:rsidTr="00347C04">
        <w:trPr>
          <w:trHeight w:val="289"/>
        </w:trPr>
        <w:tc>
          <w:tcPr>
            <w:tcW w:w="3402" w:type="dxa"/>
            <w:tcBorders>
              <w:top w:val="nil"/>
              <w:left w:val="nil"/>
              <w:bottom w:val="nil"/>
              <w:right w:val="nil"/>
            </w:tcBorders>
            <w:shd w:val="clear" w:color="auto" w:fill="auto"/>
            <w:noWrap/>
            <w:vAlign w:val="center"/>
            <w:hideMark/>
          </w:tcPr>
          <w:p w14:paraId="52C4AD5D"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Other</w:t>
            </w:r>
          </w:p>
        </w:tc>
        <w:tc>
          <w:tcPr>
            <w:tcW w:w="1418" w:type="dxa"/>
            <w:tcBorders>
              <w:top w:val="nil"/>
              <w:left w:val="nil"/>
              <w:bottom w:val="nil"/>
              <w:right w:val="nil"/>
            </w:tcBorders>
            <w:shd w:val="clear" w:color="auto" w:fill="auto"/>
            <w:noWrap/>
            <w:vAlign w:val="center"/>
            <w:hideMark/>
          </w:tcPr>
          <w:p w14:paraId="5E3BBDB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34EB36F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3EA918E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782DD22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447EBD55" w14:textId="77777777" w:rsidTr="00347C04">
        <w:trPr>
          <w:trHeight w:val="289"/>
        </w:trPr>
        <w:tc>
          <w:tcPr>
            <w:tcW w:w="3402" w:type="dxa"/>
            <w:tcBorders>
              <w:top w:val="nil"/>
              <w:left w:val="nil"/>
              <w:bottom w:val="nil"/>
              <w:right w:val="nil"/>
            </w:tcBorders>
            <w:shd w:val="clear" w:color="auto" w:fill="auto"/>
            <w:noWrap/>
            <w:vAlign w:val="center"/>
            <w:hideMark/>
          </w:tcPr>
          <w:p w14:paraId="6F599F55" w14:textId="77777777" w:rsidR="00F24F47" w:rsidRPr="008A3262" w:rsidRDefault="00F24F47" w:rsidP="00E178EF">
            <w:pPr>
              <w:spacing w:after="0" w:line="240" w:lineRule="auto"/>
              <w:rPr>
                <w:rFonts w:asciiTheme="majorBidi" w:eastAsia="Times New Roman" w:hAnsiTheme="majorBidi" w:cstheme="majorBidi"/>
                <w:b/>
                <w:bCs/>
                <w:color w:val="000000"/>
                <w:sz w:val="20"/>
                <w:szCs w:val="20"/>
                <w:lang w:eastAsia="nl-BE"/>
              </w:rPr>
            </w:pPr>
            <w:r w:rsidRPr="008A3262">
              <w:rPr>
                <w:rFonts w:asciiTheme="majorBidi" w:eastAsia="Times New Roman" w:hAnsiTheme="majorBidi" w:cstheme="majorBidi"/>
                <w:b/>
                <w:bCs/>
                <w:color w:val="FF0000"/>
                <w:sz w:val="20"/>
                <w:szCs w:val="20"/>
                <w:lang w:eastAsia="nl-BE"/>
              </w:rPr>
              <w:t>Current work setting</w:t>
            </w:r>
          </w:p>
        </w:tc>
        <w:tc>
          <w:tcPr>
            <w:tcW w:w="1418" w:type="dxa"/>
            <w:tcBorders>
              <w:top w:val="nil"/>
              <w:left w:val="nil"/>
              <w:bottom w:val="nil"/>
              <w:right w:val="nil"/>
            </w:tcBorders>
            <w:shd w:val="clear" w:color="auto" w:fill="auto"/>
            <w:noWrap/>
            <w:vAlign w:val="center"/>
            <w:hideMark/>
          </w:tcPr>
          <w:p w14:paraId="5C4281A7"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559" w:type="dxa"/>
            <w:tcBorders>
              <w:top w:val="nil"/>
              <w:left w:val="nil"/>
              <w:bottom w:val="nil"/>
              <w:right w:val="nil"/>
            </w:tcBorders>
            <w:shd w:val="clear" w:color="auto" w:fill="auto"/>
            <w:noWrap/>
            <w:vAlign w:val="center"/>
            <w:hideMark/>
          </w:tcPr>
          <w:p w14:paraId="7E74D495"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418" w:type="dxa"/>
            <w:tcBorders>
              <w:top w:val="nil"/>
              <w:left w:val="nil"/>
              <w:bottom w:val="nil"/>
              <w:right w:val="nil"/>
            </w:tcBorders>
            <w:vAlign w:val="center"/>
          </w:tcPr>
          <w:p w14:paraId="630C4E10"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275" w:type="dxa"/>
            <w:tcBorders>
              <w:top w:val="nil"/>
              <w:left w:val="nil"/>
              <w:bottom w:val="nil"/>
              <w:right w:val="nil"/>
            </w:tcBorders>
            <w:vAlign w:val="center"/>
          </w:tcPr>
          <w:p w14:paraId="6A1BB86A"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r>
      <w:tr w:rsidR="00F24F47" w:rsidRPr="00DE61C5" w14:paraId="304B696D" w14:textId="77777777" w:rsidTr="00347C04">
        <w:trPr>
          <w:trHeight w:val="289"/>
        </w:trPr>
        <w:tc>
          <w:tcPr>
            <w:tcW w:w="3402" w:type="dxa"/>
            <w:tcBorders>
              <w:top w:val="nil"/>
              <w:left w:val="nil"/>
              <w:bottom w:val="nil"/>
              <w:right w:val="nil"/>
            </w:tcBorders>
            <w:shd w:val="clear" w:color="auto" w:fill="auto"/>
            <w:vAlign w:val="center"/>
            <w:hideMark/>
          </w:tcPr>
          <w:p w14:paraId="4D324543"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Local hospital</w:t>
            </w:r>
          </w:p>
        </w:tc>
        <w:tc>
          <w:tcPr>
            <w:tcW w:w="1418" w:type="dxa"/>
            <w:tcBorders>
              <w:top w:val="nil"/>
              <w:left w:val="nil"/>
              <w:bottom w:val="nil"/>
              <w:right w:val="nil"/>
            </w:tcBorders>
            <w:shd w:val="clear" w:color="auto" w:fill="auto"/>
            <w:noWrap/>
            <w:vAlign w:val="center"/>
            <w:hideMark/>
          </w:tcPr>
          <w:p w14:paraId="1C97FDF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(14.3)</w:t>
            </w:r>
          </w:p>
        </w:tc>
        <w:tc>
          <w:tcPr>
            <w:tcW w:w="1559" w:type="dxa"/>
            <w:tcBorders>
              <w:top w:val="nil"/>
              <w:left w:val="nil"/>
              <w:bottom w:val="nil"/>
              <w:right w:val="nil"/>
            </w:tcBorders>
            <w:shd w:val="clear" w:color="auto" w:fill="auto"/>
            <w:noWrap/>
            <w:vAlign w:val="center"/>
            <w:hideMark/>
          </w:tcPr>
          <w:p w14:paraId="0DF6084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32A7693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(4.7)</w:t>
            </w:r>
          </w:p>
        </w:tc>
        <w:tc>
          <w:tcPr>
            <w:tcW w:w="1275" w:type="dxa"/>
            <w:tcBorders>
              <w:top w:val="nil"/>
              <w:left w:val="nil"/>
              <w:bottom w:val="nil"/>
              <w:right w:val="nil"/>
            </w:tcBorders>
            <w:vAlign w:val="center"/>
          </w:tcPr>
          <w:p w14:paraId="5B7B9D3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3479326C" w14:textId="77777777" w:rsidTr="00347C04">
        <w:trPr>
          <w:trHeight w:val="289"/>
        </w:trPr>
        <w:tc>
          <w:tcPr>
            <w:tcW w:w="3402" w:type="dxa"/>
            <w:tcBorders>
              <w:top w:val="nil"/>
              <w:left w:val="nil"/>
              <w:bottom w:val="nil"/>
              <w:right w:val="nil"/>
            </w:tcBorders>
            <w:shd w:val="clear" w:color="auto" w:fill="auto"/>
            <w:vAlign w:val="center"/>
            <w:hideMark/>
          </w:tcPr>
          <w:p w14:paraId="58184CA5"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Teaching / university hospital</w:t>
            </w:r>
          </w:p>
        </w:tc>
        <w:tc>
          <w:tcPr>
            <w:tcW w:w="1418" w:type="dxa"/>
            <w:tcBorders>
              <w:top w:val="nil"/>
              <w:left w:val="nil"/>
              <w:bottom w:val="nil"/>
              <w:right w:val="nil"/>
            </w:tcBorders>
            <w:shd w:val="clear" w:color="auto" w:fill="auto"/>
            <w:noWrap/>
            <w:vAlign w:val="center"/>
            <w:hideMark/>
          </w:tcPr>
          <w:p w14:paraId="37412BC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10 (35.7)</w:t>
            </w:r>
          </w:p>
        </w:tc>
        <w:tc>
          <w:tcPr>
            <w:tcW w:w="1559" w:type="dxa"/>
            <w:tcBorders>
              <w:top w:val="nil"/>
              <w:left w:val="nil"/>
              <w:bottom w:val="nil"/>
              <w:right w:val="nil"/>
            </w:tcBorders>
            <w:shd w:val="clear" w:color="auto" w:fill="auto"/>
            <w:noWrap/>
            <w:vAlign w:val="center"/>
            <w:hideMark/>
          </w:tcPr>
          <w:p w14:paraId="5A3A842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13 (44.8)</w:t>
            </w:r>
          </w:p>
        </w:tc>
        <w:tc>
          <w:tcPr>
            <w:tcW w:w="1418" w:type="dxa"/>
            <w:tcBorders>
              <w:top w:val="nil"/>
              <w:left w:val="nil"/>
              <w:bottom w:val="nil"/>
              <w:right w:val="nil"/>
            </w:tcBorders>
            <w:vAlign w:val="center"/>
          </w:tcPr>
          <w:p w14:paraId="11EDCCB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20 (46.5)</w:t>
            </w:r>
          </w:p>
        </w:tc>
        <w:tc>
          <w:tcPr>
            <w:tcW w:w="1275" w:type="dxa"/>
            <w:tcBorders>
              <w:top w:val="nil"/>
              <w:left w:val="nil"/>
              <w:bottom w:val="nil"/>
              <w:right w:val="nil"/>
            </w:tcBorders>
            <w:vAlign w:val="center"/>
          </w:tcPr>
          <w:p w14:paraId="6AD2CFC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18 (48.6)</w:t>
            </w:r>
          </w:p>
        </w:tc>
      </w:tr>
      <w:tr w:rsidR="00F24F47" w:rsidRPr="00DE61C5" w14:paraId="30A5D46E" w14:textId="77777777" w:rsidTr="00347C04">
        <w:trPr>
          <w:trHeight w:val="289"/>
        </w:trPr>
        <w:tc>
          <w:tcPr>
            <w:tcW w:w="3402" w:type="dxa"/>
            <w:tcBorders>
              <w:top w:val="nil"/>
              <w:left w:val="nil"/>
              <w:bottom w:val="nil"/>
              <w:right w:val="nil"/>
            </w:tcBorders>
            <w:shd w:val="clear" w:color="auto" w:fill="auto"/>
            <w:vAlign w:val="center"/>
            <w:hideMark/>
          </w:tcPr>
          <w:p w14:paraId="28903745"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Community care</w:t>
            </w:r>
          </w:p>
        </w:tc>
        <w:tc>
          <w:tcPr>
            <w:tcW w:w="1418" w:type="dxa"/>
            <w:tcBorders>
              <w:top w:val="nil"/>
              <w:left w:val="nil"/>
              <w:bottom w:val="nil"/>
              <w:right w:val="nil"/>
            </w:tcBorders>
            <w:shd w:val="clear" w:color="auto" w:fill="auto"/>
            <w:noWrap/>
            <w:vAlign w:val="center"/>
            <w:hideMark/>
          </w:tcPr>
          <w:p w14:paraId="3FA52A5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3E55D7A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418" w:type="dxa"/>
            <w:tcBorders>
              <w:top w:val="nil"/>
              <w:left w:val="nil"/>
              <w:bottom w:val="nil"/>
              <w:right w:val="nil"/>
            </w:tcBorders>
            <w:vAlign w:val="center"/>
          </w:tcPr>
          <w:p w14:paraId="7E3F9E5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69A9C2D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6DAE0F05" w14:textId="77777777" w:rsidTr="00347C04">
        <w:trPr>
          <w:trHeight w:val="289"/>
        </w:trPr>
        <w:tc>
          <w:tcPr>
            <w:tcW w:w="3402" w:type="dxa"/>
            <w:tcBorders>
              <w:top w:val="nil"/>
              <w:left w:val="nil"/>
              <w:bottom w:val="nil"/>
              <w:right w:val="nil"/>
            </w:tcBorders>
            <w:shd w:val="clear" w:color="auto" w:fill="auto"/>
            <w:vAlign w:val="center"/>
            <w:hideMark/>
          </w:tcPr>
          <w:p w14:paraId="64D35D9F"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Education</w:t>
            </w:r>
          </w:p>
        </w:tc>
        <w:tc>
          <w:tcPr>
            <w:tcW w:w="1418" w:type="dxa"/>
            <w:tcBorders>
              <w:top w:val="nil"/>
              <w:left w:val="nil"/>
              <w:bottom w:val="nil"/>
              <w:right w:val="nil"/>
            </w:tcBorders>
            <w:shd w:val="clear" w:color="auto" w:fill="auto"/>
            <w:noWrap/>
            <w:vAlign w:val="center"/>
            <w:hideMark/>
          </w:tcPr>
          <w:p w14:paraId="1BBB788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(17.9)</w:t>
            </w:r>
          </w:p>
        </w:tc>
        <w:tc>
          <w:tcPr>
            <w:tcW w:w="1559" w:type="dxa"/>
            <w:tcBorders>
              <w:top w:val="nil"/>
              <w:left w:val="nil"/>
              <w:bottom w:val="nil"/>
              <w:right w:val="nil"/>
            </w:tcBorders>
            <w:shd w:val="clear" w:color="auto" w:fill="auto"/>
            <w:noWrap/>
            <w:vAlign w:val="center"/>
            <w:hideMark/>
          </w:tcPr>
          <w:p w14:paraId="020C804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(13.8)</w:t>
            </w:r>
          </w:p>
        </w:tc>
        <w:tc>
          <w:tcPr>
            <w:tcW w:w="1418" w:type="dxa"/>
            <w:tcBorders>
              <w:top w:val="nil"/>
              <w:left w:val="nil"/>
              <w:bottom w:val="nil"/>
              <w:right w:val="nil"/>
            </w:tcBorders>
            <w:vAlign w:val="center"/>
          </w:tcPr>
          <w:p w14:paraId="34A11EF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(14.0)</w:t>
            </w:r>
          </w:p>
        </w:tc>
        <w:tc>
          <w:tcPr>
            <w:tcW w:w="1275" w:type="dxa"/>
            <w:tcBorders>
              <w:top w:val="nil"/>
              <w:left w:val="nil"/>
              <w:bottom w:val="nil"/>
              <w:right w:val="nil"/>
            </w:tcBorders>
            <w:vAlign w:val="center"/>
          </w:tcPr>
          <w:p w14:paraId="242D01E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(16.2)</w:t>
            </w:r>
          </w:p>
        </w:tc>
      </w:tr>
      <w:tr w:rsidR="00F24F47" w:rsidRPr="00DE61C5" w14:paraId="4B456EF2" w14:textId="77777777" w:rsidTr="00347C04">
        <w:trPr>
          <w:trHeight w:val="289"/>
        </w:trPr>
        <w:tc>
          <w:tcPr>
            <w:tcW w:w="3402" w:type="dxa"/>
            <w:tcBorders>
              <w:top w:val="nil"/>
              <w:left w:val="nil"/>
              <w:bottom w:val="nil"/>
              <w:right w:val="nil"/>
            </w:tcBorders>
            <w:shd w:val="clear" w:color="auto" w:fill="auto"/>
            <w:vAlign w:val="center"/>
            <w:hideMark/>
          </w:tcPr>
          <w:p w14:paraId="49831D70"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Clinical research</w:t>
            </w:r>
          </w:p>
        </w:tc>
        <w:tc>
          <w:tcPr>
            <w:tcW w:w="1418" w:type="dxa"/>
            <w:tcBorders>
              <w:top w:val="nil"/>
              <w:left w:val="nil"/>
              <w:bottom w:val="nil"/>
              <w:right w:val="nil"/>
            </w:tcBorders>
            <w:shd w:val="clear" w:color="auto" w:fill="auto"/>
            <w:noWrap/>
            <w:vAlign w:val="center"/>
            <w:hideMark/>
          </w:tcPr>
          <w:p w14:paraId="460D3DC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05090C2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4724523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(7.0)</w:t>
            </w:r>
          </w:p>
        </w:tc>
        <w:tc>
          <w:tcPr>
            <w:tcW w:w="1275" w:type="dxa"/>
            <w:tcBorders>
              <w:top w:val="nil"/>
              <w:left w:val="nil"/>
              <w:bottom w:val="nil"/>
              <w:right w:val="nil"/>
            </w:tcBorders>
            <w:vAlign w:val="center"/>
          </w:tcPr>
          <w:p w14:paraId="5771FEB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(8.1)</w:t>
            </w:r>
          </w:p>
        </w:tc>
      </w:tr>
      <w:tr w:rsidR="00F24F47" w:rsidRPr="00DE61C5" w14:paraId="4E741FB5" w14:textId="77777777" w:rsidTr="00347C04">
        <w:trPr>
          <w:trHeight w:val="289"/>
        </w:trPr>
        <w:tc>
          <w:tcPr>
            <w:tcW w:w="3402" w:type="dxa"/>
            <w:tcBorders>
              <w:top w:val="nil"/>
              <w:left w:val="nil"/>
              <w:bottom w:val="nil"/>
              <w:right w:val="nil"/>
            </w:tcBorders>
            <w:shd w:val="clear" w:color="auto" w:fill="auto"/>
            <w:vAlign w:val="center"/>
            <w:hideMark/>
          </w:tcPr>
          <w:p w14:paraId="41BE2A28"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Industry / commercial</w:t>
            </w:r>
          </w:p>
        </w:tc>
        <w:tc>
          <w:tcPr>
            <w:tcW w:w="1418" w:type="dxa"/>
            <w:tcBorders>
              <w:top w:val="nil"/>
              <w:left w:val="nil"/>
              <w:bottom w:val="nil"/>
              <w:right w:val="nil"/>
            </w:tcBorders>
            <w:shd w:val="clear" w:color="auto" w:fill="auto"/>
            <w:noWrap/>
            <w:vAlign w:val="center"/>
            <w:hideMark/>
          </w:tcPr>
          <w:p w14:paraId="37641E1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(17.9)</w:t>
            </w:r>
          </w:p>
        </w:tc>
        <w:tc>
          <w:tcPr>
            <w:tcW w:w="1559" w:type="dxa"/>
            <w:tcBorders>
              <w:top w:val="nil"/>
              <w:left w:val="nil"/>
              <w:bottom w:val="nil"/>
              <w:right w:val="nil"/>
            </w:tcBorders>
            <w:shd w:val="clear" w:color="auto" w:fill="auto"/>
            <w:noWrap/>
            <w:vAlign w:val="center"/>
            <w:hideMark/>
          </w:tcPr>
          <w:p w14:paraId="16E439B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(13.8)</w:t>
            </w:r>
          </w:p>
        </w:tc>
        <w:tc>
          <w:tcPr>
            <w:tcW w:w="1418" w:type="dxa"/>
            <w:tcBorders>
              <w:top w:val="nil"/>
              <w:left w:val="nil"/>
              <w:bottom w:val="nil"/>
              <w:right w:val="nil"/>
            </w:tcBorders>
            <w:vAlign w:val="center"/>
          </w:tcPr>
          <w:p w14:paraId="4C8712F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7 (16.3)</w:t>
            </w:r>
          </w:p>
        </w:tc>
        <w:tc>
          <w:tcPr>
            <w:tcW w:w="1275" w:type="dxa"/>
            <w:tcBorders>
              <w:top w:val="nil"/>
              <w:left w:val="nil"/>
              <w:bottom w:val="nil"/>
              <w:right w:val="nil"/>
            </w:tcBorders>
            <w:vAlign w:val="center"/>
          </w:tcPr>
          <w:p w14:paraId="74F0A19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(13.5)</w:t>
            </w:r>
          </w:p>
        </w:tc>
      </w:tr>
      <w:tr w:rsidR="00F24F47" w:rsidRPr="00DE61C5" w14:paraId="1B8FEE04" w14:textId="77777777" w:rsidTr="00347C04">
        <w:trPr>
          <w:trHeight w:val="289"/>
        </w:trPr>
        <w:tc>
          <w:tcPr>
            <w:tcW w:w="3402" w:type="dxa"/>
            <w:tcBorders>
              <w:top w:val="nil"/>
              <w:left w:val="nil"/>
              <w:bottom w:val="nil"/>
              <w:right w:val="nil"/>
            </w:tcBorders>
            <w:shd w:val="clear" w:color="auto" w:fill="auto"/>
            <w:vAlign w:val="center"/>
            <w:hideMark/>
          </w:tcPr>
          <w:p w14:paraId="57F1345A"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Other</w:t>
            </w:r>
          </w:p>
        </w:tc>
        <w:tc>
          <w:tcPr>
            <w:tcW w:w="1418" w:type="dxa"/>
            <w:tcBorders>
              <w:top w:val="nil"/>
              <w:left w:val="nil"/>
              <w:bottom w:val="nil"/>
              <w:right w:val="nil"/>
            </w:tcBorders>
            <w:shd w:val="clear" w:color="auto" w:fill="auto"/>
            <w:noWrap/>
            <w:vAlign w:val="center"/>
            <w:hideMark/>
          </w:tcPr>
          <w:p w14:paraId="5B72331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471FD83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2BB7B44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(2.3)</w:t>
            </w:r>
          </w:p>
        </w:tc>
        <w:tc>
          <w:tcPr>
            <w:tcW w:w="1275" w:type="dxa"/>
            <w:tcBorders>
              <w:top w:val="nil"/>
              <w:left w:val="nil"/>
              <w:bottom w:val="nil"/>
              <w:right w:val="nil"/>
            </w:tcBorders>
            <w:vAlign w:val="center"/>
          </w:tcPr>
          <w:p w14:paraId="418B643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5A228CD3" w14:textId="77777777" w:rsidTr="00347C04">
        <w:trPr>
          <w:trHeight w:val="289"/>
        </w:trPr>
        <w:tc>
          <w:tcPr>
            <w:tcW w:w="3402" w:type="dxa"/>
            <w:tcBorders>
              <w:top w:val="nil"/>
              <w:left w:val="nil"/>
              <w:bottom w:val="nil"/>
              <w:right w:val="nil"/>
            </w:tcBorders>
            <w:shd w:val="clear" w:color="auto" w:fill="auto"/>
            <w:vAlign w:val="center"/>
            <w:hideMark/>
          </w:tcPr>
          <w:p w14:paraId="7BAAE219"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Missing</w:t>
            </w:r>
          </w:p>
        </w:tc>
        <w:tc>
          <w:tcPr>
            <w:tcW w:w="1418" w:type="dxa"/>
            <w:tcBorders>
              <w:top w:val="nil"/>
              <w:left w:val="nil"/>
              <w:bottom w:val="nil"/>
              <w:right w:val="nil"/>
            </w:tcBorders>
            <w:shd w:val="clear" w:color="auto" w:fill="auto"/>
            <w:noWrap/>
            <w:vAlign w:val="center"/>
            <w:hideMark/>
          </w:tcPr>
          <w:p w14:paraId="65B0C05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(7.1)</w:t>
            </w:r>
          </w:p>
        </w:tc>
        <w:tc>
          <w:tcPr>
            <w:tcW w:w="1559" w:type="dxa"/>
            <w:tcBorders>
              <w:top w:val="nil"/>
              <w:left w:val="nil"/>
              <w:bottom w:val="nil"/>
              <w:right w:val="nil"/>
            </w:tcBorders>
            <w:shd w:val="clear" w:color="auto" w:fill="auto"/>
            <w:noWrap/>
            <w:vAlign w:val="center"/>
            <w:hideMark/>
          </w:tcPr>
          <w:p w14:paraId="48CF626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(6.9)</w:t>
            </w:r>
          </w:p>
        </w:tc>
        <w:tc>
          <w:tcPr>
            <w:tcW w:w="1418" w:type="dxa"/>
            <w:tcBorders>
              <w:top w:val="nil"/>
              <w:left w:val="nil"/>
              <w:bottom w:val="nil"/>
              <w:right w:val="nil"/>
            </w:tcBorders>
            <w:vAlign w:val="center"/>
          </w:tcPr>
          <w:p w14:paraId="56FF0E5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(7.0)</w:t>
            </w:r>
          </w:p>
        </w:tc>
        <w:tc>
          <w:tcPr>
            <w:tcW w:w="1275" w:type="dxa"/>
            <w:tcBorders>
              <w:top w:val="nil"/>
              <w:left w:val="nil"/>
              <w:bottom w:val="nil"/>
              <w:right w:val="nil"/>
            </w:tcBorders>
            <w:vAlign w:val="center"/>
          </w:tcPr>
          <w:p w14:paraId="11D6024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(5.4)</w:t>
            </w:r>
          </w:p>
        </w:tc>
      </w:tr>
      <w:tr w:rsidR="00F24F47" w:rsidRPr="00DE61C5" w14:paraId="734FE6D4" w14:textId="77777777" w:rsidTr="00347C04">
        <w:trPr>
          <w:trHeight w:val="289"/>
        </w:trPr>
        <w:tc>
          <w:tcPr>
            <w:tcW w:w="3402" w:type="dxa"/>
            <w:tcBorders>
              <w:top w:val="nil"/>
              <w:left w:val="nil"/>
              <w:bottom w:val="nil"/>
              <w:right w:val="nil"/>
            </w:tcBorders>
            <w:shd w:val="clear" w:color="auto" w:fill="auto"/>
            <w:vAlign w:val="center"/>
            <w:hideMark/>
          </w:tcPr>
          <w:p w14:paraId="7A81607A"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Role</w:t>
            </w:r>
            <w:r>
              <w:rPr>
                <w:rFonts w:asciiTheme="majorBidi" w:eastAsia="Times New Roman" w:hAnsiTheme="majorBidi" w:cstheme="majorBidi"/>
                <w:b/>
                <w:bCs/>
                <w:color w:val="000000"/>
                <w:sz w:val="20"/>
                <w:szCs w:val="20"/>
                <w:lang w:eastAsia="nl-BE"/>
              </w:rPr>
              <w:t xml:space="preserve"> </w:t>
            </w:r>
            <w:r w:rsidRPr="0068515F">
              <w:rPr>
                <w:rFonts w:asciiTheme="majorBidi" w:hAnsiTheme="majorBidi" w:cstheme="majorBidi"/>
                <w:color w:val="FF0000"/>
                <w:sz w:val="20"/>
                <w:szCs w:val="20"/>
                <w:vertAlign w:val="superscript"/>
                <w:lang w:val="en-US"/>
              </w:rPr>
              <w:t>§</w:t>
            </w:r>
          </w:p>
        </w:tc>
        <w:tc>
          <w:tcPr>
            <w:tcW w:w="1418" w:type="dxa"/>
            <w:tcBorders>
              <w:top w:val="nil"/>
              <w:left w:val="nil"/>
              <w:bottom w:val="nil"/>
              <w:right w:val="nil"/>
            </w:tcBorders>
            <w:shd w:val="clear" w:color="auto" w:fill="auto"/>
            <w:noWrap/>
            <w:vAlign w:val="center"/>
            <w:hideMark/>
          </w:tcPr>
          <w:p w14:paraId="505F22C1"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559" w:type="dxa"/>
            <w:tcBorders>
              <w:top w:val="nil"/>
              <w:left w:val="nil"/>
              <w:bottom w:val="nil"/>
              <w:right w:val="nil"/>
            </w:tcBorders>
            <w:shd w:val="clear" w:color="auto" w:fill="auto"/>
            <w:noWrap/>
            <w:vAlign w:val="center"/>
            <w:hideMark/>
          </w:tcPr>
          <w:p w14:paraId="6CC51875"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418" w:type="dxa"/>
            <w:tcBorders>
              <w:top w:val="nil"/>
              <w:left w:val="nil"/>
              <w:bottom w:val="nil"/>
              <w:right w:val="nil"/>
            </w:tcBorders>
            <w:vAlign w:val="center"/>
          </w:tcPr>
          <w:p w14:paraId="6048323E"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275" w:type="dxa"/>
            <w:tcBorders>
              <w:top w:val="nil"/>
              <w:left w:val="nil"/>
              <w:bottom w:val="nil"/>
              <w:right w:val="nil"/>
            </w:tcBorders>
            <w:vAlign w:val="center"/>
          </w:tcPr>
          <w:p w14:paraId="4CBC6A89"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r>
      <w:tr w:rsidR="00F24F47" w:rsidRPr="00DE61C5" w14:paraId="1ABB005D" w14:textId="77777777" w:rsidTr="00347C04">
        <w:trPr>
          <w:trHeight w:val="289"/>
        </w:trPr>
        <w:tc>
          <w:tcPr>
            <w:tcW w:w="3402" w:type="dxa"/>
            <w:tcBorders>
              <w:top w:val="nil"/>
              <w:left w:val="nil"/>
              <w:bottom w:val="nil"/>
              <w:right w:val="nil"/>
            </w:tcBorders>
            <w:shd w:val="clear" w:color="auto" w:fill="auto"/>
            <w:vAlign w:val="center"/>
            <w:hideMark/>
          </w:tcPr>
          <w:p w14:paraId="5B5743C8"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Clinician (nurse)</w:t>
            </w:r>
          </w:p>
        </w:tc>
        <w:tc>
          <w:tcPr>
            <w:tcW w:w="1418" w:type="dxa"/>
            <w:tcBorders>
              <w:top w:val="nil"/>
              <w:left w:val="nil"/>
              <w:bottom w:val="nil"/>
              <w:right w:val="nil"/>
            </w:tcBorders>
            <w:shd w:val="clear" w:color="auto" w:fill="auto"/>
            <w:noWrap/>
            <w:vAlign w:val="center"/>
            <w:hideMark/>
          </w:tcPr>
          <w:p w14:paraId="3DD037B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14 (50)</w:t>
            </w:r>
          </w:p>
        </w:tc>
        <w:tc>
          <w:tcPr>
            <w:tcW w:w="1559" w:type="dxa"/>
            <w:tcBorders>
              <w:top w:val="nil"/>
              <w:left w:val="nil"/>
              <w:bottom w:val="nil"/>
              <w:right w:val="nil"/>
            </w:tcBorders>
            <w:shd w:val="clear" w:color="auto" w:fill="auto"/>
            <w:noWrap/>
            <w:vAlign w:val="center"/>
            <w:hideMark/>
          </w:tcPr>
          <w:p w14:paraId="77F6E63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15 (51.7)</w:t>
            </w:r>
          </w:p>
        </w:tc>
        <w:tc>
          <w:tcPr>
            <w:tcW w:w="1418" w:type="dxa"/>
            <w:tcBorders>
              <w:top w:val="nil"/>
              <w:left w:val="nil"/>
              <w:bottom w:val="nil"/>
              <w:right w:val="nil"/>
            </w:tcBorders>
            <w:vAlign w:val="center"/>
          </w:tcPr>
          <w:p w14:paraId="55EB7BD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20 (46.5)</w:t>
            </w:r>
          </w:p>
        </w:tc>
        <w:tc>
          <w:tcPr>
            <w:tcW w:w="1275" w:type="dxa"/>
            <w:tcBorders>
              <w:top w:val="nil"/>
              <w:left w:val="nil"/>
              <w:bottom w:val="nil"/>
              <w:right w:val="nil"/>
            </w:tcBorders>
            <w:vAlign w:val="center"/>
          </w:tcPr>
          <w:p w14:paraId="45F9C9A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18 (48.6)</w:t>
            </w:r>
          </w:p>
        </w:tc>
      </w:tr>
      <w:tr w:rsidR="00F24F47" w:rsidRPr="00DE61C5" w14:paraId="0C44E2C8" w14:textId="77777777" w:rsidTr="00347C04">
        <w:trPr>
          <w:trHeight w:val="289"/>
        </w:trPr>
        <w:tc>
          <w:tcPr>
            <w:tcW w:w="3402" w:type="dxa"/>
            <w:tcBorders>
              <w:top w:val="nil"/>
              <w:left w:val="nil"/>
              <w:bottom w:val="nil"/>
              <w:right w:val="nil"/>
            </w:tcBorders>
            <w:shd w:val="clear" w:color="auto" w:fill="auto"/>
            <w:vAlign w:val="center"/>
            <w:hideMark/>
          </w:tcPr>
          <w:p w14:paraId="1309B5B2"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Clinician (medical doctor)</w:t>
            </w:r>
          </w:p>
        </w:tc>
        <w:tc>
          <w:tcPr>
            <w:tcW w:w="1418" w:type="dxa"/>
            <w:tcBorders>
              <w:top w:val="nil"/>
              <w:left w:val="nil"/>
              <w:bottom w:val="nil"/>
              <w:right w:val="nil"/>
            </w:tcBorders>
            <w:shd w:val="clear" w:color="auto" w:fill="auto"/>
            <w:noWrap/>
            <w:vAlign w:val="center"/>
            <w:hideMark/>
          </w:tcPr>
          <w:p w14:paraId="768C333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(7.1)</w:t>
            </w:r>
          </w:p>
        </w:tc>
        <w:tc>
          <w:tcPr>
            <w:tcW w:w="1559" w:type="dxa"/>
            <w:tcBorders>
              <w:top w:val="nil"/>
              <w:left w:val="nil"/>
              <w:bottom w:val="nil"/>
              <w:right w:val="nil"/>
            </w:tcBorders>
            <w:shd w:val="clear" w:color="auto" w:fill="auto"/>
            <w:noWrap/>
            <w:vAlign w:val="center"/>
            <w:hideMark/>
          </w:tcPr>
          <w:p w14:paraId="7B94F49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1C77D5D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(9.3)</w:t>
            </w:r>
          </w:p>
        </w:tc>
        <w:tc>
          <w:tcPr>
            <w:tcW w:w="1275" w:type="dxa"/>
            <w:tcBorders>
              <w:top w:val="nil"/>
              <w:left w:val="nil"/>
              <w:bottom w:val="nil"/>
              <w:right w:val="nil"/>
            </w:tcBorders>
            <w:vAlign w:val="center"/>
          </w:tcPr>
          <w:p w14:paraId="3C54621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(5.4)</w:t>
            </w:r>
          </w:p>
        </w:tc>
      </w:tr>
      <w:tr w:rsidR="00F24F47" w:rsidRPr="00DE61C5" w14:paraId="33B56BCE" w14:textId="77777777" w:rsidTr="00347C04">
        <w:trPr>
          <w:trHeight w:val="289"/>
        </w:trPr>
        <w:tc>
          <w:tcPr>
            <w:tcW w:w="3402" w:type="dxa"/>
            <w:tcBorders>
              <w:top w:val="nil"/>
              <w:left w:val="nil"/>
              <w:bottom w:val="nil"/>
              <w:right w:val="nil"/>
            </w:tcBorders>
            <w:shd w:val="clear" w:color="auto" w:fill="auto"/>
            <w:noWrap/>
            <w:vAlign w:val="center"/>
            <w:hideMark/>
          </w:tcPr>
          <w:p w14:paraId="49BCC9E1"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Clinician (other)</w:t>
            </w:r>
          </w:p>
        </w:tc>
        <w:tc>
          <w:tcPr>
            <w:tcW w:w="1418" w:type="dxa"/>
            <w:tcBorders>
              <w:top w:val="nil"/>
              <w:left w:val="nil"/>
              <w:bottom w:val="nil"/>
              <w:right w:val="nil"/>
            </w:tcBorders>
            <w:shd w:val="clear" w:color="auto" w:fill="auto"/>
            <w:noWrap/>
            <w:vAlign w:val="center"/>
            <w:hideMark/>
          </w:tcPr>
          <w:p w14:paraId="6A99918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2071E61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4C95546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(4.7)</w:t>
            </w:r>
          </w:p>
        </w:tc>
        <w:tc>
          <w:tcPr>
            <w:tcW w:w="1275" w:type="dxa"/>
            <w:tcBorders>
              <w:top w:val="nil"/>
              <w:left w:val="nil"/>
              <w:bottom w:val="nil"/>
              <w:right w:val="nil"/>
            </w:tcBorders>
            <w:vAlign w:val="center"/>
          </w:tcPr>
          <w:p w14:paraId="17D3CEE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51003E34" w14:textId="77777777" w:rsidTr="00347C04">
        <w:trPr>
          <w:trHeight w:val="289"/>
        </w:trPr>
        <w:tc>
          <w:tcPr>
            <w:tcW w:w="3402" w:type="dxa"/>
            <w:tcBorders>
              <w:top w:val="nil"/>
              <w:left w:val="nil"/>
              <w:bottom w:val="nil"/>
              <w:right w:val="nil"/>
            </w:tcBorders>
            <w:shd w:val="clear" w:color="auto" w:fill="auto"/>
            <w:noWrap/>
            <w:vAlign w:val="center"/>
            <w:hideMark/>
          </w:tcPr>
          <w:p w14:paraId="51F5894A"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Clinical researchers</w:t>
            </w:r>
          </w:p>
        </w:tc>
        <w:tc>
          <w:tcPr>
            <w:tcW w:w="1418" w:type="dxa"/>
            <w:tcBorders>
              <w:top w:val="nil"/>
              <w:left w:val="nil"/>
              <w:bottom w:val="nil"/>
              <w:right w:val="nil"/>
            </w:tcBorders>
            <w:shd w:val="clear" w:color="auto" w:fill="auto"/>
            <w:noWrap/>
            <w:vAlign w:val="center"/>
            <w:hideMark/>
          </w:tcPr>
          <w:p w14:paraId="53A0B25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(21.4)</w:t>
            </w:r>
          </w:p>
        </w:tc>
        <w:tc>
          <w:tcPr>
            <w:tcW w:w="1559" w:type="dxa"/>
            <w:tcBorders>
              <w:top w:val="nil"/>
              <w:left w:val="nil"/>
              <w:bottom w:val="nil"/>
              <w:right w:val="nil"/>
            </w:tcBorders>
            <w:shd w:val="clear" w:color="auto" w:fill="auto"/>
            <w:noWrap/>
            <w:vAlign w:val="center"/>
            <w:hideMark/>
          </w:tcPr>
          <w:p w14:paraId="56E6F1B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9 (31)</w:t>
            </w:r>
          </w:p>
        </w:tc>
        <w:tc>
          <w:tcPr>
            <w:tcW w:w="1418" w:type="dxa"/>
            <w:tcBorders>
              <w:top w:val="nil"/>
              <w:left w:val="nil"/>
              <w:bottom w:val="nil"/>
              <w:right w:val="nil"/>
            </w:tcBorders>
            <w:vAlign w:val="center"/>
          </w:tcPr>
          <w:p w14:paraId="74D3330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12 (27.9)</w:t>
            </w:r>
          </w:p>
        </w:tc>
        <w:tc>
          <w:tcPr>
            <w:tcW w:w="1275" w:type="dxa"/>
            <w:tcBorders>
              <w:top w:val="nil"/>
              <w:left w:val="nil"/>
              <w:bottom w:val="nil"/>
              <w:right w:val="nil"/>
            </w:tcBorders>
            <w:vAlign w:val="center"/>
          </w:tcPr>
          <w:p w14:paraId="655A371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13 (35.1)</w:t>
            </w:r>
          </w:p>
        </w:tc>
      </w:tr>
      <w:tr w:rsidR="00F24F47" w:rsidRPr="00DE61C5" w14:paraId="71F289BE" w14:textId="77777777" w:rsidTr="00347C04">
        <w:trPr>
          <w:trHeight w:val="289"/>
        </w:trPr>
        <w:tc>
          <w:tcPr>
            <w:tcW w:w="3402" w:type="dxa"/>
            <w:tcBorders>
              <w:top w:val="nil"/>
              <w:left w:val="nil"/>
              <w:bottom w:val="nil"/>
              <w:right w:val="nil"/>
            </w:tcBorders>
            <w:shd w:val="clear" w:color="auto" w:fill="auto"/>
            <w:noWrap/>
            <w:vAlign w:val="center"/>
            <w:hideMark/>
          </w:tcPr>
          <w:p w14:paraId="115F2A5C"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lastRenderedPageBreak/>
              <w:t>Educator</w:t>
            </w:r>
          </w:p>
        </w:tc>
        <w:tc>
          <w:tcPr>
            <w:tcW w:w="1418" w:type="dxa"/>
            <w:tcBorders>
              <w:top w:val="nil"/>
              <w:left w:val="nil"/>
              <w:bottom w:val="nil"/>
              <w:right w:val="nil"/>
            </w:tcBorders>
            <w:shd w:val="clear" w:color="auto" w:fill="auto"/>
            <w:noWrap/>
            <w:vAlign w:val="center"/>
            <w:hideMark/>
          </w:tcPr>
          <w:p w14:paraId="0AE8BA4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14 (50)</w:t>
            </w:r>
          </w:p>
        </w:tc>
        <w:tc>
          <w:tcPr>
            <w:tcW w:w="1559" w:type="dxa"/>
            <w:tcBorders>
              <w:top w:val="nil"/>
              <w:left w:val="nil"/>
              <w:bottom w:val="nil"/>
              <w:right w:val="nil"/>
            </w:tcBorders>
            <w:shd w:val="clear" w:color="auto" w:fill="auto"/>
            <w:noWrap/>
            <w:vAlign w:val="center"/>
            <w:hideMark/>
          </w:tcPr>
          <w:p w14:paraId="1D3E173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18 (62.1)</w:t>
            </w:r>
          </w:p>
        </w:tc>
        <w:tc>
          <w:tcPr>
            <w:tcW w:w="1418" w:type="dxa"/>
            <w:tcBorders>
              <w:top w:val="nil"/>
              <w:left w:val="nil"/>
              <w:bottom w:val="nil"/>
              <w:right w:val="nil"/>
            </w:tcBorders>
            <w:vAlign w:val="center"/>
          </w:tcPr>
          <w:p w14:paraId="720E983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27 (62.8)</w:t>
            </w:r>
          </w:p>
        </w:tc>
        <w:tc>
          <w:tcPr>
            <w:tcW w:w="1275" w:type="dxa"/>
            <w:tcBorders>
              <w:top w:val="nil"/>
              <w:left w:val="nil"/>
              <w:bottom w:val="nil"/>
              <w:right w:val="nil"/>
            </w:tcBorders>
            <w:vAlign w:val="center"/>
          </w:tcPr>
          <w:p w14:paraId="34F3398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26 (7.03</w:t>
            </w:r>
          </w:p>
        </w:tc>
      </w:tr>
      <w:tr w:rsidR="00F24F47" w:rsidRPr="00DE61C5" w14:paraId="72EED31B" w14:textId="77777777" w:rsidTr="00347C04">
        <w:trPr>
          <w:trHeight w:val="289"/>
        </w:trPr>
        <w:tc>
          <w:tcPr>
            <w:tcW w:w="3402" w:type="dxa"/>
            <w:tcBorders>
              <w:top w:val="nil"/>
              <w:left w:val="nil"/>
              <w:bottom w:val="nil"/>
              <w:right w:val="nil"/>
            </w:tcBorders>
            <w:shd w:val="clear" w:color="auto" w:fill="auto"/>
            <w:noWrap/>
            <w:vAlign w:val="center"/>
            <w:hideMark/>
          </w:tcPr>
          <w:p w14:paraId="009B237B"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Research and development</w:t>
            </w:r>
          </w:p>
        </w:tc>
        <w:tc>
          <w:tcPr>
            <w:tcW w:w="1418" w:type="dxa"/>
            <w:tcBorders>
              <w:top w:val="nil"/>
              <w:left w:val="nil"/>
              <w:bottom w:val="nil"/>
              <w:right w:val="nil"/>
            </w:tcBorders>
            <w:shd w:val="clear" w:color="auto" w:fill="auto"/>
            <w:noWrap/>
            <w:vAlign w:val="center"/>
            <w:hideMark/>
          </w:tcPr>
          <w:p w14:paraId="5AACD70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12 (42.9)</w:t>
            </w:r>
          </w:p>
        </w:tc>
        <w:tc>
          <w:tcPr>
            <w:tcW w:w="1559" w:type="dxa"/>
            <w:tcBorders>
              <w:top w:val="nil"/>
              <w:left w:val="nil"/>
              <w:bottom w:val="nil"/>
              <w:right w:val="nil"/>
            </w:tcBorders>
            <w:shd w:val="clear" w:color="auto" w:fill="auto"/>
            <w:noWrap/>
            <w:vAlign w:val="center"/>
            <w:hideMark/>
          </w:tcPr>
          <w:p w14:paraId="33C34F3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13 (44.8)</w:t>
            </w:r>
          </w:p>
        </w:tc>
        <w:tc>
          <w:tcPr>
            <w:tcW w:w="1418" w:type="dxa"/>
            <w:tcBorders>
              <w:top w:val="nil"/>
              <w:left w:val="nil"/>
              <w:bottom w:val="nil"/>
              <w:right w:val="nil"/>
            </w:tcBorders>
            <w:vAlign w:val="center"/>
          </w:tcPr>
          <w:p w14:paraId="66C1C99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20 (46.5)</w:t>
            </w:r>
          </w:p>
        </w:tc>
        <w:tc>
          <w:tcPr>
            <w:tcW w:w="1275" w:type="dxa"/>
            <w:tcBorders>
              <w:top w:val="nil"/>
              <w:left w:val="nil"/>
              <w:bottom w:val="nil"/>
              <w:right w:val="nil"/>
            </w:tcBorders>
            <w:vAlign w:val="center"/>
          </w:tcPr>
          <w:p w14:paraId="335F87F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17 (45.9)</w:t>
            </w:r>
          </w:p>
        </w:tc>
      </w:tr>
      <w:tr w:rsidR="00F24F47" w:rsidRPr="00DE61C5" w14:paraId="08178DB4" w14:textId="77777777" w:rsidTr="00347C04">
        <w:trPr>
          <w:trHeight w:val="289"/>
        </w:trPr>
        <w:tc>
          <w:tcPr>
            <w:tcW w:w="3402" w:type="dxa"/>
            <w:tcBorders>
              <w:top w:val="nil"/>
              <w:left w:val="nil"/>
              <w:bottom w:val="nil"/>
              <w:right w:val="nil"/>
            </w:tcBorders>
            <w:shd w:val="clear" w:color="auto" w:fill="auto"/>
            <w:noWrap/>
            <w:vAlign w:val="center"/>
            <w:hideMark/>
          </w:tcPr>
          <w:p w14:paraId="4F25B99B"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Industry</w:t>
            </w:r>
          </w:p>
        </w:tc>
        <w:tc>
          <w:tcPr>
            <w:tcW w:w="1418" w:type="dxa"/>
            <w:tcBorders>
              <w:top w:val="nil"/>
              <w:left w:val="nil"/>
              <w:bottom w:val="nil"/>
              <w:right w:val="nil"/>
            </w:tcBorders>
            <w:shd w:val="clear" w:color="auto" w:fill="auto"/>
            <w:noWrap/>
            <w:vAlign w:val="center"/>
            <w:hideMark/>
          </w:tcPr>
          <w:p w14:paraId="754E407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3 (10.7)</w:t>
            </w:r>
          </w:p>
        </w:tc>
        <w:tc>
          <w:tcPr>
            <w:tcW w:w="1559" w:type="dxa"/>
            <w:tcBorders>
              <w:top w:val="nil"/>
              <w:left w:val="nil"/>
              <w:bottom w:val="nil"/>
              <w:right w:val="nil"/>
            </w:tcBorders>
            <w:shd w:val="clear" w:color="auto" w:fill="auto"/>
            <w:noWrap/>
            <w:vAlign w:val="center"/>
            <w:hideMark/>
          </w:tcPr>
          <w:p w14:paraId="560B977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1 (3.4)</w:t>
            </w:r>
          </w:p>
        </w:tc>
        <w:tc>
          <w:tcPr>
            <w:tcW w:w="1418" w:type="dxa"/>
            <w:tcBorders>
              <w:top w:val="nil"/>
              <w:left w:val="nil"/>
              <w:bottom w:val="nil"/>
              <w:right w:val="nil"/>
            </w:tcBorders>
            <w:vAlign w:val="center"/>
          </w:tcPr>
          <w:p w14:paraId="15BF0E8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val="en-US" w:eastAsia="nl-BE"/>
              </w:rPr>
              <w:t>4 (9.</w:t>
            </w:r>
            <w:r w:rsidRPr="00DE61C5">
              <w:rPr>
                <w:rFonts w:asciiTheme="majorBidi" w:eastAsia="Times New Roman" w:hAnsiTheme="majorBidi" w:cstheme="majorBidi"/>
                <w:color w:val="000000"/>
                <w:sz w:val="20"/>
                <w:szCs w:val="20"/>
                <w:lang w:eastAsia="nl-BE"/>
              </w:rPr>
              <w:t>3)</w:t>
            </w:r>
          </w:p>
        </w:tc>
        <w:tc>
          <w:tcPr>
            <w:tcW w:w="1275" w:type="dxa"/>
            <w:tcBorders>
              <w:top w:val="nil"/>
              <w:left w:val="nil"/>
              <w:bottom w:val="nil"/>
              <w:right w:val="nil"/>
            </w:tcBorders>
            <w:vAlign w:val="center"/>
          </w:tcPr>
          <w:p w14:paraId="5D9DC19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(8.1)</w:t>
            </w:r>
          </w:p>
        </w:tc>
      </w:tr>
      <w:tr w:rsidR="00F24F47" w:rsidRPr="00DE61C5" w14:paraId="4F33D44E" w14:textId="77777777" w:rsidTr="00347C04">
        <w:trPr>
          <w:trHeight w:val="289"/>
        </w:trPr>
        <w:tc>
          <w:tcPr>
            <w:tcW w:w="3402" w:type="dxa"/>
            <w:tcBorders>
              <w:top w:val="nil"/>
              <w:left w:val="nil"/>
              <w:bottom w:val="nil"/>
              <w:right w:val="nil"/>
            </w:tcBorders>
            <w:shd w:val="clear" w:color="auto" w:fill="auto"/>
            <w:noWrap/>
            <w:vAlign w:val="center"/>
            <w:hideMark/>
          </w:tcPr>
          <w:p w14:paraId="0AA3E472"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Other</w:t>
            </w:r>
          </w:p>
        </w:tc>
        <w:tc>
          <w:tcPr>
            <w:tcW w:w="1418" w:type="dxa"/>
            <w:tcBorders>
              <w:top w:val="nil"/>
              <w:left w:val="nil"/>
              <w:bottom w:val="nil"/>
              <w:right w:val="nil"/>
            </w:tcBorders>
            <w:shd w:val="clear" w:color="auto" w:fill="auto"/>
            <w:noWrap/>
            <w:vAlign w:val="center"/>
            <w:hideMark/>
          </w:tcPr>
          <w:p w14:paraId="4C7FA9C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(7.1)</w:t>
            </w:r>
          </w:p>
        </w:tc>
        <w:tc>
          <w:tcPr>
            <w:tcW w:w="1559" w:type="dxa"/>
            <w:tcBorders>
              <w:top w:val="nil"/>
              <w:left w:val="nil"/>
              <w:bottom w:val="nil"/>
              <w:right w:val="nil"/>
            </w:tcBorders>
            <w:shd w:val="clear" w:color="auto" w:fill="auto"/>
            <w:noWrap/>
            <w:vAlign w:val="center"/>
            <w:hideMark/>
          </w:tcPr>
          <w:p w14:paraId="58A1124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3646351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(4.7)</w:t>
            </w:r>
          </w:p>
        </w:tc>
        <w:tc>
          <w:tcPr>
            <w:tcW w:w="1275" w:type="dxa"/>
            <w:tcBorders>
              <w:top w:val="nil"/>
              <w:left w:val="nil"/>
              <w:bottom w:val="nil"/>
              <w:right w:val="nil"/>
            </w:tcBorders>
            <w:vAlign w:val="center"/>
          </w:tcPr>
          <w:p w14:paraId="3E6F4EE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(5.4)</w:t>
            </w:r>
          </w:p>
        </w:tc>
      </w:tr>
      <w:tr w:rsidR="00F24F47" w:rsidRPr="00DE61C5" w14:paraId="58C6DD68" w14:textId="77777777" w:rsidTr="00347C04">
        <w:trPr>
          <w:trHeight w:val="289"/>
        </w:trPr>
        <w:tc>
          <w:tcPr>
            <w:tcW w:w="3402" w:type="dxa"/>
            <w:tcBorders>
              <w:top w:val="nil"/>
              <w:left w:val="nil"/>
              <w:bottom w:val="nil"/>
              <w:right w:val="nil"/>
            </w:tcBorders>
            <w:shd w:val="clear" w:color="auto" w:fill="auto"/>
            <w:noWrap/>
            <w:vAlign w:val="center"/>
            <w:hideMark/>
          </w:tcPr>
          <w:p w14:paraId="126497FE" w14:textId="77777777" w:rsidR="00F24F47" w:rsidRPr="00DE61C5" w:rsidRDefault="00F24F47" w:rsidP="0068515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Field of work</w:t>
            </w:r>
            <w:r>
              <w:rPr>
                <w:rFonts w:asciiTheme="majorBidi" w:eastAsia="Times New Roman" w:hAnsiTheme="majorBidi" w:cstheme="majorBidi"/>
                <w:b/>
                <w:bCs/>
                <w:color w:val="000000"/>
                <w:sz w:val="20"/>
                <w:szCs w:val="20"/>
                <w:lang w:eastAsia="nl-BE"/>
              </w:rPr>
              <w:t xml:space="preserve"> </w:t>
            </w:r>
            <w:r w:rsidRPr="0068515F">
              <w:rPr>
                <w:rFonts w:asciiTheme="majorBidi" w:hAnsiTheme="majorBidi" w:cstheme="majorBidi"/>
                <w:color w:val="FF0000"/>
                <w:sz w:val="20"/>
                <w:szCs w:val="20"/>
                <w:vertAlign w:val="superscript"/>
                <w:lang w:val="en-US"/>
              </w:rPr>
              <w:t>§</w:t>
            </w:r>
          </w:p>
        </w:tc>
        <w:tc>
          <w:tcPr>
            <w:tcW w:w="1418" w:type="dxa"/>
            <w:tcBorders>
              <w:top w:val="nil"/>
              <w:left w:val="nil"/>
              <w:bottom w:val="nil"/>
              <w:right w:val="nil"/>
            </w:tcBorders>
            <w:shd w:val="clear" w:color="auto" w:fill="auto"/>
            <w:noWrap/>
            <w:vAlign w:val="center"/>
            <w:hideMark/>
          </w:tcPr>
          <w:p w14:paraId="3827B514"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559" w:type="dxa"/>
            <w:tcBorders>
              <w:top w:val="nil"/>
              <w:left w:val="nil"/>
              <w:bottom w:val="nil"/>
              <w:right w:val="nil"/>
            </w:tcBorders>
            <w:shd w:val="clear" w:color="auto" w:fill="auto"/>
            <w:noWrap/>
            <w:vAlign w:val="center"/>
            <w:hideMark/>
          </w:tcPr>
          <w:p w14:paraId="665A96E1"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418" w:type="dxa"/>
            <w:tcBorders>
              <w:top w:val="nil"/>
              <w:left w:val="nil"/>
              <w:bottom w:val="nil"/>
              <w:right w:val="nil"/>
            </w:tcBorders>
            <w:vAlign w:val="center"/>
          </w:tcPr>
          <w:p w14:paraId="3C5B350B"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c>
          <w:tcPr>
            <w:tcW w:w="1275" w:type="dxa"/>
            <w:tcBorders>
              <w:top w:val="nil"/>
              <w:left w:val="nil"/>
              <w:bottom w:val="nil"/>
              <w:right w:val="nil"/>
            </w:tcBorders>
            <w:vAlign w:val="center"/>
          </w:tcPr>
          <w:p w14:paraId="120EB1C7" w14:textId="77777777" w:rsidR="00F24F47" w:rsidRPr="00DE61C5" w:rsidRDefault="00F24F47" w:rsidP="00E178EF">
            <w:pPr>
              <w:spacing w:after="0" w:line="240" w:lineRule="auto"/>
              <w:jc w:val="center"/>
              <w:rPr>
                <w:rFonts w:asciiTheme="majorBidi" w:eastAsia="Times New Roman" w:hAnsiTheme="majorBidi" w:cstheme="majorBidi"/>
                <w:sz w:val="20"/>
                <w:szCs w:val="20"/>
                <w:lang w:eastAsia="nl-BE"/>
              </w:rPr>
            </w:pPr>
          </w:p>
        </w:tc>
      </w:tr>
      <w:tr w:rsidR="00F24F47" w:rsidRPr="00DE61C5" w14:paraId="2459436B" w14:textId="77777777" w:rsidTr="00347C04">
        <w:trPr>
          <w:trHeight w:val="289"/>
        </w:trPr>
        <w:tc>
          <w:tcPr>
            <w:tcW w:w="3402" w:type="dxa"/>
            <w:tcBorders>
              <w:top w:val="nil"/>
              <w:left w:val="nil"/>
              <w:bottom w:val="nil"/>
              <w:right w:val="nil"/>
            </w:tcBorders>
            <w:shd w:val="clear" w:color="auto" w:fill="auto"/>
            <w:noWrap/>
            <w:vAlign w:val="center"/>
            <w:hideMark/>
          </w:tcPr>
          <w:p w14:paraId="6028CEDF"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General medicine</w:t>
            </w:r>
          </w:p>
        </w:tc>
        <w:tc>
          <w:tcPr>
            <w:tcW w:w="1418" w:type="dxa"/>
            <w:tcBorders>
              <w:top w:val="nil"/>
              <w:left w:val="nil"/>
              <w:bottom w:val="nil"/>
              <w:right w:val="nil"/>
            </w:tcBorders>
            <w:shd w:val="clear" w:color="auto" w:fill="auto"/>
            <w:noWrap/>
            <w:vAlign w:val="center"/>
            <w:hideMark/>
          </w:tcPr>
          <w:p w14:paraId="1895370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(7.1)</w:t>
            </w:r>
          </w:p>
        </w:tc>
        <w:tc>
          <w:tcPr>
            <w:tcW w:w="1559" w:type="dxa"/>
            <w:tcBorders>
              <w:top w:val="nil"/>
              <w:left w:val="nil"/>
              <w:bottom w:val="nil"/>
              <w:right w:val="nil"/>
            </w:tcBorders>
            <w:shd w:val="clear" w:color="auto" w:fill="auto"/>
            <w:noWrap/>
            <w:vAlign w:val="center"/>
            <w:hideMark/>
          </w:tcPr>
          <w:p w14:paraId="2F6CBE3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79CB1AE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(4.7)</w:t>
            </w:r>
          </w:p>
        </w:tc>
        <w:tc>
          <w:tcPr>
            <w:tcW w:w="1275" w:type="dxa"/>
            <w:tcBorders>
              <w:top w:val="nil"/>
              <w:left w:val="nil"/>
              <w:bottom w:val="nil"/>
              <w:right w:val="nil"/>
            </w:tcBorders>
            <w:vAlign w:val="center"/>
          </w:tcPr>
          <w:p w14:paraId="7FD4DE1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(5.4)</w:t>
            </w:r>
          </w:p>
        </w:tc>
      </w:tr>
      <w:tr w:rsidR="00F24F47" w:rsidRPr="00DE61C5" w14:paraId="1D893978" w14:textId="77777777" w:rsidTr="00347C04">
        <w:trPr>
          <w:trHeight w:val="289"/>
        </w:trPr>
        <w:tc>
          <w:tcPr>
            <w:tcW w:w="3402" w:type="dxa"/>
            <w:tcBorders>
              <w:top w:val="nil"/>
              <w:left w:val="nil"/>
              <w:bottom w:val="nil"/>
              <w:right w:val="nil"/>
            </w:tcBorders>
            <w:shd w:val="clear" w:color="auto" w:fill="auto"/>
            <w:noWrap/>
            <w:vAlign w:val="center"/>
            <w:hideMark/>
          </w:tcPr>
          <w:p w14:paraId="0F7C2DBA"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Nursing</w:t>
            </w:r>
          </w:p>
        </w:tc>
        <w:tc>
          <w:tcPr>
            <w:tcW w:w="1418" w:type="dxa"/>
            <w:tcBorders>
              <w:top w:val="nil"/>
              <w:left w:val="nil"/>
              <w:bottom w:val="nil"/>
              <w:right w:val="nil"/>
            </w:tcBorders>
            <w:shd w:val="clear" w:color="auto" w:fill="auto"/>
            <w:noWrap/>
            <w:vAlign w:val="center"/>
            <w:hideMark/>
          </w:tcPr>
          <w:p w14:paraId="29F2E17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15 (53.6)</w:t>
            </w:r>
          </w:p>
        </w:tc>
        <w:tc>
          <w:tcPr>
            <w:tcW w:w="1559" w:type="dxa"/>
            <w:tcBorders>
              <w:top w:val="nil"/>
              <w:left w:val="nil"/>
              <w:bottom w:val="nil"/>
              <w:right w:val="nil"/>
            </w:tcBorders>
            <w:shd w:val="clear" w:color="auto" w:fill="auto"/>
            <w:noWrap/>
            <w:vAlign w:val="center"/>
            <w:hideMark/>
          </w:tcPr>
          <w:p w14:paraId="65C10C4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21 (72.4)</w:t>
            </w:r>
          </w:p>
        </w:tc>
        <w:tc>
          <w:tcPr>
            <w:tcW w:w="1418" w:type="dxa"/>
            <w:tcBorders>
              <w:top w:val="nil"/>
              <w:left w:val="nil"/>
              <w:bottom w:val="nil"/>
              <w:right w:val="nil"/>
            </w:tcBorders>
            <w:vAlign w:val="center"/>
          </w:tcPr>
          <w:p w14:paraId="3A006BB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28 (65.1)</w:t>
            </w:r>
          </w:p>
        </w:tc>
        <w:tc>
          <w:tcPr>
            <w:tcW w:w="1275" w:type="dxa"/>
            <w:tcBorders>
              <w:top w:val="nil"/>
              <w:left w:val="nil"/>
              <w:bottom w:val="nil"/>
              <w:right w:val="nil"/>
            </w:tcBorders>
            <w:vAlign w:val="center"/>
          </w:tcPr>
          <w:p w14:paraId="3D310B3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27 (73.0)</w:t>
            </w:r>
          </w:p>
        </w:tc>
      </w:tr>
      <w:tr w:rsidR="00F24F47" w:rsidRPr="00DE61C5" w14:paraId="4B2D79E4" w14:textId="77777777" w:rsidTr="00347C04">
        <w:trPr>
          <w:trHeight w:val="289"/>
        </w:trPr>
        <w:tc>
          <w:tcPr>
            <w:tcW w:w="3402" w:type="dxa"/>
            <w:tcBorders>
              <w:top w:val="nil"/>
              <w:left w:val="nil"/>
              <w:bottom w:val="nil"/>
              <w:right w:val="nil"/>
            </w:tcBorders>
            <w:shd w:val="clear" w:color="auto" w:fill="auto"/>
            <w:noWrap/>
            <w:vAlign w:val="center"/>
            <w:hideMark/>
          </w:tcPr>
          <w:p w14:paraId="346E724F"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Dermatology</w:t>
            </w:r>
          </w:p>
        </w:tc>
        <w:tc>
          <w:tcPr>
            <w:tcW w:w="1418" w:type="dxa"/>
            <w:tcBorders>
              <w:top w:val="nil"/>
              <w:left w:val="nil"/>
              <w:bottom w:val="nil"/>
              <w:right w:val="nil"/>
            </w:tcBorders>
            <w:shd w:val="clear" w:color="auto" w:fill="auto"/>
            <w:noWrap/>
            <w:vAlign w:val="center"/>
            <w:hideMark/>
          </w:tcPr>
          <w:p w14:paraId="0C23FFA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(14.3)</w:t>
            </w:r>
          </w:p>
        </w:tc>
        <w:tc>
          <w:tcPr>
            <w:tcW w:w="1559" w:type="dxa"/>
            <w:tcBorders>
              <w:top w:val="nil"/>
              <w:left w:val="nil"/>
              <w:bottom w:val="nil"/>
              <w:right w:val="nil"/>
            </w:tcBorders>
            <w:shd w:val="clear" w:color="auto" w:fill="auto"/>
            <w:noWrap/>
            <w:vAlign w:val="center"/>
            <w:hideMark/>
          </w:tcPr>
          <w:p w14:paraId="5C13003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(20.7)</w:t>
            </w:r>
          </w:p>
        </w:tc>
        <w:tc>
          <w:tcPr>
            <w:tcW w:w="1418" w:type="dxa"/>
            <w:tcBorders>
              <w:top w:val="nil"/>
              <w:left w:val="nil"/>
              <w:bottom w:val="nil"/>
              <w:right w:val="nil"/>
            </w:tcBorders>
            <w:vAlign w:val="center"/>
          </w:tcPr>
          <w:p w14:paraId="5FFCC67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9 (20.9)</w:t>
            </w:r>
          </w:p>
        </w:tc>
        <w:tc>
          <w:tcPr>
            <w:tcW w:w="1275" w:type="dxa"/>
            <w:tcBorders>
              <w:top w:val="nil"/>
              <w:left w:val="nil"/>
              <w:bottom w:val="nil"/>
              <w:right w:val="nil"/>
            </w:tcBorders>
            <w:vAlign w:val="center"/>
          </w:tcPr>
          <w:p w14:paraId="7F57178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(13.5)</w:t>
            </w:r>
          </w:p>
        </w:tc>
      </w:tr>
      <w:tr w:rsidR="00F24F47" w:rsidRPr="00DE61C5" w14:paraId="0B915A3D" w14:textId="77777777" w:rsidTr="00347C04">
        <w:trPr>
          <w:trHeight w:val="289"/>
        </w:trPr>
        <w:tc>
          <w:tcPr>
            <w:tcW w:w="3402" w:type="dxa"/>
            <w:tcBorders>
              <w:top w:val="nil"/>
              <w:left w:val="nil"/>
              <w:bottom w:val="nil"/>
              <w:right w:val="nil"/>
            </w:tcBorders>
            <w:shd w:val="clear" w:color="auto" w:fill="auto"/>
            <w:noWrap/>
            <w:vAlign w:val="center"/>
            <w:hideMark/>
          </w:tcPr>
          <w:p w14:paraId="2AAA0B5A"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Wound care</w:t>
            </w:r>
          </w:p>
        </w:tc>
        <w:tc>
          <w:tcPr>
            <w:tcW w:w="1418" w:type="dxa"/>
            <w:tcBorders>
              <w:top w:val="nil"/>
              <w:left w:val="nil"/>
              <w:bottom w:val="nil"/>
              <w:right w:val="nil"/>
            </w:tcBorders>
            <w:shd w:val="clear" w:color="auto" w:fill="auto"/>
            <w:noWrap/>
            <w:vAlign w:val="center"/>
            <w:hideMark/>
          </w:tcPr>
          <w:p w14:paraId="5882484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17 (60.7)</w:t>
            </w:r>
          </w:p>
        </w:tc>
        <w:tc>
          <w:tcPr>
            <w:tcW w:w="1559" w:type="dxa"/>
            <w:tcBorders>
              <w:top w:val="nil"/>
              <w:left w:val="nil"/>
              <w:bottom w:val="nil"/>
              <w:right w:val="nil"/>
            </w:tcBorders>
            <w:shd w:val="clear" w:color="auto" w:fill="auto"/>
            <w:noWrap/>
            <w:vAlign w:val="center"/>
            <w:hideMark/>
          </w:tcPr>
          <w:p w14:paraId="191B715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18 (62.1)</w:t>
            </w:r>
          </w:p>
        </w:tc>
        <w:tc>
          <w:tcPr>
            <w:tcW w:w="1418" w:type="dxa"/>
            <w:tcBorders>
              <w:top w:val="nil"/>
              <w:left w:val="nil"/>
              <w:bottom w:val="nil"/>
              <w:right w:val="nil"/>
            </w:tcBorders>
            <w:vAlign w:val="center"/>
          </w:tcPr>
          <w:p w14:paraId="4CD7A3C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26 (60.5)</w:t>
            </w:r>
          </w:p>
        </w:tc>
        <w:tc>
          <w:tcPr>
            <w:tcW w:w="1275" w:type="dxa"/>
            <w:tcBorders>
              <w:top w:val="nil"/>
              <w:left w:val="nil"/>
              <w:bottom w:val="nil"/>
              <w:right w:val="nil"/>
            </w:tcBorders>
            <w:vAlign w:val="center"/>
          </w:tcPr>
          <w:p w14:paraId="07B37B6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21 (56.8)</w:t>
            </w:r>
          </w:p>
        </w:tc>
      </w:tr>
      <w:tr w:rsidR="00F24F47" w:rsidRPr="00DE61C5" w14:paraId="7F20E0F0" w14:textId="77777777" w:rsidTr="00347C04">
        <w:trPr>
          <w:trHeight w:val="289"/>
        </w:trPr>
        <w:tc>
          <w:tcPr>
            <w:tcW w:w="3402" w:type="dxa"/>
            <w:tcBorders>
              <w:top w:val="nil"/>
              <w:left w:val="nil"/>
              <w:bottom w:val="nil"/>
              <w:right w:val="nil"/>
            </w:tcBorders>
            <w:shd w:val="clear" w:color="auto" w:fill="auto"/>
            <w:noWrap/>
            <w:vAlign w:val="center"/>
            <w:hideMark/>
          </w:tcPr>
          <w:p w14:paraId="623F7E65" w14:textId="77777777" w:rsidR="00F24F47" w:rsidRPr="00405CE1"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405CE1">
              <w:rPr>
                <w:rFonts w:asciiTheme="majorBidi" w:eastAsia="Times New Roman" w:hAnsiTheme="majorBidi" w:cstheme="majorBidi"/>
                <w:color w:val="000000"/>
                <w:sz w:val="20"/>
                <w:szCs w:val="20"/>
                <w:lang w:eastAsia="nl-BE"/>
              </w:rPr>
              <w:t>Psychology</w:t>
            </w:r>
          </w:p>
        </w:tc>
        <w:tc>
          <w:tcPr>
            <w:tcW w:w="1418" w:type="dxa"/>
            <w:tcBorders>
              <w:top w:val="nil"/>
              <w:left w:val="nil"/>
              <w:bottom w:val="nil"/>
              <w:right w:val="nil"/>
            </w:tcBorders>
            <w:shd w:val="clear" w:color="auto" w:fill="auto"/>
            <w:noWrap/>
            <w:vAlign w:val="center"/>
            <w:hideMark/>
          </w:tcPr>
          <w:p w14:paraId="38E0D749" w14:textId="77777777" w:rsidR="00F24F47" w:rsidRPr="00405CE1"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405CE1">
              <w:rPr>
                <w:rFonts w:asciiTheme="majorBidi" w:eastAsia="Times New Roman" w:hAnsiTheme="majorBidi" w:cstheme="majorBidi"/>
                <w:color w:val="000000"/>
                <w:sz w:val="20"/>
                <w:szCs w:val="20"/>
                <w:lang w:eastAsia="nl-BE"/>
              </w:rPr>
              <w:t>0 (0.0)</w:t>
            </w:r>
          </w:p>
        </w:tc>
        <w:tc>
          <w:tcPr>
            <w:tcW w:w="1559" w:type="dxa"/>
            <w:tcBorders>
              <w:top w:val="nil"/>
              <w:left w:val="nil"/>
              <w:bottom w:val="nil"/>
              <w:right w:val="nil"/>
            </w:tcBorders>
            <w:shd w:val="clear" w:color="auto" w:fill="auto"/>
            <w:noWrap/>
            <w:vAlign w:val="center"/>
            <w:hideMark/>
          </w:tcPr>
          <w:p w14:paraId="24AFE942" w14:textId="77777777" w:rsidR="00F24F47" w:rsidRPr="00405CE1"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405CE1">
              <w:rPr>
                <w:rFonts w:asciiTheme="majorBidi" w:eastAsia="Times New Roman" w:hAnsiTheme="majorBidi" w:cstheme="majorBidi"/>
                <w:color w:val="000000"/>
                <w:sz w:val="20"/>
                <w:szCs w:val="20"/>
                <w:lang w:eastAsia="nl-BE"/>
              </w:rPr>
              <w:t>0 (0.0)</w:t>
            </w:r>
          </w:p>
        </w:tc>
        <w:tc>
          <w:tcPr>
            <w:tcW w:w="1418" w:type="dxa"/>
            <w:tcBorders>
              <w:top w:val="nil"/>
              <w:left w:val="nil"/>
              <w:bottom w:val="nil"/>
              <w:right w:val="nil"/>
            </w:tcBorders>
            <w:shd w:val="clear" w:color="auto" w:fill="auto"/>
            <w:vAlign w:val="center"/>
          </w:tcPr>
          <w:p w14:paraId="0B94455F" w14:textId="77777777" w:rsidR="00F24F47" w:rsidRPr="00405CE1"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405CE1">
              <w:rPr>
                <w:rFonts w:asciiTheme="majorBidi" w:eastAsia="Times New Roman" w:hAnsiTheme="majorBidi" w:cstheme="majorBidi"/>
                <w:color w:val="000000"/>
                <w:sz w:val="20"/>
                <w:szCs w:val="20"/>
                <w:lang w:eastAsia="nl-BE"/>
              </w:rPr>
              <w:t>0 (0.0)</w:t>
            </w:r>
          </w:p>
        </w:tc>
        <w:tc>
          <w:tcPr>
            <w:tcW w:w="1275" w:type="dxa"/>
            <w:tcBorders>
              <w:top w:val="nil"/>
              <w:left w:val="nil"/>
              <w:bottom w:val="nil"/>
              <w:right w:val="nil"/>
            </w:tcBorders>
            <w:shd w:val="clear" w:color="auto" w:fill="auto"/>
            <w:vAlign w:val="center"/>
          </w:tcPr>
          <w:p w14:paraId="5236106C" w14:textId="77777777" w:rsidR="00F24F47" w:rsidRPr="00405CE1"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405CE1">
              <w:rPr>
                <w:rFonts w:asciiTheme="majorBidi" w:eastAsia="Times New Roman" w:hAnsiTheme="majorBidi" w:cstheme="majorBidi"/>
                <w:color w:val="000000"/>
                <w:sz w:val="20"/>
                <w:szCs w:val="20"/>
                <w:lang w:eastAsia="nl-BE"/>
              </w:rPr>
              <w:t>0 (0.0)</w:t>
            </w:r>
          </w:p>
        </w:tc>
      </w:tr>
      <w:tr w:rsidR="00F24F47" w:rsidRPr="00DE61C5" w14:paraId="0FF72679" w14:textId="77777777" w:rsidTr="00347C04">
        <w:trPr>
          <w:trHeight w:val="289"/>
        </w:trPr>
        <w:tc>
          <w:tcPr>
            <w:tcW w:w="3402" w:type="dxa"/>
            <w:tcBorders>
              <w:top w:val="nil"/>
              <w:left w:val="nil"/>
              <w:bottom w:val="nil"/>
              <w:right w:val="nil"/>
            </w:tcBorders>
            <w:shd w:val="clear" w:color="auto" w:fill="auto"/>
            <w:noWrap/>
            <w:vAlign w:val="center"/>
            <w:hideMark/>
          </w:tcPr>
          <w:p w14:paraId="2B6251FF"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Geriatrics</w:t>
            </w:r>
          </w:p>
        </w:tc>
        <w:tc>
          <w:tcPr>
            <w:tcW w:w="1418" w:type="dxa"/>
            <w:tcBorders>
              <w:top w:val="nil"/>
              <w:left w:val="nil"/>
              <w:bottom w:val="nil"/>
              <w:right w:val="nil"/>
            </w:tcBorders>
            <w:shd w:val="clear" w:color="auto" w:fill="auto"/>
            <w:noWrap/>
            <w:vAlign w:val="center"/>
            <w:hideMark/>
          </w:tcPr>
          <w:p w14:paraId="75F0726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(14.3)</w:t>
            </w:r>
          </w:p>
        </w:tc>
        <w:tc>
          <w:tcPr>
            <w:tcW w:w="1559" w:type="dxa"/>
            <w:tcBorders>
              <w:top w:val="nil"/>
              <w:left w:val="nil"/>
              <w:bottom w:val="nil"/>
              <w:right w:val="nil"/>
            </w:tcBorders>
            <w:shd w:val="clear" w:color="auto" w:fill="auto"/>
            <w:noWrap/>
            <w:vAlign w:val="center"/>
            <w:hideMark/>
          </w:tcPr>
          <w:p w14:paraId="2461162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(13.8)</w:t>
            </w:r>
          </w:p>
        </w:tc>
        <w:tc>
          <w:tcPr>
            <w:tcW w:w="1418" w:type="dxa"/>
            <w:tcBorders>
              <w:top w:val="nil"/>
              <w:left w:val="nil"/>
              <w:bottom w:val="nil"/>
              <w:right w:val="nil"/>
            </w:tcBorders>
            <w:vAlign w:val="center"/>
          </w:tcPr>
          <w:p w14:paraId="3B9AEBF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(11.6)</w:t>
            </w:r>
          </w:p>
        </w:tc>
        <w:tc>
          <w:tcPr>
            <w:tcW w:w="1275" w:type="dxa"/>
            <w:tcBorders>
              <w:top w:val="nil"/>
              <w:left w:val="nil"/>
              <w:bottom w:val="nil"/>
              <w:right w:val="nil"/>
            </w:tcBorders>
            <w:vAlign w:val="center"/>
          </w:tcPr>
          <w:p w14:paraId="415C60B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(13.5)</w:t>
            </w:r>
          </w:p>
        </w:tc>
      </w:tr>
      <w:tr w:rsidR="00F24F47" w:rsidRPr="00DE61C5" w14:paraId="40DBE690" w14:textId="77777777" w:rsidTr="00347C04">
        <w:trPr>
          <w:trHeight w:val="289"/>
        </w:trPr>
        <w:tc>
          <w:tcPr>
            <w:tcW w:w="3402" w:type="dxa"/>
            <w:tcBorders>
              <w:top w:val="nil"/>
              <w:left w:val="nil"/>
              <w:bottom w:val="nil"/>
              <w:right w:val="nil"/>
            </w:tcBorders>
            <w:shd w:val="clear" w:color="auto" w:fill="auto"/>
            <w:noWrap/>
            <w:vAlign w:val="center"/>
            <w:hideMark/>
          </w:tcPr>
          <w:p w14:paraId="178BA934"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Education</w:t>
            </w:r>
          </w:p>
        </w:tc>
        <w:tc>
          <w:tcPr>
            <w:tcW w:w="1418" w:type="dxa"/>
            <w:tcBorders>
              <w:top w:val="nil"/>
              <w:left w:val="nil"/>
              <w:bottom w:val="nil"/>
              <w:right w:val="nil"/>
            </w:tcBorders>
            <w:shd w:val="clear" w:color="auto" w:fill="auto"/>
            <w:noWrap/>
            <w:vAlign w:val="center"/>
            <w:hideMark/>
          </w:tcPr>
          <w:p w14:paraId="63E7010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9 (32.1)</w:t>
            </w:r>
          </w:p>
        </w:tc>
        <w:tc>
          <w:tcPr>
            <w:tcW w:w="1559" w:type="dxa"/>
            <w:tcBorders>
              <w:top w:val="nil"/>
              <w:left w:val="nil"/>
              <w:bottom w:val="nil"/>
              <w:right w:val="nil"/>
            </w:tcBorders>
            <w:shd w:val="clear" w:color="auto" w:fill="auto"/>
            <w:noWrap/>
            <w:vAlign w:val="center"/>
            <w:hideMark/>
          </w:tcPr>
          <w:p w14:paraId="301FAB9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16 (55.2)</w:t>
            </w:r>
          </w:p>
        </w:tc>
        <w:tc>
          <w:tcPr>
            <w:tcW w:w="1418" w:type="dxa"/>
            <w:tcBorders>
              <w:top w:val="nil"/>
              <w:left w:val="nil"/>
              <w:bottom w:val="nil"/>
              <w:right w:val="nil"/>
            </w:tcBorders>
            <w:vAlign w:val="center"/>
          </w:tcPr>
          <w:p w14:paraId="4A07446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21 (48.8)</w:t>
            </w:r>
          </w:p>
        </w:tc>
        <w:tc>
          <w:tcPr>
            <w:tcW w:w="1275" w:type="dxa"/>
            <w:tcBorders>
              <w:top w:val="nil"/>
              <w:left w:val="nil"/>
              <w:bottom w:val="nil"/>
              <w:right w:val="nil"/>
            </w:tcBorders>
            <w:vAlign w:val="center"/>
          </w:tcPr>
          <w:p w14:paraId="13D72CB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20 (54.1)</w:t>
            </w:r>
          </w:p>
        </w:tc>
      </w:tr>
      <w:tr w:rsidR="00F24F47" w:rsidRPr="00DE61C5" w14:paraId="556674D3" w14:textId="77777777" w:rsidTr="00347C04">
        <w:trPr>
          <w:trHeight w:val="289"/>
        </w:trPr>
        <w:tc>
          <w:tcPr>
            <w:tcW w:w="3402" w:type="dxa"/>
            <w:tcBorders>
              <w:top w:val="nil"/>
              <w:left w:val="nil"/>
              <w:bottom w:val="nil"/>
              <w:right w:val="nil"/>
            </w:tcBorders>
            <w:shd w:val="clear" w:color="auto" w:fill="auto"/>
            <w:vAlign w:val="center"/>
            <w:hideMark/>
          </w:tcPr>
          <w:p w14:paraId="4F28F9FA"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Methodology / statistics</w:t>
            </w:r>
          </w:p>
        </w:tc>
        <w:tc>
          <w:tcPr>
            <w:tcW w:w="1418" w:type="dxa"/>
            <w:tcBorders>
              <w:top w:val="nil"/>
              <w:left w:val="nil"/>
              <w:bottom w:val="nil"/>
              <w:right w:val="nil"/>
            </w:tcBorders>
            <w:shd w:val="clear" w:color="auto" w:fill="auto"/>
            <w:noWrap/>
            <w:vAlign w:val="center"/>
            <w:hideMark/>
          </w:tcPr>
          <w:p w14:paraId="720AD99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(7.1)</w:t>
            </w:r>
          </w:p>
        </w:tc>
        <w:tc>
          <w:tcPr>
            <w:tcW w:w="1559" w:type="dxa"/>
            <w:tcBorders>
              <w:top w:val="nil"/>
              <w:left w:val="nil"/>
              <w:bottom w:val="nil"/>
              <w:right w:val="nil"/>
            </w:tcBorders>
            <w:shd w:val="clear" w:color="auto" w:fill="auto"/>
            <w:noWrap/>
            <w:vAlign w:val="center"/>
            <w:hideMark/>
          </w:tcPr>
          <w:p w14:paraId="254A53A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2F788A7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(7.0)</w:t>
            </w:r>
          </w:p>
        </w:tc>
        <w:tc>
          <w:tcPr>
            <w:tcW w:w="1275" w:type="dxa"/>
            <w:tcBorders>
              <w:top w:val="nil"/>
              <w:left w:val="nil"/>
              <w:bottom w:val="nil"/>
              <w:right w:val="nil"/>
            </w:tcBorders>
            <w:vAlign w:val="center"/>
          </w:tcPr>
          <w:p w14:paraId="3E6575D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(5.4)</w:t>
            </w:r>
          </w:p>
        </w:tc>
      </w:tr>
      <w:tr w:rsidR="00F24F47" w:rsidRPr="00DE61C5" w14:paraId="436323A8" w14:textId="77777777" w:rsidTr="00347C04">
        <w:trPr>
          <w:trHeight w:val="289"/>
        </w:trPr>
        <w:tc>
          <w:tcPr>
            <w:tcW w:w="3402" w:type="dxa"/>
            <w:tcBorders>
              <w:top w:val="nil"/>
              <w:left w:val="nil"/>
              <w:bottom w:val="nil"/>
              <w:right w:val="nil"/>
            </w:tcBorders>
            <w:shd w:val="clear" w:color="auto" w:fill="auto"/>
            <w:noWrap/>
            <w:vAlign w:val="center"/>
            <w:hideMark/>
          </w:tcPr>
          <w:p w14:paraId="569C9393"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Intensive care</w:t>
            </w:r>
          </w:p>
        </w:tc>
        <w:tc>
          <w:tcPr>
            <w:tcW w:w="1418" w:type="dxa"/>
            <w:tcBorders>
              <w:top w:val="nil"/>
              <w:left w:val="nil"/>
              <w:bottom w:val="nil"/>
              <w:right w:val="nil"/>
            </w:tcBorders>
            <w:shd w:val="clear" w:color="auto" w:fill="auto"/>
            <w:noWrap/>
            <w:vAlign w:val="center"/>
            <w:hideMark/>
          </w:tcPr>
          <w:p w14:paraId="4FD64ED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(17.9)</w:t>
            </w:r>
          </w:p>
        </w:tc>
        <w:tc>
          <w:tcPr>
            <w:tcW w:w="1559" w:type="dxa"/>
            <w:tcBorders>
              <w:top w:val="nil"/>
              <w:left w:val="nil"/>
              <w:bottom w:val="nil"/>
              <w:right w:val="nil"/>
            </w:tcBorders>
            <w:shd w:val="clear" w:color="auto" w:fill="auto"/>
            <w:noWrap/>
            <w:vAlign w:val="center"/>
            <w:hideMark/>
          </w:tcPr>
          <w:p w14:paraId="6B9B38D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(17.2)</w:t>
            </w:r>
          </w:p>
        </w:tc>
        <w:tc>
          <w:tcPr>
            <w:tcW w:w="1418" w:type="dxa"/>
            <w:tcBorders>
              <w:top w:val="nil"/>
              <w:left w:val="nil"/>
              <w:bottom w:val="nil"/>
              <w:right w:val="nil"/>
            </w:tcBorders>
            <w:vAlign w:val="center"/>
          </w:tcPr>
          <w:p w14:paraId="3CDF71E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(14.0)</w:t>
            </w:r>
          </w:p>
        </w:tc>
        <w:tc>
          <w:tcPr>
            <w:tcW w:w="1275" w:type="dxa"/>
            <w:tcBorders>
              <w:top w:val="nil"/>
              <w:left w:val="nil"/>
              <w:bottom w:val="nil"/>
              <w:right w:val="nil"/>
            </w:tcBorders>
            <w:vAlign w:val="center"/>
          </w:tcPr>
          <w:p w14:paraId="6322A6B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(16.2)</w:t>
            </w:r>
          </w:p>
        </w:tc>
      </w:tr>
      <w:tr w:rsidR="00F24F47" w:rsidRPr="00DE61C5" w14:paraId="7DA00BBA" w14:textId="77777777" w:rsidTr="00347C04">
        <w:trPr>
          <w:trHeight w:val="289"/>
        </w:trPr>
        <w:tc>
          <w:tcPr>
            <w:tcW w:w="3402" w:type="dxa"/>
            <w:tcBorders>
              <w:top w:val="nil"/>
              <w:left w:val="nil"/>
              <w:bottom w:val="nil"/>
              <w:right w:val="nil"/>
            </w:tcBorders>
            <w:shd w:val="clear" w:color="auto" w:fill="auto"/>
            <w:noWrap/>
            <w:vAlign w:val="center"/>
            <w:hideMark/>
          </w:tcPr>
          <w:p w14:paraId="4D5BC80F"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Long-term care</w:t>
            </w:r>
          </w:p>
        </w:tc>
        <w:tc>
          <w:tcPr>
            <w:tcW w:w="1418" w:type="dxa"/>
            <w:tcBorders>
              <w:top w:val="nil"/>
              <w:left w:val="nil"/>
              <w:bottom w:val="nil"/>
              <w:right w:val="nil"/>
            </w:tcBorders>
            <w:shd w:val="clear" w:color="auto" w:fill="auto"/>
            <w:noWrap/>
            <w:vAlign w:val="center"/>
            <w:hideMark/>
          </w:tcPr>
          <w:p w14:paraId="5516D41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(3.6)</w:t>
            </w:r>
          </w:p>
        </w:tc>
        <w:tc>
          <w:tcPr>
            <w:tcW w:w="1559" w:type="dxa"/>
            <w:tcBorders>
              <w:top w:val="nil"/>
              <w:left w:val="nil"/>
              <w:bottom w:val="nil"/>
              <w:right w:val="nil"/>
            </w:tcBorders>
            <w:shd w:val="clear" w:color="auto" w:fill="auto"/>
            <w:noWrap/>
            <w:vAlign w:val="center"/>
            <w:hideMark/>
          </w:tcPr>
          <w:p w14:paraId="67D3851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4 (13.8)</w:t>
            </w:r>
          </w:p>
        </w:tc>
        <w:tc>
          <w:tcPr>
            <w:tcW w:w="1418" w:type="dxa"/>
            <w:tcBorders>
              <w:top w:val="nil"/>
              <w:left w:val="nil"/>
              <w:bottom w:val="nil"/>
              <w:right w:val="nil"/>
            </w:tcBorders>
            <w:vAlign w:val="center"/>
          </w:tcPr>
          <w:p w14:paraId="38A5C48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(7.0)</w:t>
            </w:r>
          </w:p>
        </w:tc>
        <w:tc>
          <w:tcPr>
            <w:tcW w:w="1275" w:type="dxa"/>
            <w:tcBorders>
              <w:top w:val="nil"/>
              <w:left w:val="nil"/>
              <w:bottom w:val="nil"/>
              <w:right w:val="nil"/>
            </w:tcBorders>
            <w:vAlign w:val="center"/>
          </w:tcPr>
          <w:p w14:paraId="4A7174F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(8.1)</w:t>
            </w:r>
          </w:p>
        </w:tc>
      </w:tr>
      <w:tr w:rsidR="00F24F47" w:rsidRPr="00DE61C5" w14:paraId="7FA73C4C" w14:textId="77777777" w:rsidTr="00347C04">
        <w:trPr>
          <w:trHeight w:val="289"/>
        </w:trPr>
        <w:tc>
          <w:tcPr>
            <w:tcW w:w="3402" w:type="dxa"/>
            <w:tcBorders>
              <w:top w:val="nil"/>
              <w:left w:val="nil"/>
              <w:bottom w:val="nil"/>
              <w:right w:val="nil"/>
            </w:tcBorders>
            <w:shd w:val="clear" w:color="auto" w:fill="auto"/>
            <w:noWrap/>
            <w:vAlign w:val="center"/>
          </w:tcPr>
          <w:p w14:paraId="7FEED807"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Rehabilitation Care</w:t>
            </w:r>
          </w:p>
        </w:tc>
        <w:tc>
          <w:tcPr>
            <w:tcW w:w="1418" w:type="dxa"/>
            <w:tcBorders>
              <w:top w:val="nil"/>
              <w:left w:val="nil"/>
              <w:bottom w:val="nil"/>
              <w:right w:val="nil"/>
            </w:tcBorders>
            <w:shd w:val="clear" w:color="auto" w:fill="auto"/>
            <w:noWrap/>
            <w:vAlign w:val="center"/>
          </w:tcPr>
          <w:p w14:paraId="08E26F5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0 ( 0.0)</w:t>
            </w:r>
          </w:p>
        </w:tc>
        <w:tc>
          <w:tcPr>
            <w:tcW w:w="1559" w:type="dxa"/>
            <w:tcBorders>
              <w:top w:val="nil"/>
              <w:left w:val="nil"/>
              <w:bottom w:val="nil"/>
              <w:right w:val="nil"/>
            </w:tcBorders>
            <w:shd w:val="clear" w:color="auto" w:fill="auto"/>
            <w:noWrap/>
            <w:vAlign w:val="center"/>
          </w:tcPr>
          <w:p w14:paraId="71D54A1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(6.9)</w:t>
            </w:r>
          </w:p>
        </w:tc>
        <w:tc>
          <w:tcPr>
            <w:tcW w:w="1418" w:type="dxa"/>
            <w:tcBorders>
              <w:top w:val="nil"/>
              <w:left w:val="nil"/>
              <w:bottom w:val="nil"/>
              <w:right w:val="nil"/>
            </w:tcBorders>
            <w:vAlign w:val="center"/>
          </w:tcPr>
          <w:p w14:paraId="1E895CF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 (4.7)</w:t>
            </w:r>
          </w:p>
        </w:tc>
        <w:tc>
          <w:tcPr>
            <w:tcW w:w="1275" w:type="dxa"/>
            <w:tcBorders>
              <w:top w:val="nil"/>
              <w:left w:val="nil"/>
              <w:bottom w:val="nil"/>
              <w:right w:val="nil"/>
            </w:tcBorders>
            <w:vAlign w:val="center"/>
          </w:tcPr>
          <w:p w14:paraId="16C0DB3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 (2.7)</w:t>
            </w:r>
          </w:p>
        </w:tc>
      </w:tr>
      <w:tr w:rsidR="00F24F47" w:rsidRPr="00DE61C5" w14:paraId="3F143E6A" w14:textId="77777777" w:rsidTr="00347C04">
        <w:trPr>
          <w:trHeight w:val="289"/>
        </w:trPr>
        <w:tc>
          <w:tcPr>
            <w:tcW w:w="3402" w:type="dxa"/>
            <w:tcBorders>
              <w:top w:val="nil"/>
              <w:left w:val="nil"/>
              <w:bottom w:val="nil"/>
              <w:right w:val="nil"/>
            </w:tcBorders>
            <w:shd w:val="clear" w:color="auto" w:fill="auto"/>
            <w:noWrap/>
            <w:vAlign w:val="center"/>
            <w:hideMark/>
          </w:tcPr>
          <w:p w14:paraId="4DC135F5"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Other</w:t>
            </w:r>
          </w:p>
        </w:tc>
        <w:tc>
          <w:tcPr>
            <w:tcW w:w="1418" w:type="dxa"/>
            <w:tcBorders>
              <w:top w:val="nil"/>
              <w:left w:val="nil"/>
              <w:bottom w:val="nil"/>
              <w:right w:val="nil"/>
            </w:tcBorders>
            <w:shd w:val="clear" w:color="auto" w:fill="auto"/>
            <w:noWrap/>
            <w:vAlign w:val="center"/>
            <w:hideMark/>
          </w:tcPr>
          <w:p w14:paraId="083FC5B5"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(10.7)</w:t>
            </w:r>
          </w:p>
        </w:tc>
        <w:tc>
          <w:tcPr>
            <w:tcW w:w="1559" w:type="dxa"/>
            <w:tcBorders>
              <w:top w:val="nil"/>
              <w:left w:val="nil"/>
              <w:bottom w:val="nil"/>
              <w:right w:val="nil"/>
            </w:tcBorders>
            <w:shd w:val="clear" w:color="auto" w:fill="auto"/>
            <w:noWrap/>
            <w:vAlign w:val="center"/>
            <w:hideMark/>
          </w:tcPr>
          <w:p w14:paraId="1190721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6 (20.7)</w:t>
            </w:r>
          </w:p>
        </w:tc>
        <w:tc>
          <w:tcPr>
            <w:tcW w:w="1418" w:type="dxa"/>
            <w:tcBorders>
              <w:top w:val="nil"/>
              <w:left w:val="nil"/>
              <w:bottom w:val="nil"/>
              <w:right w:val="nil"/>
            </w:tcBorders>
            <w:vAlign w:val="center"/>
          </w:tcPr>
          <w:p w14:paraId="6D75C52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5 (11.6)</w:t>
            </w:r>
          </w:p>
        </w:tc>
        <w:tc>
          <w:tcPr>
            <w:tcW w:w="1275" w:type="dxa"/>
            <w:tcBorders>
              <w:top w:val="nil"/>
              <w:left w:val="nil"/>
              <w:bottom w:val="nil"/>
              <w:right w:val="nil"/>
            </w:tcBorders>
            <w:vAlign w:val="center"/>
          </w:tcPr>
          <w:p w14:paraId="5A1A53F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 (8.1)</w:t>
            </w:r>
          </w:p>
        </w:tc>
      </w:tr>
      <w:tr w:rsidR="00F24F47" w:rsidRPr="00DE61C5" w14:paraId="77DD2BF0" w14:textId="77777777" w:rsidTr="00347C04">
        <w:trPr>
          <w:trHeight w:val="289"/>
        </w:trPr>
        <w:tc>
          <w:tcPr>
            <w:tcW w:w="4820" w:type="dxa"/>
            <w:gridSpan w:val="2"/>
            <w:tcBorders>
              <w:top w:val="nil"/>
              <w:left w:val="nil"/>
              <w:bottom w:val="nil"/>
              <w:right w:val="nil"/>
            </w:tcBorders>
            <w:shd w:val="clear" w:color="auto" w:fill="auto"/>
            <w:noWrap/>
            <w:vAlign w:val="center"/>
            <w:hideMark/>
          </w:tcPr>
          <w:p w14:paraId="06AB42E0"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Professional experience</w:t>
            </w:r>
          </w:p>
        </w:tc>
        <w:tc>
          <w:tcPr>
            <w:tcW w:w="1559" w:type="dxa"/>
            <w:tcBorders>
              <w:top w:val="nil"/>
              <w:left w:val="nil"/>
              <w:bottom w:val="nil"/>
              <w:right w:val="nil"/>
            </w:tcBorders>
            <w:shd w:val="clear" w:color="auto" w:fill="auto"/>
            <w:noWrap/>
            <w:vAlign w:val="center"/>
            <w:hideMark/>
          </w:tcPr>
          <w:p w14:paraId="73314119"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418" w:type="dxa"/>
            <w:tcBorders>
              <w:top w:val="nil"/>
              <w:left w:val="nil"/>
              <w:bottom w:val="nil"/>
              <w:right w:val="nil"/>
            </w:tcBorders>
            <w:vAlign w:val="center"/>
          </w:tcPr>
          <w:p w14:paraId="439B3EFD"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275" w:type="dxa"/>
            <w:tcBorders>
              <w:top w:val="nil"/>
              <w:left w:val="nil"/>
              <w:bottom w:val="nil"/>
              <w:right w:val="nil"/>
            </w:tcBorders>
            <w:vAlign w:val="center"/>
          </w:tcPr>
          <w:p w14:paraId="35CC40C2"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r>
      <w:tr w:rsidR="00F24F47" w:rsidRPr="00DE61C5" w14:paraId="490892F4" w14:textId="77777777" w:rsidTr="00347C04">
        <w:trPr>
          <w:trHeight w:val="289"/>
        </w:trPr>
        <w:tc>
          <w:tcPr>
            <w:tcW w:w="3402" w:type="dxa"/>
            <w:tcBorders>
              <w:top w:val="nil"/>
              <w:left w:val="nil"/>
              <w:bottom w:val="nil"/>
              <w:right w:val="nil"/>
            </w:tcBorders>
            <w:shd w:val="clear" w:color="auto" w:fill="auto"/>
            <w:noWrap/>
            <w:vAlign w:val="center"/>
            <w:hideMark/>
          </w:tcPr>
          <w:p w14:paraId="7AEB91BE"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mean (SD) years</w:t>
            </w:r>
          </w:p>
        </w:tc>
        <w:tc>
          <w:tcPr>
            <w:tcW w:w="1418" w:type="dxa"/>
            <w:tcBorders>
              <w:top w:val="nil"/>
              <w:left w:val="nil"/>
              <w:bottom w:val="nil"/>
              <w:right w:val="nil"/>
            </w:tcBorders>
            <w:shd w:val="clear" w:color="auto" w:fill="auto"/>
            <w:noWrap/>
            <w:vAlign w:val="center"/>
            <w:hideMark/>
          </w:tcPr>
          <w:p w14:paraId="3A431418"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26.1 (10.2)</w:t>
            </w:r>
          </w:p>
        </w:tc>
        <w:tc>
          <w:tcPr>
            <w:tcW w:w="1559" w:type="dxa"/>
            <w:tcBorders>
              <w:top w:val="nil"/>
              <w:left w:val="nil"/>
              <w:bottom w:val="nil"/>
              <w:right w:val="nil"/>
            </w:tcBorders>
            <w:shd w:val="clear" w:color="auto" w:fill="auto"/>
            <w:noWrap/>
            <w:vAlign w:val="center"/>
            <w:hideMark/>
          </w:tcPr>
          <w:p w14:paraId="3A66B01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25.31 (9.6)</w:t>
            </w:r>
          </w:p>
        </w:tc>
        <w:tc>
          <w:tcPr>
            <w:tcW w:w="1418" w:type="dxa"/>
            <w:tcBorders>
              <w:top w:val="nil"/>
              <w:left w:val="nil"/>
              <w:bottom w:val="nil"/>
              <w:right w:val="nil"/>
            </w:tcBorders>
            <w:vAlign w:val="center"/>
          </w:tcPr>
          <w:p w14:paraId="107F28B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25.6 (10.0)</w:t>
            </w:r>
          </w:p>
        </w:tc>
        <w:tc>
          <w:tcPr>
            <w:tcW w:w="1275" w:type="dxa"/>
            <w:tcBorders>
              <w:top w:val="nil"/>
              <w:left w:val="nil"/>
              <w:bottom w:val="nil"/>
              <w:right w:val="nil"/>
            </w:tcBorders>
            <w:vAlign w:val="center"/>
          </w:tcPr>
          <w:p w14:paraId="794AE38D"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25.6 (10.4)</w:t>
            </w:r>
          </w:p>
        </w:tc>
      </w:tr>
      <w:tr w:rsidR="00F24F47" w:rsidRPr="00DE61C5" w14:paraId="7972985A" w14:textId="77777777" w:rsidTr="00347C04">
        <w:trPr>
          <w:trHeight w:val="289"/>
        </w:trPr>
        <w:tc>
          <w:tcPr>
            <w:tcW w:w="4820" w:type="dxa"/>
            <w:gridSpan w:val="2"/>
            <w:tcBorders>
              <w:top w:val="nil"/>
              <w:left w:val="nil"/>
              <w:bottom w:val="nil"/>
              <w:right w:val="nil"/>
            </w:tcBorders>
            <w:shd w:val="clear" w:color="auto" w:fill="auto"/>
            <w:noWrap/>
            <w:vAlign w:val="center"/>
            <w:hideMark/>
          </w:tcPr>
          <w:p w14:paraId="68FA88DC"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IAD-related activities</w:t>
            </w:r>
            <w:r>
              <w:rPr>
                <w:rFonts w:asciiTheme="majorBidi" w:eastAsia="Times New Roman" w:hAnsiTheme="majorBidi" w:cstheme="majorBidi"/>
                <w:b/>
                <w:bCs/>
                <w:color w:val="000000"/>
                <w:sz w:val="20"/>
                <w:szCs w:val="20"/>
                <w:lang w:eastAsia="nl-BE"/>
              </w:rPr>
              <w:t xml:space="preserve"> </w:t>
            </w:r>
            <w:r w:rsidRPr="0068515F">
              <w:rPr>
                <w:rFonts w:asciiTheme="majorBidi" w:hAnsiTheme="majorBidi" w:cstheme="majorBidi"/>
                <w:color w:val="FF0000"/>
                <w:sz w:val="20"/>
                <w:szCs w:val="20"/>
                <w:vertAlign w:val="superscript"/>
                <w:lang w:val="en-US"/>
              </w:rPr>
              <w:t>§</w:t>
            </w:r>
          </w:p>
        </w:tc>
        <w:tc>
          <w:tcPr>
            <w:tcW w:w="1559" w:type="dxa"/>
            <w:tcBorders>
              <w:top w:val="nil"/>
              <w:left w:val="nil"/>
              <w:bottom w:val="nil"/>
              <w:right w:val="nil"/>
            </w:tcBorders>
            <w:shd w:val="clear" w:color="auto" w:fill="auto"/>
            <w:noWrap/>
            <w:vAlign w:val="center"/>
            <w:hideMark/>
          </w:tcPr>
          <w:p w14:paraId="6E61412D"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418" w:type="dxa"/>
            <w:tcBorders>
              <w:top w:val="nil"/>
              <w:left w:val="nil"/>
              <w:bottom w:val="nil"/>
              <w:right w:val="nil"/>
            </w:tcBorders>
            <w:vAlign w:val="center"/>
          </w:tcPr>
          <w:p w14:paraId="240E52B6"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c>
          <w:tcPr>
            <w:tcW w:w="1275" w:type="dxa"/>
            <w:tcBorders>
              <w:top w:val="nil"/>
              <w:left w:val="nil"/>
              <w:bottom w:val="nil"/>
              <w:right w:val="nil"/>
            </w:tcBorders>
            <w:vAlign w:val="center"/>
          </w:tcPr>
          <w:p w14:paraId="5487D13B" w14:textId="77777777" w:rsidR="00F24F47" w:rsidRPr="00DE61C5" w:rsidRDefault="00F24F47" w:rsidP="00E178EF">
            <w:pPr>
              <w:spacing w:after="0" w:line="240" w:lineRule="auto"/>
              <w:jc w:val="center"/>
              <w:rPr>
                <w:rFonts w:asciiTheme="majorBidi" w:eastAsia="Times New Roman" w:hAnsiTheme="majorBidi" w:cstheme="majorBidi"/>
                <w:b/>
                <w:bCs/>
                <w:color w:val="000000"/>
                <w:sz w:val="20"/>
                <w:szCs w:val="20"/>
                <w:lang w:eastAsia="nl-BE"/>
              </w:rPr>
            </w:pPr>
          </w:p>
        </w:tc>
      </w:tr>
      <w:tr w:rsidR="00F24F47" w:rsidRPr="00DE61C5" w14:paraId="3637C81F" w14:textId="77777777" w:rsidTr="00347C04">
        <w:trPr>
          <w:trHeight w:val="289"/>
        </w:trPr>
        <w:tc>
          <w:tcPr>
            <w:tcW w:w="3402" w:type="dxa"/>
            <w:tcBorders>
              <w:top w:val="nil"/>
              <w:left w:val="nil"/>
              <w:bottom w:val="nil"/>
              <w:right w:val="nil"/>
            </w:tcBorders>
            <w:shd w:val="clear" w:color="auto" w:fill="auto"/>
            <w:noWrap/>
            <w:vAlign w:val="center"/>
            <w:hideMark/>
          </w:tcPr>
          <w:p w14:paraId="3C4B9F52"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Clinical trial</w:t>
            </w:r>
          </w:p>
        </w:tc>
        <w:tc>
          <w:tcPr>
            <w:tcW w:w="1418" w:type="dxa"/>
            <w:tcBorders>
              <w:top w:val="nil"/>
              <w:left w:val="nil"/>
              <w:bottom w:val="nil"/>
              <w:right w:val="nil"/>
            </w:tcBorders>
            <w:shd w:val="clear" w:color="auto" w:fill="auto"/>
            <w:noWrap/>
            <w:vAlign w:val="center"/>
            <w:hideMark/>
          </w:tcPr>
          <w:p w14:paraId="3C2BD28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8 (28.6)</w:t>
            </w:r>
          </w:p>
        </w:tc>
        <w:tc>
          <w:tcPr>
            <w:tcW w:w="1559" w:type="dxa"/>
            <w:tcBorders>
              <w:top w:val="nil"/>
              <w:left w:val="nil"/>
              <w:bottom w:val="nil"/>
              <w:right w:val="nil"/>
            </w:tcBorders>
            <w:shd w:val="clear" w:color="auto" w:fill="auto"/>
            <w:noWrap/>
            <w:vAlign w:val="center"/>
            <w:hideMark/>
          </w:tcPr>
          <w:p w14:paraId="783922D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10 (34.5)</w:t>
            </w:r>
          </w:p>
        </w:tc>
        <w:tc>
          <w:tcPr>
            <w:tcW w:w="1418" w:type="dxa"/>
            <w:tcBorders>
              <w:top w:val="nil"/>
              <w:left w:val="nil"/>
              <w:bottom w:val="nil"/>
              <w:right w:val="nil"/>
            </w:tcBorders>
            <w:vAlign w:val="center"/>
          </w:tcPr>
          <w:p w14:paraId="42F9A39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16 (37.2)</w:t>
            </w:r>
          </w:p>
        </w:tc>
        <w:tc>
          <w:tcPr>
            <w:tcW w:w="1275" w:type="dxa"/>
            <w:tcBorders>
              <w:top w:val="nil"/>
              <w:left w:val="nil"/>
              <w:bottom w:val="nil"/>
              <w:right w:val="nil"/>
            </w:tcBorders>
            <w:vAlign w:val="center"/>
          </w:tcPr>
          <w:p w14:paraId="7E058E7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14 (37.8)</w:t>
            </w:r>
          </w:p>
        </w:tc>
      </w:tr>
      <w:tr w:rsidR="00F24F47" w:rsidRPr="00DE61C5" w14:paraId="6CBC9F09" w14:textId="77777777" w:rsidTr="00347C04">
        <w:trPr>
          <w:trHeight w:val="289"/>
        </w:trPr>
        <w:tc>
          <w:tcPr>
            <w:tcW w:w="3402" w:type="dxa"/>
            <w:tcBorders>
              <w:top w:val="nil"/>
              <w:left w:val="nil"/>
              <w:bottom w:val="nil"/>
              <w:right w:val="nil"/>
            </w:tcBorders>
            <w:shd w:val="clear" w:color="auto" w:fill="auto"/>
            <w:noWrap/>
            <w:vAlign w:val="center"/>
            <w:hideMark/>
          </w:tcPr>
          <w:p w14:paraId="15051306"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Quality improvement project</w:t>
            </w:r>
          </w:p>
        </w:tc>
        <w:tc>
          <w:tcPr>
            <w:tcW w:w="1418" w:type="dxa"/>
            <w:tcBorders>
              <w:top w:val="nil"/>
              <w:left w:val="nil"/>
              <w:bottom w:val="nil"/>
              <w:right w:val="nil"/>
            </w:tcBorders>
            <w:shd w:val="clear" w:color="auto" w:fill="auto"/>
            <w:noWrap/>
            <w:vAlign w:val="center"/>
            <w:hideMark/>
          </w:tcPr>
          <w:p w14:paraId="7EB784C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12 (42.9)</w:t>
            </w:r>
          </w:p>
        </w:tc>
        <w:tc>
          <w:tcPr>
            <w:tcW w:w="1559" w:type="dxa"/>
            <w:tcBorders>
              <w:top w:val="nil"/>
              <w:left w:val="nil"/>
              <w:bottom w:val="nil"/>
              <w:right w:val="nil"/>
            </w:tcBorders>
            <w:shd w:val="clear" w:color="auto" w:fill="auto"/>
            <w:noWrap/>
            <w:vAlign w:val="center"/>
            <w:hideMark/>
          </w:tcPr>
          <w:p w14:paraId="616D979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19 (65.5)</w:t>
            </w:r>
          </w:p>
        </w:tc>
        <w:tc>
          <w:tcPr>
            <w:tcW w:w="1418" w:type="dxa"/>
            <w:tcBorders>
              <w:top w:val="nil"/>
              <w:left w:val="nil"/>
              <w:bottom w:val="nil"/>
              <w:right w:val="nil"/>
            </w:tcBorders>
            <w:vAlign w:val="center"/>
          </w:tcPr>
          <w:p w14:paraId="445D58D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24 (55.8)</w:t>
            </w:r>
          </w:p>
        </w:tc>
        <w:tc>
          <w:tcPr>
            <w:tcW w:w="1275" w:type="dxa"/>
            <w:tcBorders>
              <w:top w:val="nil"/>
              <w:left w:val="nil"/>
              <w:bottom w:val="nil"/>
              <w:right w:val="nil"/>
            </w:tcBorders>
            <w:vAlign w:val="center"/>
          </w:tcPr>
          <w:p w14:paraId="4C2619E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21 (56.8)</w:t>
            </w:r>
          </w:p>
        </w:tc>
      </w:tr>
      <w:tr w:rsidR="00F24F47" w:rsidRPr="00DE61C5" w14:paraId="126D3B9F" w14:textId="77777777" w:rsidTr="00347C04">
        <w:trPr>
          <w:trHeight w:val="289"/>
        </w:trPr>
        <w:tc>
          <w:tcPr>
            <w:tcW w:w="3402" w:type="dxa"/>
            <w:tcBorders>
              <w:top w:val="nil"/>
              <w:left w:val="nil"/>
              <w:bottom w:val="nil"/>
              <w:right w:val="nil"/>
            </w:tcBorders>
            <w:shd w:val="clear" w:color="auto" w:fill="auto"/>
            <w:noWrap/>
            <w:vAlign w:val="center"/>
            <w:hideMark/>
          </w:tcPr>
          <w:p w14:paraId="1B2E2098"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Education</w:t>
            </w:r>
          </w:p>
        </w:tc>
        <w:tc>
          <w:tcPr>
            <w:tcW w:w="1418" w:type="dxa"/>
            <w:tcBorders>
              <w:top w:val="nil"/>
              <w:left w:val="nil"/>
              <w:bottom w:val="nil"/>
              <w:right w:val="nil"/>
            </w:tcBorders>
            <w:shd w:val="clear" w:color="auto" w:fill="auto"/>
            <w:noWrap/>
            <w:vAlign w:val="center"/>
            <w:hideMark/>
          </w:tcPr>
          <w:p w14:paraId="53A538A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17 (60.7)</w:t>
            </w:r>
          </w:p>
        </w:tc>
        <w:tc>
          <w:tcPr>
            <w:tcW w:w="1559" w:type="dxa"/>
            <w:tcBorders>
              <w:top w:val="nil"/>
              <w:left w:val="nil"/>
              <w:bottom w:val="nil"/>
              <w:right w:val="nil"/>
            </w:tcBorders>
            <w:shd w:val="clear" w:color="auto" w:fill="auto"/>
            <w:noWrap/>
            <w:vAlign w:val="center"/>
            <w:hideMark/>
          </w:tcPr>
          <w:p w14:paraId="047BBC9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22 (75.9)</w:t>
            </w:r>
          </w:p>
        </w:tc>
        <w:tc>
          <w:tcPr>
            <w:tcW w:w="1418" w:type="dxa"/>
            <w:tcBorders>
              <w:top w:val="nil"/>
              <w:left w:val="nil"/>
              <w:bottom w:val="nil"/>
              <w:right w:val="nil"/>
            </w:tcBorders>
            <w:vAlign w:val="center"/>
          </w:tcPr>
          <w:p w14:paraId="19FF60E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31 (72.1)</w:t>
            </w:r>
          </w:p>
        </w:tc>
        <w:tc>
          <w:tcPr>
            <w:tcW w:w="1275" w:type="dxa"/>
            <w:tcBorders>
              <w:top w:val="nil"/>
              <w:left w:val="nil"/>
              <w:bottom w:val="nil"/>
              <w:right w:val="nil"/>
            </w:tcBorders>
            <w:vAlign w:val="center"/>
          </w:tcPr>
          <w:p w14:paraId="7535222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29 (78.4)</w:t>
            </w:r>
          </w:p>
        </w:tc>
      </w:tr>
      <w:tr w:rsidR="00F24F47" w:rsidRPr="00DE61C5" w14:paraId="04038936" w14:textId="77777777" w:rsidTr="00347C04">
        <w:trPr>
          <w:trHeight w:val="289"/>
        </w:trPr>
        <w:tc>
          <w:tcPr>
            <w:tcW w:w="3402" w:type="dxa"/>
            <w:tcBorders>
              <w:top w:val="nil"/>
              <w:left w:val="nil"/>
              <w:bottom w:val="nil"/>
              <w:right w:val="nil"/>
            </w:tcBorders>
            <w:shd w:val="clear" w:color="auto" w:fill="auto"/>
            <w:noWrap/>
            <w:vAlign w:val="center"/>
            <w:hideMark/>
          </w:tcPr>
          <w:p w14:paraId="0394EE73"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Other</w:t>
            </w:r>
          </w:p>
        </w:tc>
        <w:tc>
          <w:tcPr>
            <w:tcW w:w="1418" w:type="dxa"/>
            <w:tcBorders>
              <w:top w:val="nil"/>
              <w:left w:val="nil"/>
              <w:bottom w:val="nil"/>
              <w:right w:val="nil"/>
            </w:tcBorders>
            <w:shd w:val="clear" w:color="auto" w:fill="auto"/>
            <w:noWrap/>
            <w:vAlign w:val="center"/>
            <w:hideMark/>
          </w:tcPr>
          <w:p w14:paraId="038C614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8 (28.6)</w:t>
            </w:r>
          </w:p>
        </w:tc>
        <w:tc>
          <w:tcPr>
            <w:tcW w:w="1559" w:type="dxa"/>
            <w:tcBorders>
              <w:top w:val="nil"/>
              <w:left w:val="nil"/>
              <w:bottom w:val="nil"/>
              <w:right w:val="nil"/>
            </w:tcBorders>
            <w:shd w:val="clear" w:color="auto" w:fill="auto"/>
            <w:noWrap/>
            <w:vAlign w:val="center"/>
            <w:hideMark/>
          </w:tcPr>
          <w:p w14:paraId="3B7CE72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9 (31.0)</w:t>
            </w:r>
          </w:p>
        </w:tc>
        <w:tc>
          <w:tcPr>
            <w:tcW w:w="1418" w:type="dxa"/>
            <w:tcBorders>
              <w:top w:val="nil"/>
              <w:left w:val="nil"/>
              <w:bottom w:val="nil"/>
              <w:right w:val="nil"/>
            </w:tcBorders>
            <w:vAlign w:val="center"/>
          </w:tcPr>
          <w:p w14:paraId="41BC1DB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10 (23.3)</w:t>
            </w:r>
          </w:p>
        </w:tc>
        <w:tc>
          <w:tcPr>
            <w:tcW w:w="1275" w:type="dxa"/>
            <w:tcBorders>
              <w:top w:val="nil"/>
              <w:left w:val="nil"/>
              <w:bottom w:val="nil"/>
              <w:right w:val="nil"/>
            </w:tcBorders>
            <w:vAlign w:val="center"/>
          </w:tcPr>
          <w:p w14:paraId="68CC631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7 (18.9)</w:t>
            </w:r>
          </w:p>
        </w:tc>
      </w:tr>
      <w:tr w:rsidR="00F24F47" w:rsidRPr="00DE61C5" w14:paraId="10C17058" w14:textId="77777777" w:rsidTr="00347C04">
        <w:trPr>
          <w:trHeight w:val="289"/>
        </w:trPr>
        <w:tc>
          <w:tcPr>
            <w:tcW w:w="3402" w:type="dxa"/>
            <w:tcBorders>
              <w:top w:val="nil"/>
              <w:left w:val="nil"/>
              <w:bottom w:val="nil"/>
              <w:right w:val="nil"/>
            </w:tcBorders>
            <w:shd w:val="clear" w:color="auto" w:fill="auto"/>
            <w:noWrap/>
            <w:vAlign w:val="center"/>
            <w:hideMark/>
          </w:tcPr>
          <w:p w14:paraId="16B39424"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IAD publication</w:t>
            </w:r>
          </w:p>
        </w:tc>
        <w:tc>
          <w:tcPr>
            <w:tcW w:w="1418" w:type="dxa"/>
            <w:tcBorders>
              <w:top w:val="nil"/>
              <w:left w:val="nil"/>
              <w:bottom w:val="nil"/>
              <w:right w:val="nil"/>
            </w:tcBorders>
            <w:shd w:val="clear" w:color="auto" w:fill="auto"/>
            <w:noWrap/>
            <w:vAlign w:val="center"/>
          </w:tcPr>
          <w:p w14:paraId="0246F36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559" w:type="dxa"/>
            <w:tcBorders>
              <w:top w:val="nil"/>
              <w:left w:val="nil"/>
              <w:bottom w:val="nil"/>
              <w:right w:val="nil"/>
            </w:tcBorders>
            <w:shd w:val="clear" w:color="auto" w:fill="auto"/>
            <w:noWrap/>
            <w:vAlign w:val="center"/>
          </w:tcPr>
          <w:p w14:paraId="76F4BDCF"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418" w:type="dxa"/>
            <w:tcBorders>
              <w:top w:val="nil"/>
              <w:left w:val="nil"/>
              <w:bottom w:val="nil"/>
              <w:right w:val="nil"/>
            </w:tcBorders>
            <w:vAlign w:val="center"/>
          </w:tcPr>
          <w:p w14:paraId="2622B70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275" w:type="dxa"/>
            <w:tcBorders>
              <w:top w:val="nil"/>
              <w:left w:val="nil"/>
              <w:bottom w:val="nil"/>
              <w:right w:val="nil"/>
            </w:tcBorders>
            <w:vAlign w:val="center"/>
          </w:tcPr>
          <w:p w14:paraId="1CD41F4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r>
      <w:tr w:rsidR="00F24F47" w:rsidRPr="00DE61C5" w14:paraId="0867A245" w14:textId="77777777" w:rsidTr="00347C04">
        <w:trPr>
          <w:trHeight w:val="289"/>
        </w:trPr>
        <w:tc>
          <w:tcPr>
            <w:tcW w:w="3402" w:type="dxa"/>
            <w:tcBorders>
              <w:top w:val="nil"/>
              <w:left w:val="nil"/>
              <w:bottom w:val="nil"/>
              <w:right w:val="nil"/>
            </w:tcBorders>
            <w:shd w:val="clear" w:color="auto" w:fill="auto"/>
            <w:noWrap/>
            <w:vAlign w:val="center"/>
          </w:tcPr>
          <w:p w14:paraId="67FF8941"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Yes</w:t>
            </w:r>
          </w:p>
        </w:tc>
        <w:tc>
          <w:tcPr>
            <w:tcW w:w="1418" w:type="dxa"/>
            <w:tcBorders>
              <w:top w:val="nil"/>
              <w:left w:val="nil"/>
              <w:bottom w:val="nil"/>
              <w:right w:val="nil"/>
            </w:tcBorders>
            <w:shd w:val="clear" w:color="auto" w:fill="auto"/>
            <w:noWrap/>
            <w:vAlign w:val="center"/>
          </w:tcPr>
          <w:p w14:paraId="51415FAC"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11 (39.3)</w:t>
            </w:r>
          </w:p>
        </w:tc>
        <w:tc>
          <w:tcPr>
            <w:tcW w:w="1559" w:type="dxa"/>
            <w:tcBorders>
              <w:top w:val="nil"/>
              <w:left w:val="nil"/>
              <w:bottom w:val="nil"/>
              <w:right w:val="nil"/>
            </w:tcBorders>
            <w:shd w:val="clear" w:color="auto" w:fill="auto"/>
            <w:noWrap/>
            <w:vAlign w:val="center"/>
          </w:tcPr>
          <w:p w14:paraId="54003A40"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18 (62.1)</w:t>
            </w:r>
          </w:p>
        </w:tc>
        <w:tc>
          <w:tcPr>
            <w:tcW w:w="1418" w:type="dxa"/>
            <w:tcBorders>
              <w:top w:val="nil"/>
              <w:left w:val="nil"/>
              <w:bottom w:val="nil"/>
              <w:right w:val="nil"/>
            </w:tcBorders>
            <w:vAlign w:val="center"/>
          </w:tcPr>
          <w:p w14:paraId="27C79141"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24 (55.8)</w:t>
            </w:r>
          </w:p>
        </w:tc>
        <w:tc>
          <w:tcPr>
            <w:tcW w:w="1275" w:type="dxa"/>
            <w:tcBorders>
              <w:top w:val="nil"/>
              <w:left w:val="nil"/>
              <w:bottom w:val="nil"/>
              <w:right w:val="nil"/>
            </w:tcBorders>
            <w:vAlign w:val="center"/>
          </w:tcPr>
          <w:p w14:paraId="2E1C2296"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23 (62.2)</w:t>
            </w:r>
          </w:p>
        </w:tc>
      </w:tr>
      <w:tr w:rsidR="00F24F47" w:rsidRPr="00DE61C5" w14:paraId="21B445C1" w14:textId="77777777" w:rsidTr="00347C04">
        <w:trPr>
          <w:trHeight w:val="289"/>
        </w:trPr>
        <w:tc>
          <w:tcPr>
            <w:tcW w:w="3402" w:type="dxa"/>
            <w:tcBorders>
              <w:top w:val="nil"/>
              <w:left w:val="nil"/>
              <w:bottom w:val="nil"/>
              <w:right w:val="nil"/>
            </w:tcBorders>
            <w:shd w:val="clear" w:color="auto" w:fill="auto"/>
            <w:noWrap/>
            <w:vAlign w:val="center"/>
          </w:tcPr>
          <w:p w14:paraId="0AC8F960"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No</w:t>
            </w:r>
          </w:p>
        </w:tc>
        <w:tc>
          <w:tcPr>
            <w:tcW w:w="1418" w:type="dxa"/>
            <w:tcBorders>
              <w:top w:val="nil"/>
              <w:left w:val="nil"/>
              <w:bottom w:val="nil"/>
              <w:right w:val="nil"/>
            </w:tcBorders>
            <w:shd w:val="clear" w:color="auto" w:fill="auto"/>
            <w:noWrap/>
            <w:vAlign w:val="center"/>
          </w:tcPr>
          <w:p w14:paraId="5B13963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17 (60.7)</w:t>
            </w:r>
          </w:p>
        </w:tc>
        <w:tc>
          <w:tcPr>
            <w:tcW w:w="1559" w:type="dxa"/>
            <w:tcBorders>
              <w:top w:val="nil"/>
              <w:left w:val="nil"/>
              <w:bottom w:val="nil"/>
              <w:right w:val="nil"/>
            </w:tcBorders>
            <w:shd w:val="clear" w:color="auto" w:fill="auto"/>
            <w:noWrap/>
            <w:vAlign w:val="center"/>
          </w:tcPr>
          <w:p w14:paraId="19769A9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11 (37.9)</w:t>
            </w:r>
          </w:p>
        </w:tc>
        <w:tc>
          <w:tcPr>
            <w:tcW w:w="1418" w:type="dxa"/>
            <w:tcBorders>
              <w:top w:val="nil"/>
              <w:left w:val="nil"/>
              <w:bottom w:val="nil"/>
              <w:right w:val="nil"/>
            </w:tcBorders>
            <w:vAlign w:val="center"/>
          </w:tcPr>
          <w:p w14:paraId="761662AE"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19 (44.2)</w:t>
            </w:r>
          </w:p>
        </w:tc>
        <w:tc>
          <w:tcPr>
            <w:tcW w:w="1275" w:type="dxa"/>
            <w:tcBorders>
              <w:top w:val="nil"/>
              <w:left w:val="nil"/>
              <w:bottom w:val="nil"/>
              <w:right w:val="nil"/>
            </w:tcBorders>
            <w:vAlign w:val="center"/>
          </w:tcPr>
          <w:p w14:paraId="53D4B1C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14 (37.8)</w:t>
            </w:r>
          </w:p>
        </w:tc>
      </w:tr>
      <w:tr w:rsidR="00F24F47" w:rsidRPr="00DE61C5" w14:paraId="078AEAAC" w14:textId="77777777" w:rsidTr="00347C04">
        <w:trPr>
          <w:trHeight w:val="289"/>
        </w:trPr>
        <w:tc>
          <w:tcPr>
            <w:tcW w:w="3402" w:type="dxa"/>
            <w:tcBorders>
              <w:top w:val="nil"/>
              <w:left w:val="nil"/>
              <w:bottom w:val="nil"/>
              <w:right w:val="nil"/>
            </w:tcBorders>
            <w:shd w:val="clear" w:color="auto" w:fill="auto"/>
            <w:noWrap/>
            <w:vAlign w:val="center"/>
          </w:tcPr>
          <w:p w14:paraId="1BE4D4A2" w14:textId="77777777" w:rsidR="00F24F47" w:rsidRPr="00DE61C5" w:rsidRDefault="00F24F47" w:rsidP="00E178EF">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Direct patient care</w:t>
            </w:r>
          </w:p>
        </w:tc>
        <w:tc>
          <w:tcPr>
            <w:tcW w:w="1418" w:type="dxa"/>
            <w:tcBorders>
              <w:top w:val="nil"/>
              <w:left w:val="nil"/>
              <w:bottom w:val="nil"/>
              <w:right w:val="nil"/>
            </w:tcBorders>
            <w:shd w:val="clear" w:color="auto" w:fill="auto"/>
            <w:noWrap/>
            <w:vAlign w:val="center"/>
          </w:tcPr>
          <w:p w14:paraId="34BE0453"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559" w:type="dxa"/>
            <w:tcBorders>
              <w:top w:val="nil"/>
              <w:left w:val="nil"/>
              <w:bottom w:val="nil"/>
              <w:right w:val="nil"/>
            </w:tcBorders>
            <w:shd w:val="clear" w:color="auto" w:fill="auto"/>
            <w:noWrap/>
            <w:vAlign w:val="center"/>
          </w:tcPr>
          <w:p w14:paraId="78B8A3D7"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418" w:type="dxa"/>
            <w:tcBorders>
              <w:top w:val="nil"/>
              <w:left w:val="nil"/>
              <w:bottom w:val="nil"/>
              <w:right w:val="nil"/>
            </w:tcBorders>
            <w:vAlign w:val="center"/>
          </w:tcPr>
          <w:p w14:paraId="5E72581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c>
          <w:tcPr>
            <w:tcW w:w="1275" w:type="dxa"/>
            <w:tcBorders>
              <w:top w:val="nil"/>
              <w:left w:val="nil"/>
              <w:bottom w:val="nil"/>
              <w:right w:val="nil"/>
            </w:tcBorders>
            <w:vAlign w:val="center"/>
          </w:tcPr>
          <w:p w14:paraId="63A9E38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p>
        </w:tc>
      </w:tr>
      <w:tr w:rsidR="00F24F47" w:rsidRPr="00DE61C5" w14:paraId="768E751B" w14:textId="77777777" w:rsidTr="00347C04">
        <w:trPr>
          <w:trHeight w:val="289"/>
        </w:trPr>
        <w:tc>
          <w:tcPr>
            <w:tcW w:w="3402" w:type="dxa"/>
            <w:tcBorders>
              <w:top w:val="nil"/>
              <w:left w:val="nil"/>
              <w:bottom w:val="nil"/>
              <w:right w:val="nil"/>
            </w:tcBorders>
            <w:shd w:val="clear" w:color="auto" w:fill="auto"/>
            <w:noWrap/>
            <w:vAlign w:val="center"/>
          </w:tcPr>
          <w:p w14:paraId="77596B2C"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Yes</w:t>
            </w:r>
          </w:p>
        </w:tc>
        <w:tc>
          <w:tcPr>
            <w:tcW w:w="1418" w:type="dxa"/>
            <w:tcBorders>
              <w:top w:val="nil"/>
              <w:left w:val="nil"/>
              <w:bottom w:val="nil"/>
              <w:right w:val="nil"/>
            </w:tcBorders>
            <w:shd w:val="clear" w:color="auto" w:fill="auto"/>
            <w:noWrap/>
            <w:vAlign w:val="center"/>
          </w:tcPr>
          <w:p w14:paraId="3C717B02"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17 (60.7)</w:t>
            </w:r>
          </w:p>
        </w:tc>
        <w:tc>
          <w:tcPr>
            <w:tcW w:w="1559" w:type="dxa"/>
            <w:tcBorders>
              <w:top w:val="nil"/>
              <w:left w:val="nil"/>
              <w:bottom w:val="nil"/>
              <w:right w:val="nil"/>
            </w:tcBorders>
            <w:shd w:val="clear" w:color="auto" w:fill="auto"/>
            <w:noWrap/>
            <w:vAlign w:val="center"/>
          </w:tcPr>
          <w:p w14:paraId="6888D7A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19 (65.5)</w:t>
            </w:r>
          </w:p>
        </w:tc>
        <w:tc>
          <w:tcPr>
            <w:tcW w:w="1418" w:type="dxa"/>
            <w:tcBorders>
              <w:top w:val="nil"/>
              <w:left w:val="nil"/>
              <w:bottom w:val="nil"/>
              <w:right w:val="nil"/>
            </w:tcBorders>
            <w:vAlign w:val="center"/>
          </w:tcPr>
          <w:p w14:paraId="64C669B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27 (62.8)</w:t>
            </w:r>
          </w:p>
        </w:tc>
        <w:tc>
          <w:tcPr>
            <w:tcW w:w="1275" w:type="dxa"/>
            <w:tcBorders>
              <w:top w:val="nil"/>
              <w:left w:val="nil"/>
              <w:bottom w:val="nil"/>
              <w:right w:val="nil"/>
            </w:tcBorders>
            <w:vAlign w:val="center"/>
          </w:tcPr>
          <w:p w14:paraId="2AD2DDA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24 (64.9)</w:t>
            </w:r>
          </w:p>
        </w:tc>
      </w:tr>
      <w:tr w:rsidR="00F24F47" w:rsidRPr="00DE61C5" w14:paraId="0D62E929" w14:textId="77777777" w:rsidTr="00144B35">
        <w:trPr>
          <w:trHeight w:val="289"/>
        </w:trPr>
        <w:tc>
          <w:tcPr>
            <w:tcW w:w="3402" w:type="dxa"/>
            <w:tcBorders>
              <w:top w:val="nil"/>
              <w:left w:val="nil"/>
              <w:bottom w:val="single" w:sz="4" w:space="0" w:color="auto"/>
              <w:right w:val="nil"/>
            </w:tcBorders>
            <w:shd w:val="clear" w:color="auto" w:fill="auto"/>
            <w:vAlign w:val="center"/>
            <w:hideMark/>
          </w:tcPr>
          <w:p w14:paraId="522F8F68" w14:textId="77777777" w:rsidR="00F24F47" w:rsidRPr="00DE61C5" w:rsidRDefault="00F24F47" w:rsidP="00E178EF">
            <w:pPr>
              <w:spacing w:after="0" w:line="240" w:lineRule="auto"/>
              <w:ind w:left="708"/>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No</w:t>
            </w:r>
          </w:p>
        </w:tc>
        <w:tc>
          <w:tcPr>
            <w:tcW w:w="1418" w:type="dxa"/>
            <w:tcBorders>
              <w:top w:val="nil"/>
              <w:left w:val="nil"/>
              <w:bottom w:val="single" w:sz="4" w:space="0" w:color="auto"/>
              <w:right w:val="nil"/>
            </w:tcBorders>
            <w:shd w:val="clear" w:color="auto" w:fill="auto"/>
            <w:noWrap/>
            <w:vAlign w:val="center"/>
          </w:tcPr>
          <w:p w14:paraId="059D79B4"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11 (39.3)</w:t>
            </w:r>
          </w:p>
        </w:tc>
        <w:tc>
          <w:tcPr>
            <w:tcW w:w="1559" w:type="dxa"/>
            <w:tcBorders>
              <w:top w:val="nil"/>
              <w:left w:val="nil"/>
              <w:bottom w:val="single" w:sz="4" w:space="0" w:color="auto"/>
              <w:right w:val="nil"/>
            </w:tcBorders>
            <w:shd w:val="clear" w:color="auto" w:fill="auto"/>
            <w:noWrap/>
            <w:vAlign w:val="center"/>
          </w:tcPr>
          <w:p w14:paraId="0552979B"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10 (34.5)</w:t>
            </w:r>
          </w:p>
        </w:tc>
        <w:tc>
          <w:tcPr>
            <w:tcW w:w="1418" w:type="dxa"/>
            <w:tcBorders>
              <w:top w:val="nil"/>
              <w:left w:val="nil"/>
              <w:bottom w:val="single" w:sz="4" w:space="0" w:color="auto"/>
              <w:right w:val="nil"/>
            </w:tcBorders>
            <w:vAlign w:val="center"/>
          </w:tcPr>
          <w:p w14:paraId="4C8EC50A"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16 (37.2)</w:t>
            </w:r>
          </w:p>
        </w:tc>
        <w:tc>
          <w:tcPr>
            <w:tcW w:w="1275" w:type="dxa"/>
            <w:tcBorders>
              <w:top w:val="nil"/>
              <w:left w:val="nil"/>
              <w:bottom w:val="single" w:sz="4" w:space="0" w:color="auto"/>
              <w:right w:val="nil"/>
            </w:tcBorders>
            <w:vAlign w:val="center"/>
          </w:tcPr>
          <w:p w14:paraId="1C29DF29" w14:textId="77777777" w:rsidR="00F24F47" w:rsidRPr="00DE61C5" w:rsidRDefault="00F24F47" w:rsidP="00E178EF">
            <w:pPr>
              <w:spacing w:after="0" w:line="240" w:lineRule="auto"/>
              <w:jc w:val="center"/>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13 (35.1)</w:t>
            </w:r>
          </w:p>
        </w:tc>
      </w:tr>
      <w:tr w:rsidR="00F24F47" w:rsidRPr="008A3262" w14:paraId="1DE50959" w14:textId="77777777" w:rsidTr="0068515F">
        <w:trPr>
          <w:trHeight w:val="289"/>
        </w:trPr>
        <w:tc>
          <w:tcPr>
            <w:tcW w:w="9072" w:type="dxa"/>
            <w:gridSpan w:val="5"/>
            <w:tcBorders>
              <w:top w:val="single" w:sz="4" w:space="0" w:color="auto"/>
              <w:left w:val="nil"/>
              <w:right w:val="nil"/>
            </w:tcBorders>
            <w:shd w:val="clear" w:color="auto" w:fill="auto"/>
          </w:tcPr>
          <w:p w14:paraId="26978564" w14:textId="77777777" w:rsidR="00F24F47" w:rsidRPr="008A3262" w:rsidRDefault="00F24F47" w:rsidP="0068515F">
            <w:pPr>
              <w:spacing w:after="0" w:line="240" w:lineRule="auto"/>
              <w:jc w:val="both"/>
              <w:rPr>
                <w:rFonts w:asciiTheme="majorBidi" w:hAnsiTheme="majorBidi" w:cstheme="majorBidi"/>
                <w:color w:val="FF0000"/>
                <w:sz w:val="20"/>
                <w:szCs w:val="20"/>
                <w:lang w:val="en-US"/>
              </w:rPr>
            </w:pPr>
            <w:r w:rsidRPr="0068515F">
              <w:rPr>
                <w:rFonts w:asciiTheme="majorBidi" w:eastAsia="Times New Roman" w:hAnsiTheme="majorBidi" w:cstheme="majorBidi"/>
                <w:color w:val="FF0000"/>
                <w:sz w:val="18"/>
                <w:szCs w:val="18"/>
                <w:lang w:val="en-US" w:eastAsia="nl-BE"/>
              </w:rPr>
              <w:t xml:space="preserve">IAD, incontinence-associated dermatitis; SD, standard deviation; Education, highest degree; IAD publication, if the panelist has published IAD-related articles. </w:t>
            </w:r>
            <w:r w:rsidRPr="0068515F">
              <w:rPr>
                <w:rFonts w:asciiTheme="majorBidi" w:hAnsiTheme="majorBidi" w:cstheme="majorBidi"/>
                <w:color w:val="FF0000"/>
                <w:sz w:val="18"/>
                <w:szCs w:val="18"/>
                <w:lang w:val="en-US"/>
              </w:rPr>
              <w:t>† 3-point scale [(1) not important enough to be considered in the COS for IAD, (2) important but not critical to be considered in the COS for IAD, and (3) critical, should be included in the COS for IAD]. ‡ 9-point scale [from ‘not important for inclusion’ to ‘critical, should be included in a COS for IAD’]. § Multiple answers possible.</w:t>
            </w:r>
          </w:p>
        </w:tc>
      </w:tr>
    </w:tbl>
    <w:p w14:paraId="76A461C3" w14:textId="77777777" w:rsidR="00F24F47" w:rsidRDefault="00F24F47">
      <w:pPr>
        <w:rPr>
          <w:rFonts w:asciiTheme="majorBidi" w:hAnsiTheme="majorBidi" w:cstheme="majorBidi"/>
          <w:b/>
          <w:bCs/>
          <w:sz w:val="20"/>
          <w:szCs w:val="20"/>
          <w:lang w:val="en-US"/>
        </w:rPr>
      </w:pPr>
    </w:p>
    <w:p w14:paraId="0F863DA7" w14:textId="1B476C27"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3FC89DE1" w14:textId="77777777" w:rsidR="00F24F47" w:rsidRPr="00F91502" w:rsidRDefault="00F24F47" w:rsidP="00D57E5E">
      <w:pPr>
        <w:rPr>
          <w:rFonts w:asciiTheme="majorBidi" w:hAnsiTheme="majorBidi" w:cstheme="majorBidi"/>
          <w:sz w:val="20"/>
          <w:szCs w:val="20"/>
          <w:lang w:val="en-US"/>
        </w:rPr>
      </w:pPr>
      <w:r w:rsidRPr="00F91502">
        <w:rPr>
          <w:rFonts w:asciiTheme="majorBidi" w:hAnsiTheme="majorBidi" w:cstheme="majorBidi"/>
          <w:sz w:val="20"/>
          <w:szCs w:val="20"/>
          <w:lang w:val="en-US"/>
        </w:rPr>
        <w:lastRenderedPageBreak/>
        <w:t>Table S2. Draft core set of outcomes – Delphi round 1</w:t>
      </w:r>
    </w:p>
    <w:tbl>
      <w:tblPr>
        <w:tblW w:w="5000" w:type="pct"/>
        <w:tblCellMar>
          <w:left w:w="70" w:type="dxa"/>
          <w:right w:w="70" w:type="dxa"/>
        </w:tblCellMar>
        <w:tblLook w:val="04A0" w:firstRow="1" w:lastRow="0" w:firstColumn="1" w:lastColumn="0" w:noHBand="0" w:noVBand="1"/>
      </w:tblPr>
      <w:tblGrid>
        <w:gridCol w:w="1696"/>
        <w:gridCol w:w="2684"/>
        <w:gridCol w:w="4663"/>
      </w:tblGrid>
      <w:tr w:rsidR="00F24F47" w:rsidRPr="00DE61C5" w14:paraId="4658EBCF" w14:textId="77777777" w:rsidTr="00D57E5E">
        <w:trPr>
          <w:trHeight w:val="288"/>
        </w:trPr>
        <w:tc>
          <w:tcPr>
            <w:tcW w:w="938" w:type="pct"/>
            <w:tcBorders>
              <w:top w:val="single" w:sz="4" w:space="0" w:color="auto"/>
              <w:left w:val="nil"/>
              <w:bottom w:val="single" w:sz="4" w:space="0" w:color="auto"/>
              <w:right w:val="nil"/>
            </w:tcBorders>
            <w:shd w:val="clear" w:color="auto" w:fill="auto"/>
            <w:noWrap/>
            <w:hideMark/>
          </w:tcPr>
          <w:p w14:paraId="0E5D92F0" w14:textId="77777777" w:rsidR="00F24F47" w:rsidRPr="00DE61C5" w:rsidRDefault="00F24F47" w:rsidP="00D57E5E">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Core Area</w:t>
            </w:r>
          </w:p>
        </w:tc>
        <w:tc>
          <w:tcPr>
            <w:tcW w:w="1484" w:type="pct"/>
            <w:tcBorders>
              <w:top w:val="single" w:sz="4" w:space="0" w:color="auto"/>
              <w:left w:val="nil"/>
              <w:bottom w:val="single" w:sz="4" w:space="0" w:color="auto"/>
              <w:right w:val="nil"/>
            </w:tcBorders>
            <w:shd w:val="clear" w:color="auto" w:fill="auto"/>
            <w:hideMark/>
          </w:tcPr>
          <w:p w14:paraId="36DABEA1" w14:textId="77777777" w:rsidR="00F24F47" w:rsidRPr="00DE61C5" w:rsidRDefault="00F24F47" w:rsidP="00D57E5E">
            <w:pPr>
              <w:spacing w:after="0" w:line="240" w:lineRule="auto"/>
              <w:rPr>
                <w:rFonts w:asciiTheme="majorBidi" w:eastAsia="Times New Roman" w:hAnsiTheme="majorBidi" w:cstheme="majorBidi"/>
                <w:b/>
                <w:bCs/>
                <w:color w:val="000000"/>
                <w:sz w:val="20"/>
                <w:szCs w:val="20"/>
                <w:lang w:eastAsia="nl-BE"/>
              </w:rPr>
            </w:pPr>
            <w:r w:rsidRPr="00DE61C5">
              <w:rPr>
                <w:rFonts w:asciiTheme="majorBidi" w:eastAsia="Times New Roman" w:hAnsiTheme="majorBidi" w:cstheme="majorBidi"/>
                <w:b/>
                <w:bCs/>
                <w:color w:val="000000"/>
                <w:sz w:val="20"/>
                <w:szCs w:val="20"/>
                <w:lang w:eastAsia="nl-BE"/>
              </w:rPr>
              <w:t>Domain</w:t>
            </w:r>
          </w:p>
        </w:tc>
        <w:tc>
          <w:tcPr>
            <w:tcW w:w="2578" w:type="pct"/>
            <w:tcBorders>
              <w:top w:val="single" w:sz="4" w:space="0" w:color="auto"/>
              <w:left w:val="nil"/>
              <w:bottom w:val="single" w:sz="4" w:space="0" w:color="auto"/>
              <w:right w:val="nil"/>
            </w:tcBorders>
            <w:shd w:val="clear" w:color="auto" w:fill="auto"/>
            <w:hideMark/>
          </w:tcPr>
          <w:p w14:paraId="00CFFE3C" w14:textId="77777777" w:rsidR="00F24F47" w:rsidRPr="00DE61C5" w:rsidRDefault="00F24F47" w:rsidP="00D57E5E">
            <w:pPr>
              <w:spacing w:after="0" w:line="240" w:lineRule="auto"/>
              <w:rPr>
                <w:rFonts w:asciiTheme="majorBidi" w:eastAsia="Times New Roman" w:hAnsiTheme="majorBidi" w:cstheme="majorBidi"/>
                <w:b/>
                <w:bCs/>
                <w:sz w:val="20"/>
                <w:szCs w:val="20"/>
                <w:lang w:eastAsia="nl-BE"/>
              </w:rPr>
            </w:pPr>
            <w:r w:rsidRPr="00DE61C5">
              <w:rPr>
                <w:rFonts w:asciiTheme="majorBidi" w:eastAsia="Times New Roman" w:hAnsiTheme="majorBidi" w:cstheme="majorBidi"/>
                <w:b/>
                <w:bCs/>
                <w:sz w:val="20"/>
                <w:szCs w:val="20"/>
                <w:lang w:eastAsia="nl-BE"/>
              </w:rPr>
              <w:t>Examples</w:t>
            </w:r>
          </w:p>
        </w:tc>
      </w:tr>
      <w:tr w:rsidR="00F24F47" w:rsidRPr="00DE61C5" w14:paraId="6827EAA9" w14:textId="77777777" w:rsidTr="00D57E5E">
        <w:trPr>
          <w:trHeight w:val="288"/>
        </w:trPr>
        <w:tc>
          <w:tcPr>
            <w:tcW w:w="938" w:type="pct"/>
            <w:tcBorders>
              <w:top w:val="single" w:sz="4" w:space="0" w:color="auto"/>
              <w:left w:val="nil"/>
              <w:right w:val="nil"/>
            </w:tcBorders>
            <w:shd w:val="clear" w:color="auto" w:fill="F2F2F2" w:themeFill="background1" w:themeFillShade="F2"/>
            <w:noWrap/>
          </w:tcPr>
          <w:p w14:paraId="5C5B3DE3" w14:textId="77777777" w:rsidR="00F24F47" w:rsidRPr="00351B7D" w:rsidRDefault="00F24F47" w:rsidP="00D57E5E">
            <w:pPr>
              <w:spacing w:after="0" w:line="240" w:lineRule="auto"/>
              <w:rPr>
                <w:rFonts w:asciiTheme="majorBidi" w:eastAsia="Times New Roman" w:hAnsiTheme="majorBidi" w:cstheme="majorBidi"/>
                <w:b/>
                <w:bCs/>
                <w:color w:val="000000"/>
                <w:sz w:val="20"/>
                <w:szCs w:val="20"/>
                <w:lang w:eastAsia="nl-BE"/>
              </w:rPr>
            </w:pPr>
            <w:r w:rsidRPr="00351B7D">
              <w:rPr>
                <w:rFonts w:asciiTheme="majorBidi" w:eastAsia="Times New Roman" w:hAnsiTheme="majorBidi" w:cstheme="majorBidi"/>
                <w:b/>
                <w:bCs/>
                <w:color w:val="000000"/>
                <w:sz w:val="20"/>
                <w:szCs w:val="20"/>
                <w:lang w:eastAsia="nl-BE"/>
              </w:rPr>
              <w:t>Life Impact</w:t>
            </w:r>
          </w:p>
        </w:tc>
        <w:tc>
          <w:tcPr>
            <w:tcW w:w="1484" w:type="pct"/>
            <w:tcBorders>
              <w:top w:val="single" w:sz="4" w:space="0" w:color="auto"/>
              <w:left w:val="nil"/>
              <w:right w:val="nil"/>
            </w:tcBorders>
            <w:shd w:val="clear" w:color="auto" w:fill="F2F2F2" w:themeFill="background1" w:themeFillShade="F2"/>
          </w:tcPr>
          <w:p w14:paraId="33622307" w14:textId="77777777" w:rsidR="00F24F47" w:rsidRPr="00DE61C5" w:rsidRDefault="00F24F47" w:rsidP="00D57E5E">
            <w:pPr>
              <w:spacing w:after="0" w:line="240" w:lineRule="auto"/>
              <w:rPr>
                <w:rFonts w:asciiTheme="majorBidi" w:eastAsia="Times New Roman" w:hAnsiTheme="majorBidi" w:cstheme="majorBidi"/>
                <w:b/>
                <w:bCs/>
                <w:color w:val="000000"/>
                <w:sz w:val="20"/>
                <w:szCs w:val="20"/>
                <w:lang w:eastAsia="nl-BE"/>
              </w:rPr>
            </w:pPr>
          </w:p>
        </w:tc>
        <w:tc>
          <w:tcPr>
            <w:tcW w:w="2578" w:type="pct"/>
            <w:tcBorders>
              <w:top w:val="single" w:sz="4" w:space="0" w:color="auto"/>
              <w:left w:val="nil"/>
              <w:right w:val="nil"/>
            </w:tcBorders>
            <w:shd w:val="clear" w:color="auto" w:fill="F2F2F2" w:themeFill="background1" w:themeFillShade="F2"/>
          </w:tcPr>
          <w:p w14:paraId="56E69D28" w14:textId="77777777" w:rsidR="00F24F47" w:rsidRPr="00DE61C5" w:rsidRDefault="00F24F47" w:rsidP="00D57E5E">
            <w:pPr>
              <w:spacing w:after="0" w:line="240" w:lineRule="auto"/>
              <w:rPr>
                <w:rFonts w:asciiTheme="majorBidi" w:eastAsia="Times New Roman" w:hAnsiTheme="majorBidi" w:cstheme="majorBidi"/>
                <w:b/>
                <w:bCs/>
                <w:sz w:val="20"/>
                <w:szCs w:val="20"/>
                <w:lang w:eastAsia="nl-BE"/>
              </w:rPr>
            </w:pPr>
          </w:p>
        </w:tc>
      </w:tr>
      <w:tr w:rsidR="00F24F47" w:rsidRPr="00782FEF" w14:paraId="2DD8D803" w14:textId="77777777" w:rsidTr="00D57E5E">
        <w:trPr>
          <w:trHeight w:val="288"/>
        </w:trPr>
        <w:tc>
          <w:tcPr>
            <w:tcW w:w="938" w:type="pct"/>
            <w:tcBorders>
              <w:left w:val="nil"/>
              <w:bottom w:val="nil"/>
              <w:right w:val="nil"/>
            </w:tcBorders>
            <w:shd w:val="clear" w:color="auto" w:fill="auto"/>
            <w:noWrap/>
            <w:hideMark/>
          </w:tcPr>
          <w:p w14:paraId="5E623B25"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left w:val="nil"/>
              <w:bottom w:val="nil"/>
              <w:right w:val="nil"/>
            </w:tcBorders>
            <w:shd w:val="clear" w:color="auto" w:fill="auto"/>
            <w:hideMark/>
          </w:tcPr>
          <w:p w14:paraId="7983EDE7"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Burden of care from caregiver's perspective</w:t>
            </w:r>
          </w:p>
        </w:tc>
        <w:tc>
          <w:tcPr>
            <w:tcW w:w="2578" w:type="pct"/>
            <w:tcBorders>
              <w:left w:val="nil"/>
              <w:bottom w:val="nil"/>
              <w:right w:val="nil"/>
            </w:tcBorders>
            <w:shd w:val="clear" w:color="auto" w:fill="auto"/>
            <w:hideMark/>
          </w:tcPr>
          <w:p w14:paraId="554AB399"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r>
      <w:tr w:rsidR="00F24F47" w:rsidRPr="00782FEF" w14:paraId="3D50D7F9" w14:textId="77777777" w:rsidTr="00D57E5E">
        <w:trPr>
          <w:trHeight w:val="288"/>
        </w:trPr>
        <w:tc>
          <w:tcPr>
            <w:tcW w:w="938" w:type="pct"/>
            <w:tcBorders>
              <w:top w:val="nil"/>
              <w:left w:val="nil"/>
              <w:bottom w:val="nil"/>
              <w:right w:val="nil"/>
            </w:tcBorders>
            <w:shd w:val="clear" w:color="auto" w:fill="auto"/>
            <w:noWrap/>
          </w:tcPr>
          <w:p w14:paraId="72E3C65A"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273D4DA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Burden of care from patient perspective</w:t>
            </w:r>
          </w:p>
        </w:tc>
        <w:tc>
          <w:tcPr>
            <w:tcW w:w="2578" w:type="pct"/>
            <w:tcBorders>
              <w:top w:val="nil"/>
              <w:left w:val="nil"/>
              <w:bottom w:val="nil"/>
              <w:right w:val="nil"/>
            </w:tcBorders>
            <w:shd w:val="clear" w:color="auto" w:fill="auto"/>
            <w:hideMark/>
          </w:tcPr>
          <w:p w14:paraId="75D9BDB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r>
      <w:tr w:rsidR="00F24F47" w:rsidRPr="00782FEF" w14:paraId="7FF4DF5F" w14:textId="77777777" w:rsidTr="00D57E5E">
        <w:trPr>
          <w:trHeight w:val="288"/>
        </w:trPr>
        <w:tc>
          <w:tcPr>
            <w:tcW w:w="938" w:type="pct"/>
            <w:tcBorders>
              <w:top w:val="nil"/>
              <w:left w:val="nil"/>
              <w:bottom w:val="nil"/>
              <w:right w:val="nil"/>
            </w:tcBorders>
            <w:shd w:val="clear" w:color="auto" w:fill="auto"/>
            <w:noWrap/>
          </w:tcPr>
          <w:p w14:paraId="617A3CE7"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297F54C4"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Health-related Quality of Life</w:t>
            </w:r>
          </w:p>
        </w:tc>
        <w:tc>
          <w:tcPr>
            <w:tcW w:w="2578" w:type="pct"/>
            <w:tcBorders>
              <w:top w:val="nil"/>
              <w:left w:val="nil"/>
              <w:bottom w:val="nil"/>
              <w:right w:val="nil"/>
            </w:tcBorders>
            <w:shd w:val="clear" w:color="auto" w:fill="auto"/>
            <w:hideMark/>
          </w:tcPr>
          <w:p w14:paraId="14E3BDC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r>
      <w:tr w:rsidR="00F24F47" w:rsidRPr="00DE61C5" w14:paraId="7DC7F303" w14:textId="77777777" w:rsidTr="00D57E5E">
        <w:trPr>
          <w:trHeight w:val="288"/>
        </w:trPr>
        <w:tc>
          <w:tcPr>
            <w:tcW w:w="938" w:type="pct"/>
            <w:tcBorders>
              <w:top w:val="nil"/>
              <w:left w:val="nil"/>
              <w:bottom w:val="nil"/>
              <w:right w:val="nil"/>
            </w:tcBorders>
            <w:shd w:val="clear" w:color="auto" w:fill="auto"/>
            <w:noWrap/>
          </w:tcPr>
          <w:p w14:paraId="702A3C6A"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1F5CA6E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Independence (IAD related)</w:t>
            </w:r>
          </w:p>
        </w:tc>
        <w:tc>
          <w:tcPr>
            <w:tcW w:w="2578" w:type="pct"/>
            <w:tcBorders>
              <w:top w:val="nil"/>
              <w:left w:val="nil"/>
              <w:bottom w:val="nil"/>
              <w:right w:val="nil"/>
            </w:tcBorders>
            <w:shd w:val="clear" w:color="auto" w:fill="auto"/>
            <w:hideMark/>
          </w:tcPr>
          <w:p w14:paraId="407C5B50"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r>
      <w:tr w:rsidR="00F24F47" w:rsidRPr="00782FEF" w14:paraId="0CA374A0" w14:textId="77777777" w:rsidTr="00D57E5E">
        <w:trPr>
          <w:trHeight w:val="564"/>
        </w:trPr>
        <w:tc>
          <w:tcPr>
            <w:tcW w:w="938" w:type="pct"/>
            <w:tcBorders>
              <w:top w:val="nil"/>
              <w:left w:val="nil"/>
              <w:bottom w:val="nil"/>
              <w:right w:val="nil"/>
            </w:tcBorders>
            <w:shd w:val="clear" w:color="auto" w:fill="auto"/>
            <w:noWrap/>
          </w:tcPr>
          <w:p w14:paraId="7AC2A9F4"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18FEFD30"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Pain</w:t>
            </w:r>
          </w:p>
        </w:tc>
        <w:tc>
          <w:tcPr>
            <w:tcW w:w="2578" w:type="pct"/>
            <w:tcBorders>
              <w:top w:val="nil"/>
              <w:left w:val="nil"/>
              <w:bottom w:val="nil"/>
              <w:right w:val="nil"/>
            </w:tcBorders>
            <w:shd w:val="clear" w:color="auto" w:fill="auto"/>
            <w:hideMark/>
          </w:tcPr>
          <w:p w14:paraId="0943E48C"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r w:rsidRPr="00DE61C5">
              <w:rPr>
                <w:rFonts w:asciiTheme="majorBidi" w:eastAsia="Times New Roman" w:hAnsiTheme="majorBidi" w:cstheme="majorBidi"/>
                <w:sz w:val="20"/>
                <w:szCs w:val="20"/>
                <w:lang w:val="en-US" w:eastAsia="nl-BE"/>
              </w:rPr>
              <w:t>How much a patient hurts at the affected area, magnitude of the pain experience, frequency of pain, pain quality</w:t>
            </w:r>
          </w:p>
        </w:tc>
      </w:tr>
      <w:tr w:rsidR="00F24F47" w:rsidRPr="00DE61C5" w14:paraId="040E1C21" w14:textId="77777777" w:rsidTr="00D57E5E">
        <w:trPr>
          <w:trHeight w:val="288"/>
        </w:trPr>
        <w:tc>
          <w:tcPr>
            <w:tcW w:w="938" w:type="pct"/>
            <w:tcBorders>
              <w:top w:val="nil"/>
              <w:left w:val="nil"/>
              <w:bottom w:val="nil"/>
              <w:right w:val="nil"/>
            </w:tcBorders>
            <w:shd w:val="clear" w:color="auto" w:fill="auto"/>
            <w:noWrap/>
          </w:tcPr>
          <w:p w14:paraId="75BDE694"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1143AE69"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Physical comfort</w:t>
            </w:r>
          </w:p>
        </w:tc>
        <w:tc>
          <w:tcPr>
            <w:tcW w:w="2578" w:type="pct"/>
            <w:tcBorders>
              <w:top w:val="nil"/>
              <w:left w:val="nil"/>
              <w:bottom w:val="nil"/>
              <w:right w:val="nil"/>
            </w:tcBorders>
            <w:shd w:val="clear" w:color="auto" w:fill="auto"/>
            <w:hideMark/>
          </w:tcPr>
          <w:p w14:paraId="6C86A252"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r>
      <w:tr w:rsidR="00F24F47" w:rsidRPr="00DE61C5" w14:paraId="3DBB2DBA" w14:textId="77777777" w:rsidTr="00D57E5E">
        <w:trPr>
          <w:trHeight w:val="288"/>
        </w:trPr>
        <w:tc>
          <w:tcPr>
            <w:tcW w:w="938" w:type="pct"/>
            <w:tcBorders>
              <w:top w:val="nil"/>
              <w:left w:val="nil"/>
              <w:bottom w:val="nil"/>
              <w:right w:val="nil"/>
            </w:tcBorders>
            <w:shd w:val="clear" w:color="auto" w:fill="auto"/>
            <w:noWrap/>
          </w:tcPr>
          <w:p w14:paraId="2C59C6A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0B27A687"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Physical functioning</w:t>
            </w:r>
          </w:p>
        </w:tc>
        <w:tc>
          <w:tcPr>
            <w:tcW w:w="2578" w:type="pct"/>
            <w:tcBorders>
              <w:top w:val="nil"/>
              <w:left w:val="nil"/>
              <w:bottom w:val="nil"/>
              <w:right w:val="nil"/>
            </w:tcBorders>
            <w:shd w:val="clear" w:color="auto" w:fill="auto"/>
            <w:hideMark/>
          </w:tcPr>
          <w:p w14:paraId="0B2C4E0E"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r>
      <w:tr w:rsidR="00F24F47" w:rsidRPr="00DE61C5" w14:paraId="46A0D03E" w14:textId="77777777" w:rsidTr="00D57E5E">
        <w:trPr>
          <w:trHeight w:val="288"/>
        </w:trPr>
        <w:tc>
          <w:tcPr>
            <w:tcW w:w="938" w:type="pct"/>
            <w:tcBorders>
              <w:top w:val="nil"/>
              <w:left w:val="nil"/>
              <w:bottom w:val="nil"/>
              <w:right w:val="nil"/>
            </w:tcBorders>
            <w:shd w:val="clear" w:color="auto" w:fill="auto"/>
            <w:noWrap/>
          </w:tcPr>
          <w:p w14:paraId="50D60CB7"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3EB2A1A5"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Physical well-being</w:t>
            </w:r>
          </w:p>
        </w:tc>
        <w:tc>
          <w:tcPr>
            <w:tcW w:w="2578" w:type="pct"/>
            <w:tcBorders>
              <w:top w:val="nil"/>
              <w:left w:val="nil"/>
              <w:bottom w:val="nil"/>
              <w:right w:val="nil"/>
            </w:tcBorders>
            <w:shd w:val="clear" w:color="auto" w:fill="auto"/>
            <w:hideMark/>
          </w:tcPr>
          <w:p w14:paraId="65F0169F"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r>
      <w:tr w:rsidR="00F24F47" w:rsidRPr="00782FEF" w14:paraId="4806C0DD" w14:textId="77777777" w:rsidTr="00D57E5E">
        <w:trPr>
          <w:trHeight w:val="564"/>
        </w:trPr>
        <w:tc>
          <w:tcPr>
            <w:tcW w:w="938" w:type="pct"/>
            <w:tcBorders>
              <w:top w:val="nil"/>
              <w:left w:val="nil"/>
              <w:bottom w:val="nil"/>
              <w:right w:val="nil"/>
            </w:tcBorders>
            <w:shd w:val="clear" w:color="auto" w:fill="auto"/>
            <w:noWrap/>
          </w:tcPr>
          <w:p w14:paraId="2261A56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17123F53"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Psychological impact of the disease</w:t>
            </w:r>
          </w:p>
        </w:tc>
        <w:tc>
          <w:tcPr>
            <w:tcW w:w="2578" w:type="pct"/>
            <w:tcBorders>
              <w:top w:val="nil"/>
              <w:left w:val="nil"/>
              <w:bottom w:val="nil"/>
              <w:right w:val="nil"/>
            </w:tcBorders>
            <w:shd w:val="clear" w:color="auto" w:fill="auto"/>
            <w:hideMark/>
          </w:tcPr>
          <w:p w14:paraId="321418C3"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Anxiety, depression, stress, embarrassment, dignity, ignorance resulting in unrest and panic, sense of dependency, dysfunctional beliefs, negative thoughts, cognitive biases</w:t>
            </w:r>
          </w:p>
        </w:tc>
      </w:tr>
      <w:tr w:rsidR="00F24F47" w:rsidRPr="00DE61C5" w14:paraId="41DD936A" w14:textId="77777777" w:rsidTr="00D57E5E">
        <w:trPr>
          <w:trHeight w:val="288"/>
        </w:trPr>
        <w:tc>
          <w:tcPr>
            <w:tcW w:w="938" w:type="pct"/>
            <w:tcBorders>
              <w:top w:val="nil"/>
              <w:left w:val="nil"/>
              <w:bottom w:val="nil"/>
              <w:right w:val="nil"/>
            </w:tcBorders>
            <w:shd w:val="clear" w:color="auto" w:fill="auto"/>
            <w:noWrap/>
          </w:tcPr>
          <w:p w14:paraId="4621B7D3"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1695F5D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Quality of Life (general)</w:t>
            </w:r>
          </w:p>
        </w:tc>
        <w:tc>
          <w:tcPr>
            <w:tcW w:w="2578" w:type="pct"/>
            <w:tcBorders>
              <w:top w:val="nil"/>
              <w:left w:val="nil"/>
              <w:bottom w:val="nil"/>
              <w:right w:val="nil"/>
            </w:tcBorders>
            <w:shd w:val="clear" w:color="auto" w:fill="auto"/>
            <w:hideMark/>
          </w:tcPr>
          <w:p w14:paraId="12041670"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r>
      <w:tr w:rsidR="00F24F47" w:rsidRPr="00782FEF" w14:paraId="064D3415" w14:textId="77777777" w:rsidTr="00D57E5E">
        <w:trPr>
          <w:trHeight w:val="288"/>
        </w:trPr>
        <w:tc>
          <w:tcPr>
            <w:tcW w:w="938" w:type="pct"/>
            <w:tcBorders>
              <w:top w:val="nil"/>
              <w:left w:val="nil"/>
              <w:bottom w:val="nil"/>
              <w:right w:val="nil"/>
            </w:tcBorders>
            <w:shd w:val="clear" w:color="auto" w:fill="auto"/>
            <w:noWrap/>
          </w:tcPr>
          <w:p w14:paraId="6C6D235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31F1DF0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 xml:space="preserve">Quality of Life </w:t>
            </w:r>
            <w:r w:rsidRPr="00DE61C5">
              <w:rPr>
                <w:rFonts w:asciiTheme="majorBidi" w:eastAsia="Times New Roman" w:hAnsiTheme="majorBidi" w:cstheme="majorBidi"/>
                <w:sz w:val="20"/>
                <w:szCs w:val="20"/>
                <w:lang w:val="en-US" w:eastAsia="nl-BE"/>
              </w:rPr>
              <w:t>(IAD related</w:t>
            </w:r>
            <w:r w:rsidRPr="00DE61C5">
              <w:rPr>
                <w:rFonts w:asciiTheme="majorBidi" w:eastAsia="Times New Roman" w:hAnsiTheme="majorBidi" w:cstheme="majorBidi"/>
                <w:color w:val="000000"/>
                <w:sz w:val="20"/>
                <w:szCs w:val="20"/>
                <w:lang w:val="en-US" w:eastAsia="nl-BE"/>
              </w:rPr>
              <w:t>)</w:t>
            </w:r>
          </w:p>
        </w:tc>
        <w:tc>
          <w:tcPr>
            <w:tcW w:w="2578" w:type="pct"/>
            <w:tcBorders>
              <w:top w:val="nil"/>
              <w:left w:val="nil"/>
              <w:bottom w:val="nil"/>
              <w:right w:val="nil"/>
            </w:tcBorders>
            <w:shd w:val="clear" w:color="auto" w:fill="auto"/>
            <w:hideMark/>
          </w:tcPr>
          <w:p w14:paraId="270502E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r>
      <w:tr w:rsidR="00F24F47" w:rsidRPr="00782FEF" w14:paraId="6B191084" w14:textId="77777777" w:rsidTr="00D57E5E">
        <w:trPr>
          <w:trHeight w:val="564"/>
        </w:trPr>
        <w:tc>
          <w:tcPr>
            <w:tcW w:w="938" w:type="pct"/>
            <w:tcBorders>
              <w:top w:val="nil"/>
              <w:left w:val="nil"/>
              <w:bottom w:val="nil"/>
              <w:right w:val="nil"/>
            </w:tcBorders>
            <w:shd w:val="clear" w:color="auto" w:fill="auto"/>
            <w:noWrap/>
          </w:tcPr>
          <w:p w14:paraId="5AD3CD23"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0A71AACF"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Satisfaction with intervention from by caregiver's perspective</w:t>
            </w:r>
          </w:p>
        </w:tc>
        <w:tc>
          <w:tcPr>
            <w:tcW w:w="2578" w:type="pct"/>
            <w:tcBorders>
              <w:top w:val="nil"/>
              <w:left w:val="nil"/>
              <w:bottom w:val="nil"/>
              <w:right w:val="nil"/>
            </w:tcBorders>
            <w:shd w:val="clear" w:color="auto" w:fill="auto"/>
            <w:hideMark/>
          </w:tcPr>
          <w:p w14:paraId="45B27AA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Acceptability, preference, amount of patient handling, patient care load, staff time</w:t>
            </w:r>
          </w:p>
        </w:tc>
      </w:tr>
      <w:tr w:rsidR="00F24F47" w:rsidRPr="00782FEF" w14:paraId="328AFD0E" w14:textId="77777777" w:rsidTr="00D57E5E">
        <w:trPr>
          <w:trHeight w:val="564"/>
        </w:trPr>
        <w:tc>
          <w:tcPr>
            <w:tcW w:w="938" w:type="pct"/>
            <w:tcBorders>
              <w:top w:val="nil"/>
              <w:left w:val="nil"/>
              <w:bottom w:val="nil"/>
              <w:right w:val="nil"/>
            </w:tcBorders>
            <w:shd w:val="clear" w:color="auto" w:fill="auto"/>
            <w:noWrap/>
          </w:tcPr>
          <w:p w14:paraId="3B9B97B5"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5B17C90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Satisfaction with intervention from patient perspective</w:t>
            </w:r>
          </w:p>
        </w:tc>
        <w:tc>
          <w:tcPr>
            <w:tcW w:w="2578" w:type="pct"/>
            <w:tcBorders>
              <w:top w:val="nil"/>
              <w:left w:val="nil"/>
              <w:bottom w:val="nil"/>
              <w:right w:val="nil"/>
            </w:tcBorders>
            <w:shd w:val="clear" w:color="auto" w:fill="auto"/>
            <w:hideMark/>
          </w:tcPr>
          <w:p w14:paraId="3A88F0CF"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Satisfaction, acceptability, appreciation, tolerance, benefit, preference, feeling refreshed afterwards, confidence in dressing's effectiveness, understandability, comfort</w:t>
            </w:r>
          </w:p>
        </w:tc>
      </w:tr>
      <w:tr w:rsidR="00F24F47" w:rsidRPr="00782FEF" w14:paraId="765EB34D" w14:textId="77777777" w:rsidTr="00D57E5E">
        <w:trPr>
          <w:trHeight w:val="288"/>
        </w:trPr>
        <w:tc>
          <w:tcPr>
            <w:tcW w:w="938" w:type="pct"/>
            <w:tcBorders>
              <w:top w:val="nil"/>
              <w:left w:val="nil"/>
              <w:bottom w:val="nil"/>
              <w:right w:val="nil"/>
            </w:tcBorders>
            <w:shd w:val="clear" w:color="auto" w:fill="auto"/>
            <w:noWrap/>
          </w:tcPr>
          <w:p w14:paraId="191AE35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379077F8"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Self-reported symptoms</w:t>
            </w:r>
          </w:p>
        </w:tc>
        <w:tc>
          <w:tcPr>
            <w:tcW w:w="2578" w:type="pct"/>
            <w:tcBorders>
              <w:top w:val="nil"/>
              <w:left w:val="nil"/>
              <w:bottom w:val="nil"/>
              <w:right w:val="nil"/>
            </w:tcBorders>
            <w:shd w:val="clear" w:color="auto" w:fill="auto"/>
            <w:hideMark/>
          </w:tcPr>
          <w:p w14:paraId="3C572622"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Itching/pruritus, stinging, tenderness of intact skin, tightness, tingling or burning, pain</w:t>
            </w:r>
          </w:p>
        </w:tc>
      </w:tr>
      <w:tr w:rsidR="00F24F47" w:rsidRPr="00DE61C5" w14:paraId="021F0E2B" w14:textId="77777777" w:rsidTr="00D57E5E">
        <w:trPr>
          <w:trHeight w:val="288"/>
        </w:trPr>
        <w:tc>
          <w:tcPr>
            <w:tcW w:w="938" w:type="pct"/>
            <w:tcBorders>
              <w:top w:val="nil"/>
              <w:left w:val="nil"/>
              <w:bottom w:val="single" w:sz="4" w:space="0" w:color="auto"/>
              <w:right w:val="nil"/>
            </w:tcBorders>
            <w:shd w:val="clear" w:color="auto" w:fill="auto"/>
            <w:noWrap/>
          </w:tcPr>
          <w:p w14:paraId="2A117FB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single" w:sz="4" w:space="0" w:color="auto"/>
              <w:right w:val="nil"/>
            </w:tcBorders>
            <w:shd w:val="clear" w:color="auto" w:fill="auto"/>
            <w:hideMark/>
          </w:tcPr>
          <w:p w14:paraId="7C5D7B4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Sleep (IAD related)</w:t>
            </w:r>
          </w:p>
        </w:tc>
        <w:tc>
          <w:tcPr>
            <w:tcW w:w="2578" w:type="pct"/>
            <w:tcBorders>
              <w:top w:val="nil"/>
              <w:left w:val="nil"/>
              <w:bottom w:val="single" w:sz="4" w:space="0" w:color="auto"/>
              <w:right w:val="nil"/>
            </w:tcBorders>
            <w:shd w:val="clear" w:color="auto" w:fill="auto"/>
            <w:hideMark/>
          </w:tcPr>
          <w:p w14:paraId="2950216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Sleep disturbance</w:t>
            </w:r>
          </w:p>
        </w:tc>
      </w:tr>
      <w:tr w:rsidR="00F24F47" w:rsidRPr="00FF76D2" w14:paraId="67621EDF" w14:textId="77777777" w:rsidTr="00D57E5E">
        <w:trPr>
          <w:trHeight w:val="294"/>
        </w:trPr>
        <w:tc>
          <w:tcPr>
            <w:tcW w:w="2422" w:type="pct"/>
            <w:gridSpan w:val="2"/>
            <w:tcBorders>
              <w:top w:val="single" w:sz="4" w:space="0" w:color="auto"/>
              <w:left w:val="nil"/>
              <w:right w:val="nil"/>
            </w:tcBorders>
            <w:shd w:val="clear" w:color="auto" w:fill="F2F2F2" w:themeFill="background1" w:themeFillShade="F2"/>
            <w:hideMark/>
          </w:tcPr>
          <w:p w14:paraId="7C6F4A9B" w14:textId="77777777" w:rsidR="00F24F47" w:rsidRPr="00351B7D" w:rsidRDefault="00F24F47" w:rsidP="00D57E5E">
            <w:pPr>
              <w:spacing w:after="0" w:line="240" w:lineRule="auto"/>
              <w:rPr>
                <w:rFonts w:asciiTheme="majorBidi" w:eastAsia="Times New Roman" w:hAnsiTheme="majorBidi" w:cstheme="majorBidi"/>
                <w:b/>
                <w:bCs/>
                <w:color w:val="000000"/>
                <w:sz w:val="20"/>
                <w:szCs w:val="20"/>
                <w:lang w:eastAsia="nl-BE"/>
              </w:rPr>
            </w:pPr>
            <w:r w:rsidRPr="00351B7D">
              <w:rPr>
                <w:rFonts w:asciiTheme="majorBidi" w:eastAsia="Times New Roman" w:hAnsiTheme="majorBidi" w:cstheme="majorBidi"/>
                <w:b/>
                <w:bCs/>
                <w:color w:val="000000"/>
                <w:sz w:val="20"/>
                <w:szCs w:val="20"/>
                <w:lang w:eastAsia="nl-BE"/>
              </w:rPr>
              <w:t>Resource use/ economical impact</w:t>
            </w:r>
          </w:p>
        </w:tc>
        <w:tc>
          <w:tcPr>
            <w:tcW w:w="2578" w:type="pct"/>
            <w:tcBorders>
              <w:top w:val="single" w:sz="4" w:space="0" w:color="auto"/>
              <w:left w:val="nil"/>
              <w:right w:val="nil"/>
            </w:tcBorders>
            <w:shd w:val="clear" w:color="auto" w:fill="F2F2F2" w:themeFill="background1" w:themeFillShade="F2"/>
          </w:tcPr>
          <w:p w14:paraId="548E04F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r>
      <w:tr w:rsidR="00F24F47" w:rsidRPr="00782FEF" w14:paraId="4B5AC3F1" w14:textId="77777777" w:rsidTr="00D57E5E">
        <w:trPr>
          <w:trHeight w:val="564"/>
        </w:trPr>
        <w:tc>
          <w:tcPr>
            <w:tcW w:w="938" w:type="pct"/>
            <w:tcBorders>
              <w:left w:val="nil"/>
              <w:bottom w:val="nil"/>
              <w:right w:val="nil"/>
            </w:tcBorders>
            <w:shd w:val="clear" w:color="auto" w:fill="auto"/>
          </w:tcPr>
          <w:p w14:paraId="3A473D5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left w:val="nil"/>
              <w:bottom w:val="nil"/>
              <w:right w:val="nil"/>
            </w:tcBorders>
            <w:shd w:val="clear" w:color="auto" w:fill="auto"/>
          </w:tcPr>
          <w:p w14:paraId="5A09BEE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Caregivers' work productivity</w:t>
            </w:r>
          </w:p>
        </w:tc>
        <w:tc>
          <w:tcPr>
            <w:tcW w:w="2578" w:type="pct"/>
            <w:tcBorders>
              <w:left w:val="nil"/>
              <w:bottom w:val="nil"/>
              <w:right w:val="nil"/>
            </w:tcBorders>
            <w:shd w:val="clear" w:color="auto" w:fill="auto"/>
          </w:tcPr>
          <w:p w14:paraId="42EE4F0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Caregivers' time to perform the intervention</w:t>
            </w:r>
          </w:p>
        </w:tc>
      </w:tr>
      <w:tr w:rsidR="00F24F47" w:rsidRPr="00DE61C5" w14:paraId="5B22AF2A" w14:textId="77777777" w:rsidTr="00D57E5E">
        <w:trPr>
          <w:trHeight w:val="564"/>
        </w:trPr>
        <w:tc>
          <w:tcPr>
            <w:tcW w:w="938" w:type="pct"/>
            <w:tcBorders>
              <w:top w:val="nil"/>
              <w:left w:val="nil"/>
              <w:bottom w:val="nil"/>
              <w:right w:val="nil"/>
            </w:tcBorders>
            <w:shd w:val="clear" w:color="auto" w:fill="auto"/>
          </w:tcPr>
          <w:p w14:paraId="741BCCD0"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698D46B7"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Cost-effectiveness</w:t>
            </w:r>
          </w:p>
        </w:tc>
        <w:tc>
          <w:tcPr>
            <w:tcW w:w="2578" w:type="pct"/>
            <w:tcBorders>
              <w:top w:val="nil"/>
              <w:left w:val="nil"/>
              <w:bottom w:val="nil"/>
              <w:right w:val="nil"/>
            </w:tcBorders>
            <w:shd w:val="clear" w:color="auto" w:fill="auto"/>
            <w:hideMark/>
          </w:tcPr>
          <w:p w14:paraId="6BDEBDC2"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r>
      <w:tr w:rsidR="00F24F47" w:rsidRPr="00782FEF" w14:paraId="4B060B21" w14:textId="77777777" w:rsidTr="00D57E5E">
        <w:trPr>
          <w:trHeight w:val="564"/>
        </w:trPr>
        <w:tc>
          <w:tcPr>
            <w:tcW w:w="938" w:type="pct"/>
            <w:tcBorders>
              <w:top w:val="nil"/>
              <w:left w:val="nil"/>
              <w:bottom w:val="single" w:sz="4" w:space="0" w:color="auto"/>
              <w:right w:val="nil"/>
            </w:tcBorders>
            <w:shd w:val="clear" w:color="auto" w:fill="auto"/>
          </w:tcPr>
          <w:p w14:paraId="5CA6C97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single" w:sz="4" w:space="0" w:color="auto"/>
              <w:right w:val="nil"/>
            </w:tcBorders>
            <w:shd w:val="clear" w:color="auto" w:fill="auto"/>
            <w:hideMark/>
          </w:tcPr>
          <w:p w14:paraId="058C4AC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Costs</w:t>
            </w:r>
          </w:p>
        </w:tc>
        <w:tc>
          <w:tcPr>
            <w:tcW w:w="2578" w:type="pct"/>
            <w:tcBorders>
              <w:top w:val="nil"/>
              <w:left w:val="nil"/>
              <w:bottom w:val="single" w:sz="4" w:space="0" w:color="auto"/>
              <w:right w:val="nil"/>
            </w:tcBorders>
            <w:shd w:val="clear" w:color="auto" w:fill="auto"/>
            <w:hideMark/>
          </w:tcPr>
          <w:p w14:paraId="721C8422"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r w:rsidRPr="00DE61C5">
              <w:rPr>
                <w:rFonts w:asciiTheme="majorBidi" w:eastAsia="Times New Roman" w:hAnsiTheme="majorBidi" w:cstheme="majorBidi"/>
                <w:color w:val="000000"/>
                <w:sz w:val="20"/>
                <w:szCs w:val="20"/>
                <w:lang w:val="en-US" w:eastAsia="nl-BE"/>
              </w:rPr>
              <w:t xml:space="preserve">Direct costs, indirect costs, visits for primary and secondary care, laboratory tests, days of admission to a hospital, medications, skin care </w:t>
            </w:r>
            <w:proofErr w:type="gramStart"/>
            <w:r w:rsidRPr="00DE61C5">
              <w:rPr>
                <w:rFonts w:asciiTheme="majorBidi" w:eastAsia="Times New Roman" w:hAnsiTheme="majorBidi" w:cstheme="majorBidi"/>
                <w:color w:val="000000"/>
                <w:sz w:val="20"/>
                <w:szCs w:val="20"/>
                <w:lang w:val="en-US" w:eastAsia="nl-BE"/>
              </w:rPr>
              <w:t>products,…</w:t>
            </w:r>
            <w:proofErr w:type="gramEnd"/>
          </w:p>
        </w:tc>
      </w:tr>
      <w:tr w:rsidR="00F24F47" w:rsidRPr="00DE61C5" w14:paraId="497A7685" w14:textId="77777777" w:rsidTr="00D57E5E">
        <w:trPr>
          <w:trHeight w:val="300"/>
        </w:trPr>
        <w:tc>
          <w:tcPr>
            <w:tcW w:w="2422" w:type="pct"/>
            <w:gridSpan w:val="2"/>
            <w:tcBorders>
              <w:top w:val="single" w:sz="4" w:space="0" w:color="auto"/>
              <w:left w:val="nil"/>
              <w:right w:val="nil"/>
            </w:tcBorders>
            <w:shd w:val="clear" w:color="auto" w:fill="F2F2F2" w:themeFill="background1" w:themeFillShade="F2"/>
            <w:hideMark/>
          </w:tcPr>
          <w:p w14:paraId="41E5D7B7" w14:textId="77777777" w:rsidR="00F24F47" w:rsidRPr="00351B7D" w:rsidRDefault="00F24F47" w:rsidP="00D57E5E">
            <w:pPr>
              <w:spacing w:after="0" w:line="240" w:lineRule="auto"/>
              <w:rPr>
                <w:rFonts w:asciiTheme="majorBidi" w:eastAsia="Times New Roman" w:hAnsiTheme="majorBidi" w:cstheme="majorBidi"/>
                <w:b/>
                <w:bCs/>
                <w:sz w:val="20"/>
                <w:szCs w:val="20"/>
                <w:lang w:eastAsia="nl-BE"/>
              </w:rPr>
            </w:pPr>
            <w:r w:rsidRPr="00351B7D">
              <w:rPr>
                <w:rFonts w:asciiTheme="majorBidi" w:eastAsia="Times New Roman" w:hAnsiTheme="majorBidi" w:cstheme="majorBidi"/>
                <w:b/>
                <w:bCs/>
                <w:color w:val="000000"/>
                <w:sz w:val="20"/>
                <w:szCs w:val="20"/>
                <w:lang w:eastAsia="nl-BE"/>
              </w:rPr>
              <w:t>Pathophysiological manifestations</w:t>
            </w:r>
          </w:p>
        </w:tc>
        <w:tc>
          <w:tcPr>
            <w:tcW w:w="2578" w:type="pct"/>
            <w:tcBorders>
              <w:top w:val="single" w:sz="4" w:space="0" w:color="auto"/>
              <w:left w:val="nil"/>
              <w:right w:val="nil"/>
            </w:tcBorders>
            <w:shd w:val="clear" w:color="auto" w:fill="F2F2F2" w:themeFill="background1" w:themeFillShade="F2"/>
          </w:tcPr>
          <w:p w14:paraId="29916272"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52281176" w14:textId="77777777" w:rsidTr="00D57E5E">
        <w:trPr>
          <w:trHeight w:val="282"/>
        </w:trPr>
        <w:tc>
          <w:tcPr>
            <w:tcW w:w="938" w:type="pct"/>
            <w:tcBorders>
              <w:left w:val="nil"/>
              <w:bottom w:val="nil"/>
              <w:right w:val="nil"/>
            </w:tcBorders>
            <w:shd w:val="clear" w:color="auto" w:fill="auto"/>
          </w:tcPr>
          <w:p w14:paraId="7A21B49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left w:val="nil"/>
              <w:bottom w:val="nil"/>
              <w:right w:val="nil"/>
            </w:tcBorders>
            <w:shd w:val="clear" w:color="auto" w:fill="auto"/>
          </w:tcPr>
          <w:p w14:paraId="7A1AE53D"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Bleeding</w:t>
            </w:r>
          </w:p>
        </w:tc>
        <w:tc>
          <w:tcPr>
            <w:tcW w:w="2578" w:type="pct"/>
            <w:tcBorders>
              <w:left w:val="nil"/>
              <w:bottom w:val="nil"/>
              <w:right w:val="nil"/>
            </w:tcBorders>
            <w:shd w:val="clear" w:color="auto" w:fill="auto"/>
          </w:tcPr>
          <w:p w14:paraId="74D95F40"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261DEF53" w14:textId="77777777" w:rsidTr="00D57E5E">
        <w:trPr>
          <w:trHeight w:val="348"/>
        </w:trPr>
        <w:tc>
          <w:tcPr>
            <w:tcW w:w="938" w:type="pct"/>
            <w:tcBorders>
              <w:top w:val="nil"/>
              <w:left w:val="nil"/>
              <w:bottom w:val="nil"/>
              <w:right w:val="nil"/>
            </w:tcBorders>
            <w:shd w:val="clear" w:color="auto" w:fill="auto"/>
          </w:tcPr>
          <w:p w14:paraId="6632B56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426632F1"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Bullae</w:t>
            </w:r>
          </w:p>
        </w:tc>
        <w:tc>
          <w:tcPr>
            <w:tcW w:w="2578" w:type="pct"/>
            <w:tcBorders>
              <w:top w:val="nil"/>
              <w:left w:val="nil"/>
              <w:bottom w:val="nil"/>
              <w:right w:val="nil"/>
            </w:tcBorders>
            <w:shd w:val="clear" w:color="auto" w:fill="auto"/>
            <w:hideMark/>
          </w:tcPr>
          <w:p w14:paraId="65BD316C"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Blisters</w:t>
            </w:r>
          </w:p>
        </w:tc>
      </w:tr>
      <w:tr w:rsidR="00F24F47" w:rsidRPr="00DE61C5" w14:paraId="0D6D3C91" w14:textId="77777777" w:rsidTr="00D57E5E">
        <w:trPr>
          <w:trHeight w:val="564"/>
        </w:trPr>
        <w:tc>
          <w:tcPr>
            <w:tcW w:w="938" w:type="pct"/>
            <w:tcBorders>
              <w:top w:val="nil"/>
              <w:left w:val="nil"/>
              <w:bottom w:val="nil"/>
              <w:right w:val="nil"/>
            </w:tcBorders>
            <w:shd w:val="clear" w:color="auto" w:fill="auto"/>
          </w:tcPr>
          <w:p w14:paraId="65731CF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0C2C0DF3"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r w:rsidRPr="00DE61C5">
              <w:rPr>
                <w:rFonts w:asciiTheme="majorBidi" w:eastAsia="Times New Roman" w:hAnsiTheme="majorBidi" w:cstheme="majorBidi"/>
                <w:sz w:val="20"/>
                <w:szCs w:val="20"/>
                <w:lang w:val="en-US" w:eastAsia="nl-BE"/>
              </w:rPr>
              <w:t>Clinical characteristics of skin surrounding IAD area assessed by caregiver</w:t>
            </w:r>
          </w:p>
        </w:tc>
        <w:tc>
          <w:tcPr>
            <w:tcW w:w="2578" w:type="pct"/>
            <w:tcBorders>
              <w:top w:val="nil"/>
              <w:left w:val="nil"/>
              <w:bottom w:val="nil"/>
              <w:right w:val="nil"/>
            </w:tcBorders>
            <w:shd w:val="clear" w:color="auto" w:fill="auto"/>
            <w:hideMark/>
          </w:tcPr>
          <w:p w14:paraId="111FD64F"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Pr>
                <w:rFonts w:asciiTheme="majorBidi" w:eastAsia="Times New Roman" w:hAnsiTheme="majorBidi" w:cstheme="majorBidi"/>
                <w:sz w:val="20"/>
                <w:szCs w:val="20"/>
                <w:lang w:eastAsia="nl-BE"/>
              </w:rPr>
              <w:t>E</w:t>
            </w:r>
            <w:r w:rsidRPr="00DE61C5">
              <w:rPr>
                <w:rFonts w:asciiTheme="majorBidi" w:eastAsia="Times New Roman" w:hAnsiTheme="majorBidi" w:cstheme="majorBidi"/>
                <w:sz w:val="20"/>
                <w:szCs w:val="20"/>
                <w:lang w:eastAsia="nl-BE"/>
              </w:rPr>
              <w:t>rythema or maceration</w:t>
            </w:r>
          </w:p>
        </w:tc>
      </w:tr>
      <w:tr w:rsidR="00F24F47" w:rsidRPr="00782FEF" w14:paraId="5F53F03D" w14:textId="77777777" w:rsidTr="00D57E5E">
        <w:trPr>
          <w:trHeight w:val="840"/>
        </w:trPr>
        <w:tc>
          <w:tcPr>
            <w:tcW w:w="938" w:type="pct"/>
            <w:tcBorders>
              <w:top w:val="nil"/>
              <w:left w:val="nil"/>
              <w:bottom w:val="nil"/>
              <w:right w:val="nil"/>
            </w:tcBorders>
            <w:shd w:val="clear" w:color="auto" w:fill="auto"/>
          </w:tcPr>
          <w:p w14:paraId="32B92C1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04DC5428"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r w:rsidRPr="00DE61C5">
              <w:rPr>
                <w:rFonts w:asciiTheme="majorBidi" w:eastAsia="Times New Roman" w:hAnsiTheme="majorBidi" w:cstheme="majorBidi"/>
                <w:sz w:val="20"/>
                <w:szCs w:val="20"/>
                <w:lang w:val="en-US" w:eastAsia="nl-BE"/>
              </w:rPr>
              <w:t xml:space="preserve">Clinical signs of inflammation / </w:t>
            </w:r>
            <w:proofErr w:type="spellStart"/>
            <w:r w:rsidRPr="00DE61C5">
              <w:rPr>
                <w:rFonts w:asciiTheme="majorBidi" w:eastAsia="Times New Roman" w:hAnsiTheme="majorBidi" w:cstheme="majorBidi"/>
                <w:sz w:val="20"/>
                <w:szCs w:val="20"/>
                <w:lang w:val="en-US" w:eastAsia="nl-BE"/>
              </w:rPr>
              <w:t>colonisation</w:t>
            </w:r>
            <w:proofErr w:type="spellEnd"/>
            <w:r w:rsidRPr="00DE61C5">
              <w:rPr>
                <w:rFonts w:asciiTheme="majorBidi" w:eastAsia="Times New Roman" w:hAnsiTheme="majorBidi" w:cstheme="majorBidi"/>
                <w:sz w:val="20"/>
                <w:szCs w:val="20"/>
                <w:lang w:val="en-US" w:eastAsia="nl-BE"/>
              </w:rPr>
              <w:t xml:space="preserve"> / infection of IAD area assessed by caregiver</w:t>
            </w:r>
          </w:p>
        </w:tc>
        <w:tc>
          <w:tcPr>
            <w:tcW w:w="2578" w:type="pct"/>
            <w:tcBorders>
              <w:top w:val="nil"/>
              <w:left w:val="nil"/>
              <w:bottom w:val="nil"/>
              <w:right w:val="nil"/>
            </w:tcBorders>
            <w:shd w:val="clear" w:color="auto" w:fill="auto"/>
            <w:hideMark/>
          </w:tcPr>
          <w:p w14:paraId="13953D0E"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r w:rsidRPr="00DE61C5">
              <w:rPr>
                <w:rFonts w:asciiTheme="majorBidi" w:eastAsia="Times New Roman" w:hAnsiTheme="majorBidi" w:cstheme="majorBidi"/>
                <w:sz w:val="20"/>
                <w:szCs w:val="20"/>
                <w:lang w:val="en-US" w:eastAsia="nl-BE"/>
              </w:rPr>
              <w:t xml:space="preserve">Satellite lesions, a white scaling of the skin, </w:t>
            </w:r>
            <w:proofErr w:type="spellStart"/>
            <w:r w:rsidRPr="00DE61C5">
              <w:rPr>
                <w:rFonts w:asciiTheme="majorBidi" w:eastAsia="Times New Roman" w:hAnsiTheme="majorBidi" w:cstheme="majorBidi"/>
                <w:sz w:val="20"/>
                <w:szCs w:val="20"/>
                <w:lang w:val="en-US" w:eastAsia="nl-BE"/>
              </w:rPr>
              <w:t>discolouration</w:t>
            </w:r>
            <w:proofErr w:type="spellEnd"/>
            <w:r w:rsidRPr="00DE61C5">
              <w:rPr>
                <w:rFonts w:asciiTheme="majorBidi" w:eastAsia="Times New Roman" w:hAnsiTheme="majorBidi" w:cstheme="majorBidi"/>
                <w:sz w:val="20"/>
                <w:szCs w:val="20"/>
                <w:lang w:val="en-US" w:eastAsia="nl-BE"/>
              </w:rPr>
              <w:t xml:space="preserve">, maceration, shiny appearance, swelling, inflammatory response, </w:t>
            </w:r>
            <w:proofErr w:type="spellStart"/>
            <w:r w:rsidRPr="00DE61C5">
              <w:rPr>
                <w:rFonts w:asciiTheme="majorBidi" w:eastAsia="Times New Roman" w:hAnsiTheme="majorBidi" w:cstheme="majorBidi"/>
                <w:sz w:val="20"/>
                <w:szCs w:val="20"/>
                <w:lang w:val="en-US" w:eastAsia="nl-BE"/>
              </w:rPr>
              <w:t>oedema</w:t>
            </w:r>
            <w:proofErr w:type="spellEnd"/>
            <w:r w:rsidRPr="00DE61C5">
              <w:rPr>
                <w:rFonts w:asciiTheme="majorBidi" w:eastAsia="Times New Roman" w:hAnsiTheme="majorBidi" w:cstheme="majorBidi"/>
                <w:sz w:val="20"/>
                <w:szCs w:val="20"/>
                <w:lang w:val="en-US" w:eastAsia="nl-BE"/>
              </w:rPr>
              <w:t xml:space="preserve">, (purulent) exudate, shiny appearance, slough present in the wound bed (yellow/brown/greyish), </w:t>
            </w:r>
            <w:proofErr w:type="spellStart"/>
            <w:r w:rsidRPr="00DE61C5">
              <w:rPr>
                <w:rFonts w:asciiTheme="majorBidi" w:eastAsia="Times New Roman" w:hAnsiTheme="majorBidi" w:cstheme="majorBidi"/>
                <w:sz w:val="20"/>
                <w:szCs w:val="20"/>
                <w:lang w:val="en-US" w:eastAsia="nl-BE"/>
              </w:rPr>
              <w:t>rubor</w:t>
            </w:r>
            <w:proofErr w:type="spellEnd"/>
            <w:r w:rsidRPr="00DE61C5">
              <w:rPr>
                <w:rFonts w:asciiTheme="majorBidi" w:eastAsia="Times New Roman" w:hAnsiTheme="majorBidi" w:cstheme="majorBidi"/>
                <w:sz w:val="20"/>
                <w:szCs w:val="20"/>
                <w:lang w:val="en-US" w:eastAsia="nl-BE"/>
              </w:rPr>
              <w:t xml:space="preserve">, </w:t>
            </w:r>
            <w:proofErr w:type="spellStart"/>
            <w:r w:rsidRPr="00DE61C5">
              <w:rPr>
                <w:rFonts w:asciiTheme="majorBidi" w:eastAsia="Times New Roman" w:hAnsiTheme="majorBidi" w:cstheme="majorBidi"/>
                <w:sz w:val="20"/>
                <w:szCs w:val="20"/>
                <w:lang w:val="en-US" w:eastAsia="nl-BE"/>
              </w:rPr>
              <w:t>calor</w:t>
            </w:r>
            <w:proofErr w:type="spellEnd"/>
            <w:r w:rsidRPr="00DE61C5">
              <w:rPr>
                <w:rFonts w:asciiTheme="majorBidi" w:eastAsia="Times New Roman" w:hAnsiTheme="majorBidi" w:cstheme="majorBidi"/>
                <w:sz w:val="20"/>
                <w:szCs w:val="20"/>
                <w:lang w:val="en-US" w:eastAsia="nl-BE"/>
              </w:rPr>
              <w:t>, dolor, tumor</w:t>
            </w:r>
          </w:p>
        </w:tc>
      </w:tr>
      <w:tr w:rsidR="00F24F47" w:rsidRPr="00DE61C5" w14:paraId="5F10FE0F" w14:textId="77777777" w:rsidTr="00D57E5E">
        <w:trPr>
          <w:trHeight w:val="294"/>
        </w:trPr>
        <w:tc>
          <w:tcPr>
            <w:tcW w:w="938" w:type="pct"/>
            <w:tcBorders>
              <w:top w:val="nil"/>
              <w:left w:val="nil"/>
              <w:bottom w:val="nil"/>
              <w:right w:val="nil"/>
            </w:tcBorders>
            <w:shd w:val="clear" w:color="auto" w:fill="auto"/>
          </w:tcPr>
          <w:p w14:paraId="3234502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1BF44CB4"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Cracking</w:t>
            </w:r>
          </w:p>
        </w:tc>
        <w:tc>
          <w:tcPr>
            <w:tcW w:w="2578" w:type="pct"/>
            <w:tcBorders>
              <w:top w:val="nil"/>
              <w:left w:val="nil"/>
              <w:bottom w:val="nil"/>
              <w:right w:val="nil"/>
            </w:tcBorders>
            <w:shd w:val="clear" w:color="auto" w:fill="auto"/>
            <w:hideMark/>
          </w:tcPr>
          <w:p w14:paraId="062F4905"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Cracks, fissures</w:t>
            </w:r>
          </w:p>
        </w:tc>
      </w:tr>
      <w:tr w:rsidR="00F24F47" w:rsidRPr="00DE61C5" w14:paraId="4655F857" w14:textId="77777777" w:rsidTr="00D57E5E">
        <w:trPr>
          <w:trHeight w:val="270"/>
        </w:trPr>
        <w:tc>
          <w:tcPr>
            <w:tcW w:w="938" w:type="pct"/>
            <w:tcBorders>
              <w:top w:val="nil"/>
              <w:left w:val="nil"/>
              <w:bottom w:val="nil"/>
              <w:right w:val="nil"/>
            </w:tcBorders>
            <w:shd w:val="clear" w:color="auto" w:fill="auto"/>
          </w:tcPr>
          <w:p w14:paraId="29EF7CF6"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6399B857"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Crusting</w:t>
            </w:r>
          </w:p>
        </w:tc>
        <w:tc>
          <w:tcPr>
            <w:tcW w:w="2578" w:type="pct"/>
            <w:tcBorders>
              <w:top w:val="nil"/>
              <w:left w:val="nil"/>
              <w:bottom w:val="nil"/>
              <w:right w:val="nil"/>
            </w:tcBorders>
            <w:shd w:val="clear" w:color="auto" w:fill="auto"/>
            <w:hideMark/>
          </w:tcPr>
          <w:p w14:paraId="1B41CCAE"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782FEF" w14:paraId="444011C4" w14:textId="77777777" w:rsidTr="00D57E5E">
        <w:trPr>
          <w:trHeight w:val="288"/>
        </w:trPr>
        <w:tc>
          <w:tcPr>
            <w:tcW w:w="938" w:type="pct"/>
            <w:tcBorders>
              <w:top w:val="nil"/>
              <w:left w:val="nil"/>
              <w:bottom w:val="nil"/>
              <w:right w:val="nil"/>
            </w:tcBorders>
            <w:shd w:val="clear" w:color="auto" w:fill="auto"/>
          </w:tcPr>
          <w:p w14:paraId="6B25063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066D0378"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Denudation</w:t>
            </w:r>
          </w:p>
        </w:tc>
        <w:tc>
          <w:tcPr>
            <w:tcW w:w="2578" w:type="pct"/>
            <w:tcBorders>
              <w:top w:val="nil"/>
              <w:left w:val="nil"/>
              <w:bottom w:val="nil"/>
              <w:right w:val="nil"/>
            </w:tcBorders>
            <w:shd w:val="clear" w:color="auto" w:fill="auto"/>
            <w:hideMark/>
          </w:tcPr>
          <w:p w14:paraId="1F2AB3CA"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proofErr w:type="spellStart"/>
            <w:r w:rsidRPr="00DE61C5">
              <w:rPr>
                <w:rFonts w:asciiTheme="majorBidi" w:eastAsia="Times New Roman" w:hAnsiTheme="majorBidi" w:cstheme="majorBidi"/>
                <w:sz w:val="20"/>
                <w:szCs w:val="20"/>
                <w:lang w:val="en-US" w:eastAsia="nl-BE"/>
              </w:rPr>
              <w:t>Denudement</w:t>
            </w:r>
            <w:proofErr w:type="spellEnd"/>
            <w:r w:rsidRPr="00DE61C5">
              <w:rPr>
                <w:rFonts w:asciiTheme="majorBidi" w:eastAsia="Times New Roman" w:hAnsiTheme="majorBidi" w:cstheme="majorBidi"/>
                <w:sz w:val="20"/>
                <w:szCs w:val="20"/>
                <w:lang w:val="en-US" w:eastAsia="nl-BE"/>
              </w:rPr>
              <w:t>, loss of superficial skin layers</w:t>
            </w:r>
          </w:p>
        </w:tc>
      </w:tr>
      <w:tr w:rsidR="00F24F47" w:rsidRPr="00DE61C5" w14:paraId="522EC67F" w14:textId="77777777" w:rsidTr="00D57E5E">
        <w:trPr>
          <w:trHeight w:val="278"/>
        </w:trPr>
        <w:tc>
          <w:tcPr>
            <w:tcW w:w="938" w:type="pct"/>
            <w:tcBorders>
              <w:top w:val="nil"/>
              <w:left w:val="nil"/>
              <w:bottom w:val="nil"/>
              <w:right w:val="nil"/>
            </w:tcBorders>
            <w:shd w:val="clear" w:color="auto" w:fill="auto"/>
          </w:tcPr>
          <w:p w14:paraId="68F66DAF"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50DAB87A"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Desquamation</w:t>
            </w:r>
          </w:p>
        </w:tc>
        <w:tc>
          <w:tcPr>
            <w:tcW w:w="2578" w:type="pct"/>
            <w:tcBorders>
              <w:top w:val="nil"/>
              <w:left w:val="nil"/>
              <w:bottom w:val="nil"/>
              <w:right w:val="nil"/>
            </w:tcBorders>
            <w:shd w:val="clear" w:color="auto" w:fill="auto"/>
            <w:hideMark/>
          </w:tcPr>
          <w:p w14:paraId="71E3FB5B"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36FB77F2" w14:textId="77777777" w:rsidTr="00D57E5E">
        <w:trPr>
          <w:trHeight w:val="284"/>
        </w:trPr>
        <w:tc>
          <w:tcPr>
            <w:tcW w:w="938" w:type="pct"/>
            <w:tcBorders>
              <w:top w:val="nil"/>
              <w:left w:val="nil"/>
              <w:bottom w:val="nil"/>
              <w:right w:val="nil"/>
            </w:tcBorders>
            <w:shd w:val="clear" w:color="auto" w:fill="auto"/>
          </w:tcPr>
          <w:p w14:paraId="6781DA77"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BA6E962"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Discolouration</w:t>
            </w:r>
          </w:p>
        </w:tc>
        <w:tc>
          <w:tcPr>
            <w:tcW w:w="2578" w:type="pct"/>
            <w:tcBorders>
              <w:top w:val="nil"/>
              <w:left w:val="nil"/>
              <w:bottom w:val="nil"/>
              <w:right w:val="nil"/>
            </w:tcBorders>
            <w:shd w:val="clear" w:color="auto" w:fill="auto"/>
            <w:hideMark/>
          </w:tcPr>
          <w:p w14:paraId="4D5452DB"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00F7CB85" w14:textId="77777777" w:rsidTr="00D57E5E">
        <w:trPr>
          <w:trHeight w:val="284"/>
        </w:trPr>
        <w:tc>
          <w:tcPr>
            <w:tcW w:w="938" w:type="pct"/>
            <w:tcBorders>
              <w:top w:val="nil"/>
              <w:left w:val="nil"/>
              <w:bottom w:val="nil"/>
              <w:right w:val="nil"/>
            </w:tcBorders>
            <w:shd w:val="clear" w:color="auto" w:fill="auto"/>
          </w:tcPr>
          <w:p w14:paraId="68355754"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6164183E"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Dryness</w:t>
            </w:r>
          </w:p>
        </w:tc>
        <w:tc>
          <w:tcPr>
            <w:tcW w:w="2578" w:type="pct"/>
            <w:tcBorders>
              <w:top w:val="nil"/>
              <w:left w:val="nil"/>
              <w:bottom w:val="nil"/>
              <w:right w:val="nil"/>
            </w:tcBorders>
            <w:shd w:val="clear" w:color="auto" w:fill="auto"/>
            <w:noWrap/>
            <w:hideMark/>
          </w:tcPr>
          <w:p w14:paraId="5802DD7C"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Xerosis</w:t>
            </w:r>
          </w:p>
        </w:tc>
      </w:tr>
      <w:tr w:rsidR="00F24F47" w:rsidRPr="00DE61C5" w14:paraId="15C1FAFD" w14:textId="77777777" w:rsidTr="00D57E5E">
        <w:trPr>
          <w:trHeight w:val="284"/>
        </w:trPr>
        <w:tc>
          <w:tcPr>
            <w:tcW w:w="938" w:type="pct"/>
            <w:tcBorders>
              <w:top w:val="nil"/>
              <w:left w:val="nil"/>
              <w:bottom w:val="nil"/>
              <w:right w:val="nil"/>
            </w:tcBorders>
            <w:shd w:val="clear" w:color="auto" w:fill="auto"/>
          </w:tcPr>
          <w:p w14:paraId="3D476F4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883E475"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Erosion</w:t>
            </w:r>
          </w:p>
        </w:tc>
        <w:tc>
          <w:tcPr>
            <w:tcW w:w="2578" w:type="pct"/>
            <w:tcBorders>
              <w:top w:val="nil"/>
              <w:left w:val="nil"/>
              <w:bottom w:val="nil"/>
              <w:right w:val="nil"/>
            </w:tcBorders>
            <w:shd w:val="clear" w:color="auto" w:fill="auto"/>
            <w:hideMark/>
          </w:tcPr>
          <w:p w14:paraId="76E04B9F"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782FEF" w14:paraId="3606457A" w14:textId="77777777" w:rsidTr="00D57E5E">
        <w:trPr>
          <w:trHeight w:val="564"/>
        </w:trPr>
        <w:tc>
          <w:tcPr>
            <w:tcW w:w="938" w:type="pct"/>
            <w:tcBorders>
              <w:top w:val="nil"/>
              <w:left w:val="nil"/>
              <w:bottom w:val="nil"/>
              <w:right w:val="nil"/>
            </w:tcBorders>
            <w:shd w:val="clear" w:color="auto" w:fill="auto"/>
          </w:tcPr>
          <w:p w14:paraId="4DC688D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547D4EAA"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Erythema</w:t>
            </w:r>
          </w:p>
        </w:tc>
        <w:tc>
          <w:tcPr>
            <w:tcW w:w="2578" w:type="pct"/>
            <w:tcBorders>
              <w:top w:val="nil"/>
              <w:left w:val="nil"/>
              <w:bottom w:val="nil"/>
              <w:right w:val="nil"/>
            </w:tcBorders>
            <w:shd w:val="clear" w:color="auto" w:fill="auto"/>
            <w:hideMark/>
          </w:tcPr>
          <w:p w14:paraId="663FBB6E"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roofErr w:type="spellStart"/>
            <w:r w:rsidRPr="00DE61C5">
              <w:rPr>
                <w:rFonts w:asciiTheme="majorBidi" w:eastAsia="Times New Roman" w:hAnsiTheme="majorBidi" w:cstheme="majorBidi"/>
                <w:color w:val="000000"/>
                <w:sz w:val="20"/>
                <w:szCs w:val="20"/>
                <w:lang w:val="en-US" w:eastAsia="nl-BE"/>
              </w:rPr>
              <w:t>Blanchable</w:t>
            </w:r>
            <w:proofErr w:type="spellEnd"/>
            <w:r w:rsidRPr="00DE61C5">
              <w:rPr>
                <w:rFonts w:asciiTheme="majorBidi" w:eastAsia="Times New Roman" w:hAnsiTheme="majorBidi" w:cstheme="majorBidi"/>
                <w:color w:val="000000"/>
                <w:sz w:val="20"/>
                <w:szCs w:val="20"/>
                <w:lang w:val="en-US" w:eastAsia="nl-BE"/>
              </w:rPr>
              <w:t xml:space="preserve"> erythema, change in erythema, changes in the red components of </w:t>
            </w:r>
            <w:proofErr w:type="spellStart"/>
            <w:r w:rsidRPr="00DE61C5">
              <w:rPr>
                <w:rFonts w:asciiTheme="majorBidi" w:eastAsia="Times New Roman" w:hAnsiTheme="majorBidi" w:cstheme="majorBidi"/>
                <w:color w:val="000000"/>
                <w:sz w:val="20"/>
                <w:szCs w:val="20"/>
                <w:lang w:val="en-US" w:eastAsia="nl-BE"/>
              </w:rPr>
              <w:t>colour</w:t>
            </w:r>
            <w:proofErr w:type="spellEnd"/>
            <w:r w:rsidRPr="00DE61C5">
              <w:rPr>
                <w:rFonts w:asciiTheme="majorBidi" w:eastAsia="Times New Roman" w:hAnsiTheme="majorBidi" w:cstheme="majorBidi"/>
                <w:color w:val="000000"/>
                <w:sz w:val="20"/>
                <w:szCs w:val="20"/>
                <w:lang w:val="en-US" w:eastAsia="nl-BE"/>
              </w:rPr>
              <w:t>, non-exuding infiltrated erythema, red skin, redness</w:t>
            </w:r>
          </w:p>
        </w:tc>
      </w:tr>
      <w:tr w:rsidR="00F24F47" w:rsidRPr="00DE61C5" w14:paraId="34E88762" w14:textId="77777777" w:rsidTr="00D57E5E">
        <w:trPr>
          <w:trHeight w:val="307"/>
        </w:trPr>
        <w:tc>
          <w:tcPr>
            <w:tcW w:w="938" w:type="pct"/>
            <w:tcBorders>
              <w:top w:val="nil"/>
              <w:left w:val="nil"/>
              <w:bottom w:val="nil"/>
              <w:right w:val="nil"/>
            </w:tcBorders>
            <w:shd w:val="clear" w:color="auto" w:fill="auto"/>
          </w:tcPr>
          <w:p w14:paraId="29A41CF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17F8A3D9"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Excoriation</w:t>
            </w:r>
          </w:p>
        </w:tc>
        <w:tc>
          <w:tcPr>
            <w:tcW w:w="2578" w:type="pct"/>
            <w:tcBorders>
              <w:top w:val="nil"/>
              <w:left w:val="nil"/>
              <w:bottom w:val="nil"/>
              <w:right w:val="nil"/>
            </w:tcBorders>
            <w:shd w:val="clear" w:color="auto" w:fill="auto"/>
            <w:hideMark/>
          </w:tcPr>
          <w:p w14:paraId="38B28D6E"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782FEF" w14:paraId="4B92159B" w14:textId="77777777" w:rsidTr="00D57E5E">
        <w:trPr>
          <w:trHeight w:val="566"/>
        </w:trPr>
        <w:tc>
          <w:tcPr>
            <w:tcW w:w="938" w:type="pct"/>
            <w:tcBorders>
              <w:top w:val="nil"/>
              <w:left w:val="nil"/>
              <w:bottom w:val="nil"/>
              <w:right w:val="nil"/>
            </w:tcBorders>
            <w:shd w:val="clear" w:color="auto" w:fill="auto"/>
          </w:tcPr>
          <w:p w14:paraId="579E8CF2"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89211A7"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Exudate</w:t>
            </w:r>
          </w:p>
        </w:tc>
        <w:tc>
          <w:tcPr>
            <w:tcW w:w="2578" w:type="pct"/>
            <w:tcBorders>
              <w:top w:val="nil"/>
              <w:left w:val="nil"/>
              <w:bottom w:val="nil"/>
              <w:right w:val="nil"/>
            </w:tcBorders>
            <w:shd w:val="clear" w:color="auto" w:fill="auto"/>
            <w:hideMark/>
          </w:tcPr>
          <w:p w14:paraId="16BC2988"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r w:rsidRPr="00DE61C5">
              <w:rPr>
                <w:rFonts w:asciiTheme="majorBidi" w:eastAsia="Times New Roman" w:hAnsiTheme="majorBidi" w:cstheme="majorBidi"/>
                <w:sz w:val="20"/>
                <w:szCs w:val="20"/>
                <w:lang w:val="en-US" w:eastAsia="nl-BE"/>
              </w:rPr>
              <w:t>Exudation, exuding infiltrated erythema, infiltrated erythema (dry or exuding), serous exudate</w:t>
            </w:r>
          </w:p>
        </w:tc>
      </w:tr>
      <w:tr w:rsidR="00F24F47" w:rsidRPr="00DE61C5" w14:paraId="7FC284BB" w14:textId="77777777" w:rsidTr="00D57E5E">
        <w:trPr>
          <w:trHeight w:val="276"/>
        </w:trPr>
        <w:tc>
          <w:tcPr>
            <w:tcW w:w="938" w:type="pct"/>
            <w:tcBorders>
              <w:top w:val="nil"/>
              <w:left w:val="nil"/>
              <w:bottom w:val="nil"/>
              <w:right w:val="nil"/>
            </w:tcBorders>
            <w:shd w:val="clear" w:color="auto" w:fill="auto"/>
          </w:tcPr>
          <w:p w14:paraId="3E53B4E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2C50A4DE"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Glossy/shiny appearance</w:t>
            </w:r>
          </w:p>
        </w:tc>
        <w:tc>
          <w:tcPr>
            <w:tcW w:w="2578" w:type="pct"/>
            <w:tcBorders>
              <w:top w:val="nil"/>
              <w:left w:val="nil"/>
              <w:bottom w:val="nil"/>
              <w:right w:val="nil"/>
            </w:tcBorders>
            <w:shd w:val="clear" w:color="auto" w:fill="auto"/>
            <w:hideMark/>
          </w:tcPr>
          <w:p w14:paraId="2CD1980A"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1385BCE8" w14:textId="77777777" w:rsidTr="00D57E5E">
        <w:trPr>
          <w:trHeight w:val="280"/>
        </w:trPr>
        <w:tc>
          <w:tcPr>
            <w:tcW w:w="938" w:type="pct"/>
            <w:tcBorders>
              <w:top w:val="nil"/>
              <w:left w:val="nil"/>
              <w:bottom w:val="nil"/>
              <w:right w:val="nil"/>
            </w:tcBorders>
            <w:shd w:val="clear" w:color="auto" w:fill="auto"/>
          </w:tcPr>
          <w:p w14:paraId="646AF69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683C876"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Infection confirmed by culture</w:t>
            </w:r>
          </w:p>
        </w:tc>
        <w:tc>
          <w:tcPr>
            <w:tcW w:w="2578" w:type="pct"/>
            <w:tcBorders>
              <w:top w:val="nil"/>
              <w:left w:val="nil"/>
              <w:bottom w:val="nil"/>
              <w:right w:val="nil"/>
            </w:tcBorders>
            <w:shd w:val="clear" w:color="auto" w:fill="auto"/>
            <w:hideMark/>
          </w:tcPr>
          <w:p w14:paraId="38AE587E"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0BC86EA2" w14:textId="77777777" w:rsidTr="00D57E5E">
        <w:trPr>
          <w:trHeight w:val="298"/>
        </w:trPr>
        <w:tc>
          <w:tcPr>
            <w:tcW w:w="938" w:type="pct"/>
            <w:tcBorders>
              <w:top w:val="nil"/>
              <w:left w:val="nil"/>
              <w:bottom w:val="nil"/>
              <w:right w:val="nil"/>
            </w:tcBorders>
            <w:shd w:val="clear" w:color="auto" w:fill="auto"/>
          </w:tcPr>
          <w:p w14:paraId="0CACCFA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5CA7C696"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Lichenification</w:t>
            </w:r>
          </w:p>
        </w:tc>
        <w:tc>
          <w:tcPr>
            <w:tcW w:w="2578" w:type="pct"/>
            <w:tcBorders>
              <w:top w:val="nil"/>
              <w:left w:val="nil"/>
              <w:bottom w:val="nil"/>
              <w:right w:val="nil"/>
            </w:tcBorders>
            <w:shd w:val="clear" w:color="auto" w:fill="auto"/>
            <w:hideMark/>
          </w:tcPr>
          <w:p w14:paraId="2B7A3ED0"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46418118" w14:textId="77777777" w:rsidTr="00D57E5E">
        <w:trPr>
          <w:trHeight w:val="274"/>
        </w:trPr>
        <w:tc>
          <w:tcPr>
            <w:tcW w:w="938" w:type="pct"/>
            <w:tcBorders>
              <w:top w:val="nil"/>
              <w:left w:val="nil"/>
              <w:bottom w:val="nil"/>
              <w:right w:val="nil"/>
            </w:tcBorders>
            <w:shd w:val="clear" w:color="auto" w:fill="auto"/>
          </w:tcPr>
          <w:p w14:paraId="2348F1C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406F35B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r w:rsidRPr="00DE61C5">
              <w:rPr>
                <w:rFonts w:asciiTheme="majorBidi" w:eastAsia="Times New Roman" w:hAnsiTheme="majorBidi" w:cstheme="majorBidi"/>
                <w:color w:val="000000"/>
                <w:sz w:val="20"/>
                <w:szCs w:val="20"/>
                <w:lang w:eastAsia="nl-BE"/>
              </w:rPr>
              <w:t>Maceration</w:t>
            </w:r>
          </w:p>
        </w:tc>
        <w:tc>
          <w:tcPr>
            <w:tcW w:w="2578" w:type="pct"/>
            <w:tcBorders>
              <w:top w:val="nil"/>
              <w:left w:val="nil"/>
              <w:bottom w:val="nil"/>
              <w:right w:val="nil"/>
            </w:tcBorders>
            <w:shd w:val="clear" w:color="auto" w:fill="auto"/>
            <w:hideMark/>
          </w:tcPr>
          <w:p w14:paraId="056D1EC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r>
      <w:tr w:rsidR="00F24F47" w:rsidRPr="00DE61C5" w14:paraId="713FA5D5" w14:textId="77777777" w:rsidTr="00D57E5E">
        <w:trPr>
          <w:trHeight w:val="278"/>
        </w:trPr>
        <w:tc>
          <w:tcPr>
            <w:tcW w:w="938" w:type="pct"/>
            <w:tcBorders>
              <w:top w:val="nil"/>
              <w:left w:val="nil"/>
              <w:bottom w:val="nil"/>
              <w:right w:val="nil"/>
            </w:tcBorders>
            <w:shd w:val="clear" w:color="auto" w:fill="auto"/>
          </w:tcPr>
          <w:p w14:paraId="5A024B49"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250F19FF"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Macules</w:t>
            </w:r>
          </w:p>
        </w:tc>
        <w:tc>
          <w:tcPr>
            <w:tcW w:w="2578" w:type="pct"/>
            <w:tcBorders>
              <w:top w:val="nil"/>
              <w:left w:val="nil"/>
              <w:bottom w:val="nil"/>
              <w:right w:val="nil"/>
            </w:tcBorders>
            <w:shd w:val="clear" w:color="auto" w:fill="auto"/>
            <w:hideMark/>
          </w:tcPr>
          <w:p w14:paraId="4F650362"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473D284D" w14:textId="77777777" w:rsidTr="00D57E5E">
        <w:trPr>
          <w:trHeight w:val="296"/>
        </w:trPr>
        <w:tc>
          <w:tcPr>
            <w:tcW w:w="938" w:type="pct"/>
            <w:tcBorders>
              <w:top w:val="nil"/>
              <w:left w:val="nil"/>
              <w:bottom w:val="nil"/>
              <w:right w:val="nil"/>
            </w:tcBorders>
            <w:shd w:val="clear" w:color="auto" w:fill="auto"/>
          </w:tcPr>
          <w:p w14:paraId="31C9D76A"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2759BAE0"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Maculopapular rash</w:t>
            </w:r>
          </w:p>
        </w:tc>
        <w:tc>
          <w:tcPr>
            <w:tcW w:w="2578" w:type="pct"/>
            <w:tcBorders>
              <w:top w:val="nil"/>
              <w:left w:val="nil"/>
              <w:bottom w:val="nil"/>
              <w:right w:val="nil"/>
            </w:tcBorders>
            <w:shd w:val="clear" w:color="auto" w:fill="auto"/>
            <w:hideMark/>
          </w:tcPr>
          <w:p w14:paraId="3862F426"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1D012565" w14:textId="77777777" w:rsidTr="00D57E5E">
        <w:trPr>
          <w:trHeight w:val="286"/>
        </w:trPr>
        <w:tc>
          <w:tcPr>
            <w:tcW w:w="938" w:type="pct"/>
            <w:tcBorders>
              <w:top w:val="nil"/>
              <w:left w:val="nil"/>
              <w:bottom w:val="nil"/>
              <w:right w:val="nil"/>
            </w:tcBorders>
            <w:shd w:val="clear" w:color="auto" w:fill="auto"/>
          </w:tcPr>
          <w:p w14:paraId="103FEB4A"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F323D23"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Necrosis</w:t>
            </w:r>
          </w:p>
        </w:tc>
        <w:tc>
          <w:tcPr>
            <w:tcW w:w="2578" w:type="pct"/>
            <w:tcBorders>
              <w:top w:val="nil"/>
              <w:left w:val="nil"/>
              <w:bottom w:val="nil"/>
              <w:right w:val="nil"/>
            </w:tcBorders>
            <w:shd w:val="clear" w:color="auto" w:fill="auto"/>
            <w:hideMark/>
          </w:tcPr>
          <w:p w14:paraId="45605DF4"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20C7A9BF" w14:textId="77777777" w:rsidTr="00D57E5E">
        <w:trPr>
          <w:trHeight w:val="276"/>
        </w:trPr>
        <w:tc>
          <w:tcPr>
            <w:tcW w:w="938" w:type="pct"/>
            <w:tcBorders>
              <w:top w:val="nil"/>
              <w:left w:val="nil"/>
              <w:bottom w:val="nil"/>
              <w:right w:val="nil"/>
            </w:tcBorders>
            <w:shd w:val="clear" w:color="auto" w:fill="auto"/>
          </w:tcPr>
          <w:p w14:paraId="50045FA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52D70401"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Nodules</w:t>
            </w:r>
          </w:p>
        </w:tc>
        <w:tc>
          <w:tcPr>
            <w:tcW w:w="2578" w:type="pct"/>
            <w:tcBorders>
              <w:top w:val="nil"/>
              <w:left w:val="nil"/>
              <w:bottom w:val="nil"/>
              <w:right w:val="nil"/>
            </w:tcBorders>
            <w:shd w:val="clear" w:color="auto" w:fill="auto"/>
            <w:hideMark/>
          </w:tcPr>
          <w:p w14:paraId="1DC16EE3"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15C62ACA" w14:textId="77777777" w:rsidTr="00D57E5E">
        <w:trPr>
          <w:trHeight w:val="280"/>
        </w:trPr>
        <w:tc>
          <w:tcPr>
            <w:tcW w:w="938" w:type="pct"/>
            <w:tcBorders>
              <w:top w:val="nil"/>
              <w:left w:val="nil"/>
              <w:bottom w:val="nil"/>
              <w:right w:val="nil"/>
            </w:tcBorders>
            <w:shd w:val="clear" w:color="auto" w:fill="auto"/>
          </w:tcPr>
          <w:p w14:paraId="26C7CF77"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5A6EE238"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Oedema</w:t>
            </w:r>
          </w:p>
        </w:tc>
        <w:tc>
          <w:tcPr>
            <w:tcW w:w="2578" w:type="pct"/>
            <w:tcBorders>
              <w:top w:val="nil"/>
              <w:left w:val="nil"/>
              <w:bottom w:val="nil"/>
              <w:right w:val="nil"/>
            </w:tcBorders>
            <w:shd w:val="clear" w:color="auto" w:fill="auto"/>
            <w:hideMark/>
          </w:tcPr>
          <w:p w14:paraId="6AE95DF3"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Edema</w:t>
            </w:r>
          </w:p>
        </w:tc>
      </w:tr>
      <w:tr w:rsidR="00F24F47" w:rsidRPr="00DE61C5" w14:paraId="5D2B4C41" w14:textId="77777777" w:rsidTr="00D57E5E">
        <w:trPr>
          <w:trHeight w:val="208"/>
        </w:trPr>
        <w:tc>
          <w:tcPr>
            <w:tcW w:w="938" w:type="pct"/>
            <w:tcBorders>
              <w:top w:val="nil"/>
              <w:left w:val="nil"/>
              <w:bottom w:val="nil"/>
              <w:right w:val="nil"/>
            </w:tcBorders>
            <w:shd w:val="clear" w:color="auto" w:fill="auto"/>
          </w:tcPr>
          <w:p w14:paraId="6E64566E"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1A54AC01"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Oozing</w:t>
            </w:r>
          </w:p>
        </w:tc>
        <w:tc>
          <w:tcPr>
            <w:tcW w:w="2578" w:type="pct"/>
            <w:tcBorders>
              <w:top w:val="nil"/>
              <w:left w:val="nil"/>
              <w:bottom w:val="nil"/>
              <w:right w:val="nil"/>
            </w:tcBorders>
            <w:shd w:val="clear" w:color="auto" w:fill="auto"/>
            <w:hideMark/>
          </w:tcPr>
          <w:p w14:paraId="3D576786"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77A7FEF7" w14:textId="77777777" w:rsidTr="00D57E5E">
        <w:trPr>
          <w:trHeight w:val="188"/>
        </w:trPr>
        <w:tc>
          <w:tcPr>
            <w:tcW w:w="938" w:type="pct"/>
            <w:tcBorders>
              <w:top w:val="nil"/>
              <w:left w:val="nil"/>
              <w:bottom w:val="nil"/>
              <w:right w:val="nil"/>
            </w:tcBorders>
            <w:shd w:val="clear" w:color="auto" w:fill="auto"/>
          </w:tcPr>
          <w:p w14:paraId="61194BE1"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2280D0A8"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Papules</w:t>
            </w:r>
          </w:p>
        </w:tc>
        <w:tc>
          <w:tcPr>
            <w:tcW w:w="2578" w:type="pct"/>
            <w:tcBorders>
              <w:top w:val="nil"/>
              <w:left w:val="nil"/>
              <w:bottom w:val="nil"/>
              <w:right w:val="nil"/>
            </w:tcBorders>
            <w:shd w:val="clear" w:color="auto" w:fill="auto"/>
            <w:hideMark/>
          </w:tcPr>
          <w:p w14:paraId="42D16F4F"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6A1EE7BF" w14:textId="77777777" w:rsidTr="00D57E5E">
        <w:trPr>
          <w:trHeight w:val="248"/>
        </w:trPr>
        <w:tc>
          <w:tcPr>
            <w:tcW w:w="938" w:type="pct"/>
            <w:tcBorders>
              <w:top w:val="nil"/>
              <w:left w:val="nil"/>
              <w:bottom w:val="nil"/>
              <w:right w:val="nil"/>
            </w:tcBorders>
            <w:shd w:val="clear" w:color="auto" w:fill="auto"/>
          </w:tcPr>
          <w:p w14:paraId="02ED3EB3"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628AFAF8"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Pigmentation</w:t>
            </w:r>
          </w:p>
        </w:tc>
        <w:tc>
          <w:tcPr>
            <w:tcW w:w="2578" w:type="pct"/>
            <w:tcBorders>
              <w:top w:val="nil"/>
              <w:left w:val="nil"/>
              <w:bottom w:val="nil"/>
              <w:right w:val="nil"/>
            </w:tcBorders>
            <w:shd w:val="clear" w:color="auto" w:fill="auto"/>
            <w:hideMark/>
          </w:tcPr>
          <w:p w14:paraId="08CAE0CE"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Hyperpigmentation, hypopigmentation</w:t>
            </w:r>
          </w:p>
        </w:tc>
      </w:tr>
      <w:tr w:rsidR="00F24F47" w:rsidRPr="00DE61C5" w14:paraId="027FB2FC" w14:textId="77777777" w:rsidTr="00D57E5E">
        <w:trPr>
          <w:trHeight w:val="256"/>
        </w:trPr>
        <w:tc>
          <w:tcPr>
            <w:tcW w:w="938" w:type="pct"/>
            <w:tcBorders>
              <w:top w:val="nil"/>
              <w:left w:val="nil"/>
              <w:bottom w:val="nil"/>
              <w:right w:val="nil"/>
            </w:tcBorders>
            <w:shd w:val="clear" w:color="auto" w:fill="auto"/>
          </w:tcPr>
          <w:p w14:paraId="3EAD6AF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1DED8B1B"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Purulent exudate</w:t>
            </w:r>
          </w:p>
        </w:tc>
        <w:tc>
          <w:tcPr>
            <w:tcW w:w="2578" w:type="pct"/>
            <w:tcBorders>
              <w:top w:val="nil"/>
              <w:left w:val="nil"/>
              <w:bottom w:val="nil"/>
              <w:right w:val="nil"/>
            </w:tcBorders>
            <w:shd w:val="clear" w:color="auto" w:fill="auto"/>
            <w:hideMark/>
          </w:tcPr>
          <w:p w14:paraId="3CFE4A93"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4E0F6F69" w14:textId="77777777" w:rsidTr="00D57E5E">
        <w:trPr>
          <w:trHeight w:val="312"/>
        </w:trPr>
        <w:tc>
          <w:tcPr>
            <w:tcW w:w="938" w:type="pct"/>
            <w:tcBorders>
              <w:top w:val="nil"/>
              <w:left w:val="nil"/>
              <w:bottom w:val="nil"/>
              <w:right w:val="nil"/>
            </w:tcBorders>
            <w:shd w:val="clear" w:color="auto" w:fill="auto"/>
          </w:tcPr>
          <w:p w14:paraId="78022F42"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06DBDC49"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Pustules</w:t>
            </w:r>
          </w:p>
        </w:tc>
        <w:tc>
          <w:tcPr>
            <w:tcW w:w="2578" w:type="pct"/>
            <w:tcBorders>
              <w:top w:val="nil"/>
              <w:left w:val="nil"/>
              <w:bottom w:val="nil"/>
              <w:right w:val="nil"/>
            </w:tcBorders>
            <w:shd w:val="clear" w:color="auto" w:fill="auto"/>
            <w:hideMark/>
          </w:tcPr>
          <w:p w14:paraId="3B9E96E4"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23F89379" w14:textId="77777777" w:rsidTr="00D57E5E">
        <w:trPr>
          <w:trHeight w:val="288"/>
        </w:trPr>
        <w:tc>
          <w:tcPr>
            <w:tcW w:w="938" w:type="pct"/>
            <w:tcBorders>
              <w:top w:val="nil"/>
              <w:left w:val="nil"/>
              <w:bottom w:val="nil"/>
              <w:right w:val="nil"/>
            </w:tcBorders>
            <w:shd w:val="clear" w:color="auto" w:fill="auto"/>
          </w:tcPr>
          <w:p w14:paraId="4131ED0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335F163C"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Roughness</w:t>
            </w:r>
          </w:p>
        </w:tc>
        <w:tc>
          <w:tcPr>
            <w:tcW w:w="2578" w:type="pct"/>
            <w:tcBorders>
              <w:top w:val="nil"/>
              <w:left w:val="nil"/>
              <w:bottom w:val="nil"/>
              <w:right w:val="nil"/>
            </w:tcBorders>
            <w:shd w:val="clear" w:color="auto" w:fill="auto"/>
            <w:hideMark/>
          </w:tcPr>
          <w:p w14:paraId="61E4DCD4"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493C8800" w14:textId="77777777" w:rsidTr="00D57E5E">
        <w:trPr>
          <w:trHeight w:val="279"/>
        </w:trPr>
        <w:tc>
          <w:tcPr>
            <w:tcW w:w="938" w:type="pct"/>
            <w:tcBorders>
              <w:top w:val="nil"/>
              <w:left w:val="nil"/>
              <w:bottom w:val="nil"/>
              <w:right w:val="nil"/>
            </w:tcBorders>
            <w:shd w:val="clear" w:color="auto" w:fill="auto"/>
          </w:tcPr>
          <w:p w14:paraId="123E565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C83D33F"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Satellite lesions</w:t>
            </w:r>
          </w:p>
        </w:tc>
        <w:tc>
          <w:tcPr>
            <w:tcW w:w="2578" w:type="pct"/>
            <w:tcBorders>
              <w:top w:val="nil"/>
              <w:left w:val="nil"/>
              <w:bottom w:val="nil"/>
              <w:right w:val="nil"/>
            </w:tcBorders>
            <w:shd w:val="clear" w:color="auto" w:fill="auto"/>
            <w:hideMark/>
          </w:tcPr>
          <w:p w14:paraId="684C1132"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0601F248" w14:textId="77777777" w:rsidTr="00D57E5E">
        <w:trPr>
          <w:trHeight w:val="296"/>
        </w:trPr>
        <w:tc>
          <w:tcPr>
            <w:tcW w:w="938" w:type="pct"/>
            <w:tcBorders>
              <w:top w:val="nil"/>
              <w:left w:val="nil"/>
              <w:bottom w:val="nil"/>
              <w:right w:val="nil"/>
            </w:tcBorders>
            <w:shd w:val="clear" w:color="auto" w:fill="auto"/>
          </w:tcPr>
          <w:p w14:paraId="323A43DD"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004A434A"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Scabbing</w:t>
            </w:r>
          </w:p>
        </w:tc>
        <w:tc>
          <w:tcPr>
            <w:tcW w:w="2578" w:type="pct"/>
            <w:tcBorders>
              <w:top w:val="nil"/>
              <w:left w:val="nil"/>
              <w:bottom w:val="nil"/>
              <w:right w:val="nil"/>
            </w:tcBorders>
            <w:shd w:val="clear" w:color="auto" w:fill="auto"/>
            <w:hideMark/>
          </w:tcPr>
          <w:p w14:paraId="3C0424BB"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316C50E6" w14:textId="77777777" w:rsidTr="00D57E5E">
        <w:trPr>
          <w:trHeight w:val="272"/>
        </w:trPr>
        <w:tc>
          <w:tcPr>
            <w:tcW w:w="938" w:type="pct"/>
            <w:tcBorders>
              <w:top w:val="nil"/>
              <w:left w:val="nil"/>
              <w:bottom w:val="nil"/>
              <w:right w:val="nil"/>
            </w:tcBorders>
            <w:shd w:val="clear" w:color="auto" w:fill="auto"/>
          </w:tcPr>
          <w:p w14:paraId="13B85594"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21B7C2B1"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Scaling</w:t>
            </w:r>
          </w:p>
        </w:tc>
        <w:tc>
          <w:tcPr>
            <w:tcW w:w="2578" w:type="pct"/>
            <w:tcBorders>
              <w:top w:val="nil"/>
              <w:left w:val="nil"/>
              <w:bottom w:val="nil"/>
              <w:right w:val="nil"/>
            </w:tcBorders>
            <w:shd w:val="clear" w:color="auto" w:fill="auto"/>
            <w:hideMark/>
          </w:tcPr>
          <w:p w14:paraId="21B4D56C"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Scales, flaky appearance</w:t>
            </w:r>
          </w:p>
        </w:tc>
      </w:tr>
      <w:tr w:rsidR="00F24F47" w:rsidRPr="00DE61C5" w14:paraId="7949E139" w14:textId="77777777" w:rsidTr="00D57E5E">
        <w:trPr>
          <w:trHeight w:val="276"/>
        </w:trPr>
        <w:tc>
          <w:tcPr>
            <w:tcW w:w="938" w:type="pct"/>
            <w:tcBorders>
              <w:top w:val="nil"/>
              <w:left w:val="nil"/>
              <w:bottom w:val="nil"/>
              <w:right w:val="nil"/>
            </w:tcBorders>
            <w:shd w:val="clear" w:color="auto" w:fill="auto"/>
          </w:tcPr>
          <w:p w14:paraId="23685808"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505E187"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Scratch marks</w:t>
            </w:r>
          </w:p>
        </w:tc>
        <w:tc>
          <w:tcPr>
            <w:tcW w:w="2578" w:type="pct"/>
            <w:tcBorders>
              <w:top w:val="nil"/>
              <w:left w:val="nil"/>
              <w:bottom w:val="nil"/>
              <w:right w:val="nil"/>
            </w:tcBorders>
            <w:shd w:val="clear" w:color="auto" w:fill="auto"/>
            <w:hideMark/>
          </w:tcPr>
          <w:p w14:paraId="7DA9E1D7"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Scratching</w:t>
            </w:r>
          </w:p>
        </w:tc>
      </w:tr>
      <w:tr w:rsidR="00F24F47" w:rsidRPr="00DE61C5" w14:paraId="21F9A066" w14:textId="77777777" w:rsidTr="00D57E5E">
        <w:trPr>
          <w:trHeight w:val="294"/>
        </w:trPr>
        <w:tc>
          <w:tcPr>
            <w:tcW w:w="938" w:type="pct"/>
            <w:tcBorders>
              <w:top w:val="nil"/>
              <w:left w:val="nil"/>
              <w:bottom w:val="nil"/>
              <w:right w:val="nil"/>
            </w:tcBorders>
            <w:shd w:val="clear" w:color="auto" w:fill="auto"/>
          </w:tcPr>
          <w:p w14:paraId="22524C1C"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4A3E8026"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Shiny appearance</w:t>
            </w:r>
          </w:p>
        </w:tc>
        <w:tc>
          <w:tcPr>
            <w:tcW w:w="2578" w:type="pct"/>
            <w:tcBorders>
              <w:top w:val="nil"/>
              <w:left w:val="nil"/>
              <w:bottom w:val="nil"/>
              <w:right w:val="nil"/>
            </w:tcBorders>
            <w:shd w:val="clear" w:color="auto" w:fill="auto"/>
            <w:hideMark/>
          </w:tcPr>
          <w:p w14:paraId="5AC71190"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782FEF" w14:paraId="3AE399E8" w14:textId="77777777" w:rsidTr="00D57E5E">
        <w:trPr>
          <w:trHeight w:val="426"/>
        </w:trPr>
        <w:tc>
          <w:tcPr>
            <w:tcW w:w="938" w:type="pct"/>
            <w:tcBorders>
              <w:top w:val="nil"/>
              <w:left w:val="nil"/>
              <w:bottom w:val="nil"/>
              <w:right w:val="nil"/>
            </w:tcBorders>
            <w:shd w:val="clear" w:color="auto" w:fill="auto"/>
          </w:tcPr>
          <w:p w14:paraId="008B2FC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6B51DD7"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Skin barrier properties</w:t>
            </w:r>
          </w:p>
        </w:tc>
        <w:tc>
          <w:tcPr>
            <w:tcW w:w="2578" w:type="pct"/>
            <w:tcBorders>
              <w:top w:val="nil"/>
              <w:left w:val="nil"/>
              <w:bottom w:val="nil"/>
              <w:right w:val="nil"/>
            </w:tcBorders>
            <w:shd w:val="clear" w:color="auto" w:fill="auto"/>
            <w:hideMark/>
          </w:tcPr>
          <w:p w14:paraId="1D46A98F"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proofErr w:type="spellStart"/>
            <w:r w:rsidRPr="00DE61C5">
              <w:rPr>
                <w:rFonts w:asciiTheme="majorBidi" w:eastAsia="Times New Roman" w:hAnsiTheme="majorBidi" w:cstheme="majorBidi"/>
                <w:sz w:val="20"/>
                <w:szCs w:val="20"/>
                <w:lang w:val="en-US" w:eastAsia="nl-BE"/>
              </w:rPr>
              <w:t>Transepidermal</w:t>
            </w:r>
            <w:proofErr w:type="spellEnd"/>
            <w:r w:rsidRPr="00DE61C5">
              <w:rPr>
                <w:rFonts w:asciiTheme="majorBidi" w:eastAsia="Times New Roman" w:hAnsiTheme="majorBidi" w:cstheme="majorBidi"/>
                <w:sz w:val="20"/>
                <w:szCs w:val="20"/>
                <w:lang w:val="en-US" w:eastAsia="nl-BE"/>
              </w:rPr>
              <w:t xml:space="preserve"> water loss, stratum </w:t>
            </w:r>
            <w:proofErr w:type="spellStart"/>
            <w:r w:rsidRPr="00DE61C5">
              <w:rPr>
                <w:rFonts w:asciiTheme="majorBidi" w:eastAsia="Times New Roman" w:hAnsiTheme="majorBidi" w:cstheme="majorBidi"/>
                <w:sz w:val="20"/>
                <w:szCs w:val="20"/>
                <w:lang w:val="en-US" w:eastAsia="nl-BE"/>
              </w:rPr>
              <w:t>corneum</w:t>
            </w:r>
            <w:proofErr w:type="spellEnd"/>
            <w:r w:rsidRPr="00DE61C5">
              <w:rPr>
                <w:rFonts w:asciiTheme="majorBidi" w:eastAsia="Times New Roman" w:hAnsiTheme="majorBidi" w:cstheme="majorBidi"/>
                <w:sz w:val="20"/>
                <w:szCs w:val="20"/>
                <w:lang w:val="en-US" w:eastAsia="nl-BE"/>
              </w:rPr>
              <w:t xml:space="preserve"> hydration, pH, or others</w:t>
            </w:r>
          </w:p>
        </w:tc>
      </w:tr>
      <w:tr w:rsidR="00F24F47" w:rsidRPr="00DE61C5" w14:paraId="36A5A4A0" w14:textId="77777777" w:rsidTr="00D57E5E">
        <w:trPr>
          <w:trHeight w:val="248"/>
        </w:trPr>
        <w:tc>
          <w:tcPr>
            <w:tcW w:w="938" w:type="pct"/>
            <w:tcBorders>
              <w:top w:val="nil"/>
              <w:left w:val="nil"/>
              <w:bottom w:val="nil"/>
              <w:right w:val="nil"/>
            </w:tcBorders>
            <w:shd w:val="clear" w:color="auto" w:fill="auto"/>
          </w:tcPr>
          <w:p w14:paraId="489433A5"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788E1D06"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Skin loss</w:t>
            </w:r>
          </w:p>
        </w:tc>
        <w:tc>
          <w:tcPr>
            <w:tcW w:w="2578" w:type="pct"/>
            <w:tcBorders>
              <w:top w:val="nil"/>
              <w:left w:val="nil"/>
              <w:bottom w:val="nil"/>
              <w:right w:val="nil"/>
            </w:tcBorders>
            <w:shd w:val="clear" w:color="auto" w:fill="auto"/>
            <w:hideMark/>
          </w:tcPr>
          <w:p w14:paraId="7EFC7872"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782FEF" w14:paraId="2118FAB1" w14:textId="77777777" w:rsidTr="00D57E5E">
        <w:trPr>
          <w:trHeight w:val="421"/>
        </w:trPr>
        <w:tc>
          <w:tcPr>
            <w:tcW w:w="938" w:type="pct"/>
            <w:tcBorders>
              <w:top w:val="nil"/>
              <w:left w:val="nil"/>
              <w:bottom w:val="nil"/>
              <w:right w:val="nil"/>
            </w:tcBorders>
            <w:shd w:val="clear" w:color="auto" w:fill="auto"/>
          </w:tcPr>
          <w:p w14:paraId="0BA967A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7CFAC0EB"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r w:rsidRPr="00DE61C5">
              <w:rPr>
                <w:rFonts w:asciiTheme="majorBidi" w:eastAsia="Times New Roman" w:hAnsiTheme="majorBidi" w:cstheme="majorBidi"/>
                <w:sz w:val="20"/>
                <w:szCs w:val="20"/>
                <w:lang w:val="en-US" w:eastAsia="nl-BE"/>
              </w:rPr>
              <w:t>Slough present in the wound bed (yellow/brown/greyish)</w:t>
            </w:r>
          </w:p>
        </w:tc>
        <w:tc>
          <w:tcPr>
            <w:tcW w:w="2578" w:type="pct"/>
            <w:tcBorders>
              <w:top w:val="nil"/>
              <w:left w:val="nil"/>
              <w:bottom w:val="nil"/>
              <w:right w:val="nil"/>
            </w:tcBorders>
            <w:shd w:val="clear" w:color="auto" w:fill="auto"/>
            <w:hideMark/>
          </w:tcPr>
          <w:p w14:paraId="3AC7E13F" w14:textId="77777777" w:rsidR="00F24F47" w:rsidRPr="00DE61C5" w:rsidRDefault="00F24F47" w:rsidP="00D57E5E">
            <w:pPr>
              <w:spacing w:after="0" w:line="240" w:lineRule="auto"/>
              <w:rPr>
                <w:rFonts w:asciiTheme="majorBidi" w:eastAsia="Times New Roman" w:hAnsiTheme="majorBidi" w:cstheme="majorBidi"/>
                <w:sz w:val="20"/>
                <w:szCs w:val="20"/>
                <w:lang w:val="en-US" w:eastAsia="nl-BE"/>
              </w:rPr>
            </w:pPr>
          </w:p>
        </w:tc>
      </w:tr>
      <w:tr w:rsidR="00F24F47" w:rsidRPr="00DE61C5" w14:paraId="7ACD1157" w14:textId="77777777" w:rsidTr="00D57E5E">
        <w:trPr>
          <w:trHeight w:val="244"/>
        </w:trPr>
        <w:tc>
          <w:tcPr>
            <w:tcW w:w="938" w:type="pct"/>
            <w:tcBorders>
              <w:top w:val="nil"/>
              <w:left w:val="nil"/>
              <w:bottom w:val="nil"/>
              <w:right w:val="nil"/>
            </w:tcBorders>
            <w:shd w:val="clear" w:color="auto" w:fill="auto"/>
          </w:tcPr>
          <w:p w14:paraId="565612BE"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val="en-US" w:eastAsia="nl-BE"/>
              </w:rPr>
            </w:pPr>
          </w:p>
        </w:tc>
        <w:tc>
          <w:tcPr>
            <w:tcW w:w="1484" w:type="pct"/>
            <w:tcBorders>
              <w:top w:val="nil"/>
              <w:left w:val="nil"/>
              <w:bottom w:val="nil"/>
              <w:right w:val="nil"/>
            </w:tcBorders>
            <w:shd w:val="clear" w:color="auto" w:fill="auto"/>
            <w:hideMark/>
          </w:tcPr>
          <w:p w14:paraId="3F19F6F0"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Swelling</w:t>
            </w:r>
          </w:p>
        </w:tc>
        <w:tc>
          <w:tcPr>
            <w:tcW w:w="2578" w:type="pct"/>
            <w:tcBorders>
              <w:top w:val="nil"/>
              <w:left w:val="nil"/>
              <w:bottom w:val="nil"/>
              <w:right w:val="nil"/>
            </w:tcBorders>
            <w:shd w:val="clear" w:color="auto" w:fill="auto"/>
            <w:hideMark/>
          </w:tcPr>
          <w:p w14:paraId="62232EF3"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p>
        </w:tc>
      </w:tr>
      <w:tr w:rsidR="00F24F47" w:rsidRPr="00DE61C5" w14:paraId="03D35F95" w14:textId="77777777" w:rsidTr="00D57E5E">
        <w:trPr>
          <w:trHeight w:val="290"/>
        </w:trPr>
        <w:tc>
          <w:tcPr>
            <w:tcW w:w="938" w:type="pct"/>
            <w:tcBorders>
              <w:top w:val="nil"/>
              <w:left w:val="nil"/>
              <w:bottom w:val="nil"/>
              <w:right w:val="nil"/>
            </w:tcBorders>
            <w:shd w:val="clear" w:color="auto" w:fill="auto"/>
          </w:tcPr>
          <w:p w14:paraId="281F3A7B"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nil"/>
              <w:right w:val="nil"/>
            </w:tcBorders>
            <w:shd w:val="clear" w:color="auto" w:fill="auto"/>
            <w:hideMark/>
          </w:tcPr>
          <w:p w14:paraId="51134E89"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Vesicles</w:t>
            </w:r>
          </w:p>
        </w:tc>
        <w:tc>
          <w:tcPr>
            <w:tcW w:w="2578" w:type="pct"/>
            <w:tcBorders>
              <w:top w:val="nil"/>
              <w:left w:val="nil"/>
              <w:bottom w:val="nil"/>
              <w:right w:val="nil"/>
            </w:tcBorders>
            <w:shd w:val="clear" w:color="auto" w:fill="auto"/>
            <w:hideMark/>
          </w:tcPr>
          <w:p w14:paraId="6CB8AD0B"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Blisters</w:t>
            </w:r>
          </w:p>
        </w:tc>
      </w:tr>
      <w:tr w:rsidR="00F24F47" w:rsidRPr="00DE61C5" w14:paraId="3635F6D2" w14:textId="77777777" w:rsidTr="00C14344">
        <w:trPr>
          <w:trHeight w:val="280"/>
        </w:trPr>
        <w:tc>
          <w:tcPr>
            <w:tcW w:w="938" w:type="pct"/>
            <w:tcBorders>
              <w:top w:val="nil"/>
              <w:left w:val="nil"/>
              <w:bottom w:val="single" w:sz="4" w:space="0" w:color="auto"/>
              <w:right w:val="nil"/>
            </w:tcBorders>
            <w:shd w:val="clear" w:color="auto" w:fill="auto"/>
          </w:tcPr>
          <w:p w14:paraId="5F068FD9" w14:textId="77777777" w:rsidR="00F24F47" w:rsidRPr="00DE61C5" w:rsidRDefault="00F24F47" w:rsidP="00D57E5E">
            <w:pPr>
              <w:spacing w:after="0" w:line="240" w:lineRule="auto"/>
              <w:rPr>
                <w:rFonts w:asciiTheme="majorBidi" w:eastAsia="Times New Roman" w:hAnsiTheme="majorBidi" w:cstheme="majorBidi"/>
                <w:color w:val="000000"/>
                <w:sz w:val="20"/>
                <w:szCs w:val="20"/>
                <w:lang w:eastAsia="nl-BE"/>
              </w:rPr>
            </w:pPr>
          </w:p>
        </w:tc>
        <w:tc>
          <w:tcPr>
            <w:tcW w:w="1484" w:type="pct"/>
            <w:tcBorders>
              <w:top w:val="nil"/>
              <w:left w:val="nil"/>
              <w:bottom w:val="single" w:sz="4" w:space="0" w:color="auto"/>
              <w:right w:val="nil"/>
            </w:tcBorders>
            <w:shd w:val="clear" w:color="auto" w:fill="auto"/>
            <w:hideMark/>
          </w:tcPr>
          <w:p w14:paraId="19C964EE" w14:textId="77777777" w:rsidR="00F24F47" w:rsidRPr="00DE61C5" w:rsidRDefault="00F24F47" w:rsidP="00D57E5E">
            <w:pPr>
              <w:spacing w:after="0" w:line="240" w:lineRule="auto"/>
              <w:rPr>
                <w:rFonts w:asciiTheme="majorBidi" w:eastAsia="Times New Roman" w:hAnsiTheme="majorBidi" w:cstheme="majorBidi"/>
                <w:sz w:val="20"/>
                <w:szCs w:val="20"/>
                <w:lang w:eastAsia="nl-BE"/>
              </w:rPr>
            </w:pPr>
            <w:r w:rsidRPr="00DE61C5">
              <w:rPr>
                <w:rFonts w:asciiTheme="majorBidi" w:eastAsia="Times New Roman" w:hAnsiTheme="majorBidi" w:cstheme="majorBidi"/>
                <w:sz w:val="20"/>
                <w:szCs w:val="20"/>
                <w:lang w:eastAsia="nl-BE"/>
              </w:rPr>
              <w:t>White scaling</w:t>
            </w:r>
          </w:p>
        </w:tc>
        <w:tc>
          <w:tcPr>
            <w:tcW w:w="2578" w:type="pct"/>
            <w:tcBorders>
              <w:top w:val="nil"/>
              <w:left w:val="nil"/>
              <w:bottom w:val="single" w:sz="4" w:space="0" w:color="auto"/>
              <w:right w:val="nil"/>
            </w:tcBorders>
            <w:shd w:val="clear" w:color="auto" w:fill="auto"/>
            <w:hideMark/>
          </w:tcPr>
          <w:p w14:paraId="5E31C3EB" w14:textId="77777777" w:rsidR="00F24F47" w:rsidRPr="00DE61C5" w:rsidRDefault="00F24F47" w:rsidP="00D57E5E">
            <w:pPr>
              <w:spacing w:after="0" w:line="240" w:lineRule="auto"/>
              <w:rPr>
                <w:rFonts w:asciiTheme="majorBidi" w:eastAsia="Times New Roman" w:hAnsiTheme="majorBidi" w:cstheme="majorBidi"/>
                <w:color w:val="FF0000"/>
                <w:sz w:val="20"/>
                <w:szCs w:val="20"/>
                <w:lang w:eastAsia="nl-BE"/>
              </w:rPr>
            </w:pPr>
          </w:p>
        </w:tc>
      </w:tr>
      <w:tr w:rsidR="00F24F47" w:rsidRPr="00DE61C5" w14:paraId="008465F5" w14:textId="77777777" w:rsidTr="00C14344">
        <w:trPr>
          <w:trHeight w:val="280"/>
        </w:trPr>
        <w:tc>
          <w:tcPr>
            <w:tcW w:w="5000" w:type="pct"/>
            <w:gridSpan w:val="3"/>
            <w:tcBorders>
              <w:top w:val="single" w:sz="4" w:space="0" w:color="auto"/>
              <w:left w:val="nil"/>
              <w:right w:val="nil"/>
            </w:tcBorders>
            <w:shd w:val="clear" w:color="auto" w:fill="auto"/>
          </w:tcPr>
          <w:p w14:paraId="4F4AB812" w14:textId="77777777" w:rsidR="00F24F47" w:rsidRPr="00582594" w:rsidRDefault="00F24F47" w:rsidP="00582594">
            <w:pPr>
              <w:spacing w:after="0" w:line="240" w:lineRule="auto"/>
              <w:rPr>
                <w:rFonts w:asciiTheme="majorBidi" w:eastAsia="Times New Roman" w:hAnsiTheme="majorBidi" w:cstheme="majorBidi"/>
                <w:color w:val="FF0000"/>
                <w:sz w:val="20"/>
                <w:szCs w:val="20"/>
                <w:lang w:eastAsia="nl-BE"/>
              </w:rPr>
            </w:pPr>
            <w:r w:rsidRPr="00782FEF">
              <w:rPr>
                <w:rFonts w:asciiTheme="majorBidi" w:eastAsia="Times New Roman" w:hAnsiTheme="majorBidi" w:cstheme="majorBidi"/>
                <w:color w:val="FF0000"/>
                <w:sz w:val="20"/>
                <w:szCs w:val="20"/>
                <w:lang w:eastAsia="nl-BE"/>
              </w:rPr>
              <w:t>IAD, incontinence-associated dermatitis.</w:t>
            </w:r>
          </w:p>
        </w:tc>
      </w:tr>
    </w:tbl>
    <w:p w14:paraId="72480C31" w14:textId="77777777" w:rsidR="00F24F47" w:rsidRPr="00617EBB" w:rsidRDefault="00F24F47" w:rsidP="007311BC">
      <w:pPr>
        <w:tabs>
          <w:tab w:val="left" w:pos="2460"/>
        </w:tabs>
        <w:rPr>
          <w:rFonts w:asciiTheme="majorBidi" w:hAnsiTheme="majorBidi" w:cstheme="majorBidi"/>
          <w:b/>
          <w:bCs/>
          <w:sz w:val="20"/>
          <w:szCs w:val="20"/>
          <w:lang w:val="en-US"/>
        </w:rPr>
      </w:pPr>
    </w:p>
    <w:p w14:paraId="1E0CE6D1" w14:textId="5108A9BD" w:rsidR="00F24F47" w:rsidRDefault="00F24F47">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0F066A1B" w14:textId="77777777" w:rsidR="00F24F47" w:rsidRPr="0074642C" w:rsidRDefault="00F24F47" w:rsidP="00BD1D59">
      <w:pPr>
        <w:rPr>
          <w:rFonts w:asciiTheme="majorBidi" w:hAnsiTheme="majorBidi" w:cstheme="majorBidi"/>
          <w:b/>
          <w:bCs/>
          <w:lang w:val="en-US"/>
        </w:rPr>
      </w:pPr>
    </w:p>
    <w:p w14:paraId="04214E7A" w14:textId="77777777" w:rsidR="00F24F47" w:rsidRPr="00DE61C5" w:rsidRDefault="006F53D1" w:rsidP="00BD1D59">
      <w:pPr>
        <w:rPr>
          <w:rFonts w:asciiTheme="majorBidi" w:hAnsiTheme="majorBidi" w:cstheme="majorBidi"/>
          <w:sz w:val="20"/>
          <w:szCs w:val="20"/>
        </w:rPr>
      </w:pPr>
      <w:r>
        <w:rPr>
          <w:noProof/>
        </w:rPr>
        <w:object w:dxaOrig="10320" w:dyaOrig="7861" w14:anchorId="26A4946E">
          <v:shape id="_x0000_i1025" type="#_x0000_t75" alt="" style="width:453.4pt;height:345.75pt;mso-width-percent:0;mso-height-percent:0;mso-width-percent:0;mso-height-percent:0" o:ole="">
            <v:imagedata r:id="rId15" o:title=""/>
          </v:shape>
          <o:OLEObject Type="Embed" ProgID="Visio.Drawing.15" ShapeID="_x0000_i1025" DrawAspect="Content" ObjectID="_1580889784" r:id="rId16"/>
        </w:object>
      </w:r>
    </w:p>
    <w:p w14:paraId="0CCC486F" w14:textId="77777777" w:rsidR="00F24F47" w:rsidRPr="00DE61C5" w:rsidRDefault="00F24F47" w:rsidP="00BD1D59">
      <w:pPr>
        <w:rPr>
          <w:rFonts w:asciiTheme="majorBidi" w:hAnsiTheme="majorBidi" w:cstheme="majorBidi"/>
          <w:sz w:val="20"/>
          <w:szCs w:val="20"/>
        </w:rPr>
      </w:pPr>
    </w:p>
    <w:p w14:paraId="140380F3" w14:textId="77777777" w:rsidR="00F24F47" w:rsidRPr="00C943E1" w:rsidRDefault="00F24F47" w:rsidP="00BD1D59">
      <w:pPr>
        <w:tabs>
          <w:tab w:val="left" w:pos="2784"/>
        </w:tabs>
        <w:jc w:val="both"/>
        <w:rPr>
          <w:rFonts w:asciiTheme="majorBidi" w:hAnsiTheme="majorBidi" w:cstheme="majorBidi"/>
          <w:sz w:val="20"/>
          <w:szCs w:val="20"/>
          <w:lang w:val="en-US"/>
        </w:rPr>
      </w:pPr>
      <w:r w:rsidRPr="00C943E1">
        <w:rPr>
          <w:rFonts w:asciiTheme="majorBidi" w:hAnsiTheme="majorBidi" w:cstheme="majorBidi"/>
          <w:sz w:val="20"/>
          <w:szCs w:val="20"/>
          <w:lang w:val="en-US"/>
        </w:rPr>
        <w:t>Figure S1. Flowchart of participation rate per round</w:t>
      </w:r>
    </w:p>
    <w:p w14:paraId="6576ADB6" w14:textId="77777777" w:rsidR="00F24F47" w:rsidRPr="00BD1D59" w:rsidRDefault="00F24F47">
      <w:pPr>
        <w:rPr>
          <w:lang w:val="en-US"/>
        </w:rPr>
      </w:pPr>
    </w:p>
    <w:p w14:paraId="5464994A" w14:textId="77777777" w:rsidR="00F24F47" w:rsidRPr="00A175AA" w:rsidRDefault="00F24F47" w:rsidP="0022144D">
      <w:pPr>
        <w:spacing w:line="360" w:lineRule="auto"/>
        <w:jc w:val="both"/>
        <w:rPr>
          <w:rFonts w:asciiTheme="majorBidi" w:hAnsiTheme="majorBidi" w:cstheme="majorBidi"/>
          <w:sz w:val="24"/>
          <w:szCs w:val="24"/>
          <w:lang w:val="en-GB"/>
        </w:rPr>
      </w:pPr>
    </w:p>
    <w:sectPr w:rsidR="00F24F47" w:rsidRPr="00A175AA" w:rsidSect="005F24D6">
      <w:pgSz w:w="11879"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3EA31" w14:textId="77777777" w:rsidR="006F53D1" w:rsidRDefault="006F53D1" w:rsidP="00425607">
      <w:pPr>
        <w:spacing w:after="0" w:line="240" w:lineRule="auto"/>
      </w:pPr>
      <w:r>
        <w:separator/>
      </w:r>
    </w:p>
  </w:endnote>
  <w:endnote w:type="continuationSeparator" w:id="0">
    <w:p w14:paraId="001BFCDD" w14:textId="77777777" w:rsidR="006F53D1" w:rsidRDefault="006F53D1" w:rsidP="00425607">
      <w:pPr>
        <w:spacing w:after="0" w:line="240" w:lineRule="auto"/>
      </w:pPr>
      <w:r>
        <w:continuationSeparator/>
      </w:r>
    </w:p>
  </w:endnote>
  <w:endnote w:type="continuationNotice" w:id="1">
    <w:p w14:paraId="0C07A5F0" w14:textId="77777777" w:rsidR="006F53D1" w:rsidRDefault="006F5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217714"/>
      <w:docPartObj>
        <w:docPartGallery w:val="Page Numbers (Bottom of Page)"/>
        <w:docPartUnique/>
      </w:docPartObj>
    </w:sdtPr>
    <w:sdtEndPr>
      <w:rPr>
        <w:noProof/>
      </w:rPr>
    </w:sdtEndPr>
    <w:sdtContent>
      <w:p w14:paraId="462001E9" w14:textId="552084EE" w:rsidR="00AE254C" w:rsidRDefault="00AE254C">
        <w:pPr>
          <w:pStyle w:val="Footer"/>
          <w:jc w:val="right"/>
        </w:pPr>
        <w:r>
          <w:fldChar w:fldCharType="begin"/>
        </w:r>
        <w:r>
          <w:instrText xml:space="preserve"> PAGE   \* MERGEFORMAT </w:instrText>
        </w:r>
        <w:r>
          <w:fldChar w:fldCharType="separate"/>
        </w:r>
        <w:r w:rsidR="00045A37">
          <w:rPr>
            <w:noProof/>
          </w:rPr>
          <w:t>4</w:t>
        </w:r>
        <w:r>
          <w:rPr>
            <w:noProof/>
          </w:rPr>
          <w:fldChar w:fldCharType="end"/>
        </w:r>
      </w:p>
    </w:sdtContent>
  </w:sdt>
  <w:p w14:paraId="3E988EE6" w14:textId="77777777" w:rsidR="009E3234" w:rsidRDefault="009E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7A9F4" w14:textId="77777777" w:rsidR="006F53D1" w:rsidRDefault="006F53D1" w:rsidP="00425607">
      <w:pPr>
        <w:spacing w:after="0" w:line="240" w:lineRule="auto"/>
      </w:pPr>
      <w:r>
        <w:separator/>
      </w:r>
    </w:p>
  </w:footnote>
  <w:footnote w:type="continuationSeparator" w:id="0">
    <w:p w14:paraId="5BDE5D84" w14:textId="77777777" w:rsidR="006F53D1" w:rsidRDefault="006F53D1" w:rsidP="00425607">
      <w:pPr>
        <w:spacing w:after="0" w:line="240" w:lineRule="auto"/>
      </w:pPr>
      <w:r>
        <w:continuationSeparator/>
      </w:r>
    </w:p>
  </w:footnote>
  <w:footnote w:type="continuationNotice" w:id="1">
    <w:p w14:paraId="7D373EE6" w14:textId="77777777" w:rsidR="006F53D1" w:rsidRDefault="006F53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18F5"/>
    <w:multiLevelType w:val="hybridMultilevel"/>
    <w:tmpl w:val="666CA418"/>
    <w:lvl w:ilvl="0" w:tplc="DC86A51E">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B240C71"/>
    <w:multiLevelType w:val="hybridMultilevel"/>
    <w:tmpl w:val="666CA418"/>
    <w:lvl w:ilvl="0" w:tplc="DC86A51E">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24120071"/>
    <w:multiLevelType w:val="hybridMultilevel"/>
    <w:tmpl w:val="518E0C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721222E"/>
    <w:multiLevelType w:val="hybridMultilevel"/>
    <w:tmpl w:val="E0A23BE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90B697E"/>
    <w:multiLevelType w:val="hybridMultilevel"/>
    <w:tmpl w:val="B5CABDB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44B798B"/>
    <w:multiLevelType w:val="hybridMultilevel"/>
    <w:tmpl w:val="1DB4ECD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54F45213"/>
    <w:multiLevelType w:val="hybridMultilevel"/>
    <w:tmpl w:val="EDDA61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FB554B9"/>
    <w:multiLevelType w:val="hybridMultilevel"/>
    <w:tmpl w:val="ECCA928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6"/>
  </w:num>
  <w:num w:numId="5">
    <w:abstractNumId w:val="2"/>
  </w:num>
  <w:num w:numId="6">
    <w:abstractNumId w:val="1"/>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dvanced Nursing DOI&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dzts5tzxm909vmesxpbpa5s5xsv9apwp5spe&quot;&gt;EndNote_IAD&lt;record-ids&gt;&lt;item&gt;1&lt;/item&gt;&lt;item&gt;69&lt;/item&gt;&lt;item&gt;8183&lt;/item&gt;&lt;item&gt;8184&lt;/item&gt;&lt;item&gt;8195&lt;/item&gt;&lt;item&gt;8196&lt;/item&gt;&lt;item&gt;8197&lt;/item&gt;&lt;item&gt;8208&lt;/item&gt;&lt;item&gt;8263&lt;/item&gt;&lt;item&gt;8265&lt;/item&gt;&lt;item&gt;8327&lt;/item&gt;&lt;item&gt;8337&lt;/item&gt;&lt;item&gt;8346&lt;/item&gt;&lt;item&gt;8352&lt;/item&gt;&lt;item&gt;8354&lt;/item&gt;&lt;item&gt;8355&lt;/item&gt;&lt;item&gt;8357&lt;/item&gt;&lt;item&gt;8358&lt;/item&gt;&lt;item&gt;8364&lt;/item&gt;&lt;item&gt;8370&lt;/item&gt;&lt;item&gt;8373&lt;/item&gt;&lt;item&gt;8374&lt;/item&gt;&lt;item&gt;8376&lt;/item&gt;&lt;item&gt;8377&lt;/item&gt;&lt;item&gt;8378&lt;/item&gt;&lt;item&gt;8382&lt;/item&gt;&lt;item&gt;8383&lt;/item&gt;&lt;/record-ids&gt;&lt;/item&gt;&lt;/Libraries&gt;"/>
  </w:docVars>
  <w:rsids>
    <w:rsidRoot w:val="00425607"/>
    <w:rsid w:val="000055B7"/>
    <w:rsid w:val="00005BF7"/>
    <w:rsid w:val="000066A3"/>
    <w:rsid w:val="00007C85"/>
    <w:rsid w:val="00007FAC"/>
    <w:rsid w:val="00012211"/>
    <w:rsid w:val="00013217"/>
    <w:rsid w:val="00017FA8"/>
    <w:rsid w:val="00021354"/>
    <w:rsid w:val="00024E32"/>
    <w:rsid w:val="00025076"/>
    <w:rsid w:val="00033F56"/>
    <w:rsid w:val="00034E92"/>
    <w:rsid w:val="00035248"/>
    <w:rsid w:val="00045A37"/>
    <w:rsid w:val="00050AA4"/>
    <w:rsid w:val="000523C9"/>
    <w:rsid w:val="00052B0C"/>
    <w:rsid w:val="0005619B"/>
    <w:rsid w:val="00056534"/>
    <w:rsid w:val="00057200"/>
    <w:rsid w:val="00057D82"/>
    <w:rsid w:val="00064B1F"/>
    <w:rsid w:val="00066367"/>
    <w:rsid w:val="00066A0E"/>
    <w:rsid w:val="00067C45"/>
    <w:rsid w:val="0007096E"/>
    <w:rsid w:val="00070C89"/>
    <w:rsid w:val="00072EE8"/>
    <w:rsid w:val="000731C6"/>
    <w:rsid w:val="000755CF"/>
    <w:rsid w:val="000771F8"/>
    <w:rsid w:val="0008059E"/>
    <w:rsid w:val="00080C88"/>
    <w:rsid w:val="000821BA"/>
    <w:rsid w:val="000822BB"/>
    <w:rsid w:val="000828D4"/>
    <w:rsid w:val="00082F1E"/>
    <w:rsid w:val="00083E1A"/>
    <w:rsid w:val="00086523"/>
    <w:rsid w:val="00091CDB"/>
    <w:rsid w:val="00092F3E"/>
    <w:rsid w:val="00093295"/>
    <w:rsid w:val="0009522F"/>
    <w:rsid w:val="000A0ECA"/>
    <w:rsid w:val="000A2A4D"/>
    <w:rsid w:val="000A5E49"/>
    <w:rsid w:val="000A717A"/>
    <w:rsid w:val="000A788B"/>
    <w:rsid w:val="000B1A1C"/>
    <w:rsid w:val="000B31DE"/>
    <w:rsid w:val="000B3884"/>
    <w:rsid w:val="000B63BB"/>
    <w:rsid w:val="000B764B"/>
    <w:rsid w:val="000C211C"/>
    <w:rsid w:val="000C2983"/>
    <w:rsid w:val="000D26F9"/>
    <w:rsid w:val="000D396D"/>
    <w:rsid w:val="000D4A86"/>
    <w:rsid w:val="000D78C0"/>
    <w:rsid w:val="000E1303"/>
    <w:rsid w:val="000E1A97"/>
    <w:rsid w:val="000E784B"/>
    <w:rsid w:val="000F01B5"/>
    <w:rsid w:val="000F04F8"/>
    <w:rsid w:val="000F19D2"/>
    <w:rsid w:val="000F1D40"/>
    <w:rsid w:val="000F29A8"/>
    <w:rsid w:val="000F2E88"/>
    <w:rsid w:val="000F3BB4"/>
    <w:rsid w:val="000F58AD"/>
    <w:rsid w:val="000F6B0C"/>
    <w:rsid w:val="000F73DD"/>
    <w:rsid w:val="00100DC9"/>
    <w:rsid w:val="00103617"/>
    <w:rsid w:val="00103B1D"/>
    <w:rsid w:val="00104B62"/>
    <w:rsid w:val="00105B6C"/>
    <w:rsid w:val="00112ECF"/>
    <w:rsid w:val="00120532"/>
    <w:rsid w:val="00121AD9"/>
    <w:rsid w:val="0012326C"/>
    <w:rsid w:val="001242B1"/>
    <w:rsid w:val="00125F14"/>
    <w:rsid w:val="0012659D"/>
    <w:rsid w:val="00126B2E"/>
    <w:rsid w:val="00127BC7"/>
    <w:rsid w:val="0013104A"/>
    <w:rsid w:val="001332C6"/>
    <w:rsid w:val="001336C4"/>
    <w:rsid w:val="001338F7"/>
    <w:rsid w:val="00133CAE"/>
    <w:rsid w:val="001347ED"/>
    <w:rsid w:val="001406E4"/>
    <w:rsid w:val="00141952"/>
    <w:rsid w:val="00141D5E"/>
    <w:rsid w:val="001439BF"/>
    <w:rsid w:val="001444E3"/>
    <w:rsid w:val="00145BFC"/>
    <w:rsid w:val="00147380"/>
    <w:rsid w:val="00147B1D"/>
    <w:rsid w:val="00151DB9"/>
    <w:rsid w:val="00153354"/>
    <w:rsid w:val="00162CF1"/>
    <w:rsid w:val="00164DD7"/>
    <w:rsid w:val="001652F3"/>
    <w:rsid w:val="001677AB"/>
    <w:rsid w:val="00167C71"/>
    <w:rsid w:val="00170B4C"/>
    <w:rsid w:val="00172F70"/>
    <w:rsid w:val="00173191"/>
    <w:rsid w:val="00175484"/>
    <w:rsid w:val="00176098"/>
    <w:rsid w:val="0017758A"/>
    <w:rsid w:val="00180527"/>
    <w:rsid w:val="001817CE"/>
    <w:rsid w:val="00182AD3"/>
    <w:rsid w:val="00183AC3"/>
    <w:rsid w:val="00186A55"/>
    <w:rsid w:val="00186E44"/>
    <w:rsid w:val="00187426"/>
    <w:rsid w:val="00193302"/>
    <w:rsid w:val="00193D45"/>
    <w:rsid w:val="0019657A"/>
    <w:rsid w:val="00196A43"/>
    <w:rsid w:val="00196CC9"/>
    <w:rsid w:val="00197D71"/>
    <w:rsid w:val="001A1B22"/>
    <w:rsid w:val="001A485C"/>
    <w:rsid w:val="001A4953"/>
    <w:rsid w:val="001A56FD"/>
    <w:rsid w:val="001A704C"/>
    <w:rsid w:val="001B160E"/>
    <w:rsid w:val="001B28FB"/>
    <w:rsid w:val="001B3C68"/>
    <w:rsid w:val="001B4D57"/>
    <w:rsid w:val="001C0ADF"/>
    <w:rsid w:val="001C2035"/>
    <w:rsid w:val="001C2EAC"/>
    <w:rsid w:val="001C3F5E"/>
    <w:rsid w:val="001C4337"/>
    <w:rsid w:val="001C655D"/>
    <w:rsid w:val="001C724E"/>
    <w:rsid w:val="001D0669"/>
    <w:rsid w:val="001D7F87"/>
    <w:rsid w:val="001E0683"/>
    <w:rsid w:val="001E09FC"/>
    <w:rsid w:val="001E54D4"/>
    <w:rsid w:val="001F08EA"/>
    <w:rsid w:val="001F09AE"/>
    <w:rsid w:val="001F1333"/>
    <w:rsid w:val="001F1ED4"/>
    <w:rsid w:val="001F2848"/>
    <w:rsid w:val="001F3757"/>
    <w:rsid w:val="001F3E41"/>
    <w:rsid w:val="001F3FBE"/>
    <w:rsid w:val="001F5381"/>
    <w:rsid w:val="001F5911"/>
    <w:rsid w:val="001F6882"/>
    <w:rsid w:val="002000CF"/>
    <w:rsid w:val="002009B9"/>
    <w:rsid w:val="002019D8"/>
    <w:rsid w:val="00202AC1"/>
    <w:rsid w:val="00203F08"/>
    <w:rsid w:val="00204E76"/>
    <w:rsid w:val="00205CE2"/>
    <w:rsid w:val="00210950"/>
    <w:rsid w:val="0021366C"/>
    <w:rsid w:val="002142FD"/>
    <w:rsid w:val="002159B2"/>
    <w:rsid w:val="00215B88"/>
    <w:rsid w:val="00215B8D"/>
    <w:rsid w:val="002173E5"/>
    <w:rsid w:val="002202E0"/>
    <w:rsid w:val="0022144D"/>
    <w:rsid w:val="00223EBB"/>
    <w:rsid w:val="002244D5"/>
    <w:rsid w:val="002261D6"/>
    <w:rsid w:val="002268C6"/>
    <w:rsid w:val="00226BEE"/>
    <w:rsid w:val="002277EE"/>
    <w:rsid w:val="00231BB5"/>
    <w:rsid w:val="00232D88"/>
    <w:rsid w:val="0023307A"/>
    <w:rsid w:val="0023532F"/>
    <w:rsid w:val="00236D85"/>
    <w:rsid w:val="00236F73"/>
    <w:rsid w:val="0023797D"/>
    <w:rsid w:val="00240393"/>
    <w:rsid w:val="00241F92"/>
    <w:rsid w:val="00242EEC"/>
    <w:rsid w:val="00244A1B"/>
    <w:rsid w:val="002453CA"/>
    <w:rsid w:val="0024545B"/>
    <w:rsid w:val="002457C0"/>
    <w:rsid w:val="00251CC3"/>
    <w:rsid w:val="00252CFE"/>
    <w:rsid w:val="00255751"/>
    <w:rsid w:val="002566B5"/>
    <w:rsid w:val="0026063D"/>
    <w:rsid w:val="00260B65"/>
    <w:rsid w:val="002618BC"/>
    <w:rsid w:val="00261E5F"/>
    <w:rsid w:val="00266D9F"/>
    <w:rsid w:val="00270398"/>
    <w:rsid w:val="0027199A"/>
    <w:rsid w:val="00273ACA"/>
    <w:rsid w:val="00275300"/>
    <w:rsid w:val="00276B7E"/>
    <w:rsid w:val="00280B79"/>
    <w:rsid w:val="0028172F"/>
    <w:rsid w:val="0028208A"/>
    <w:rsid w:val="0028450E"/>
    <w:rsid w:val="002852D5"/>
    <w:rsid w:val="00287F4A"/>
    <w:rsid w:val="00290301"/>
    <w:rsid w:val="002904E9"/>
    <w:rsid w:val="0029100B"/>
    <w:rsid w:val="00291061"/>
    <w:rsid w:val="002929B1"/>
    <w:rsid w:val="00295601"/>
    <w:rsid w:val="0029758D"/>
    <w:rsid w:val="00297BBC"/>
    <w:rsid w:val="00297CF6"/>
    <w:rsid w:val="002A141C"/>
    <w:rsid w:val="002A3401"/>
    <w:rsid w:val="002A4815"/>
    <w:rsid w:val="002A5797"/>
    <w:rsid w:val="002B0FBE"/>
    <w:rsid w:val="002B2945"/>
    <w:rsid w:val="002B318A"/>
    <w:rsid w:val="002B5104"/>
    <w:rsid w:val="002B6A14"/>
    <w:rsid w:val="002B6D33"/>
    <w:rsid w:val="002B72C5"/>
    <w:rsid w:val="002C2645"/>
    <w:rsid w:val="002C4EA9"/>
    <w:rsid w:val="002C6511"/>
    <w:rsid w:val="002C66C7"/>
    <w:rsid w:val="002C66D2"/>
    <w:rsid w:val="002C7425"/>
    <w:rsid w:val="002D1532"/>
    <w:rsid w:val="002E249A"/>
    <w:rsid w:val="002E2BDE"/>
    <w:rsid w:val="002E2D91"/>
    <w:rsid w:val="002E5F00"/>
    <w:rsid w:val="002E69F7"/>
    <w:rsid w:val="002E6B49"/>
    <w:rsid w:val="002E79B7"/>
    <w:rsid w:val="002E7F65"/>
    <w:rsid w:val="002F240B"/>
    <w:rsid w:val="002F506D"/>
    <w:rsid w:val="002F51EB"/>
    <w:rsid w:val="00302A9F"/>
    <w:rsid w:val="00303908"/>
    <w:rsid w:val="0030405A"/>
    <w:rsid w:val="00304636"/>
    <w:rsid w:val="00305526"/>
    <w:rsid w:val="00305B20"/>
    <w:rsid w:val="00306F1D"/>
    <w:rsid w:val="0031478E"/>
    <w:rsid w:val="00320903"/>
    <w:rsid w:val="00320928"/>
    <w:rsid w:val="00326A25"/>
    <w:rsid w:val="0032707C"/>
    <w:rsid w:val="00331630"/>
    <w:rsid w:val="003316C6"/>
    <w:rsid w:val="0033202A"/>
    <w:rsid w:val="00333FBD"/>
    <w:rsid w:val="00334CA8"/>
    <w:rsid w:val="00335BB0"/>
    <w:rsid w:val="00337F91"/>
    <w:rsid w:val="00341036"/>
    <w:rsid w:val="003437AC"/>
    <w:rsid w:val="003437FA"/>
    <w:rsid w:val="00345332"/>
    <w:rsid w:val="00345EEF"/>
    <w:rsid w:val="00345F39"/>
    <w:rsid w:val="00346E49"/>
    <w:rsid w:val="00350F94"/>
    <w:rsid w:val="0035190A"/>
    <w:rsid w:val="00352AE3"/>
    <w:rsid w:val="003541EC"/>
    <w:rsid w:val="00354954"/>
    <w:rsid w:val="00356115"/>
    <w:rsid w:val="00356A08"/>
    <w:rsid w:val="00357F57"/>
    <w:rsid w:val="003603E5"/>
    <w:rsid w:val="0036129D"/>
    <w:rsid w:val="003635F2"/>
    <w:rsid w:val="0036360D"/>
    <w:rsid w:val="00366455"/>
    <w:rsid w:val="00367C05"/>
    <w:rsid w:val="0037165E"/>
    <w:rsid w:val="00375D01"/>
    <w:rsid w:val="00376061"/>
    <w:rsid w:val="00384D7B"/>
    <w:rsid w:val="00385EC6"/>
    <w:rsid w:val="00387CAC"/>
    <w:rsid w:val="00390484"/>
    <w:rsid w:val="00390EB4"/>
    <w:rsid w:val="00391663"/>
    <w:rsid w:val="003927D1"/>
    <w:rsid w:val="003940FB"/>
    <w:rsid w:val="0039452D"/>
    <w:rsid w:val="00394FBB"/>
    <w:rsid w:val="0039546F"/>
    <w:rsid w:val="00395983"/>
    <w:rsid w:val="003965F2"/>
    <w:rsid w:val="00396BAC"/>
    <w:rsid w:val="003976C4"/>
    <w:rsid w:val="003A057B"/>
    <w:rsid w:val="003A2C6C"/>
    <w:rsid w:val="003A4AD8"/>
    <w:rsid w:val="003A52C9"/>
    <w:rsid w:val="003B1BC4"/>
    <w:rsid w:val="003B4007"/>
    <w:rsid w:val="003B580B"/>
    <w:rsid w:val="003B6BFE"/>
    <w:rsid w:val="003C0373"/>
    <w:rsid w:val="003C0B27"/>
    <w:rsid w:val="003C137E"/>
    <w:rsid w:val="003C1696"/>
    <w:rsid w:val="003C5D79"/>
    <w:rsid w:val="003C698F"/>
    <w:rsid w:val="003C7D43"/>
    <w:rsid w:val="003D00E9"/>
    <w:rsid w:val="003D29EF"/>
    <w:rsid w:val="003D2D1C"/>
    <w:rsid w:val="003D7496"/>
    <w:rsid w:val="003E0145"/>
    <w:rsid w:val="003E168B"/>
    <w:rsid w:val="003E2683"/>
    <w:rsid w:val="003E3EBD"/>
    <w:rsid w:val="003E47EE"/>
    <w:rsid w:val="003E511A"/>
    <w:rsid w:val="003E551D"/>
    <w:rsid w:val="003E5FDC"/>
    <w:rsid w:val="003E7069"/>
    <w:rsid w:val="003F2BC9"/>
    <w:rsid w:val="003F370F"/>
    <w:rsid w:val="003F5BBD"/>
    <w:rsid w:val="003F6FA0"/>
    <w:rsid w:val="00400108"/>
    <w:rsid w:val="00400834"/>
    <w:rsid w:val="00403E38"/>
    <w:rsid w:val="00403FBF"/>
    <w:rsid w:val="004107C1"/>
    <w:rsid w:val="00413DB4"/>
    <w:rsid w:val="00416D9D"/>
    <w:rsid w:val="004173D9"/>
    <w:rsid w:val="00422940"/>
    <w:rsid w:val="00422CBA"/>
    <w:rsid w:val="0042376A"/>
    <w:rsid w:val="004245CE"/>
    <w:rsid w:val="00425462"/>
    <w:rsid w:val="00425607"/>
    <w:rsid w:val="00425A6A"/>
    <w:rsid w:val="00425B43"/>
    <w:rsid w:val="00427C4A"/>
    <w:rsid w:val="00430A32"/>
    <w:rsid w:val="00430BFF"/>
    <w:rsid w:val="004310AC"/>
    <w:rsid w:val="0043367F"/>
    <w:rsid w:val="0044315B"/>
    <w:rsid w:val="004443F8"/>
    <w:rsid w:val="0044498F"/>
    <w:rsid w:val="00446529"/>
    <w:rsid w:val="00454D29"/>
    <w:rsid w:val="0045643C"/>
    <w:rsid w:val="00457145"/>
    <w:rsid w:val="004614CD"/>
    <w:rsid w:val="00461A3C"/>
    <w:rsid w:val="00461CD3"/>
    <w:rsid w:val="00466D0C"/>
    <w:rsid w:val="00467158"/>
    <w:rsid w:val="00470ACE"/>
    <w:rsid w:val="00470B38"/>
    <w:rsid w:val="00470E8E"/>
    <w:rsid w:val="00481EA9"/>
    <w:rsid w:val="00484167"/>
    <w:rsid w:val="00484C8E"/>
    <w:rsid w:val="004853FC"/>
    <w:rsid w:val="00486788"/>
    <w:rsid w:val="00487E3A"/>
    <w:rsid w:val="00492230"/>
    <w:rsid w:val="0049237E"/>
    <w:rsid w:val="00493D08"/>
    <w:rsid w:val="00494587"/>
    <w:rsid w:val="00494DDF"/>
    <w:rsid w:val="0049578B"/>
    <w:rsid w:val="00495BDA"/>
    <w:rsid w:val="004973B5"/>
    <w:rsid w:val="00497434"/>
    <w:rsid w:val="00497CA8"/>
    <w:rsid w:val="004A00D7"/>
    <w:rsid w:val="004A51BA"/>
    <w:rsid w:val="004A5F85"/>
    <w:rsid w:val="004A6642"/>
    <w:rsid w:val="004B2DCE"/>
    <w:rsid w:val="004B3208"/>
    <w:rsid w:val="004C0139"/>
    <w:rsid w:val="004C2EC7"/>
    <w:rsid w:val="004C354D"/>
    <w:rsid w:val="004C4CBE"/>
    <w:rsid w:val="004C4EB5"/>
    <w:rsid w:val="004C6443"/>
    <w:rsid w:val="004D28E7"/>
    <w:rsid w:val="004D337A"/>
    <w:rsid w:val="004D4055"/>
    <w:rsid w:val="004D4A45"/>
    <w:rsid w:val="004D5138"/>
    <w:rsid w:val="004D7DE4"/>
    <w:rsid w:val="004E19BD"/>
    <w:rsid w:val="004E1F72"/>
    <w:rsid w:val="004E48CB"/>
    <w:rsid w:val="004E4C68"/>
    <w:rsid w:val="004E5F24"/>
    <w:rsid w:val="004F16A0"/>
    <w:rsid w:val="004F1DB3"/>
    <w:rsid w:val="004F3A16"/>
    <w:rsid w:val="004F527A"/>
    <w:rsid w:val="004F5694"/>
    <w:rsid w:val="0050216B"/>
    <w:rsid w:val="005042B4"/>
    <w:rsid w:val="00505E70"/>
    <w:rsid w:val="00505E8E"/>
    <w:rsid w:val="00506ECF"/>
    <w:rsid w:val="005076DB"/>
    <w:rsid w:val="00507BE5"/>
    <w:rsid w:val="0051071E"/>
    <w:rsid w:val="005116B0"/>
    <w:rsid w:val="00511915"/>
    <w:rsid w:val="0051194A"/>
    <w:rsid w:val="00514EEB"/>
    <w:rsid w:val="0051573D"/>
    <w:rsid w:val="0051661F"/>
    <w:rsid w:val="005168A7"/>
    <w:rsid w:val="005174BA"/>
    <w:rsid w:val="005205D7"/>
    <w:rsid w:val="00521A85"/>
    <w:rsid w:val="00521F59"/>
    <w:rsid w:val="00523D2B"/>
    <w:rsid w:val="005252E3"/>
    <w:rsid w:val="005256C5"/>
    <w:rsid w:val="00526FC1"/>
    <w:rsid w:val="005278A0"/>
    <w:rsid w:val="00527AE4"/>
    <w:rsid w:val="005313E0"/>
    <w:rsid w:val="005316A8"/>
    <w:rsid w:val="00531C45"/>
    <w:rsid w:val="00531EDF"/>
    <w:rsid w:val="00532214"/>
    <w:rsid w:val="005326C5"/>
    <w:rsid w:val="00532FA1"/>
    <w:rsid w:val="00533655"/>
    <w:rsid w:val="00534E4E"/>
    <w:rsid w:val="0053593B"/>
    <w:rsid w:val="00537890"/>
    <w:rsid w:val="00540E75"/>
    <w:rsid w:val="00540F5F"/>
    <w:rsid w:val="005424BB"/>
    <w:rsid w:val="005434C3"/>
    <w:rsid w:val="00544D72"/>
    <w:rsid w:val="00545CB3"/>
    <w:rsid w:val="0054607B"/>
    <w:rsid w:val="005466A5"/>
    <w:rsid w:val="00550D20"/>
    <w:rsid w:val="00551D64"/>
    <w:rsid w:val="005552E7"/>
    <w:rsid w:val="005554B6"/>
    <w:rsid w:val="005558F7"/>
    <w:rsid w:val="00556A5C"/>
    <w:rsid w:val="00556C47"/>
    <w:rsid w:val="00557516"/>
    <w:rsid w:val="00557FBA"/>
    <w:rsid w:val="005601B9"/>
    <w:rsid w:val="00560B15"/>
    <w:rsid w:val="00560C1B"/>
    <w:rsid w:val="0056210E"/>
    <w:rsid w:val="0056462A"/>
    <w:rsid w:val="00565D08"/>
    <w:rsid w:val="0056626D"/>
    <w:rsid w:val="005662DE"/>
    <w:rsid w:val="00567B5B"/>
    <w:rsid w:val="005700D6"/>
    <w:rsid w:val="005713A5"/>
    <w:rsid w:val="00571BA0"/>
    <w:rsid w:val="00571BC6"/>
    <w:rsid w:val="00573D7B"/>
    <w:rsid w:val="00574A45"/>
    <w:rsid w:val="00574D77"/>
    <w:rsid w:val="00574DEF"/>
    <w:rsid w:val="00581AC5"/>
    <w:rsid w:val="00582BFF"/>
    <w:rsid w:val="0058517D"/>
    <w:rsid w:val="00587757"/>
    <w:rsid w:val="00587816"/>
    <w:rsid w:val="00587B14"/>
    <w:rsid w:val="0059046B"/>
    <w:rsid w:val="005905A2"/>
    <w:rsid w:val="00590ECA"/>
    <w:rsid w:val="00592094"/>
    <w:rsid w:val="005A1FB8"/>
    <w:rsid w:val="005A2818"/>
    <w:rsid w:val="005A46DA"/>
    <w:rsid w:val="005A6B4C"/>
    <w:rsid w:val="005A6FEF"/>
    <w:rsid w:val="005A7BE5"/>
    <w:rsid w:val="005B1EAF"/>
    <w:rsid w:val="005B25B0"/>
    <w:rsid w:val="005B307E"/>
    <w:rsid w:val="005B428F"/>
    <w:rsid w:val="005B4902"/>
    <w:rsid w:val="005C28F6"/>
    <w:rsid w:val="005C4731"/>
    <w:rsid w:val="005C74DA"/>
    <w:rsid w:val="005D1DC7"/>
    <w:rsid w:val="005D69A3"/>
    <w:rsid w:val="005E22CC"/>
    <w:rsid w:val="005E7565"/>
    <w:rsid w:val="005F1C79"/>
    <w:rsid w:val="005F24B3"/>
    <w:rsid w:val="005F286F"/>
    <w:rsid w:val="005F2CE1"/>
    <w:rsid w:val="005F3746"/>
    <w:rsid w:val="005F54DC"/>
    <w:rsid w:val="005F59DB"/>
    <w:rsid w:val="005F608D"/>
    <w:rsid w:val="005F6EB0"/>
    <w:rsid w:val="005F7782"/>
    <w:rsid w:val="005F7912"/>
    <w:rsid w:val="0060163C"/>
    <w:rsid w:val="00601BE8"/>
    <w:rsid w:val="006037B6"/>
    <w:rsid w:val="006073C0"/>
    <w:rsid w:val="00607EAC"/>
    <w:rsid w:val="00611629"/>
    <w:rsid w:val="00612A9D"/>
    <w:rsid w:val="006179AC"/>
    <w:rsid w:val="00621331"/>
    <w:rsid w:val="006231E3"/>
    <w:rsid w:val="006236FF"/>
    <w:rsid w:val="00623745"/>
    <w:rsid w:val="00625519"/>
    <w:rsid w:val="00630274"/>
    <w:rsid w:val="00630ABA"/>
    <w:rsid w:val="00630E73"/>
    <w:rsid w:val="0063159A"/>
    <w:rsid w:val="006349EE"/>
    <w:rsid w:val="00635183"/>
    <w:rsid w:val="006357A2"/>
    <w:rsid w:val="00635C28"/>
    <w:rsid w:val="00635D37"/>
    <w:rsid w:val="00635F1D"/>
    <w:rsid w:val="006362E1"/>
    <w:rsid w:val="00636717"/>
    <w:rsid w:val="00640C5E"/>
    <w:rsid w:val="00645DE9"/>
    <w:rsid w:val="00645EFB"/>
    <w:rsid w:val="0064784C"/>
    <w:rsid w:val="00650FB8"/>
    <w:rsid w:val="00652CB6"/>
    <w:rsid w:val="0065531E"/>
    <w:rsid w:val="006554D2"/>
    <w:rsid w:val="00655623"/>
    <w:rsid w:val="00655E7E"/>
    <w:rsid w:val="006561B2"/>
    <w:rsid w:val="00656915"/>
    <w:rsid w:val="00656BFB"/>
    <w:rsid w:val="00656CB6"/>
    <w:rsid w:val="00657C2B"/>
    <w:rsid w:val="006616F3"/>
    <w:rsid w:val="0066360E"/>
    <w:rsid w:val="006642D0"/>
    <w:rsid w:val="00665769"/>
    <w:rsid w:val="006665D3"/>
    <w:rsid w:val="00666D0B"/>
    <w:rsid w:val="006709B6"/>
    <w:rsid w:val="00671226"/>
    <w:rsid w:val="00671DA3"/>
    <w:rsid w:val="00673219"/>
    <w:rsid w:val="00675517"/>
    <w:rsid w:val="006758CE"/>
    <w:rsid w:val="00676833"/>
    <w:rsid w:val="00677877"/>
    <w:rsid w:val="00677F63"/>
    <w:rsid w:val="00681171"/>
    <w:rsid w:val="00682D20"/>
    <w:rsid w:val="00687B7B"/>
    <w:rsid w:val="00687C9C"/>
    <w:rsid w:val="0069049E"/>
    <w:rsid w:val="00691BCA"/>
    <w:rsid w:val="006923A8"/>
    <w:rsid w:val="00693656"/>
    <w:rsid w:val="00694256"/>
    <w:rsid w:val="006959E7"/>
    <w:rsid w:val="00696D14"/>
    <w:rsid w:val="00697B73"/>
    <w:rsid w:val="006A0A1F"/>
    <w:rsid w:val="006A115B"/>
    <w:rsid w:val="006A130F"/>
    <w:rsid w:val="006A203F"/>
    <w:rsid w:val="006A2637"/>
    <w:rsid w:val="006A30F7"/>
    <w:rsid w:val="006A4054"/>
    <w:rsid w:val="006A418F"/>
    <w:rsid w:val="006A629F"/>
    <w:rsid w:val="006A6566"/>
    <w:rsid w:val="006B0DFC"/>
    <w:rsid w:val="006B3173"/>
    <w:rsid w:val="006B38FD"/>
    <w:rsid w:val="006B39FA"/>
    <w:rsid w:val="006B3C1C"/>
    <w:rsid w:val="006B5851"/>
    <w:rsid w:val="006B76C0"/>
    <w:rsid w:val="006B7DF4"/>
    <w:rsid w:val="006C1A92"/>
    <w:rsid w:val="006C3150"/>
    <w:rsid w:val="006C320A"/>
    <w:rsid w:val="006C3259"/>
    <w:rsid w:val="006C4F21"/>
    <w:rsid w:val="006C52D6"/>
    <w:rsid w:val="006C7503"/>
    <w:rsid w:val="006D03DB"/>
    <w:rsid w:val="006D1826"/>
    <w:rsid w:val="006D2798"/>
    <w:rsid w:val="006D292B"/>
    <w:rsid w:val="006D2BF2"/>
    <w:rsid w:val="006D5939"/>
    <w:rsid w:val="006D71F4"/>
    <w:rsid w:val="006D7B36"/>
    <w:rsid w:val="006E0CAC"/>
    <w:rsid w:val="006E0EEC"/>
    <w:rsid w:val="006E0F48"/>
    <w:rsid w:val="006E367D"/>
    <w:rsid w:val="006E5B4E"/>
    <w:rsid w:val="006E6F82"/>
    <w:rsid w:val="006E71CC"/>
    <w:rsid w:val="006F0864"/>
    <w:rsid w:val="006F0FC9"/>
    <w:rsid w:val="006F148D"/>
    <w:rsid w:val="006F38F3"/>
    <w:rsid w:val="006F4176"/>
    <w:rsid w:val="006F53D1"/>
    <w:rsid w:val="007007FE"/>
    <w:rsid w:val="00701CAA"/>
    <w:rsid w:val="0070243E"/>
    <w:rsid w:val="00702B0B"/>
    <w:rsid w:val="007030C1"/>
    <w:rsid w:val="00703821"/>
    <w:rsid w:val="00704D73"/>
    <w:rsid w:val="00705FE8"/>
    <w:rsid w:val="007067A8"/>
    <w:rsid w:val="00706B31"/>
    <w:rsid w:val="00713FA6"/>
    <w:rsid w:val="00714E2D"/>
    <w:rsid w:val="007153F7"/>
    <w:rsid w:val="007160D9"/>
    <w:rsid w:val="00716B26"/>
    <w:rsid w:val="007208A5"/>
    <w:rsid w:val="00723C06"/>
    <w:rsid w:val="00725F47"/>
    <w:rsid w:val="00726A7A"/>
    <w:rsid w:val="0072769F"/>
    <w:rsid w:val="007335D1"/>
    <w:rsid w:val="0073715D"/>
    <w:rsid w:val="00737538"/>
    <w:rsid w:val="00740249"/>
    <w:rsid w:val="00740B38"/>
    <w:rsid w:val="007448E5"/>
    <w:rsid w:val="007465AF"/>
    <w:rsid w:val="0074666A"/>
    <w:rsid w:val="00747531"/>
    <w:rsid w:val="0074781C"/>
    <w:rsid w:val="00750822"/>
    <w:rsid w:val="00751098"/>
    <w:rsid w:val="0075124B"/>
    <w:rsid w:val="00757848"/>
    <w:rsid w:val="007618AA"/>
    <w:rsid w:val="00762C7F"/>
    <w:rsid w:val="00764611"/>
    <w:rsid w:val="007651EF"/>
    <w:rsid w:val="007658F8"/>
    <w:rsid w:val="0076597A"/>
    <w:rsid w:val="00767E40"/>
    <w:rsid w:val="0077048B"/>
    <w:rsid w:val="00770FCD"/>
    <w:rsid w:val="007724BD"/>
    <w:rsid w:val="00772C61"/>
    <w:rsid w:val="007732D4"/>
    <w:rsid w:val="00774430"/>
    <w:rsid w:val="007765A5"/>
    <w:rsid w:val="007771FD"/>
    <w:rsid w:val="00777F31"/>
    <w:rsid w:val="00780138"/>
    <w:rsid w:val="007817CF"/>
    <w:rsid w:val="00781CB7"/>
    <w:rsid w:val="00783C8D"/>
    <w:rsid w:val="00786003"/>
    <w:rsid w:val="00787B22"/>
    <w:rsid w:val="00787C4D"/>
    <w:rsid w:val="00791667"/>
    <w:rsid w:val="00792A02"/>
    <w:rsid w:val="0079681A"/>
    <w:rsid w:val="007A28A1"/>
    <w:rsid w:val="007A378D"/>
    <w:rsid w:val="007A525B"/>
    <w:rsid w:val="007A6F8B"/>
    <w:rsid w:val="007B08BA"/>
    <w:rsid w:val="007B469B"/>
    <w:rsid w:val="007B4B08"/>
    <w:rsid w:val="007B5C41"/>
    <w:rsid w:val="007C08BE"/>
    <w:rsid w:val="007C0E63"/>
    <w:rsid w:val="007C3FC8"/>
    <w:rsid w:val="007C50D1"/>
    <w:rsid w:val="007C5B71"/>
    <w:rsid w:val="007C5C27"/>
    <w:rsid w:val="007C5C4B"/>
    <w:rsid w:val="007C5CF2"/>
    <w:rsid w:val="007C6CEB"/>
    <w:rsid w:val="007D1BCF"/>
    <w:rsid w:val="007D37FC"/>
    <w:rsid w:val="007D4BF8"/>
    <w:rsid w:val="007D5892"/>
    <w:rsid w:val="007D633A"/>
    <w:rsid w:val="007D793A"/>
    <w:rsid w:val="007D79A7"/>
    <w:rsid w:val="007E0EC8"/>
    <w:rsid w:val="007E368A"/>
    <w:rsid w:val="007E3742"/>
    <w:rsid w:val="007E57BC"/>
    <w:rsid w:val="007E589E"/>
    <w:rsid w:val="007E7DA6"/>
    <w:rsid w:val="007F1582"/>
    <w:rsid w:val="007F41E4"/>
    <w:rsid w:val="00801AEF"/>
    <w:rsid w:val="00801FA8"/>
    <w:rsid w:val="00803B08"/>
    <w:rsid w:val="00810F97"/>
    <w:rsid w:val="008135FA"/>
    <w:rsid w:val="00813A28"/>
    <w:rsid w:val="00813CFA"/>
    <w:rsid w:val="008172F4"/>
    <w:rsid w:val="0082023A"/>
    <w:rsid w:val="00821C2B"/>
    <w:rsid w:val="0082202E"/>
    <w:rsid w:val="00823A9C"/>
    <w:rsid w:val="0082686D"/>
    <w:rsid w:val="008271B8"/>
    <w:rsid w:val="00827832"/>
    <w:rsid w:val="00831078"/>
    <w:rsid w:val="00832480"/>
    <w:rsid w:val="008331D2"/>
    <w:rsid w:val="008343CF"/>
    <w:rsid w:val="008412CE"/>
    <w:rsid w:val="008464C7"/>
    <w:rsid w:val="00851AE6"/>
    <w:rsid w:val="0085638F"/>
    <w:rsid w:val="008565EA"/>
    <w:rsid w:val="00861616"/>
    <w:rsid w:val="00861775"/>
    <w:rsid w:val="00861AEC"/>
    <w:rsid w:val="00863C70"/>
    <w:rsid w:val="00863DB1"/>
    <w:rsid w:val="00865576"/>
    <w:rsid w:val="00865F44"/>
    <w:rsid w:val="00871419"/>
    <w:rsid w:val="0087313C"/>
    <w:rsid w:val="0087579C"/>
    <w:rsid w:val="0088026B"/>
    <w:rsid w:val="008807AE"/>
    <w:rsid w:val="00880D83"/>
    <w:rsid w:val="0088305B"/>
    <w:rsid w:val="00884EA6"/>
    <w:rsid w:val="00890518"/>
    <w:rsid w:val="00890903"/>
    <w:rsid w:val="00891A1E"/>
    <w:rsid w:val="00891EF3"/>
    <w:rsid w:val="008933D5"/>
    <w:rsid w:val="00894029"/>
    <w:rsid w:val="008945D2"/>
    <w:rsid w:val="0089560B"/>
    <w:rsid w:val="00896DDD"/>
    <w:rsid w:val="008978F5"/>
    <w:rsid w:val="00897DE6"/>
    <w:rsid w:val="008A3317"/>
    <w:rsid w:val="008A410A"/>
    <w:rsid w:val="008A5369"/>
    <w:rsid w:val="008A5DC9"/>
    <w:rsid w:val="008A6FED"/>
    <w:rsid w:val="008B0715"/>
    <w:rsid w:val="008B24A3"/>
    <w:rsid w:val="008B702A"/>
    <w:rsid w:val="008B7521"/>
    <w:rsid w:val="008C0567"/>
    <w:rsid w:val="008C0E76"/>
    <w:rsid w:val="008C6B6B"/>
    <w:rsid w:val="008C71E8"/>
    <w:rsid w:val="008C759A"/>
    <w:rsid w:val="008C7E29"/>
    <w:rsid w:val="008D07D7"/>
    <w:rsid w:val="008D07DB"/>
    <w:rsid w:val="008D6A3B"/>
    <w:rsid w:val="008D6C4B"/>
    <w:rsid w:val="008E1D81"/>
    <w:rsid w:val="008E36FA"/>
    <w:rsid w:val="008E384E"/>
    <w:rsid w:val="008E4388"/>
    <w:rsid w:val="008E75A4"/>
    <w:rsid w:val="008F2A37"/>
    <w:rsid w:val="008F2C1C"/>
    <w:rsid w:val="008F2C7C"/>
    <w:rsid w:val="008F583B"/>
    <w:rsid w:val="008F6095"/>
    <w:rsid w:val="00900C11"/>
    <w:rsid w:val="0090151A"/>
    <w:rsid w:val="009016F2"/>
    <w:rsid w:val="00903EA2"/>
    <w:rsid w:val="00904EBB"/>
    <w:rsid w:val="009077E8"/>
    <w:rsid w:val="00910790"/>
    <w:rsid w:val="00911BCC"/>
    <w:rsid w:val="00917316"/>
    <w:rsid w:val="00917E48"/>
    <w:rsid w:val="0092356E"/>
    <w:rsid w:val="0092752E"/>
    <w:rsid w:val="0093503A"/>
    <w:rsid w:val="0093611F"/>
    <w:rsid w:val="009367DC"/>
    <w:rsid w:val="00937C98"/>
    <w:rsid w:val="009430F3"/>
    <w:rsid w:val="009432B2"/>
    <w:rsid w:val="00947421"/>
    <w:rsid w:val="00950D24"/>
    <w:rsid w:val="009516CD"/>
    <w:rsid w:val="00952F88"/>
    <w:rsid w:val="00955B0D"/>
    <w:rsid w:val="00955C8F"/>
    <w:rsid w:val="009572EC"/>
    <w:rsid w:val="009611DF"/>
    <w:rsid w:val="009629B7"/>
    <w:rsid w:val="00964CAE"/>
    <w:rsid w:val="009652B4"/>
    <w:rsid w:val="00965F0B"/>
    <w:rsid w:val="009669AE"/>
    <w:rsid w:val="00972791"/>
    <w:rsid w:val="00973878"/>
    <w:rsid w:val="00973F74"/>
    <w:rsid w:val="00975C2C"/>
    <w:rsid w:val="009811F1"/>
    <w:rsid w:val="00984686"/>
    <w:rsid w:val="00991C54"/>
    <w:rsid w:val="00991C68"/>
    <w:rsid w:val="00991CCD"/>
    <w:rsid w:val="00992981"/>
    <w:rsid w:val="00993405"/>
    <w:rsid w:val="00994C79"/>
    <w:rsid w:val="00996046"/>
    <w:rsid w:val="00996DC6"/>
    <w:rsid w:val="0099706F"/>
    <w:rsid w:val="00997DB6"/>
    <w:rsid w:val="009A1CC8"/>
    <w:rsid w:val="009A2041"/>
    <w:rsid w:val="009A589D"/>
    <w:rsid w:val="009A5D9D"/>
    <w:rsid w:val="009A7C0B"/>
    <w:rsid w:val="009B0136"/>
    <w:rsid w:val="009B01E6"/>
    <w:rsid w:val="009B11F2"/>
    <w:rsid w:val="009B157F"/>
    <w:rsid w:val="009C0916"/>
    <w:rsid w:val="009C4709"/>
    <w:rsid w:val="009D1B31"/>
    <w:rsid w:val="009D1F3B"/>
    <w:rsid w:val="009D2E57"/>
    <w:rsid w:val="009D50A3"/>
    <w:rsid w:val="009D709B"/>
    <w:rsid w:val="009E0B2C"/>
    <w:rsid w:val="009E2348"/>
    <w:rsid w:val="009E24CB"/>
    <w:rsid w:val="009E3234"/>
    <w:rsid w:val="009E3FFD"/>
    <w:rsid w:val="009E71DA"/>
    <w:rsid w:val="009F11C9"/>
    <w:rsid w:val="009F1991"/>
    <w:rsid w:val="009F1C1E"/>
    <w:rsid w:val="009F260B"/>
    <w:rsid w:val="009F433A"/>
    <w:rsid w:val="009F46CA"/>
    <w:rsid w:val="009F54BB"/>
    <w:rsid w:val="009F7274"/>
    <w:rsid w:val="009F7BE0"/>
    <w:rsid w:val="00A01B71"/>
    <w:rsid w:val="00A02731"/>
    <w:rsid w:val="00A02F6C"/>
    <w:rsid w:val="00A03D18"/>
    <w:rsid w:val="00A04A64"/>
    <w:rsid w:val="00A0746D"/>
    <w:rsid w:val="00A125E8"/>
    <w:rsid w:val="00A129F8"/>
    <w:rsid w:val="00A140F8"/>
    <w:rsid w:val="00A16F37"/>
    <w:rsid w:val="00A175AA"/>
    <w:rsid w:val="00A17BFA"/>
    <w:rsid w:val="00A21033"/>
    <w:rsid w:val="00A22C34"/>
    <w:rsid w:val="00A23D77"/>
    <w:rsid w:val="00A24B82"/>
    <w:rsid w:val="00A269AA"/>
    <w:rsid w:val="00A27AA3"/>
    <w:rsid w:val="00A3167F"/>
    <w:rsid w:val="00A34A63"/>
    <w:rsid w:val="00A355D1"/>
    <w:rsid w:val="00A35FE1"/>
    <w:rsid w:val="00A40125"/>
    <w:rsid w:val="00A41CF5"/>
    <w:rsid w:val="00A42B01"/>
    <w:rsid w:val="00A440AC"/>
    <w:rsid w:val="00A468E7"/>
    <w:rsid w:val="00A47067"/>
    <w:rsid w:val="00A51207"/>
    <w:rsid w:val="00A51B05"/>
    <w:rsid w:val="00A533A0"/>
    <w:rsid w:val="00A53CDD"/>
    <w:rsid w:val="00A5465F"/>
    <w:rsid w:val="00A561FB"/>
    <w:rsid w:val="00A60088"/>
    <w:rsid w:val="00A6204A"/>
    <w:rsid w:val="00A63ADF"/>
    <w:rsid w:val="00A64314"/>
    <w:rsid w:val="00A652BE"/>
    <w:rsid w:val="00A7333F"/>
    <w:rsid w:val="00A7343F"/>
    <w:rsid w:val="00A73C2C"/>
    <w:rsid w:val="00A750FB"/>
    <w:rsid w:val="00A7646E"/>
    <w:rsid w:val="00A76F31"/>
    <w:rsid w:val="00A8028A"/>
    <w:rsid w:val="00A81AEF"/>
    <w:rsid w:val="00A855DE"/>
    <w:rsid w:val="00A86068"/>
    <w:rsid w:val="00A865A9"/>
    <w:rsid w:val="00A90498"/>
    <w:rsid w:val="00A9081D"/>
    <w:rsid w:val="00A92EB3"/>
    <w:rsid w:val="00A9451F"/>
    <w:rsid w:val="00A94E1F"/>
    <w:rsid w:val="00AA1728"/>
    <w:rsid w:val="00AA1DD8"/>
    <w:rsid w:val="00AA4CFD"/>
    <w:rsid w:val="00AA5BC9"/>
    <w:rsid w:val="00AA5D2D"/>
    <w:rsid w:val="00AA6118"/>
    <w:rsid w:val="00AA64DE"/>
    <w:rsid w:val="00AA701A"/>
    <w:rsid w:val="00AA7616"/>
    <w:rsid w:val="00AA7872"/>
    <w:rsid w:val="00AB188E"/>
    <w:rsid w:val="00AB1E01"/>
    <w:rsid w:val="00AB201F"/>
    <w:rsid w:val="00AB2859"/>
    <w:rsid w:val="00AB3832"/>
    <w:rsid w:val="00AB7FC5"/>
    <w:rsid w:val="00AC11D5"/>
    <w:rsid w:val="00AC1D41"/>
    <w:rsid w:val="00AC26B2"/>
    <w:rsid w:val="00AC3CB8"/>
    <w:rsid w:val="00AC6A24"/>
    <w:rsid w:val="00AC7581"/>
    <w:rsid w:val="00AD111A"/>
    <w:rsid w:val="00AD42A6"/>
    <w:rsid w:val="00AD76DB"/>
    <w:rsid w:val="00AE065E"/>
    <w:rsid w:val="00AE254C"/>
    <w:rsid w:val="00AE31B1"/>
    <w:rsid w:val="00AE423B"/>
    <w:rsid w:val="00AE45D7"/>
    <w:rsid w:val="00AE4B99"/>
    <w:rsid w:val="00AE57F7"/>
    <w:rsid w:val="00AE5902"/>
    <w:rsid w:val="00AE5E50"/>
    <w:rsid w:val="00AE76C2"/>
    <w:rsid w:val="00AE7FE9"/>
    <w:rsid w:val="00AF0700"/>
    <w:rsid w:val="00AF124D"/>
    <w:rsid w:val="00B002F5"/>
    <w:rsid w:val="00B011B5"/>
    <w:rsid w:val="00B01250"/>
    <w:rsid w:val="00B01735"/>
    <w:rsid w:val="00B103BD"/>
    <w:rsid w:val="00B11BD1"/>
    <w:rsid w:val="00B11E56"/>
    <w:rsid w:val="00B12696"/>
    <w:rsid w:val="00B132A9"/>
    <w:rsid w:val="00B13CEE"/>
    <w:rsid w:val="00B13E88"/>
    <w:rsid w:val="00B16582"/>
    <w:rsid w:val="00B27D3A"/>
    <w:rsid w:val="00B338E0"/>
    <w:rsid w:val="00B33FA9"/>
    <w:rsid w:val="00B34C5B"/>
    <w:rsid w:val="00B36705"/>
    <w:rsid w:val="00B40BCC"/>
    <w:rsid w:val="00B40BF1"/>
    <w:rsid w:val="00B4206E"/>
    <w:rsid w:val="00B447BD"/>
    <w:rsid w:val="00B4525C"/>
    <w:rsid w:val="00B46077"/>
    <w:rsid w:val="00B47752"/>
    <w:rsid w:val="00B503EE"/>
    <w:rsid w:val="00B53CBB"/>
    <w:rsid w:val="00B603AB"/>
    <w:rsid w:val="00B62151"/>
    <w:rsid w:val="00B6379F"/>
    <w:rsid w:val="00B64A15"/>
    <w:rsid w:val="00B67F0A"/>
    <w:rsid w:val="00B716E1"/>
    <w:rsid w:val="00B71DF3"/>
    <w:rsid w:val="00B7278E"/>
    <w:rsid w:val="00B73338"/>
    <w:rsid w:val="00B74478"/>
    <w:rsid w:val="00B74DDD"/>
    <w:rsid w:val="00B77B88"/>
    <w:rsid w:val="00B77EEF"/>
    <w:rsid w:val="00B803BC"/>
    <w:rsid w:val="00B8046E"/>
    <w:rsid w:val="00B849BA"/>
    <w:rsid w:val="00B8608C"/>
    <w:rsid w:val="00B91052"/>
    <w:rsid w:val="00B915AF"/>
    <w:rsid w:val="00B930C1"/>
    <w:rsid w:val="00B931CF"/>
    <w:rsid w:val="00B939CF"/>
    <w:rsid w:val="00BA0CC8"/>
    <w:rsid w:val="00BA2D6F"/>
    <w:rsid w:val="00BA4C92"/>
    <w:rsid w:val="00BA4F45"/>
    <w:rsid w:val="00BA5107"/>
    <w:rsid w:val="00BA5567"/>
    <w:rsid w:val="00BA7FEA"/>
    <w:rsid w:val="00BB057B"/>
    <w:rsid w:val="00BB11A1"/>
    <w:rsid w:val="00BB1A93"/>
    <w:rsid w:val="00BB4CF8"/>
    <w:rsid w:val="00BB55D8"/>
    <w:rsid w:val="00BB7151"/>
    <w:rsid w:val="00BB7ABF"/>
    <w:rsid w:val="00BC05F4"/>
    <w:rsid w:val="00BC48DE"/>
    <w:rsid w:val="00BC5002"/>
    <w:rsid w:val="00BC57B1"/>
    <w:rsid w:val="00BC58A7"/>
    <w:rsid w:val="00BD05A8"/>
    <w:rsid w:val="00BD15EE"/>
    <w:rsid w:val="00BD247F"/>
    <w:rsid w:val="00BD427C"/>
    <w:rsid w:val="00BD51F7"/>
    <w:rsid w:val="00BE110F"/>
    <w:rsid w:val="00BE1769"/>
    <w:rsid w:val="00BE2552"/>
    <w:rsid w:val="00BE7B72"/>
    <w:rsid w:val="00BF1A25"/>
    <w:rsid w:val="00C02C40"/>
    <w:rsid w:val="00C04D3D"/>
    <w:rsid w:val="00C0644A"/>
    <w:rsid w:val="00C10FC9"/>
    <w:rsid w:val="00C11690"/>
    <w:rsid w:val="00C156F1"/>
    <w:rsid w:val="00C15CAE"/>
    <w:rsid w:val="00C20B28"/>
    <w:rsid w:val="00C223FE"/>
    <w:rsid w:val="00C246CA"/>
    <w:rsid w:val="00C25409"/>
    <w:rsid w:val="00C27CD8"/>
    <w:rsid w:val="00C310CD"/>
    <w:rsid w:val="00C315F7"/>
    <w:rsid w:val="00C318D9"/>
    <w:rsid w:val="00C33809"/>
    <w:rsid w:val="00C340D2"/>
    <w:rsid w:val="00C3608C"/>
    <w:rsid w:val="00C3640B"/>
    <w:rsid w:val="00C375CB"/>
    <w:rsid w:val="00C40599"/>
    <w:rsid w:val="00C410F4"/>
    <w:rsid w:val="00C41181"/>
    <w:rsid w:val="00C42BAA"/>
    <w:rsid w:val="00C45B37"/>
    <w:rsid w:val="00C46FE5"/>
    <w:rsid w:val="00C47364"/>
    <w:rsid w:val="00C50943"/>
    <w:rsid w:val="00C52A2B"/>
    <w:rsid w:val="00C52DF4"/>
    <w:rsid w:val="00C52E8B"/>
    <w:rsid w:val="00C535D4"/>
    <w:rsid w:val="00C5718F"/>
    <w:rsid w:val="00C60776"/>
    <w:rsid w:val="00C61504"/>
    <w:rsid w:val="00C618D3"/>
    <w:rsid w:val="00C61D72"/>
    <w:rsid w:val="00C640E1"/>
    <w:rsid w:val="00C6708F"/>
    <w:rsid w:val="00C672BA"/>
    <w:rsid w:val="00C679E2"/>
    <w:rsid w:val="00C70D61"/>
    <w:rsid w:val="00C71555"/>
    <w:rsid w:val="00C71E37"/>
    <w:rsid w:val="00C73CC7"/>
    <w:rsid w:val="00C748F9"/>
    <w:rsid w:val="00C752AE"/>
    <w:rsid w:val="00C80910"/>
    <w:rsid w:val="00C81431"/>
    <w:rsid w:val="00C82111"/>
    <w:rsid w:val="00C825FF"/>
    <w:rsid w:val="00C82907"/>
    <w:rsid w:val="00C82F1F"/>
    <w:rsid w:val="00C84333"/>
    <w:rsid w:val="00C846BC"/>
    <w:rsid w:val="00C86988"/>
    <w:rsid w:val="00C86E3A"/>
    <w:rsid w:val="00C90935"/>
    <w:rsid w:val="00C91697"/>
    <w:rsid w:val="00C91F96"/>
    <w:rsid w:val="00C950D1"/>
    <w:rsid w:val="00C95B62"/>
    <w:rsid w:val="00C972FA"/>
    <w:rsid w:val="00CA03C7"/>
    <w:rsid w:val="00CA0A8A"/>
    <w:rsid w:val="00CA0FF0"/>
    <w:rsid w:val="00CA111A"/>
    <w:rsid w:val="00CA2540"/>
    <w:rsid w:val="00CA3AEE"/>
    <w:rsid w:val="00CA58B2"/>
    <w:rsid w:val="00CA6BEB"/>
    <w:rsid w:val="00CA76EB"/>
    <w:rsid w:val="00CB1EAD"/>
    <w:rsid w:val="00CB27DD"/>
    <w:rsid w:val="00CB4CF4"/>
    <w:rsid w:val="00CB5F0F"/>
    <w:rsid w:val="00CB602F"/>
    <w:rsid w:val="00CC1014"/>
    <w:rsid w:val="00CC1E27"/>
    <w:rsid w:val="00CC25B8"/>
    <w:rsid w:val="00CC2E62"/>
    <w:rsid w:val="00CC2F72"/>
    <w:rsid w:val="00CC44E7"/>
    <w:rsid w:val="00CC479A"/>
    <w:rsid w:val="00CC497F"/>
    <w:rsid w:val="00CC4D56"/>
    <w:rsid w:val="00CC5530"/>
    <w:rsid w:val="00CC655A"/>
    <w:rsid w:val="00CC6E04"/>
    <w:rsid w:val="00CD2B33"/>
    <w:rsid w:val="00CD4163"/>
    <w:rsid w:val="00CD4B1D"/>
    <w:rsid w:val="00CD65BA"/>
    <w:rsid w:val="00CE13C5"/>
    <w:rsid w:val="00CE1720"/>
    <w:rsid w:val="00CE22F7"/>
    <w:rsid w:val="00CE4197"/>
    <w:rsid w:val="00CE72E9"/>
    <w:rsid w:val="00CF0F1F"/>
    <w:rsid w:val="00CF4DDE"/>
    <w:rsid w:val="00CF54F4"/>
    <w:rsid w:val="00CF6B62"/>
    <w:rsid w:val="00CF7014"/>
    <w:rsid w:val="00CF788B"/>
    <w:rsid w:val="00D02A64"/>
    <w:rsid w:val="00D048A8"/>
    <w:rsid w:val="00D06A35"/>
    <w:rsid w:val="00D07BFD"/>
    <w:rsid w:val="00D10774"/>
    <w:rsid w:val="00D114B2"/>
    <w:rsid w:val="00D11F7A"/>
    <w:rsid w:val="00D14D60"/>
    <w:rsid w:val="00D15632"/>
    <w:rsid w:val="00D20838"/>
    <w:rsid w:val="00D20B0C"/>
    <w:rsid w:val="00D20E5A"/>
    <w:rsid w:val="00D24861"/>
    <w:rsid w:val="00D25B47"/>
    <w:rsid w:val="00D25B99"/>
    <w:rsid w:val="00D27168"/>
    <w:rsid w:val="00D2796D"/>
    <w:rsid w:val="00D30444"/>
    <w:rsid w:val="00D32E8F"/>
    <w:rsid w:val="00D3562A"/>
    <w:rsid w:val="00D35FB4"/>
    <w:rsid w:val="00D37609"/>
    <w:rsid w:val="00D40A46"/>
    <w:rsid w:val="00D443FF"/>
    <w:rsid w:val="00D46B41"/>
    <w:rsid w:val="00D47696"/>
    <w:rsid w:val="00D47AF2"/>
    <w:rsid w:val="00D50FAB"/>
    <w:rsid w:val="00D530C3"/>
    <w:rsid w:val="00D541A0"/>
    <w:rsid w:val="00D573C9"/>
    <w:rsid w:val="00D6163D"/>
    <w:rsid w:val="00D64058"/>
    <w:rsid w:val="00D65C40"/>
    <w:rsid w:val="00D7005C"/>
    <w:rsid w:val="00D715BF"/>
    <w:rsid w:val="00D76A9E"/>
    <w:rsid w:val="00D7719B"/>
    <w:rsid w:val="00D823F6"/>
    <w:rsid w:val="00D91048"/>
    <w:rsid w:val="00D916A3"/>
    <w:rsid w:val="00D91B5C"/>
    <w:rsid w:val="00D92E66"/>
    <w:rsid w:val="00D93F15"/>
    <w:rsid w:val="00D940A4"/>
    <w:rsid w:val="00DA6B9F"/>
    <w:rsid w:val="00DA70B3"/>
    <w:rsid w:val="00DA7B61"/>
    <w:rsid w:val="00DA7F60"/>
    <w:rsid w:val="00DB0E64"/>
    <w:rsid w:val="00DB1BAD"/>
    <w:rsid w:val="00DB45AB"/>
    <w:rsid w:val="00DB512E"/>
    <w:rsid w:val="00DB64A8"/>
    <w:rsid w:val="00DB735E"/>
    <w:rsid w:val="00DB7B68"/>
    <w:rsid w:val="00DC05DC"/>
    <w:rsid w:val="00DC26C7"/>
    <w:rsid w:val="00DC654A"/>
    <w:rsid w:val="00DC730F"/>
    <w:rsid w:val="00DD02E1"/>
    <w:rsid w:val="00DD230A"/>
    <w:rsid w:val="00DD3428"/>
    <w:rsid w:val="00DD5CA3"/>
    <w:rsid w:val="00DD6948"/>
    <w:rsid w:val="00DD6A40"/>
    <w:rsid w:val="00DE033A"/>
    <w:rsid w:val="00DE0C0E"/>
    <w:rsid w:val="00DE14CF"/>
    <w:rsid w:val="00DE1792"/>
    <w:rsid w:val="00DE48F4"/>
    <w:rsid w:val="00DE6E59"/>
    <w:rsid w:val="00DE7350"/>
    <w:rsid w:val="00DF2E63"/>
    <w:rsid w:val="00DF5CC8"/>
    <w:rsid w:val="00DF6C75"/>
    <w:rsid w:val="00DF6CDD"/>
    <w:rsid w:val="00E00B5D"/>
    <w:rsid w:val="00E015C3"/>
    <w:rsid w:val="00E01722"/>
    <w:rsid w:val="00E031A8"/>
    <w:rsid w:val="00E046FB"/>
    <w:rsid w:val="00E069B7"/>
    <w:rsid w:val="00E10C10"/>
    <w:rsid w:val="00E10FA5"/>
    <w:rsid w:val="00E11058"/>
    <w:rsid w:val="00E13AB9"/>
    <w:rsid w:val="00E14278"/>
    <w:rsid w:val="00E148F9"/>
    <w:rsid w:val="00E14A55"/>
    <w:rsid w:val="00E154AB"/>
    <w:rsid w:val="00E21301"/>
    <w:rsid w:val="00E215EE"/>
    <w:rsid w:val="00E21901"/>
    <w:rsid w:val="00E22855"/>
    <w:rsid w:val="00E23D29"/>
    <w:rsid w:val="00E26492"/>
    <w:rsid w:val="00E30E92"/>
    <w:rsid w:val="00E310DA"/>
    <w:rsid w:val="00E32DB1"/>
    <w:rsid w:val="00E32F30"/>
    <w:rsid w:val="00E364F4"/>
    <w:rsid w:val="00E37775"/>
    <w:rsid w:val="00E40D61"/>
    <w:rsid w:val="00E42B46"/>
    <w:rsid w:val="00E439EF"/>
    <w:rsid w:val="00E444F7"/>
    <w:rsid w:val="00E445F3"/>
    <w:rsid w:val="00E4483F"/>
    <w:rsid w:val="00E47A52"/>
    <w:rsid w:val="00E513D1"/>
    <w:rsid w:val="00E52145"/>
    <w:rsid w:val="00E540D2"/>
    <w:rsid w:val="00E54316"/>
    <w:rsid w:val="00E5523E"/>
    <w:rsid w:val="00E5541D"/>
    <w:rsid w:val="00E56E27"/>
    <w:rsid w:val="00E571D3"/>
    <w:rsid w:val="00E600A1"/>
    <w:rsid w:val="00E624E8"/>
    <w:rsid w:val="00E628CF"/>
    <w:rsid w:val="00E6696B"/>
    <w:rsid w:val="00E67CEE"/>
    <w:rsid w:val="00E71433"/>
    <w:rsid w:val="00E72BDA"/>
    <w:rsid w:val="00E74B3C"/>
    <w:rsid w:val="00E76039"/>
    <w:rsid w:val="00E76049"/>
    <w:rsid w:val="00E8309F"/>
    <w:rsid w:val="00E925AB"/>
    <w:rsid w:val="00E92B84"/>
    <w:rsid w:val="00E96CEF"/>
    <w:rsid w:val="00E9764F"/>
    <w:rsid w:val="00E97E02"/>
    <w:rsid w:val="00EA37CE"/>
    <w:rsid w:val="00EA479D"/>
    <w:rsid w:val="00EA4F8B"/>
    <w:rsid w:val="00EA61FF"/>
    <w:rsid w:val="00EA6984"/>
    <w:rsid w:val="00EB2F8E"/>
    <w:rsid w:val="00EB3CED"/>
    <w:rsid w:val="00EB3D1C"/>
    <w:rsid w:val="00EB6520"/>
    <w:rsid w:val="00EB698C"/>
    <w:rsid w:val="00EB7936"/>
    <w:rsid w:val="00EC014D"/>
    <w:rsid w:val="00EC05EE"/>
    <w:rsid w:val="00EC18D3"/>
    <w:rsid w:val="00EC1E3A"/>
    <w:rsid w:val="00EC23A2"/>
    <w:rsid w:val="00EC27E2"/>
    <w:rsid w:val="00EC329F"/>
    <w:rsid w:val="00EC490E"/>
    <w:rsid w:val="00EC5029"/>
    <w:rsid w:val="00EC5BCC"/>
    <w:rsid w:val="00EC7D3E"/>
    <w:rsid w:val="00ED086C"/>
    <w:rsid w:val="00ED0FD4"/>
    <w:rsid w:val="00ED1CBD"/>
    <w:rsid w:val="00ED2039"/>
    <w:rsid w:val="00ED34E3"/>
    <w:rsid w:val="00ED4DE2"/>
    <w:rsid w:val="00ED67A6"/>
    <w:rsid w:val="00ED67E8"/>
    <w:rsid w:val="00EE42E5"/>
    <w:rsid w:val="00EE4DBB"/>
    <w:rsid w:val="00EE538C"/>
    <w:rsid w:val="00EE53A3"/>
    <w:rsid w:val="00EE6F9A"/>
    <w:rsid w:val="00EF0B9A"/>
    <w:rsid w:val="00EF2220"/>
    <w:rsid w:val="00EF4401"/>
    <w:rsid w:val="00EF5C98"/>
    <w:rsid w:val="00EF64D5"/>
    <w:rsid w:val="00EF6AC9"/>
    <w:rsid w:val="00F006BD"/>
    <w:rsid w:val="00F0156E"/>
    <w:rsid w:val="00F06360"/>
    <w:rsid w:val="00F06E88"/>
    <w:rsid w:val="00F1268E"/>
    <w:rsid w:val="00F12774"/>
    <w:rsid w:val="00F17B9A"/>
    <w:rsid w:val="00F201E0"/>
    <w:rsid w:val="00F24F47"/>
    <w:rsid w:val="00F30A89"/>
    <w:rsid w:val="00F3568F"/>
    <w:rsid w:val="00F357DA"/>
    <w:rsid w:val="00F361F9"/>
    <w:rsid w:val="00F3669C"/>
    <w:rsid w:val="00F36A0D"/>
    <w:rsid w:val="00F41FD2"/>
    <w:rsid w:val="00F43750"/>
    <w:rsid w:val="00F43C80"/>
    <w:rsid w:val="00F448DB"/>
    <w:rsid w:val="00F47463"/>
    <w:rsid w:val="00F5100A"/>
    <w:rsid w:val="00F5140A"/>
    <w:rsid w:val="00F51A07"/>
    <w:rsid w:val="00F51D86"/>
    <w:rsid w:val="00F52D3A"/>
    <w:rsid w:val="00F53562"/>
    <w:rsid w:val="00F53D76"/>
    <w:rsid w:val="00F553CD"/>
    <w:rsid w:val="00F55FDA"/>
    <w:rsid w:val="00F56006"/>
    <w:rsid w:val="00F57CA6"/>
    <w:rsid w:val="00F60097"/>
    <w:rsid w:val="00F60161"/>
    <w:rsid w:val="00F60616"/>
    <w:rsid w:val="00F60BAD"/>
    <w:rsid w:val="00F62CB4"/>
    <w:rsid w:val="00F66C4D"/>
    <w:rsid w:val="00F67FD9"/>
    <w:rsid w:val="00F7114D"/>
    <w:rsid w:val="00F71BC8"/>
    <w:rsid w:val="00F72558"/>
    <w:rsid w:val="00F72B82"/>
    <w:rsid w:val="00F751F4"/>
    <w:rsid w:val="00F75558"/>
    <w:rsid w:val="00F7673B"/>
    <w:rsid w:val="00F76D16"/>
    <w:rsid w:val="00F76F7E"/>
    <w:rsid w:val="00F80857"/>
    <w:rsid w:val="00F80E37"/>
    <w:rsid w:val="00F81191"/>
    <w:rsid w:val="00F811B1"/>
    <w:rsid w:val="00F81EB7"/>
    <w:rsid w:val="00F82599"/>
    <w:rsid w:val="00F826DC"/>
    <w:rsid w:val="00F82797"/>
    <w:rsid w:val="00F82AC7"/>
    <w:rsid w:val="00F85B00"/>
    <w:rsid w:val="00F85CEF"/>
    <w:rsid w:val="00F86C55"/>
    <w:rsid w:val="00F872EA"/>
    <w:rsid w:val="00F879E8"/>
    <w:rsid w:val="00F9295B"/>
    <w:rsid w:val="00F92992"/>
    <w:rsid w:val="00F93D47"/>
    <w:rsid w:val="00F94724"/>
    <w:rsid w:val="00F94DB7"/>
    <w:rsid w:val="00FA11CE"/>
    <w:rsid w:val="00FA2383"/>
    <w:rsid w:val="00FA2D6D"/>
    <w:rsid w:val="00FA3B4A"/>
    <w:rsid w:val="00FA7D18"/>
    <w:rsid w:val="00FA7D7E"/>
    <w:rsid w:val="00FB0EE6"/>
    <w:rsid w:val="00FB1644"/>
    <w:rsid w:val="00FB26E8"/>
    <w:rsid w:val="00FB27FC"/>
    <w:rsid w:val="00FB3193"/>
    <w:rsid w:val="00FB3D1A"/>
    <w:rsid w:val="00FB464B"/>
    <w:rsid w:val="00FB5DA5"/>
    <w:rsid w:val="00FB67BB"/>
    <w:rsid w:val="00FB6D79"/>
    <w:rsid w:val="00FC02DC"/>
    <w:rsid w:val="00FC3063"/>
    <w:rsid w:val="00FC68F1"/>
    <w:rsid w:val="00FC7815"/>
    <w:rsid w:val="00FC7A87"/>
    <w:rsid w:val="00FC7B85"/>
    <w:rsid w:val="00FC7C68"/>
    <w:rsid w:val="00FD1166"/>
    <w:rsid w:val="00FD1301"/>
    <w:rsid w:val="00FD30A2"/>
    <w:rsid w:val="00FD4520"/>
    <w:rsid w:val="00FD4762"/>
    <w:rsid w:val="00FD5C8C"/>
    <w:rsid w:val="00FD79DB"/>
    <w:rsid w:val="00FE04AA"/>
    <w:rsid w:val="00FE1F46"/>
    <w:rsid w:val="00FE1FA7"/>
    <w:rsid w:val="00FE2EF0"/>
    <w:rsid w:val="00FE3D3E"/>
    <w:rsid w:val="00FE4641"/>
    <w:rsid w:val="00FE65DD"/>
    <w:rsid w:val="00FE69EB"/>
    <w:rsid w:val="00FE77ED"/>
    <w:rsid w:val="00FE7C15"/>
    <w:rsid w:val="00FF086F"/>
    <w:rsid w:val="00FF10CB"/>
    <w:rsid w:val="00FF1252"/>
    <w:rsid w:val="00FF3439"/>
    <w:rsid w:val="00FF6F12"/>
    <w:rsid w:val="00FF7A8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149F"/>
  <w15:docId w15:val="{A516C031-F223-42F0-BE9C-A89BD6BB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F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07"/>
    <w:pPr>
      <w:ind w:left="720"/>
      <w:contextualSpacing/>
    </w:pPr>
  </w:style>
  <w:style w:type="paragraph" w:styleId="Header">
    <w:name w:val="header"/>
    <w:basedOn w:val="Normal"/>
    <w:link w:val="HeaderChar"/>
    <w:uiPriority w:val="99"/>
    <w:unhideWhenUsed/>
    <w:rsid w:val="004256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5607"/>
  </w:style>
  <w:style w:type="paragraph" w:styleId="Footer">
    <w:name w:val="footer"/>
    <w:basedOn w:val="Normal"/>
    <w:link w:val="FooterChar"/>
    <w:uiPriority w:val="99"/>
    <w:unhideWhenUsed/>
    <w:rsid w:val="004256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5607"/>
  </w:style>
  <w:style w:type="character" w:styleId="CommentReference">
    <w:name w:val="annotation reference"/>
    <w:rsid w:val="006D1826"/>
    <w:rPr>
      <w:sz w:val="16"/>
      <w:szCs w:val="16"/>
    </w:rPr>
  </w:style>
  <w:style w:type="paragraph" w:styleId="CommentText">
    <w:name w:val="annotation text"/>
    <w:basedOn w:val="Normal"/>
    <w:link w:val="CommentTextChar"/>
    <w:rsid w:val="006D1826"/>
    <w:pPr>
      <w:spacing w:after="0" w:line="260" w:lineRule="exact"/>
      <w:jc w:val="both"/>
    </w:pPr>
    <w:rPr>
      <w:rFonts w:ascii="Arial" w:eastAsia="Times New Roman" w:hAnsi="Arial" w:cs="Times New Roman"/>
      <w:sz w:val="20"/>
      <w:szCs w:val="20"/>
      <w:lang w:val="x-none"/>
    </w:rPr>
  </w:style>
  <w:style w:type="character" w:customStyle="1" w:styleId="CommentTextChar">
    <w:name w:val="Comment Text Char"/>
    <w:basedOn w:val="DefaultParagraphFont"/>
    <w:link w:val="CommentText"/>
    <w:rsid w:val="006D1826"/>
    <w:rPr>
      <w:rFonts w:ascii="Arial" w:eastAsia="Times New Roman" w:hAnsi="Arial" w:cs="Times New Roman"/>
      <w:sz w:val="20"/>
      <w:szCs w:val="20"/>
      <w:lang w:val="x-none"/>
    </w:rPr>
  </w:style>
  <w:style w:type="paragraph" w:styleId="FootnoteText">
    <w:name w:val="footnote text"/>
    <w:basedOn w:val="Normal"/>
    <w:link w:val="FootnoteTextChar"/>
    <w:uiPriority w:val="99"/>
    <w:rsid w:val="006D1826"/>
    <w:pPr>
      <w:spacing w:after="0" w:line="260" w:lineRule="exact"/>
      <w:jc w:val="both"/>
    </w:pPr>
    <w:rPr>
      <w:rFonts w:ascii="Arial" w:eastAsia="Times New Roman" w:hAnsi="Arial" w:cs="Times New Roman"/>
      <w:sz w:val="24"/>
      <w:szCs w:val="24"/>
      <w:lang w:val="x-none"/>
    </w:rPr>
  </w:style>
  <w:style w:type="character" w:customStyle="1" w:styleId="FootnoteTextChar">
    <w:name w:val="Footnote Text Char"/>
    <w:basedOn w:val="DefaultParagraphFont"/>
    <w:link w:val="FootnoteText"/>
    <w:uiPriority w:val="99"/>
    <w:rsid w:val="006D1826"/>
    <w:rPr>
      <w:rFonts w:ascii="Arial" w:eastAsia="Times New Roman" w:hAnsi="Arial" w:cs="Times New Roman"/>
      <w:sz w:val="24"/>
      <w:szCs w:val="24"/>
      <w:lang w:val="x-none"/>
    </w:rPr>
  </w:style>
  <w:style w:type="character" w:styleId="FootnoteReference">
    <w:name w:val="footnote reference"/>
    <w:uiPriority w:val="99"/>
    <w:rsid w:val="006D1826"/>
    <w:rPr>
      <w:vertAlign w:val="superscript"/>
    </w:rPr>
  </w:style>
  <w:style w:type="paragraph" w:styleId="BalloonText">
    <w:name w:val="Balloon Text"/>
    <w:basedOn w:val="Normal"/>
    <w:link w:val="BalloonTextChar"/>
    <w:uiPriority w:val="99"/>
    <w:semiHidden/>
    <w:unhideWhenUsed/>
    <w:rsid w:val="006D1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826"/>
    <w:rPr>
      <w:rFonts w:ascii="Tahoma" w:hAnsi="Tahoma" w:cs="Tahoma"/>
      <w:sz w:val="16"/>
      <w:szCs w:val="16"/>
    </w:rPr>
  </w:style>
  <w:style w:type="paragraph" w:customStyle="1" w:styleId="EndNoteBibliographyTitle">
    <w:name w:val="EndNote Bibliography Title"/>
    <w:basedOn w:val="Normal"/>
    <w:link w:val="EndNoteBibliographyTitleChar"/>
    <w:rsid w:val="007C0E63"/>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7C0E63"/>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C0E63"/>
    <w:pPr>
      <w:spacing w:line="36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7C0E63"/>
    <w:rPr>
      <w:rFonts w:ascii="Times New Roman" w:hAnsi="Times New Roman" w:cs="Times New Roman"/>
      <w:noProof/>
      <w:sz w:val="24"/>
      <w:lang w:val="en-US"/>
    </w:rPr>
  </w:style>
  <w:style w:type="paragraph" w:styleId="CommentSubject">
    <w:name w:val="annotation subject"/>
    <w:basedOn w:val="CommentText"/>
    <w:next w:val="CommentText"/>
    <w:link w:val="CommentSubjectChar"/>
    <w:uiPriority w:val="99"/>
    <w:semiHidden/>
    <w:unhideWhenUsed/>
    <w:rsid w:val="00D47AF2"/>
    <w:pPr>
      <w:spacing w:after="200" w:line="240" w:lineRule="auto"/>
      <w:jc w:val="left"/>
    </w:pPr>
    <w:rPr>
      <w:rFonts w:asciiTheme="minorHAnsi" w:eastAsiaTheme="minorHAnsi" w:hAnsiTheme="minorHAnsi" w:cstheme="minorBidi"/>
      <w:b/>
      <w:bCs/>
      <w:lang w:val="nl-BE"/>
    </w:rPr>
  </w:style>
  <w:style w:type="character" w:customStyle="1" w:styleId="CommentSubjectChar">
    <w:name w:val="Comment Subject Char"/>
    <w:basedOn w:val="CommentTextChar"/>
    <w:link w:val="CommentSubject"/>
    <w:uiPriority w:val="99"/>
    <w:semiHidden/>
    <w:rsid w:val="00D47AF2"/>
    <w:rPr>
      <w:rFonts w:ascii="Arial" w:eastAsia="Times New Roman" w:hAnsi="Arial" w:cs="Times New Roman"/>
      <w:b/>
      <w:bCs/>
      <w:sz w:val="20"/>
      <w:szCs w:val="20"/>
      <w:lang w:val="x-none"/>
    </w:rPr>
  </w:style>
  <w:style w:type="character" w:styleId="Hyperlink">
    <w:name w:val="Hyperlink"/>
    <w:basedOn w:val="DefaultParagraphFont"/>
    <w:uiPriority w:val="99"/>
    <w:unhideWhenUsed/>
    <w:rsid w:val="00B11BD1"/>
    <w:rPr>
      <w:color w:val="0000FF" w:themeColor="hyperlink"/>
      <w:u w:val="single"/>
    </w:rPr>
  </w:style>
  <w:style w:type="paragraph" w:styleId="Revision">
    <w:name w:val="Revision"/>
    <w:hidden/>
    <w:uiPriority w:val="99"/>
    <w:semiHidden/>
    <w:rsid w:val="00880D83"/>
    <w:pPr>
      <w:spacing w:after="0" w:line="240" w:lineRule="auto"/>
    </w:pPr>
  </w:style>
  <w:style w:type="table" w:styleId="TableGrid">
    <w:name w:val="Table Grid"/>
    <w:basedOn w:val="TableNormal"/>
    <w:uiPriority w:val="39"/>
    <w:rsid w:val="00B62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E6B49"/>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422CBA"/>
    <w:rPr>
      <w:color w:val="800080" w:themeColor="followedHyperlink"/>
      <w:u w:val="single"/>
    </w:rPr>
  </w:style>
  <w:style w:type="paragraph" w:styleId="NormalWeb">
    <w:name w:val="Normal (Web)"/>
    <w:basedOn w:val="Normal"/>
    <w:uiPriority w:val="99"/>
    <w:semiHidden/>
    <w:unhideWhenUsed/>
    <w:rsid w:val="00D25B99"/>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BC5002"/>
    <w:rPr>
      <w:i/>
      <w:iCs/>
    </w:rPr>
  </w:style>
  <w:style w:type="paragraph" w:customStyle="1" w:styleId="p1">
    <w:name w:val="p1"/>
    <w:basedOn w:val="Normal"/>
    <w:rsid w:val="00C310CD"/>
    <w:pPr>
      <w:spacing w:after="0" w:line="240" w:lineRule="auto"/>
    </w:pPr>
    <w:rPr>
      <w:rFonts w:ascii="Times" w:hAnsi="Times" w:cs="Times New Roman"/>
      <w:sz w:val="9"/>
      <w:szCs w:val="9"/>
      <w:lang w:val="en-GB" w:eastAsia="en-GB"/>
    </w:rPr>
  </w:style>
  <w:style w:type="character" w:customStyle="1" w:styleId="apple-converted-space">
    <w:name w:val="apple-converted-space"/>
    <w:basedOn w:val="DefaultParagraphFont"/>
    <w:rsid w:val="00C310CD"/>
  </w:style>
  <w:style w:type="character" w:styleId="LineNumber">
    <w:name w:val="line number"/>
    <w:basedOn w:val="DefaultParagraphFont"/>
    <w:uiPriority w:val="99"/>
    <w:semiHidden/>
    <w:unhideWhenUsed/>
    <w:rsid w:val="00F2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62873">
      <w:bodyDiv w:val="1"/>
      <w:marLeft w:val="0"/>
      <w:marRight w:val="0"/>
      <w:marTop w:val="0"/>
      <w:marBottom w:val="0"/>
      <w:divBdr>
        <w:top w:val="none" w:sz="0" w:space="0" w:color="auto"/>
        <w:left w:val="none" w:sz="0" w:space="0" w:color="auto"/>
        <w:bottom w:val="none" w:sz="0" w:space="0" w:color="auto"/>
        <w:right w:val="none" w:sz="0" w:space="0" w:color="auto"/>
      </w:divBdr>
    </w:div>
    <w:div w:id="412238573">
      <w:bodyDiv w:val="1"/>
      <w:marLeft w:val="0"/>
      <w:marRight w:val="0"/>
      <w:marTop w:val="0"/>
      <w:marBottom w:val="0"/>
      <w:divBdr>
        <w:top w:val="none" w:sz="0" w:space="0" w:color="auto"/>
        <w:left w:val="none" w:sz="0" w:space="0" w:color="auto"/>
        <w:bottom w:val="none" w:sz="0" w:space="0" w:color="auto"/>
        <w:right w:val="none" w:sz="0" w:space="0" w:color="auto"/>
      </w:divBdr>
    </w:div>
    <w:div w:id="465707432">
      <w:bodyDiv w:val="1"/>
      <w:marLeft w:val="0"/>
      <w:marRight w:val="0"/>
      <w:marTop w:val="0"/>
      <w:marBottom w:val="0"/>
      <w:divBdr>
        <w:top w:val="none" w:sz="0" w:space="0" w:color="auto"/>
        <w:left w:val="none" w:sz="0" w:space="0" w:color="auto"/>
        <w:bottom w:val="none" w:sz="0" w:space="0" w:color="auto"/>
        <w:right w:val="none" w:sz="0" w:space="0" w:color="auto"/>
      </w:divBdr>
    </w:div>
    <w:div w:id="477068006">
      <w:bodyDiv w:val="1"/>
      <w:marLeft w:val="0"/>
      <w:marRight w:val="0"/>
      <w:marTop w:val="0"/>
      <w:marBottom w:val="0"/>
      <w:divBdr>
        <w:top w:val="none" w:sz="0" w:space="0" w:color="auto"/>
        <w:left w:val="none" w:sz="0" w:space="0" w:color="auto"/>
        <w:bottom w:val="none" w:sz="0" w:space="0" w:color="auto"/>
        <w:right w:val="none" w:sz="0" w:space="0" w:color="auto"/>
      </w:divBdr>
      <w:divsChild>
        <w:div w:id="908347543">
          <w:marLeft w:val="720"/>
          <w:marRight w:val="0"/>
          <w:marTop w:val="0"/>
          <w:marBottom w:val="0"/>
          <w:divBdr>
            <w:top w:val="none" w:sz="0" w:space="0" w:color="auto"/>
            <w:left w:val="none" w:sz="0" w:space="0" w:color="auto"/>
            <w:bottom w:val="none" w:sz="0" w:space="0" w:color="auto"/>
            <w:right w:val="none" w:sz="0" w:space="0" w:color="auto"/>
          </w:divBdr>
        </w:div>
        <w:div w:id="1082023465">
          <w:marLeft w:val="720"/>
          <w:marRight w:val="0"/>
          <w:marTop w:val="0"/>
          <w:marBottom w:val="0"/>
          <w:divBdr>
            <w:top w:val="none" w:sz="0" w:space="0" w:color="auto"/>
            <w:left w:val="none" w:sz="0" w:space="0" w:color="auto"/>
            <w:bottom w:val="none" w:sz="0" w:space="0" w:color="auto"/>
            <w:right w:val="none" w:sz="0" w:space="0" w:color="auto"/>
          </w:divBdr>
        </w:div>
        <w:div w:id="1132989965">
          <w:marLeft w:val="720"/>
          <w:marRight w:val="0"/>
          <w:marTop w:val="0"/>
          <w:marBottom w:val="0"/>
          <w:divBdr>
            <w:top w:val="none" w:sz="0" w:space="0" w:color="auto"/>
            <w:left w:val="none" w:sz="0" w:space="0" w:color="auto"/>
            <w:bottom w:val="none" w:sz="0" w:space="0" w:color="auto"/>
            <w:right w:val="none" w:sz="0" w:space="0" w:color="auto"/>
          </w:divBdr>
        </w:div>
        <w:div w:id="397703059">
          <w:marLeft w:val="1440"/>
          <w:marRight w:val="0"/>
          <w:marTop w:val="0"/>
          <w:marBottom w:val="0"/>
          <w:divBdr>
            <w:top w:val="none" w:sz="0" w:space="0" w:color="auto"/>
            <w:left w:val="none" w:sz="0" w:space="0" w:color="auto"/>
            <w:bottom w:val="none" w:sz="0" w:space="0" w:color="auto"/>
            <w:right w:val="none" w:sz="0" w:space="0" w:color="auto"/>
          </w:divBdr>
        </w:div>
        <w:div w:id="1248491056">
          <w:marLeft w:val="1440"/>
          <w:marRight w:val="0"/>
          <w:marTop w:val="0"/>
          <w:marBottom w:val="0"/>
          <w:divBdr>
            <w:top w:val="none" w:sz="0" w:space="0" w:color="auto"/>
            <w:left w:val="none" w:sz="0" w:space="0" w:color="auto"/>
            <w:bottom w:val="none" w:sz="0" w:space="0" w:color="auto"/>
            <w:right w:val="none" w:sz="0" w:space="0" w:color="auto"/>
          </w:divBdr>
        </w:div>
        <w:div w:id="1373655534">
          <w:marLeft w:val="1440"/>
          <w:marRight w:val="0"/>
          <w:marTop w:val="0"/>
          <w:marBottom w:val="0"/>
          <w:divBdr>
            <w:top w:val="none" w:sz="0" w:space="0" w:color="auto"/>
            <w:left w:val="none" w:sz="0" w:space="0" w:color="auto"/>
            <w:bottom w:val="none" w:sz="0" w:space="0" w:color="auto"/>
            <w:right w:val="none" w:sz="0" w:space="0" w:color="auto"/>
          </w:divBdr>
        </w:div>
        <w:div w:id="44107053">
          <w:marLeft w:val="720"/>
          <w:marRight w:val="0"/>
          <w:marTop w:val="0"/>
          <w:marBottom w:val="0"/>
          <w:divBdr>
            <w:top w:val="none" w:sz="0" w:space="0" w:color="auto"/>
            <w:left w:val="none" w:sz="0" w:space="0" w:color="auto"/>
            <w:bottom w:val="none" w:sz="0" w:space="0" w:color="auto"/>
            <w:right w:val="none" w:sz="0" w:space="0" w:color="auto"/>
          </w:divBdr>
        </w:div>
      </w:divsChild>
    </w:div>
    <w:div w:id="531460991">
      <w:bodyDiv w:val="1"/>
      <w:marLeft w:val="0"/>
      <w:marRight w:val="0"/>
      <w:marTop w:val="0"/>
      <w:marBottom w:val="0"/>
      <w:divBdr>
        <w:top w:val="none" w:sz="0" w:space="0" w:color="auto"/>
        <w:left w:val="none" w:sz="0" w:space="0" w:color="auto"/>
        <w:bottom w:val="none" w:sz="0" w:space="0" w:color="auto"/>
        <w:right w:val="none" w:sz="0" w:space="0" w:color="auto"/>
      </w:divBdr>
      <w:divsChild>
        <w:div w:id="1530025141">
          <w:marLeft w:val="720"/>
          <w:marRight w:val="0"/>
          <w:marTop w:val="0"/>
          <w:marBottom w:val="0"/>
          <w:divBdr>
            <w:top w:val="none" w:sz="0" w:space="0" w:color="auto"/>
            <w:left w:val="none" w:sz="0" w:space="0" w:color="auto"/>
            <w:bottom w:val="none" w:sz="0" w:space="0" w:color="auto"/>
            <w:right w:val="none" w:sz="0" w:space="0" w:color="auto"/>
          </w:divBdr>
        </w:div>
        <w:div w:id="914707349">
          <w:marLeft w:val="720"/>
          <w:marRight w:val="0"/>
          <w:marTop w:val="0"/>
          <w:marBottom w:val="0"/>
          <w:divBdr>
            <w:top w:val="none" w:sz="0" w:space="0" w:color="auto"/>
            <w:left w:val="none" w:sz="0" w:space="0" w:color="auto"/>
            <w:bottom w:val="none" w:sz="0" w:space="0" w:color="auto"/>
            <w:right w:val="none" w:sz="0" w:space="0" w:color="auto"/>
          </w:divBdr>
        </w:div>
        <w:div w:id="3438186">
          <w:marLeft w:val="720"/>
          <w:marRight w:val="0"/>
          <w:marTop w:val="0"/>
          <w:marBottom w:val="0"/>
          <w:divBdr>
            <w:top w:val="none" w:sz="0" w:space="0" w:color="auto"/>
            <w:left w:val="none" w:sz="0" w:space="0" w:color="auto"/>
            <w:bottom w:val="none" w:sz="0" w:space="0" w:color="auto"/>
            <w:right w:val="none" w:sz="0" w:space="0" w:color="auto"/>
          </w:divBdr>
        </w:div>
        <w:div w:id="1905749304">
          <w:marLeft w:val="720"/>
          <w:marRight w:val="0"/>
          <w:marTop w:val="0"/>
          <w:marBottom w:val="0"/>
          <w:divBdr>
            <w:top w:val="none" w:sz="0" w:space="0" w:color="auto"/>
            <w:left w:val="none" w:sz="0" w:space="0" w:color="auto"/>
            <w:bottom w:val="none" w:sz="0" w:space="0" w:color="auto"/>
            <w:right w:val="none" w:sz="0" w:space="0" w:color="auto"/>
          </w:divBdr>
        </w:div>
      </w:divsChild>
    </w:div>
    <w:div w:id="610476188">
      <w:bodyDiv w:val="1"/>
      <w:marLeft w:val="0"/>
      <w:marRight w:val="0"/>
      <w:marTop w:val="0"/>
      <w:marBottom w:val="0"/>
      <w:divBdr>
        <w:top w:val="none" w:sz="0" w:space="0" w:color="auto"/>
        <w:left w:val="none" w:sz="0" w:space="0" w:color="auto"/>
        <w:bottom w:val="none" w:sz="0" w:space="0" w:color="auto"/>
        <w:right w:val="none" w:sz="0" w:space="0" w:color="auto"/>
      </w:divBdr>
    </w:div>
    <w:div w:id="618726335">
      <w:bodyDiv w:val="1"/>
      <w:marLeft w:val="0"/>
      <w:marRight w:val="0"/>
      <w:marTop w:val="0"/>
      <w:marBottom w:val="0"/>
      <w:divBdr>
        <w:top w:val="none" w:sz="0" w:space="0" w:color="auto"/>
        <w:left w:val="none" w:sz="0" w:space="0" w:color="auto"/>
        <w:bottom w:val="none" w:sz="0" w:space="0" w:color="auto"/>
        <w:right w:val="none" w:sz="0" w:space="0" w:color="auto"/>
      </w:divBdr>
    </w:div>
    <w:div w:id="729352529">
      <w:bodyDiv w:val="1"/>
      <w:marLeft w:val="0"/>
      <w:marRight w:val="0"/>
      <w:marTop w:val="0"/>
      <w:marBottom w:val="0"/>
      <w:divBdr>
        <w:top w:val="none" w:sz="0" w:space="0" w:color="auto"/>
        <w:left w:val="none" w:sz="0" w:space="0" w:color="auto"/>
        <w:bottom w:val="none" w:sz="0" w:space="0" w:color="auto"/>
        <w:right w:val="none" w:sz="0" w:space="0" w:color="auto"/>
      </w:divBdr>
    </w:div>
    <w:div w:id="758407390">
      <w:bodyDiv w:val="1"/>
      <w:marLeft w:val="0"/>
      <w:marRight w:val="0"/>
      <w:marTop w:val="0"/>
      <w:marBottom w:val="0"/>
      <w:divBdr>
        <w:top w:val="none" w:sz="0" w:space="0" w:color="auto"/>
        <w:left w:val="none" w:sz="0" w:space="0" w:color="auto"/>
        <w:bottom w:val="none" w:sz="0" w:space="0" w:color="auto"/>
        <w:right w:val="none" w:sz="0" w:space="0" w:color="auto"/>
      </w:divBdr>
    </w:div>
    <w:div w:id="941306633">
      <w:bodyDiv w:val="1"/>
      <w:marLeft w:val="0"/>
      <w:marRight w:val="0"/>
      <w:marTop w:val="0"/>
      <w:marBottom w:val="0"/>
      <w:divBdr>
        <w:top w:val="none" w:sz="0" w:space="0" w:color="auto"/>
        <w:left w:val="none" w:sz="0" w:space="0" w:color="auto"/>
        <w:bottom w:val="none" w:sz="0" w:space="0" w:color="auto"/>
        <w:right w:val="none" w:sz="0" w:space="0" w:color="auto"/>
      </w:divBdr>
    </w:div>
    <w:div w:id="1427455227">
      <w:bodyDiv w:val="1"/>
      <w:marLeft w:val="0"/>
      <w:marRight w:val="0"/>
      <w:marTop w:val="0"/>
      <w:marBottom w:val="0"/>
      <w:divBdr>
        <w:top w:val="none" w:sz="0" w:space="0" w:color="auto"/>
        <w:left w:val="none" w:sz="0" w:space="0" w:color="auto"/>
        <w:bottom w:val="none" w:sz="0" w:space="0" w:color="auto"/>
        <w:right w:val="none" w:sz="0" w:space="0" w:color="auto"/>
      </w:divBdr>
      <w:divsChild>
        <w:div w:id="1549683591">
          <w:marLeft w:val="720"/>
          <w:marRight w:val="0"/>
          <w:marTop w:val="0"/>
          <w:marBottom w:val="0"/>
          <w:divBdr>
            <w:top w:val="none" w:sz="0" w:space="0" w:color="auto"/>
            <w:left w:val="none" w:sz="0" w:space="0" w:color="auto"/>
            <w:bottom w:val="none" w:sz="0" w:space="0" w:color="auto"/>
            <w:right w:val="none" w:sz="0" w:space="0" w:color="auto"/>
          </w:divBdr>
        </w:div>
        <w:div w:id="1100562544">
          <w:marLeft w:val="720"/>
          <w:marRight w:val="0"/>
          <w:marTop w:val="0"/>
          <w:marBottom w:val="0"/>
          <w:divBdr>
            <w:top w:val="none" w:sz="0" w:space="0" w:color="auto"/>
            <w:left w:val="none" w:sz="0" w:space="0" w:color="auto"/>
            <w:bottom w:val="none" w:sz="0" w:space="0" w:color="auto"/>
            <w:right w:val="none" w:sz="0" w:space="0" w:color="auto"/>
          </w:divBdr>
        </w:div>
        <w:div w:id="76023695">
          <w:marLeft w:val="720"/>
          <w:marRight w:val="0"/>
          <w:marTop w:val="0"/>
          <w:marBottom w:val="0"/>
          <w:divBdr>
            <w:top w:val="none" w:sz="0" w:space="0" w:color="auto"/>
            <w:left w:val="none" w:sz="0" w:space="0" w:color="auto"/>
            <w:bottom w:val="none" w:sz="0" w:space="0" w:color="auto"/>
            <w:right w:val="none" w:sz="0" w:space="0" w:color="auto"/>
          </w:divBdr>
        </w:div>
        <w:div w:id="1629699789">
          <w:marLeft w:val="720"/>
          <w:marRight w:val="0"/>
          <w:marTop w:val="0"/>
          <w:marBottom w:val="0"/>
          <w:divBdr>
            <w:top w:val="none" w:sz="0" w:space="0" w:color="auto"/>
            <w:left w:val="none" w:sz="0" w:space="0" w:color="auto"/>
            <w:bottom w:val="none" w:sz="0" w:space="0" w:color="auto"/>
            <w:right w:val="none" w:sz="0" w:space="0" w:color="auto"/>
          </w:divBdr>
        </w:div>
      </w:divsChild>
    </w:div>
    <w:div w:id="1513839501">
      <w:bodyDiv w:val="1"/>
      <w:marLeft w:val="0"/>
      <w:marRight w:val="0"/>
      <w:marTop w:val="0"/>
      <w:marBottom w:val="0"/>
      <w:divBdr>
        <w:top w:val="none" w:sz="0" w:space="0" w:color="auto"/>
        <w:left w:val="none" w:sz="0" w:space="0" w:color="auto"/>
        <w:bottom w:val="none" w:sz="0" w:space="0" w:color="auto"/>
        <w:right w:val="none" w:sz="0" w:space="0" w:color="auto"/>
      </w:divBdr>
    </w:div>
    <w:div w:id="1559897324">
      <w:bodyDiv w:val="1"/>
      <w:marLeft w:val="0"/>
      <w:marRight w:val="0"/>
      <w:marTop w:val="0"/>
      <w:marBottom w:val="0"/>
      <w:divBdr>
        <w:top w:val="none" w:sz="0" w:space="0" w:color="auto"/>
        <w:left w:val="none" w:sz="0" w:space="0" w:color="auto"/>
        <w:bottom w:val="none" w:sz="0" w:space="0" w:color="auto"/>
        <w:right w:val="none" w:sz="0" w:space="0" w:color="auto"/>
      </w:divBdr>
    </w:div>
    <w:div w:id="2076469204">
      <w:bodyDiv w:val="1"/>
      <w:marLeft w:val="0"/>
      <w:marRight w:val="0"/>
      <w:marTop w:val="0"/>
      <w:marBottom w:val="0"/>
      <w:divBdr>
        <w:top w:val="none" w:sz="0" w:space="0" w:color="auto"/>
        <w:left w:val="none" w:sz="0" w:space="0" w:color="auto"/>
        <w:bottom w:val="none" w:sz="0" w:space="0" w:color="auto"/>
        <w:right w:val="none" w:sz="0" w:space="0" w:color="auto"/>
      </w:divBdr>
      <w:divsChild>
        <w:div w:id="1514104528">
          <w:marLeft w:val="720"/>
          <w:marRight w:val="0"/>
          <w:marTop w:val="0"/>
          <w:marBottom w:val="0"/>
          <w:divBdr>
            <w:top w:val="none" w:sz="0" w:space="0" w:color="auto"/>
            <w:left w:val="none" w:sz="0" w:space="0" w:color="auto"/>
            <w:bottom w:val="none" w:sz="0" w:space="0" w:color="auto"/>
            <w:right w:val="none" w:sz="0" w:space="0" w:color="auto"/>
          </w:divBdr>
        </w:div>
        <w:div w:id="1713382256">
          <w:marLeft w:val="720"/>
          <w:marRight w:val="0"/>
          <w:marTop w:val="0"/>
          <w:marBottom w:val="0"/>
          <w:divBdr>
            <w:top w:val="none" w:sz="0" w:space="0" w:color="auto"/>
            <w:left w:val="none" w:sz="0" w:space="0" w:color="auto"/>
            <w:bottom w:val="none" w:sz="0" w:space="0" w:color="auto"/>
            <w:right w:val="none" w:sz="0" w:space="0" w:color="auto"/>
          </w:divBdr>
        </w:div>
        <w:div w:id="664208018">
          <w:marLeft w:val="720"/>
          <w:marRight w:val="0"/>
          <w:marTop w:val="0"/>
          <w:marBottom w:val="0"/>
          <w:divBdr>
            <w:top w:val="none" w:sz="0" w:space="0" w:color="auto"/>
            <w:left w:val="none" w:sz="0" w:space="0" w:color="auto"/>
            <w:bottom w:val="none" w:sz="0" w:space="0" w:color="auto"/>
            <w:right w:val="none" w:sz="0" w:space="0" w:color="auto"/>
          </w:divBdr>
        </w:div>
        <w:div w:id="14062269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icmje.org/recommendations/"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1D31-ABA3-874E-BDB7-0DDAE2D52812}">
  <ds:schemaRefs>
    <ds:schemaRef ds:uri="http://schemas.openxmlformats.org/officeDocument/2006/bibliography"/>
  </ds:schemaRefs>
</ds:datastoreItem>
</file>

<file path=customXml/itemProps2.xml><?xml version="1.0" encoding="utf-8"?>
<ds:datastoreItem xmlns:ds="http://schemas.openxmlformats.org/officeDocument/2006/customXml" ds:itemID="{B6E4D5C3-E80C-8048-846F-82DA186F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13970</Words>
  <Characters>79632</Characters>
  <Application>Microsoft Office Word</Application>
  <DocSecurity>0</DocSecurity>
  <Lines>663</Lines>
  <Paragraphs>186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93416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Van den Bussche</dc:creator>
  <cp:lastModifiedBy>Lisette Schoonhoven</cp:lastModifiedBy>
  <cp:revision>2</cp:revision>
  <cp:lastPrinted>2017-08-24T15:50:00Z</cp:lastPrinted>
  <dcterms:created xsi:type="dcterms:W3CDTF">2018-02-23T10:16:00Z</dcterms:created>
  <dcterms:modified xsi:type="dcterms:W3CDTF">2018-02-23T10:16:00Z</dcterms:modified>
</cp:coreProperties>
</file>