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F4A7" w14:textId="77777777" w:rsidR="0057660F" w:rsidRPr="00584E5A" w:rsidRDefault="0057660F" w:rsidP="0057660F">
      <w:pPr>
        <w:pStyle w:val="NormalWeb"/>
        <w:spacing w:line="360" w:lineRule="auto"/>
        <w:jc w:val="both"/>
        <w:rPr>
          <w:rFonts w:asciiTheme="minorHAnsi" w:hAnsiTheme="minorHAnsi"/>
          <w:bCs/>
          <w:sz w:val="22"/>
          <w:szCs w:val="22"/>
        </w:rPr>
      </w:pPr>
      <w:r w:rsidRPr="00584E5A">
        <w:rPr>
          <w:rStyle w:val="Strong"/>
          <w:rFonts w:asciiTheme="minorHAnsi" w:hAnsiTheme="minorHAnsi"/>
          <w:sz w:val="22"/>
          <w:szCs w:val="22"/>
        </w:rPr>
        <w:t xml:space="preserve">Reliability of </w:t>
      </w:r>
      <w:proofErr w:type="spellStart"/>
      <w:r w:rsidRPr="00584E5A">
        <w:rPr>
          <w:rStyle w:val="Strong"/>
          <w:rFonts w:asciiTheme="minorHAnsi" w:hAnsiTheme="minorHAnsi"/>
          <w:sz w:val="22"/>
          <w:szCs w:val="22"/>
        </w:rPr>
        <w:t>oscillometric</w:t>
      </w:r>
      <w:proofErr w:type="spellEnd"/>
      <w:r w:rsidRPr="00584E5A">
        <w:rPr>
          <w:rStyle w:val="Strong"/>
          <w:rFonts w:asciiTheme="minorHAnsi" w:hAnsiTheme="minorHAnsi"/>
          <w:sz w:val="22"/>
          <w:szCs w:val="22"/>
        </w:rPr>
        <w:t xml:space="preserve"> central blood pressure and </w:t>
      </w:r>
      <w:r w:rsidR="00712627" w:rsidRPr="00584E5A">
        <w:rPr>
          <w:rStyle w:val="Strong"/>
          <w:rFonts w:asciiTheme="minorHAnsi" w:hAnsiTheme="minorHAnsi"/>
          <w:sz w:val="22"/>
          <w:szCs w:val="22"/>
        </w:rPr>
        <w:t>central systolic loading</w:t>
      </w:r>
      <w:r w:rsidRPr="00584E5A">
        <w:rPr>
          <w:rStyle w:val="Strong"/>
          <w:rFonts w:asciiTheme="minorHAnsi" w:hAnsiTheme="minorHAnsi"/>
          <w:sz w:val="22"/>
          <w:szCs w:val="22"/>
        </w:rPr>
        <w:t xml:space="preserve"> in individuals over 50 years: effects of posture and fasting </w:t>
      </w:r>
    </w:p>
    <w:p w14:paraId="17186E7B" w14:textId="77777777" w:rsidR="0057660F" w:rsidRPr="00584E5A" w:rsidRDefault="0057660F" w:rsidP="0057660F">
      <w:pPr>
        <w:spacing w:after="0" w:line="480" w:lineRule="auto"/>
        <w:jc w:val="both"/>
        <w:rPr>
          <w:rFonts w:ascii="Calibri" w:eastAsia="Times New Roman" w:hAnsi="Calibri" w:cs="Times New Roman"/>
          <w:sz w:val="20"/>
          <w:szCs w:val="20"/>
          <w:shd w:val="clear" w:color="auto" w:fill="FFFFFF"/>
          <w:lang w:val="en-AU"/>
        </w:rPr>
      </w:pPr>
      <w:r w:rsidRPr="00584E5A">
        <w:rPr>
          <w:rFonts w:ascii="Calibri" w:eastAsia="Times New Roman" w:hAnsi="Calibri" w:cs="Times New Roman"/>
          <w:b/>
          <w:bCs/>
          <w:iCs/>
          <w:sz w:val="20"/>
          <w:szCs w:val="20"/>
          <w:shd w:val="clear" w:color="auto" w:fill="FFFFFF"/>
          <w:lang w:val="en-AU"/>
        </w:rPr>
        <w:t>Running Title:</w:t>
      </w:r>
      <w:r w:rsidRPr="00584E5A">
        <w:rPr>
          <w:rFonts w:ascii="Calibri" w:eastAsia="Times New Roman" w:hAnsi="Calibri" w:cs="Times New Roman"/>
          <w:b/>
          <w:sz w:val="20"/>
          <w:szCs w:val="20"/>
          <w:shd w:val="clear" w:color="auto" w:fill="FFFFFF"/>
          <w:lang w:val="en-AU"/>
        </w:rPr>
        <w:t xml:space="preserve"> </w:t>
      </w:r>
      <w:r w:rsidRPr="00584E5A">
        <w:rPr>
          <w:rFonts w:ascii="Calibri" w:eastAsia="Times New Roman" w:hAnsi="Calibri" w:cs="Times New Roman"/>
          <w:sz w:val="20"/>
          <w:szCs w:val="20"/>
          <w:shd w:val="clear" w:color="auto" w:fill="FFFFFF"/>
          <w:lang w:val="en-AU"/>
        </w:rPr>
        <w:t xml:space="preserve">Central blood pressure and </w:t>
      </w:r>
      <w:r w:rsidR="00712627" w:rsidRPr="00584E5A">
        <w:rPr>
          <w:rFonts w:ascii="Calibri" w:eastAsia="Times New Roman" w:hAnsi="Calibri" w:cs="Times New Roman"/>
          <w:sz w:val="20"/>
          <w:szCs w:val="20"/>
          <w:shd w:val="clear" w:color="auto" w:fill="FFFFFF"/>
          <w:lang w:val="en-AU"/>
        </w:rPr>
        <w:t>central systolic loading</w:t>
      </w:r>
      <w:r w:rsidRPr="00584E5A">
        <w:rPr>
          <w:rFonts w:ascii="Calibri" w:eastAsia="Times New Roman" w:hAnsi="Calibri" w:cs="Times New Roman"/>
          <w:sz w:val="20"/>
          <w:szCs w:val="20"/>
          <w:shd w:val="clear" w:color="auto" w:fill="FFFFFF"/>
          <w:lang w:val="en-AU"/>
        </w:rPr>
        <w:t xml:space="preserve"> in an older population </w:t>
      </w:r>
    </w:p>
    <w:p w14:paraId="1F5326EC" w14:textId="77777777" w:rsidR="0057660F" w:rsidRPr="00584E5A" w:rsidRDefault="0057660F" w:rsidP="0057660F">
      <w:pPr>
        <w:spacing w:after="0" w:line="480" w:lineRule="auto"/>
        <w:jc w:val="both"/>
        <w:rPr>
          <w:rFonts w:ascii="Calibri" w:eastAsia="Times New Roman" w:hAnsi="Calibri" w:cs="Times New Roman"/>
          <w:sz w:val="20"/>
          <w:szCs w:val="20"/>
          <w:shd w:val="clear" w:color="auto" w:fill="FFFFFF"/>
          <w:lang w:val="en-AU"/>
        </w:rPr>
      </w:pPr>
    </w:p>
    <w:p w14:paraId="5408F517" w14:textId="77777777" w:rsidR="0057660F" w:rsidRPr="00584E5A" w:rsidRDefault="0057660F" w:rsidP="0057660F">
      <w:pPr>
        <w:spacing w:after="0" w:line="480" w:lineRule="auto"/>
        <w:ind w:left="284" w:hanging="284"/>
        <w:jc w:val="both"/>
        <w:rPr>
          <w:rFonts w:ascii="Calibri" w:eastAsia="Times New Roman" w:hAnsi="Calibri" w:cs="Times New Roman"/>
          <w:bCs/>
          <w:iCs/>
          <w:sz w:val="20"/>
          <w:szCs w:val="20"/>
          <w:shd w:val="clear" w:color="auto" w:fill="FFFFFF"/>
          <w:lang w:val="en-US"/>
        </w:rPr>
      </w:pPr>
      <w:r w:rsidRPr="00584E5A">
        <w:rPr>
          <w:rFonts w:ascii="Calibri" w:eastAsia="Times New Roman" w:hAnsi="Calibri" w:cs="Times New Roman"/>
          <w:bCs/>
          <w:iCs/>
          <w:sz w:val="20"/>
          <w:szCs w:val="20"/>
          <w:shd w:val="clear" w:color="auto" w:fill="FFFFFF"/>
          <w:lang w:val="en-US"/>
        </w:rPr>
        <w:t>Andrew MITCHELMORE</w:t>
      </w:r>
      <w:r w:rsidRPr="00584E5A">
        <w:rPr>
          <w:rFonts w:ascii="Calibri" w:eastAsia="Times New Roman" w:hAnsi="Calibri" w:cs="Times New Roman"/>
          <w:bCs/>
          <w:iCs/>
          <w:sz w:val="20"/>
          <w:szCs w:val="20"/>
          <w:shd w:val="clear" w:color="auto" w:fill="FFFFFF"/>
          <w:vertAlign w:val="superscript"/>
          <w:lang w:val="en-US"/>
        </w:rPr>
        <w:t>1</w:t>
      </w:r>
      <w:r w:rsidRPr="00584E5A">
        <w:rPr>
          <w:rFonts w:ascii="Calibri" w:eastAsia="Times New Roman" w:hAnsi="Calibri" w:cs="Times New Roman"/>
          <w:bCs/>
          <w:iCs/>
          <w:sz w:val="20"/>
          <w:szCs w:val="20"/>
          <w:shd w:val="clear" w:color="auto" w:fill="FFFFFF"/>
          <w:lang w:val="en-US"/>
        </w:rPr>
        <w:t>, Lee STONER</w:t>
      </w:r>
      <w:r w:rsidRPr="00584E5A">
        <w:rPr>
          <w:rFonts w:ascii="Calibri" w:eastAsia="Times New Roman" w:hAnsi="Calibri" w:cs="Times New Roman"/>
          <w:bCs/>
          <w:iCs/>
          <w:sz w:val="20"/>
          <w:szCs w:val="20"/>
          <w:shd w:val="clear" w:color="auto" w:fill="FFFFFF"/>
          <w:vertAlign w:val="superscript"/>
          <w:lang w:val="en-US"/>
        </w:rPr>
        <w:t>2</w:t>
      </w:r>
      <w:r w:rsidRPr="00584E5A">
        <w:rPr>
          <w:rFonts w:ascii="Calibri" w:eastAsia="Times New Roman" w:hAnsi="Calibri" w:cs="Times New Roman"/>
          <w:bCs/>
          <w:iCs/>
          <w:sz w:val="20"/>
          <w:szCs w:val="20"/>
          <w:shd w:val="clear" w:color="auto" w:fill="FFFFFF"/>
          <w:lang w:val="en-US"/>
        </w:rPr>
        <w:t>, Danielle LAMBRICK</w:t>
      </w:r>
      <w:r w:rsidRPr="00584E5A">
        <w:rPr>
          <w:rFonts w:ascii="Calibri" w:eastAsia="Times New Roman" w:hAnsi="Calibri" w:cs="Times New Roman"/>
          <w:bCs/>
          <w:iCs/>
          <w:sz w:val="20"/>
          <w:szCs w:val="20"/>
          <w:shd w:val="clear" w:color="auto" w:fill="FFFFFF"/>
          <w:vertAlign w:val="superscript"/>
          <w:lang w:val="en-US"/>
        </w:rPr>
        <w:t>3</w:t>
      </w:r>
      <w:r w:rsidRPr="00584E5A">
        <w:rPr>
          <w:rFonts w:ascii="Calibri" w:eastAsia="Times New Roman" w:hAnsi="Calibri" w:cs="Times New Roman"/>
          <w:bCs/>
          <w:iCs/>
          <w:sz w:val="20"/>
          <w:szCs w:val="20"/>
          <w:shd w:val="clear" w:color="auto" w:fill="FFFFFF"/>
          <w:lang w:val="en-US"/>
        </w:rPr>
        <w:t>, Simon JOBSON</w:t>
      </w:r>
      <w:r w:rsidRPr="00584E5A">
        <w:rPr>
          <w:rFonts w:ascii="Calibri" w:eastAsia="Times New Roman" w:hAnsi="Calibri" w:cs="Times New Roman"/>
          <w:bCs/>
          <w:iCs/>
          <w:sz w:val="20"/>
          <w:szCs w:val="20"/>
          <w:shd w:val="clear" w:color="auto" w:fill="FFFFFF"/>
          <w:vertAlign w:val="superscript"/>
          <w:lang w:val="en-US"/>
        </w:rPr>
        <w:t>1</w:t>
      </w:r>
      <w:r w:rsidRPr="00584E5A">
        <w:rPr>
          <w:rFonts w:ascii="Calibri" w:eastAsia="Times New Roman" w:hAnsi="Calibri" w:cs="Times New Roman"/>
          <w:bCs/>
          <w:iCs/>
          <w:sz w:val="20"/>
          <w:szCs w:val="20"/>
          <w:shd w:val="clear" w:color="auto" w:fill="FFFFFF"/>
          <w:lang w:val="en-US"/>
        </w:rPr>
        <w:t>, James FAULKNER</w:t>
      </w:r>
      <w:r w:rsidRPr="00584E5A">
        <w:rPr>
          <w:rFonts w:ascii="Calibri" w:eastAsia="Times New Roman" w:hAnsi="Calibri" w:cs="Times New Roman"/>
          <w:bCs/>
          <w:iCs/>
          <w:sz w:val="20"/>
          <w:szCs w:val="20"/>
          <w:shd w:val="clear" w:color="auto" w:fill="FFFFFF"/>
          <w:vertAlign w:val="superscript"/>
          <w:lang w:val="en-US"/>
        </w:rPr>
        <w:t>1</w:t>
      </w:r>
      <w:r w:rsidRPr="00584E5A">
        <w:rPr>
          <w:rFonts w:ascii="Calibri" w:eastAsia="Times New Roman" w:hAnsi="Calibri" w:cs="Times New Roman"/>
          <w:bCs/>
          <w:iCs/>
          <w:sz w:val="20"/>
          <w:szCs w:val="20"/>
          <w:shd w:val="clear" w:color="auto" w:fill="FFFFFF"/>
          <w:lang w:val="en-US"/>
        </w:rPr>
        <w:t xml:space="preserve"> </w:t>
      </w:r>
    </w:p>
    <w:p w14:paraId="76AF4686" w14:textId="77777777" w:rsidR="0057660F" w:rsidRPr="00584E5A" w:rsidRDefault="0057660F" w:rsidP="0057660F">
      <w:pPr>
        <w:spacing w:after="0" w:line="480" w:lineRule="auto"/>
        <w:ind w:left="284" w:hanging="284"/>
        <w:jc w:val="both"/>
        <w:rPr>
          <w:rFonts w:ascii="Calibri" w:eastAsia="Times New Roman" w:hAnsi="Calibri" w:cs="Times New Roman"/>
          <w:bCs/>
          <w:iCs/>
          <w:sz w:val="20"/>
          <w:szCs w:val="20"/>
          <w:shd w:val="clear" w:color="auto" w:fill="FFFFFF"/>
          <w:lang w:val="en-US"/>
        </w:rPr>
      </w:pPr>
    </w:p>
    <w:p w14:paraId="3D317459" w14:textId="77777777" w:rsidR="0057660F" w:rsidRPr="00584E5A" w:rsidRDefault="0057660F" w:rsidP="0057660F">
      <w:pPr>
        <w:spacing w:after="0" w:line="480" w:lineRule="auto"/>
        <w:ind w:left="284" w:hanging="284"/>
        <w:jc w:val="both"/>
        <w:rPr>
          <w:rFonts w:ascii="Calibri" w:eastAsia="Times New Roman" w:hAnsi="Calibri" w:cs="Times New Roman"/>
          <w:bCs/>
          <w:iCs/>
          <w:sz w:val="20"/>
          <w:szCs w:val="20"/>
          <w:shd w:val="clear" w:color="auto" w:fill="FFFFFF"/>
          <w:lang w:val="en-US"/>
        </w:rPr>
      </w:pPr>
      <w:r w:rsidRPr="00584E5A">
        <w:rPr>
          <w:rFonts w:ascii="Calibri" w:eastAsia="Times New Roman" w:hAnsi="Calibri" w:cs="Times New Roman"/>
          <w:bCs/>
          <w:iCs/>
          <w:sz w:val="20"/>
          <w:szCs w:val="20"/>
          <w:shd w:val="clear" w:color="auto" w:fill="FFFFFF"/>
          <w:vertAlign w:val="superscript"/>
          <w:lang w:val="en-US"/>
        </w:rPr>
        <w:t>1</w:t>
      </w:r>
      <w:r w:rsidRPr="00584E5A">
        <w:rPr>
          <w:rFonts w:ascii="Calibri" w:eastAsia="Times New Roman" w:hAnsi="Calibri" w:cs="Times New Roman"/>
          <w:bCs/>
          <w:iCs/>
          <w:sz w:val="20"/>
          <w:szCs w:val="20"/>
          <w:shd w:val="clear" w:color="auto" w:fill="FFFFFF"/>
          <w:lang w:val="en-US"/>
        </w:rPr>
        <w:t xml:space="preserve"> Department of Sport &amp; Exercise, University of Winchester, UK</w:t>
      </w:r>
    </w:p>
    <w:p w14:paraId="2D4942F0" w14:textId="77777777" w:rsidR="0057660F" w:rsidRPr="00584E5A" w:rsidRDefault="0057660F" w:rsidP="0057660F">
      <w:pPr>
        <w:spacing w:after="0" w:line="480" w:lineRule="auto"/>
        <w:ind w:left="284" w:hanging="284"/>
        <w:jc w:val="both"/>
        <w:rPr>
          <w:rFonts w:ascii="Calibri" w:eastAsia="Times New Roman" w:hAnsi="Calibri" w:cs="Times New Roman"/>
          <w:bCs/>
          <w:iCs/>
          <w:sz w:val="20"/>
          <w:szCs w:val="20"/>
          <w:shd w:val="clear" w:color="auto" w:fill="FFFFFF"/>
          <w:lang w:val="en-US"/>
        </w:rPr>
      </w:pPr>
      <w:r w:rsidRPr="00584E5A">
        <w:rPr>
          <w:rFonts w:ascii="Calibri" w:eastAsia="Times New Roman" w:hAnsi="Calibri" w:cs="Times New Roman"/>
          <w:bCs/>
          <w:iCs/>
          <w:sz w:val="20"/>
          <w:szCs w:val="20"/>
          <w:shd w:val="clear" w:color="auto" w:fill="FFFFFF"/>
          <w:vertAlign w:val="superscript"/>
          <w:lang w:val="en-US"/>
        </w:rPr>
        <w:t>2</w:t>
      </w:r>
      <w:r w:rsidRPr="00584E5A">
        <w:rPr>
          <w:rFonts w:ascii="Calibri" w:eastAsia="Times New Roman" w:hAnsi="Calibri" w:cs="Times New Roman"/>
          <w:bCs/>
          <w:iCs/>
          <w:sz w:val="20"/>
          <w:szCs w:val="20"/>
          <w:shd w:val="clear" w:color="auto" w:fill="FFFFFF"/>
          <w:lang w:val="en-US"/>
        </w:rPr>
        <w:t xml:space="preserve"> Department of Exercise and Sport Science, University of North Carolina at Chapel Hill, NC, USA.</w:t>
      </w:r>
    </w:p>
    <w:p w14:paraId="6E99CB66" w14:textId="77777777" w:rsidR="0057660F" w:rsidRPr="00584E5A" w:rsidRDefault="0057660F" w:rsidP="0057660F">
      <w:pPr>
        <w:spacing w:line="480" w:lineRule="auto"/>
        <w:ind w:left="284" w:hanging="284"/>
        <w:jc w:val="both"/>
        <w:rPr>
          <w:rFonts w:ascii="Calibri" w:eastAsia="Times New Roman" w:hAnsi="Calibri" w:cs="Times New Roman"/>
          <w:bCs/>
          <w:iCs/>
          <w:sz w:val="20"/>
          <w:szCs w:val="20"/>
          <w:shd w:val="clear" w:color="auto" w:fill="FFFFFF"/>
          <w:lang w:val="en-US"/>
        </w:rPr>
      </w:pPr>
      <w:r w:rsidRPr="00584E5A">
        <w:rPr>
          <w:rFonts w:ascii="Calibri" w:eastAsia="Times New Roman" w:hAnsi="Calibri" w:cs="Times New Roman"/>
          <w:bCs/>
          <w:iCs/>
          <w:sz w:val="20"/>
          <w:szCs w:val="20"/>
          <w:shd w:val="clear" w:color="auto" w:fill="FFFFFF"/>
          <w:vertAlign w:val="superscript"/>
          <w:lang w:val="en-US"/>
        </w:rPr>
        <w:t>3</w:t>
      </w:r>
      <w:r w:rsidRPr="00584E5A">
        <w:rPr>
          <w:rFonts w:ascii="Calibri" w:eastAsia="Times New Roman" w:hAnsi="Calibri" w:cs="Times New Roman"/>
          <w:bCs/>
          <w:iCs/>
          <w:sz w:val="20"/>
          <w:szCs w:val="20"/>
          <w:shd w:val="clear" w:color="auto" w:fill="FFFFFF"/>
          <w:lang w:val="en-US"/>
        </w:rPr>
        <w:t xml:space="preserve"> Faculty of Health Sciences, University of Southampton, UK</w:t>
      </w:r>
    </w:p>
    <w:p w14:paraId="1D1CFC92" w14:textId="21C59E8B" w:rsidR="0057660F" w:rsidRPr="00584E5A" w:rsidRDefault="0057660F" w:rsidP="00A17E7A">
      <w:pPr>
        <w:spacing w:after="0" w:line="480" w:lineRule="auto"/>
        <w:ind w:left="284" w:hanging="284"/>
        <w:rPr>
          <w:rFonts w:ascii="Calibri" w:eastAsia="Times New Roman" w:hAnsi="Calibri" w:cs="Times New Roman"/>
          <w:bCs/>
          <w:iCs/>
          <w:sz w:val="20"/>
          <w:szCs w:val="20"/>
          <w:shd w:val="clear" w:color="auto" w:fill="FFFFFF"/>
          <w:lang w:val="en-NZ"/>
        </w:rPr>
      </w:pPr>
      <w:r w:rsidRPr="00584E5A">
        <w:rPr>
          <w:rFonts w:ascii="Calibri" w:eastAsia="Times New Roman" w:hAnsi="Calibri" w:cs="Times New Roman"/>
          <w:bCs/>
          <w:iCs/>
          <w:sz w:val="20"/>
          <w:szCs w:val="20"/>
          <w:shd w:val="clear" w:color="auto" w:fill="FFFFFF"/>
          <w:lang w:val="en-NZ"/>
        </w:rPr>
        <w:t xml:space="preserve">* Corresponding Author: </w:t>
      </w:r>
      <w:r w:rsidR="00A17E7A" w:rsidRPr="00584E5A">
        <w:rPr>
          <w:rFonts w:ascii="Calibri" w:eastAsia="Times New Roman" w:hAnsi="Calibri" w:cs="Times New Roman"/>
          <w:b/>
          <w:bCs/>
          <w:iCs/>
          <w:sz w:val="20"/>
          <w:szCs w:val="20"/>
          <w:shd w:val="clear" w:color="auto" w:fill="FFFFFF"/>
          <w:lang w:val="en-NZ"/>
        </w:rPr>
        <w:t xml:space="preserve">A: </w:t>
      </w:r>
      <w:r w:rsidR="00A17E7A" w:rsidRPr="00584E5A">
        <w:rPr>
          <w:rFonts w:ascii="Calibri" w:eastAsia="Times New Roman" w:hAnsi="Calibri" w:cs="Times New Roman"/>
          <w:bCs/>
          <w:iCs/>
          <w:sz w:val="20"/>
          <w:szCs w:val="20"/>
          <w:shd w:val="clear" w:color="auto" w:fill="FFFFFF"/>
          <w:lang w:val="en-NZ"/>
        </w:rPr>
        <w:t>Department of Sport and Exercise, U</w:t>
      </w:r>
      <w:r w:rsidR="00B516EB" w:rsidRPr="00584E5A">
        <w:rPr>
          <w:rFonts w:ascii="Calibri" w:eastAsia="Times New Roman" w:hAnsi="Calibri" w:cs="Times New Roman"/>
          <w:bCs/>
          <w:iCs/>
          <w:sz w:val="20"/>
          <w:szCs w:val="20"/>
          <w:shd w:val="clear" w:color="auto" w:fill="FFFFFF"/>
          <w:lang w:val="en-NZ"/>
        </w:rPr>
        <w:t>niversity of Winchester, SO22 4</w:t>
      </w:r>
      <w:r w:rsidR="00A17E7A" w:rsidRPr="00584E5A">
        <w:rPr>
          <w:rFonts w:ascii="Calibri" w:eastAsia="Times New Roman" w:hAnsi="Calibri" w:cs="Times New Roman"/>
          <w:bCs/>
          <w:iCs/>
          <w:sz w:val="20"/>
          <w:szCs w:val="20"/>
          <w:shd w:val="clear" w:color="auto" w:fill="FFFFFF"/>
          <w:lang w:val="en-NZ"/>
        </w:rPr>
        <w:t>N</w:t>
      </w:r>
      <w:r w:rsidR="00B516EB" w:rsidRPr="00584E5A">
        <w:rPr>
          <w:rFonts w:ascii="Calibri" w:eastAsia="Times New Roman" w:hAnsi="Calibri" w:cs="Times New Roman"/>
          <w:bCs/>
          <w:iCs/>
          <w:sz w:val="20"/>
          <w:szCs w:val="20"/>
          <w:shd w:val="clear" w:color="auto" w:fill="FFFFFF"/>
          <w:lang w:val="en-NZ"/>
        </w:rPr>
        <w:t>R</w:t>
      </w:r>
      <w:r w:rsidR="00A17E7A" w:rsidRPr="00584E5A">
        <w:rPr>
          <w:rFonts w:ascii="Calibri" w:eastAsia="Times New Roman" w:hAnsi="Calibri" w:cs="Times New Roman"/>
          <w:bCs/>
          <w:iCs/>
          <w:sz w:val="20"/>
          <w:szCs w:val="20"/>
          <w:shd w:val="clear" w:color="auto" w:fill="FFFFFF"/>
          <w:lang w:val="en-NZ"/>
        </w:rPr>
        <w:t xml:space="preserve">,                  </w:t>
      </w:r>
      <w:r w:rsidRPr="00584E5A">
        <w:rPr>
          <w:rFonts w:ascii="Calibri" w:eastAsia="Times New Roman" w:hAnsi="Calibri" w:cs="Times New Roman"/>
          <w:b/>
          <w:bCs/>
          <w:iCs/>
          <w:sz w:val="20"/>
          <w:szCs w:val="20"/>
          <w:shd w:val="clear" w:color="auto" w:fill="FFFFFF"/>
          <w:lang w:val="en-US"/>
        </w:rPr>
        <w:t xml:space="preserve">E: </w:t>
      </w:r>
      <w:r w:rsidRPr="00584E5A">
        <w:rPr>
          <w:rFonts w:ascii="Calibri" w:eastAsia="Times New Roman" w:hAnsi="Calibri" w:cs="Times New Roman"/>
          <w:bCs/>
          <w:iCs/>
          <w:sz w:val="20"/>
          <w:szCs w:val="20"/>
          <w:shd w:val="clear" w:color="auto" w:fill="FFFFFF"/>
          <w:lang w:val="en-US"/>
        </w:rPr>
        <w:t xml:space="preserve">Andrew.Mitchelmore@winchester.ac.uk, </w:t>
      </w:r>
      <w:r w:rsidRPr="00584E5A">
        <w:rPr>
          <w:rFonts w:ascii="Calibri" w:eastAsia="Times New Roman" w:hAnsi="Calibri" w:cs="Times New Roman"/>
          <w:b/>
          <w:bCs/>
          <w:iCs/>
          <w:sz w:val="20"/>
          <w:szCs w:val="20"/>
          <w:shd w:val="clear" w:color="auto" w:fill="FFFFFF"/>
          <w:lang w:val="en-US"/>
        </w:rPr>
        <w:t>T:</w:t>
      </w:r>
      <w:r w:rsidRPr="00584E5A">
        <w:rPr>
          <w:rFonts w:ascii="Calibri" w:eastAsia="Times New Roman" w:hAnsi="Calibri" w:cs="Times New Roman"/>
          <w:bCs/>
          <w:iCs/>
          <w:sz w:val="20"/>
          <w:szCs w:val="20"/>
          <w:shd w:val="clear" w:color="auto" w:fill="FFFFFF"/>
          <w:lang w:val="en-NZ"/>
        </w:rPr>
        <w:t xml:space="preserve"> +44 (0)1962 827046</w:t>
      </w:r>
    </w:p>
    <w:p w14:paraId="7C1231E5" w14:textId="77777777" w:rsidR="0057660F" w:rsidRPr="00584E5A" w:rsidRDefault="0057660F" w:rsidP="0057660F">
      <w:pPr>
        <w:spacing w:after="0" w:line="480" w:lineRule="auto"/>
        <w:ind w:left="284" w:hanging="284"/>
        <w:jc w:val="both"/>
        <w:rPr>
          <w:rFonts w:ascii="Calibri" w:eastAsia="Times New Roman" w:hAnsi="Calibri" w:cs="Times New Roman"/>
          <w:bCs/>
          <w:iCs/>
          <w:sz w:val="20"/>
          <w:szCs w:val="20"/>
          <w:shd w:val="clear" w:color="auto" w:fill="FFFFFF"/>
          <w:lang w:val="en-NZ"/>
        </w:rPr>
      </w:pPr>
    </w:p>
    <w:p w14:paraId="61111B9F" w14:textId="77777777" w:rsidR="0057660F" w:rsidRPr="00584E5A" w:rsidRDefault="0057660F" w:rsidP="0057660F">
      <w:pPr>
        <w:spacing w:after="0" w:line="480" w:lineRule="auto"/>
        <w:jc w:val="both"/>
        <w:rPr>
          <w:rFonts w:ascii="Calibri" w:eastAsia="Times New Roman" w:hAnsi="Calibri" w:cs="Times New Roman"/>
          <w:sz w:val="20"/>
          <w:szCs w:val="20"/>
          <w:lang w:val="en-AU"/>
        </w:rPr>
      </w:pPr>
      <w:r w:rsidRPr="00584E5A">
        <w:rPr>
          <w:rFonts w:ascii="Calibri" w:eastAsia="Times New Roman" w:hAnsi="Calibri" w:cs="Times New Roman"/>
          <w:b/>
          <w:sz w:val="20"/>
          <w:szCs w:val="20"/>
          <w:lang w:val="en-AU"/>
        </w:rPr>
        <w:t xml:space="preserve">Type of article: </w:t>
      </w:r>
      <w:r w:rsidRPr="00584E5A">
        <w:rPr>
          <w:rFonts w:ascii="Calibri" w:eastAsia="Times New Roman" w:hAnsi="Calibri" w:cs="Times New Roman"/>
          <w:sz w:val="20"/>
          <w:szCs w:val="20"/>
          <w:lang w:val="en-AU"/>
        </w:rPr>
        <w:t>Research Study</w:t>
      </w:r>
    </w:p>
    <w:p w14:paraId="685D7F4C" w14:textId="77777777" w:rsidR="0057660F" w:rsidRPr="00584E5A" w:rsidRDefault="0057660F" w:rsidP="0057660F">
      <w:pPr>
        <w:spacing w:after="0" w:line="480" w:lineRule="auto"/>
        <w:jc w:val="both"/>
        <w:rPr>
          <w:rFonts w:ascii="Calibri" w:hAnsi="Calibri" w:cs="Calibri"/>
          <w:sz w:val="20"/>
          <w:lang w:val="en-NZ"/>
        </w:rPr>
      </w:pPr>
      <w:r w:rsidRPr="00584E5A">
        <w:rPr>
          <w:rFonts w:ascii="Calibri" w:hAnsi="Calibri" w:cs="Calibri"/>
          <w:b/>
          <w:bCs/>
          <w:sz w:val="20"/>
          <w:lang w:val="en-US"/>
        </w:rPr>
        <w:t>Conflicts of interest:</w:t>
      </w:r>
      <w:r w:rsidRPr="00584E5A">
        <w:rPr>
          <w:rFonts w:ascii="Calibri" w:hAnsi="Calibri" w:cs="Calibri"/>
          <w:bCs/>
          <w:sz w:val="20"/>
          <w:lang w:val="en-US"/>
        </w:rPr>
        <w:t xml:space="preserve"> NONE </w:t>
      </w:r>
    </w:p>
    <w:p w14:paraId="65E96CF6" w14:textId="77777777" w:rsidR="0057660F" w:rsidRPr="00584E5A" w:rsidRDefault="0057660F" w:rsidP="0057660F">
      <w:pPr>
        <w:spacing w:after="0" w:line="480" w:lineRule="auto"/>
        <w:jc w:val="both"/>
        <w:rPr>
          <w:rFonts w:ascii="Calibri" w:hAnsi="Calibri" w:cs="Calibri"/>
          <w:bCs/>
          <w:sz w:val="20"/>
          <w:lang w:val="en-AU"/>
        </w:rPr>
      </w:pPr>
      <w:r w:rsidRPr="00584E5A">
        <w:rPr>
          <w:rFonts w:ascii="Calibri" w:hAnsi="Calibri" w:cs="Calibri"/>
          <w:b/>
          <w:sz w:val="20"/>
          <w:lang w:val="en-AU"/>
        </w:rPr>
        <w:t>Source of funding:</w:t>
      </w:r>
      <w:r w:rsidRPr="00584E5A">
        <w:rPr>
          <w:rFonts w:ascii="Calibri" w:hAnsi="Calibri" w:cs="Calibri"/>
          <w:sz w:val="20"/>
          <w:lang w:val="en-AU"/>
        </w:rPr>
        <w:t xml:space="preserve"> </w:t>
      </w:r>
      <w:r w:rsidRPr="00584E5A">
        <w:rPr>
          <w:rFonts w:ascii="Calibri" w:hAnsi="Calibri" w:cs="Calibri"/>
          <w:bCs/>
          <w:sz w:val="20"/>
          <w:lang w:val="en-AU"/>
        </w:rPr>
        <w:t>The author(s) received no financial support for the research, authorship, and/or publication of this article.</w:t>
      </w:r>
    </w:p>
    <w:p w14:paraId="4705F7DA" w14:textId="77777777" w:rsidR="0057660F" w:rsidRPr="00584E5A" w:rsidRDefault="0057660F" w:rsidP="0057660F">
      <w:pPr>
        <w:spacing w:line="480" w:lineRule="auto"/>
        <w:jc w:val="both"/>
        <w:rPr>
          <w:rFonts w:ascii="Calibri" w:hAnsi="Calibri" w:cs="Calibri"/>
          <w:bCs/>
          <w:sz w:val="20"/>
          <w:lang w:val="en-AU"/>
        </w:rPr>
      </w:pPr>
      <w:r w:rsidRPr="00584E5A">
        <w:rPr>
          <w:rFonts w:ascii="Calibri" w:hAnsi="Calibri" w:cs="Calibri"/>
          <w:b/>
          <w:bCs/>
          <w:sz w:val="20"/>
          <w:lang w:val="en-AU"/>
        </w:rPr>
        <w:t>Contributions:</w:t>
      </w:r>
      <w:r w:rsidRPr="00584E5A">
        <w:rPr>
          <w:rFonts w:ascii="Calibri" w:hAnsi="Calibri" w:cs="Calibri"/>
          <w:bCs/>
          <w:sz w:val="20"/>
          <w:lang w:val="en-AU"/>
        </w:rPr>
        <w:t xml:space="preserve"> All authors aided with the writing and critically revised the manuscript for important intellectual content. All authors gave final approval for publication</w:t>
      </w:r>
    </w:p>
    <w:p w14:paraId="4B0241E8" w14:textId="72871728" w:rsidR="0057660F" w:rsidRPr="00584E5A" w:rsidRDefault="0057660F" w:rsidP="0057660F">
      <w:pPr>
        <w:spacing w:line="480" w:lineRule="auto"/>
        <w:jc w:val="both"/>
        <w:rPr>
          <w:rFonts w:ascii="Calibri" w:hAnsi="Calibri" w:cs="Calibri"/>
          <w:b/>
          <w:bCs/>
          <w:sz w:val="20"/>
          <w:lang w:val="en-AU"/>
        </w:rPr>
      </w:pPr>
      <w:r w:rsidRPr="00584E5A">
        <w:rPr>
          <w:rFonts w:ascii="Calibri" w:hAnsi="Calibri" w:cs="Calibri"/>
          <w:b/>
          <w:bCs/>
          <w:sz w:val="20"/>
          <w:lang w:val="en-AU"/>
        </w:rPr>
        <w:t xml:space="preserve">Word count: </w:t>
      </w:r>
      <w:r w:rsidR="005270AE" w:rsidRPr="00584E5A">
        <w:rPr>
          <w:rFonts w:ascii="Calibri" w:hAnsi="Calibri" w:cs="Calibri"/>
          <w:b/>
          <w:bCs/>
          <w:sz w:val="20"/>
          <w:lang w:val="en-AU"/>
        </w:rPr>
        <w:t>3277</w:t>
      </w:r>
      <w:r w:rsidR="0001711B" w:rsidRPr="00584E5A">
        <w:rPr>
          <w:rFonts w:ascii="Calibri" w:hAnsi="Calibri" w:cs="Calibri"/>
          <w:b/>
          <w:bCs/>
          <w:sz w:val="20"/>
          <w:lang w:val="en-AU"/>
        </w:rPr>
        <w:t xml:space="preserve"> (</w:t>
      </w:r>
      <w:proofErr w:type="spellStart"/>
      <w:r w:rsidR="0001711B" w:rsidRPr="00584E5A">
        <w:rPr>
          <w:rFonts w:ascii="Calibri" w:hAnsi="Calibri" w:cs="Calibri"/>
          <w:b/>
          <w:bCs/>
          <w:sz w:val="20"/>
          <w:lang w:val="en-AU"/>
        </w:rPr>
        <w:t>inc.</w:t>
      </w:r>
      <w:proofErr w:type="spellEnd"/>
      <w:r w:rsidR="0001711B" w:rsidRPr="00584E5A">
        <w:rPr>
          <w:rFonts w:ascii="Calibri" w:hAnsi="Calibri" w:cs="Calibri"/>
          <w:b/>
          <w:bCs/>
          <w:sz w:val="20"/>
          <w:lang w:val="en-AU"/>
        </w:rPr>
        <w:t xml:space="preserve"> abstract, exc. references)</w:t>
      </w:r>
    </w:p>
    <w:p w14:paraId="30A747B6" w14:textId="4F6CE79F" w:rsidR="0057660F" w:rsidRPr="00584E5A" w:rsidRDefault="005270AE" w:rsidP="0057660F">
      <w:pPr>
        <w:spacing w:line="480" w:lineRule="auto"/>
        <w:jc w:val="both"/>
        <w:rPr>
          <w:rFonts w:ascii="Calibri" w:hAnsi="Calibri" w:cs="Calibri"/>
          <w:b/>
          <w:bCs/>
          <w:sz w:val="20"/>
          <w:lang w:val="en-AU"/>
        </w:rPr>
      </w:pPr>
      <w:r w:rsidRPr="00584E5A">
        <w:rPr>
          <w:rFonts w:ascii="Calibri" w:hAnsi="Calibri" w:cs="Calibri"/>
          <w:b/>
          <w:bCs/>
          <w:sz w:val="20"/>
          <w:lang w:val="en-AU"/>
        </w:rPr>
        <w:t>Number of tables: 4</w:t>
      </w:r>
    </w:p>
    <w:p w14:paraId="1C76D036" w14:textId="77777777" w:rsidR="0057660F" w:rsidRPr="00584E5A" w:rsidRDefault="0057660F" w:rsidP="0057660F">
      <w:pPr>
        <w:spacing w:line="480" w:lineRule="auto"/>
        <w:jc w:val="both"/>
        <w:rPr>
          <w:rFonts w:ascii="Calibri" w:hAnsi="Calibri" w:cs="Calibri"/>
          <w:b/>
          <w:bCs/>
          <w:sz w:val="20"/>
          <w:lang w:val="en-AU"/>
        </w:rPr>
      </w:pPr>
      <w:r w:rsidRPr="00584E5A">
        <w:rPr>
          <w:rFonts w:ascii="Calibri" w:hAnsi="Calibri" w:cs="Calibri"/>
          <w:b/>
          <w:bCs/>
          <w:sz w:val="20"/>
          <w:lang w:val="en-AU"/>
        </w:rPr>
        <w:t>Number of figures: 0</w:t>
      </w:r>
    </w:p>
    <w:p w14:paraId="151E58D9" w14:textId="77777777" w:rsidR="0057660F" w:rsidRPr="00584E5A" w:rsidRDefault="0057660F" w:rsidP="0057660F">
      <w:pPr>
        <w:spacing w:before="100" w:beforeAutospacing="1" w:after="100" w:afterAutospacing="1" w:line="270" w:lineRule="atLeast"/>
        <w:jc w:val="both"/>
        <w:rPr>
          <w:rFonts w:ascii="Calibri" w:hAnsi="Calibri" w:cs="Calibri"/>
          <w:b/>
          <w:bCs/>
          <w:sz w:val="20"/>
          <w:lang w:val="en-AU"/>
        </w:rPr>
      </w:pPr>
    </w:p>
    <w:p w14:paraId="48433D45" w14:textId="77777777" w:rsidR="0057660F" w:rsidRPr="00584E5A" w:rsidRDefault="0057660F" w:rsidP="0057660F">
      <w:pPr>
        <w:spacing w:before="100" w:beforeAutospacing="1" w:after="100" w:afterAutospacing="1" w:line="270" w:lineRule="atLeast"/>
        <w:jc w:val="both"/>
        <w:rPr>
          <w:rFonts w:ascii="Calibri" w:hAnsi="Calibri" w:cs="Calibri"/>
          <w:b/>
          <w:bCs/>
          <w:sz w:val="20"/>
          <w:lang w:val="en-AU"/>
        </w:rPr>
      </w:pPr>
    </w:p>
    <w:p w14:paraId="569261FF" w14:textId="77777777" w:rsidR="0057660F" w:rsidRPr="00584E5A" w:rsidRDefault="0057660F" w:rsidP="0057660F">
      <w:pPr>
        <w:jc w:val="both"/>
        <w:rPr>
          <w:rFonts w:ascii="Calibri" w:hAnsi="Calibri" w:cs="Calibri"/>
          <w:b/>
          <w:bCs/>
          <w:sz w:val="20"/>
          <w:lang w:val="en-AU"/>
        </w:rPr>
      </w:pPr>
    </w:p>
    <w:p w14:paraId="48C65CFC" w14:textId="77777777" w:rsidR="0057660F" w:rsidRPr="00584E5A" w:rsidRDefault="0057660F" w:rsidP="0057660F">
      <w:pPr>
        <w:jc w:val="both"/>
        <w:rPr>
          <w:rFonts w:ascii="Calibri" w:hAnsi="Calibri" w:cs="Calibri"/>
          <w:b/>
          <w:bCs/>
          <w:sz w:val="20"/>
          <w:lang w:val="en-AU"/>
        </w:rPr>
      </w:pPr>
    </w:p>
    <w:p w14:paraId="3BB01308" w14:textId="4472B215" w:rsidR="0057660F" w:rsidRPr="00584E5A" w:rsidRDefault="0057660F" w:rsidP="0057660F">
      <w:pPr>
        <w:jc w:val="both"/>
        <w:rPr>
          <w:rFonts w:ascii="Calibri" w:hAnsi="Calibri" w:cs="Calibri"/>
          <w:b/>
          <w:bCs/>
          <w:sz w:val="20"/>
          <w:lang w:val="en-AU"/>
        </w:rPr>
      </w:pPr>
    </w:p>
    <w:p w14:paraId="6CD6E8F4" w14:textId="77777777" w:rsidR="0057660F" w:rsidRPr="00584E5A" w:rsidRDefault="0057660F" w:rsidP="0057660F">
      <w:pPr>
        <w:spacing w:line="480" w:lineRule="auto"/>
        <w:jc w:val="both"/>
        <w:rPr>
          <w:rFonts w:cs="Calibri"/>
          <w:b/>
          <w:bCs/>
          <w:lang w:val="en-AU"/>
        </w:rPr>
      </w:pPr>
      <w:r w:rsidRPr="00584E5A">
        <w:rPr>
          <w:rFonts w:cs="Calibri"/>
          <w:b/>
          <w:bCs/>
          <w:lang w:val="en-AU"/>
        </w:rPr>
        <w:lastRenderedPageBreak/>
        <w:t>ABSTRACT</w:t>
      </w:r>
    </w:p>
    <w:p w14:paraId="0BB3CAAF" w14:textId="211F45E7" w:rsidR="0057660F" w:rsidRPr="00584E5A" w:rsidRDefault="00CA236C" w:rsidP="0057660F">
      <w:pPr>
        <w:spacing w:line="480" w:lineRule="auto"/>
        <w:jc w:val="both"/>
        <w:rPr>
          <w:rFonts w:cs="Times New Roman"/>
        </w:rPr>
      </w:pPr>
      <w:r w:rsidRPr="00584E5A">
        <w:rPr>
          <w:b/>
        </w:rPr>
        <w:t xml:space="preserve">Background and </w:t>
      </w:r>
      <w:r w:rsidR="007D09D4" w:rsidRPr="00584E5A">
        <w:rPr>
          <w:b/>
        </w:rPr>
        <w:t>a</w:t>
      </w:r>
      <w:r w:rsidRPr="00584E5A">
        <w:rPr>
          <w:b/>
        </w:rPr>
        <w:t>ims</w:t>
      </w:r>
      <w:r w:rsidR="0057660F" w:rsidRPr="00584E5A">
        <w:rPr>
          <w:b/>
        </w:rPr>
        <w:t xml:space="preserve">: </w:t>
      </w:r>
      <w:r w:rsidR="0057660F" w:rsidRPr="00584E5A">
        <w:t xml:space="preserve">The </w:t>
      </w:r>
      <w:r w:rsidR="0020071D" w:rsidRPr="00584E5A">
        <w:t xml:space="preserve">between-day </w:t>
      </w:r>
      <w:r w:rsidR="0057660F" w:rsidRPr="00584E5A">
        <w:t xml:space="preserve">reliability of </w:t>
      </w:r>
      <w:proofErr w:type="spellStart"/>
      <w:r w:rsidR="0057660F" w:rsidRPr="00584E5A">
        <w:t>oscillometric</w:t>
      </w:r>
      <w:proofErr w:type="spellEnd"/>
      <w:r w:rsidR="0057660F" w:rsidRPr="00584E5A">
        <w:t xml:space="preserve"> pulse wave analysis has been demonstrated in a young, healthy population but not in an older sample. This study examined the between-day reliability of the </w:t>
      </w:r>
      <w:proofErr w:type="spellStart"/>
      <w:r w:rsidR="0057660F" w:rsidRPr="00584E5A">
        <w:t>SphygmoCor</w:t>
      </w:r>
      <w:proofErr w:type="spellEnd"/>
      <w:r w:rsidR="0057660F" w:rsidRPr="00584E5A">
        <w:t xml:space="preserve"> XCEL in individuals over 50 years. As blood pressure is measured in a range of postures and fasting states (supine/seated, fasted/non-fasted), this study also investigated the effect of these variables on central blood pressure and </w:t>
      </w:r>
      <w:r w:rsidR="00712627" w:rsidRPr="00584E5A">
        <w:t>central systolic loading</w:t>
      </w:r>
      <w:r w:rsidR="0057660F" w:rsidRPr="00584E5A">
        <w:t xml:space="preserve">. </w:t>
      </w:r>
      <w:r w:rsidR="0057660F" w:rsidRPr="00584E5A">
        <w:rPr>
          <w:b/>
        </w:rPr>
        <w:t xml:space="preserve">Methods: </w:t>
      </w:r>
      <w:r w:rsidR="0057660F" w:rsidRPr="00584E5A">
        <w:t>Fifty-one adults (m=21; age 57</w:t>
      </w:r>
      <w:r w:rsidR="0057660F" w:rsidRPr="00584E5A">
        <w:rPr>
          <w:rFonts w:cs="Times New Roman"/>
        </w:rPr>
        <w:t xml:space="preserve"> ± 6.4 y) were tested on three mornings in supine and seated conditions and in fasted and non-fasted states. </w:t>
      </w:r>
      <w:r w:rsidR="0057660F" w:rsidRPr="00584E5A">
        <w:t>Data was analysed as a whole and for normotens</w:t>
      </w:r>
      <w:r w:rsidR="00FC5657" w:rsidRPr="00584E5A">
        <w:t xml:space="preserve">ive (n=25) and </w:t>
      </w:r>
      <w:r w:rsidR="0057660F" w:rsidRPr="00584E5A">
        <w:t xml:space="preserve">hypertensive participants (n=26). </w:t>
      </w:r>
      <w:r w:rsidR="0057660F" w:rsidRPr="00584E5A">
        <w:rPr>
          <w:rFonts w:cs="Times New Roman"/>
          <w:b/>
        </w:rPr>
        <w:t>Results:</w:t>
      </w:r>
      <w:r w:rsidR="0057660F" w:rsidRPr="00584E5A">
        <w:rPr>
          <w:rFonts w:cs="Times New Roman"/>
        </w:rPr>
        <w:t xml:space="preserve"> </w:t>
      </w:r>
      <w:proofErr w:type="spellStart"/>
      <w:r w:rsidR="0057660F" w:rsidRPr="00584E5A">
        <w:rPr>
          <w:rFonts w:cs="Times New Roman"/>
        </w:rPr>
        <w:t>SphygmoCor</w:t>
      </w:r>
      <w:proofErr w:type="spellEnd"/>
      <w:r w:rsidR="0057660F" w:rsidRPr="00584E5A">
        <w:rPr>
          <w:rFonts w:cs="Times New Roman"/>
        </w:rPr>
        <w:t xml:space="preserve"> XCEL demonstrated strong reliability in the whole sample for central systolic and diastolic blood pressures, augmentation index (</w:t>
      </w:r>
      <w:proofErr w:type="spellStart"/>
      <w:r w:rsidR="0057660F" w:rsidRPr="00584E5A">
        <w:rPr>
          <w:rFonts w:cs="Times New Roman"/>
        </w:rPr>
        <w:t>A</w:t>
      </w:r>
      <w:r w:rsidR="002F702C" w:rsidRPr="00584E5A">
        <w:rPr>
          <w:rFonts w:cs="Times New Roman"/>
        </w:rPr>
        <w:t>I</w:t>
      </w:r>
      <w:r w:rsidR="0057660F" w:rsidRPr="00584E5A">
        <w:rPr>
          <w:rFonts w:cs="Times New Roman"/>
        </w:rPr>
        <w:t>x</w:t>
      </w:r>
      <w:proofErr w:type="spellEnd"/>
      <w:r w:rsidR="0057660F" w:rsidRPr="00584E5A">
        <w:rPr>
          <w:rFonts w:cs="Times New Roman"/>
        </w:rPr>
        <w:t>) and AIx75 (ICC=0.77–0.95). Significant interaction effects were observed in central diastolic blood pressure, central pulse pressure, augmentation index (</w:t>
      </w:r>
      <w:proofErr w:type="spellStart"/>
      <w:r w:rsidR="0057660F" w:rsidRPr="00584E5A">
        <w:rPr>
          <w:rFonts w:cs="Times New Roman"/>
        </w:rPr>
        <w:t>AIx</w:t>
      </w:r>
      <w:proofErr w:type="spellEnd"/>
      <w:r w:rsidR="0057660F" w:rsidRPr="00584E5A">
        <w:rPr>
          <w:rFonts w:cs="Times New Roman"/>
        </w:rPr>
        <w:t>) and AIx75 (</w:t>
      </w:r>
      <w:r w:rsidR="0057660F" w:rsidRPr="00584E5A">
        <w:rPr>
          <w:rFonts w:cs="Times New Roman"/>
          <w:i/>
        </w:rPr>
        <w:t xml:space="preserve">p </w:t>
      </w:r>
      <w:r w:rsidR="0057660F" w:rsidRPr="00584E5A">
        <w:rPr>
          <w:rFonts w:cs="Times New Roman"/>
        </w:rPr>
        <w:t xml:space="preserve">&lt; 0.05; </w:t>
      </w:r>
      <w:r w:rsidR="0057660F" w:rsidRPr="00584E5A">
        <w:rPr>
          <w:rFonts w:cs="Times New Roman"/>
          <w:position w:val="-14"/>
        </w:rPr>
        <w:object w:dxaOrig="300" w:dyaOrig="400" w14:anchorId="6A0E4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9.95pt" o:ole="">
            <v:imagedata r:id="rId5" o:title=""/>
          </v:shape>
          <o:OLEObject Type="Embed" ProgID="Equation.3" ShapeID="_x0000_i1025" DrawAspect="Content" ObjectID="_1581331399" r:id="rId6"/>
        </w:object>
      </w:r>
      <w:r w:rsidR="0057660F" w:rsidRPr="00584E5A">
        <w:rPr>
          <w:rFonts w:cs="Times New Roman"/>
        </w:rPr>
        <w:t xml:space="preserve">= 0.10-0.23). Fasting state had a greater influence on central pressures in a seated than supine posture, but a greater effect on </w:t>
      </w:r>
      <w:r w:rsidR="00712627" w:rsidRPr="00584E5A">
        <w:rPr>
          <w:rFonts w:cs="Times New Roman"/>
        </w:rPr>
        <w:t>central systolic loading</w:t>
      </w:r>
      <w:r w:rsidR="0057660F" w:rsidRPr="00584E5A">
        <w:rPr>
          <w:rFonts w:cs="Times New Roman"/>
        </w:rPr>
        <w:t xml:space="preserve"> measures in a supine posture. </w:t>
      </w:r>
      <w:r w:rsidR="0057660F" w:rsidRPr="00584E5A">
        <w:rPr>
          <w:rFonts w:cs="Times New Roman"/>
          <w:b/>
        </w:rPr>
        <w:t>Conclusion</w:t>
      </w:r>
      <w:r w:rsidR="007D09D4" w:rsidRPr="00584E5A">
        <w:rPr>
          <w:rFonts w:cs="Times New Roman"/>
          <w:b/>
        </w:rPr>
        <w:t>s</w:t>
      </w:r>
      <w:r w:rsidR="0057660F" w:rsidRPr="00584E5A">
        <w:rPr>
          <w:rFonts w:cs="Times New Roman"/>
          <w:b/>
        </w:rPr>
        <w:t>:</w:t>
      </w:r>
      <w:r w:rsidR="0057660F" w:rsidRPr="00584E5A">
        <w:rPr>
          <w:rFonts w:cs="Times New Roman"/>
        </w:rPr>
        <w:t xml:space="preserve"> The </w:t>
      </w:r>
      <w:proofErr w:type="spellStart"/>
      <w:r w:rsidR="0057660F" w:rsidRPr="00584E5A">
        <w:rPr>
          <w:rFonts w:cs="Times New Roman"/>
        </w:rPr>
        <w:t>SphygmoCor</w:t>
      </w:r>
      <w:proofErr w:type="spellEnd"/>
      <w:r w:rsidR="0057660F" w:rsidRPr="00584E5A">
        <w:rPr>
          <w:rFonts w:cs="Times New Roman"/>
        </w:rPr>
        <w:t xml:space="preserve"> XCEL is a reliable tool to assess central haemodynamic variables in an older population. It would be pertinent for clinicians and researchers to record central measures in a supine posture to minimise the effects of food consumption. Conversely, the assessment of </w:t>
      </w:r>
      <w:r w:rsidR="00712627" w:rsidRPr="00584E5A">
        <w:rPr>
          <w:rFonts w:cs="Times New Roman"/>
        </w:rPr>
        <w:t>central systolic loading</w:t>
      </w:r>
      <w:r w:rsidR="0057660F" w:rsidRPr="00584E5A">
        <w:rPr>
          <w:rFonts w:cs="Times New Roman"/>
        </w:rPr>
        <w:t xml:space="preserve"> should occur in a seated condition to minimise the influence of varying fasting states.</w:t>
      </w:r>
    </w:p>
    <w:p w14:paraId="0B7360BD" w14:textId="77777777" w:rsidR="0057660F" w:rsidRPr="00584E5A" w:rsidRDefault="0057660F" w:rsidP="0057660F">
      <w:pPr>
        <w:spacing w:line="480" w:lineRule="auto"/>
        <w:jc w:val="both"/>
        <w:rPr>
          <w:rFonts w:cs="Times New Roman"/>
        </w:rPr>
      </w:pPr>
    </w:p>
    <w:p w14:paraId="6452D8DF" w14:textId="77777777" w:rsidR="0057660F" w:rsidRPr="00584E5A" w:rsidRDefault="0057660F" w:rsidP="0057660F">
      <w:pPr>
        <w:spacing w:line="480" w:lineRule="auto"/>
        <w:jc w:val="both"/>
        <w:rPr>
          <w:rFonts w:cs="Times New Roman"/>
        </w:rPr>
      </w:pPr>
    </w:p>
    <w:p w14:paraId="5956D547" w14:textId="77777777" w:rsidR="0057660F" w:rsidRPr="00584E5A" w:rsidRDefault="0057660F" w:rsidP="0057660F">
      <w:pPr>
        <w:spacing w:line="480" w:lineRule="auto"/>
        <w:jc w:val="both"/>
        <w:rPr>
          <w:rFonts w:cs="Times New Roman"/>
        </w:rPr>
      </w:pPr>
    </w:p>
    <w:p w14:paraId="7340DEB4" w14:textId="77777777" w:rsidR="0057660F" w:rsidRPr="00584E5A" w:rsidRDefault="0057660F" w:rsidP="0057660F">
      <w:pPr>
        <w:spacing w:line="480" w:lineRule="auto"/>
        <w:jc w:val="both"/>
        <w:rPr>
          <w:rFonts w:cs="Times New Roman"/>
        </w:rPr>
      </w:pPr>
    </w:p>
    <w:p w14:paraId="6B455E08" w14:textId="06A0432C" w:rsidR="00C77E5A" w:rsidRPr="00584E5A" w:rsidRDefault="00C77E5A" w:rsidP="0057660F">
      <w:pPr>
        <w:spacing w:line="480" w:lineRule="auto"/>
        <w:jc w:val="both"/>
        <w:rPr>
          <w:rFonts w:cs="Times New Roman"/>
        </w:rPr>
      </w:pPr>
    </w:p>
    <w:p w14:paraId="73BD5BD4" w14:textId="77777777" w:rsidR="0057660F" w:rsidRPr="00584E5A" w:rsidRDefault="0057660F" w:rsidP="0057660F">
      <w:pPr>
        <w:spacing w:line="480" w:lineRule="auto"/>
        <w:jc w:val="both"/>
        <w:rPr>
          <w:rFonts w:cs="Times New Roman"/>
          <w:b/>
        </w:rPr>
      </w:pPr>
      <w:r w:rsidRPr="00584E5A">
        <w:rPr>
          <w:rFonts w:cs="Times New Roman"/>
          <w:b/>
        </w:rPr>
        <w:lastRenderedPageBreak/>
        <w:t>KEY WORDS</w:t>
      </w:r>
    </w:p>
    <w:p w14:paraId="4278D15F" w14:textId="1A551517" w:rsidR="0057660F" w:rsidRPr="00584E5A" w:rsidRDefault="007713BB" w:rsidP="0057660F">
      <w:pPr>
        <w:spacing w:line="480" w:lineRule="auto"/>
        <w:jc w:val="both"/>
        <w:rPr>
          <w:rFonts w:cs="Times New Roman"/>
        </w:rPr>
      </w:pPr>
      <w:r w:rsidRPr="00584E5A">
        <w:rPr>
          <w:rFonts w:cs="Times New Roman"/>
        </w:rPr>
        <w:t>Arterial stiffness;</w:t>
      </w:r>
      <w:r w:rsidR="0057660F" w:rsidRPr="00584E5A">
        <w:rPr>
          <w:rFonts w:cs="Times New Roman"/>
        </w:rPr>
        <w:t xml:space="preserve"> Augmentation index</w:t>
      </w:r>
      <w:r w:rsidRPr="00584E5A">
        <w:rPr>
          <w:rFonts w:cs="Times New Roman"/>
        </w:rPr>
        <w:t>; Posture; Fasting state;</w:t>
      </w:r>
      <w:r w:rsidR="0057660F" w:rsidRPr="00584E5A">
        <w:rPr>
          <w:rFonts w:cs="Times New Roman"/>
        </w:rPr>
        <w:t xml:space="preserve"> Reliability</w:t>
      </w:r>
      <w:r w:rsidRPr="00584E5A">
        <w:rPr>
          <w:rFonts w:cs="Times New Roman"/>
        </w:rPr>
        <w:t>; Pulse wave analysis;</w:t>
      </w:r>
      <w:r w:rsidR="0057660F" w:rsidRPr="00584E5A">
        <w:rPr>
          <w:rFonts w:cs="Times New Roman"/>
        </w:rPr>
        <w:t xml:space="preserve"> </w:t>
      </w:r>
      <w:proofErr w:type="spellStart"/>
      <w:r w:rsidR="0057660F" w:rsidRPr="00584E5A">
        <w:rPr>
          <w:rFonts w:cs="Times New Roman"/>
        </w:rPr>
        <w:t>SphygmoCor</w:t>
      </w:r>
      <w:proofErr w:type="spellEnd"/>
      <w:r w:rsidR="0057660F" w:rsidRPr="00584E5A">
        <w:rPr>
          <w:rFonts w:cs="Times New Roman"/>
        </w:rPr>
        <w:t xml:space="preserve"> XCEL</w:t>
      </w:r>
    </w:p>
    <w:p w14:paraId="3004FF02" w14:textId="77777777" w:rsidR="0057660F" w:rsidRPr="00584E5A" w:rsidRDefault="0057660F" w:rsidP="0057660F">
      <w:pPr>
        <w:spacing w:line="480" w:lineRule="auto"/>
        <w:jc w:val="both"/>
        <w:rPr>
          <w:b/>
        </w:rPr>
      </w:pPr>
      <w:r w:rsidRPr="00584E5A">
        <w:rPr>
          <w:b/>
        </w:rPr>
        <w:t>ABBREVIATIONS</w:t>
      </w:r>
    </w:p>
    <w:p w14:paraId="4AB7ACDE" w14:textId="77777777" w:rsidR="0057660F" w:rsidRPr="00584E5A" w:rsidRDefault="0057660F" w:rsidP="0057660F">
      <w:pPr>
        <w:spacing w:line="480" w:lineRule="auto"/>
        <w:jc w:val="both"/>
      </w:pPr>
      <w:proofErr w:type="spellStart"/>
      <w:r w:rsidRPr="00584E5A">
        <w:rPr>
          <w:b/>
        </w:rPr>
        <w:t>AIx</w:t>
      </w:r>
      <w:proofErr w:type="spellEnd"/>
      <w:r w:rsidRPr="00584E5A">
        <w:rPr>
          <w:b/>
        </w:rPr>
        <w:t xml:space="preserve"> – </w:t>
      </w:r>
      <w:r w:rsidRPr="00584E5A">
        <w:t>Augmentation Index</w:t>
      </w:r>
    </w:p>
    <w:p w14:paraId="036FA2E2" w14:textId="77777777" w:rsidR="0057660F" w:rsidRPr="00584E5A" w:rsidRDefault="0057660F" w:rsidP="0057660F">
      <w:pPr>
        <w:spacing w:line="480" w:lineRule="auto"/>
        <w:jc w:val="both"/>
      </w:pPr>
      <w:r w:rsidRPr="00584E5A">
        <w:rPr>
          <w:b/>
        </w:rPr>
        <w:t xml:space="preserve">AIx75 </w:t>
      </w:r>
      <w:r w:rsidRPr="00584E5A">
        <w:t>- Augmentation index corrected to a heart rate of 75b-min</w:t>
      </w:r>
      <w:r w:rsidRPr="00584E5A">
        <w:rPr>
          <w:vertAlign w:val="superscript"/>
        </w:rPr>
        <w:t>-1</w:t>
      </w:r>
    </w:p>
    <w:p w14:paraId="6CC87098" w14:textId="77777777" w:rsidR="0057660F" w:rsidRPr="00584E5A" w:rsidRDefault="0057660F" w:rsidP="0057660F">
      <w:pPr>
        <w:spacing w:line="480" w:lineRule="auto"/>
        <w:jc w:val="both"/>
      </w:pPr>
      <w:r w:rsidRPr="00584E5A">
        <w:rPr>
          <w:b/>
        </w:rPr>
        <w:t xml:space="preserve">AP </w:t>
      </w:r>
      <w:r w:rsidRPr="00584E5A">
        <w:t>– Augmented pressure</w:t>
      </w:r>
    </w:p>
    <w:p w14:paraId="609475C5" w14:textId="77777777" w:rsidR="0057660F" w:rsidRPr="00584E5A" w:rsidRDefault="0057660F" w:rsidP="0057660F">
      <w:pPr>
        <w:spacing w:line="480" w:lineRule="auto"/>
        <w:jc w:val="both"/>
      </w:pPr>
      <w:r w:rsidRPr="00584E5A">
        <w:rPr>
          <w:b/>
        </w:rPr>
        <w:t>BP</w:t>
      </w:r>
      <w:r w:rsidRPr="00584E5A">
        <w:t xml:space="preserve"> – Blood pressure</w:t>
      </w:r>
    </w:p>
    <w:p w14:paraId="3A76FED4" w14:textId="39D64E93" w:rsidR="0057660F" w:rsidRPr="00584E5A" w:rsidRDefault="00215078" w:rsidP="0057660F">
      <w:pPr>
        <w:spacing w:line="480" w:lineRule="auto"/>
        <w:jc w:val="both"/>
      </w:pPr>
      <w:proofErr w:type="spellStart"/>
      <w:proofErr w:type="gramStart"/>
      <w:r w:rsidRPr="00584E5A">
        <w:rPr>
          <w:b/>
        </w:rPr>
        <w:t>cB</w:t>
      </w:r>
      <w:r w:rsidR="0057660F" w:rsidRPr="00584E5A">
        <w:rPr>
          <w:b/>
        </w:rPr>
        <w:t>P</w:t>
      </w:r>
      <w:proofErr w:type="spellEnd"/>
      <w:proofErr w:type="gramEnd"/>
      <w:r w:rsidR="0057660F" w:rsidRPr="00584E5A">
        <w:t xml:space="preserve"> – Central blood pressure</w:t>
      </w:r>
    </w:p>
    <w:p w14:paraId="021AD2F3" w14:textId="77777777" w:rsidR="0057660F" w:rsidRPr="00584E5A" w:rsidRDefault="0057660F" w:rsidP="0057660F">
      <w:pPr>
        <w:spacing w:line="480" w:lineRule="auto"/>
        <w:jc w:val="both"/>
      </w:pPr>
      <w:proofErr w:type="spellStart"/>
      <w:proofErr w:type="gramStart"/>
      <w:r w:rsidRPr="00584E5A">
        <w:rPr>
          <w:b/>
        </w:rPr>
        <w:t>cDBP</w:t>
      </w:r>
      <w:proofErr w:type="spellEnd"/>
      <w:proofErr w:type="gramEnd"/>
      <w:r w:rsidRPr="00584E5A">
        <w:rPr>
          <w:b/>
        </w:rPr>
        <w:t xml:space="preserve"> </w:t>
      </w:r>
      <w:r w:rsidRPr="00584E5A">
        <w:t>– Central diastolic blood pressure</w:t>
      </w:r>
    </w:p>
    <w:p w14:paraId="5A1B7623" w14:textId="77777777" w:rsidR="0057660F" w:rsidRPr="00584E5A" w:rsidRDefault="0057660F" w:rsidP="0057660F">
      <w:pPr>
        <w:spacing w:line="480" w:lineRule="auto"/>
        <w:jc w:val="both"/>
      </w:pPr>
      <w:proofErr w:type="spellStart"/>
      <w:proofErr w:type="gramStart"/>
      <w:r w:rsidRPr="00584E5A">
        <w:rPr>
          <w:b/>
        </w:rPr>
        <w:t>cSBP</w:t>
      </w:r>
      <w:proofErr w:type="spellEnd"/>
      <w:proofErr w:type="gramEnd"/>
      <w:r w:rsidRPr="00584E5A">
        <w:t xml:space="preserve"> – Central systolic blood pressure</w:t>
      </w:r>
    </w:p>
    <w:p w14:paraId="6A900FF4" w14:textId="77777777" w:rsidR="0057660F" w:rsidRPr="00584E5A" w:rsidRDefault="0057660F" w:rsidP="0057660F">
      <w:pPr>
        <w:spacing w:line="480" w:lineRule="auto"/>
        <w:jc w:val="both"/>
      </w:pPr>
      <w:proofErr w:type="spellStart"/>
      <w:proofErr w:type="gramStart"/>
      <w:r w:rsidRPr="00584E5A">
        <w:rPr>
          <w:b/>
        </w:rPr>
        <w:t>cPP</w:t>
      </w:r>
      <w:proofErr w:type="spellEnd"/>
      <w:proofErr w:type="gramEnd"/>
      <w:r w:rsidRPr="00584E5A">
        <w:rPr>
          <w:b/>
        </w:rPr>
        <w:t xml:space="preserve"> </w:t>
      </w:r>
      <w:r w:rsidRPr="00584E5A">
        <w:t>– Central pulse pressure</w:t>
      </w:r>
    </w:p>
    <w:p w14:paraId="33C1026C" w14:textId="77777777" w:rsidR="0057660F" w:rsidRPr="00584E5A" w:rsidRDefault="0057660F" w:rsidP="0057660F">
      <w:pPr>
        <w:spacing w:line="480" w:lineRule="auto"/>
        <w:jc w:val="both"/>
      </w:pPr>
      <w:r w:rsidRPr="00584E5A">
        <w:rPr>
          <w:b/>
        </w:rPr>
        <w:t xml:space="preserve">DBP </w:t>
      </w:r>
      <w:r w:rsidRPr="00584E5A">
        <w:t>– Diastolic blood pressure</w:t>
      </w:r>
    </w:p>
    <w:p w14:paraId="0E86A99A" w14:textId="77777777" w:rsidR="0057660F" w:rsidRPr="00584E5A" w:rsidRDefault="0057660F" w:rsidP="0057660F">
      <w:pPr>
        <w:spacing w:line="480" w:lineRule="auto"/>
        <w:jc w:val="both"/>
      </w:pPr>
      <w:r w:rsidRPr="00584E5A">
        <w:rPr>
          <w:b/>
        </w:rPr>
        <w:t xml:space="preserve">ICC </w:t>
      </w:r>
      <w:r w:rsidRPr="00584E5A">
        <w:t>– Intra-class correlation coefficient</w:t>
      </w:r>
    </w:p>
    <w:p w14:paraId="5F252D8B" w14:textId="77777777" w:rsidR="0057660F" w:rsidRPr="00584E5A" w:rsidRDefault="0057660F" w:rsidP="0057660F">
      <w:pPr>
        <w:spacing w:line="480" w:lineRule="auto"/>
        <w:jc w:val="both"/>
      </w:pPr>
      <w:r w:rsidRPr="00584E5A">
        <w:rPr>
          <w:b/>
        </w:rPr>
        <w:t xml:space="preserve">SBP </w:t>
      </w:r>
      <w:r w:rsidRPr="00584E5A">
        <w:t>– Systolic blood pressure</w:t>
      </w:r>
    </w:p>
    <w:p w14:paraId="30511AF8" w14:textId="77777777" w:rsidR="0057660F" w:rsidRPr="00584E5A" w:rsidRDefault="0057660F" w:rsidP="0057660F">
      <w:pPr>
        <w:spacing w:line="480" w:lineRule="auto"/>
        <w:jc w:val="both"/>
        <w:rPr>
          <w:b/>
        </w:rPr>
      </w:pPr>
    </w:p>
    <w:p w14:paraId="32845E08" w14:textId="3F7D65B1" w:rsidR="0057660F" w:rsidRPr="00584E5A" w:rsidRDefault="0057660F" w:rsidP="0057660F">
      <w:pPr>
        <w:spacing w:line="480" w:lineRule="auto"/>
        <w:jc w:val="both"/>
        <w:rPr>
          <w:b/>
        </w:rPr>
      </w:pPr>
    </w:p>
    <w:p w14:paraId="48B30A79" w14:textId="77777777" w:rsidR="00C73F52" w:rsidRPr="00584E5A" w:rsidRDefault="00C73F52" w:rsidP="0057660F">
      <w:pPr>
        <w:spacing w:line="480" w:lineRule="auto"/>
        <w:jc w:val="both"/>
        <w:rPr>
          <w:b/>
        </w:rPr>
      </w:pPr>
    </w:p>
    <w:p w14:paraId="28582D70" w14:textId="2A1E77D6" w:rsidR="00C77E5A" w:rsidRPr="00584E5A" w:rsidRDefault="00C77E5A" w:rsidP="0057660F">
      <w:pPr>
        <w:spacing w:line="480" w:lineRule="auto"/>
        <w:jc w:val="both"/>
        <w:rPr>
          <w:b/>
        </w:rPr>
      </w:pPr>
    </w:p>
    <w:p w14:paraId="59D3E9FE" w14:textId="77777777" w:rsidR="0057660F" w:rsidRPr="00584E5A" w:rsidRDefault="0057660F" w:rsidP="0057660F">
      <w:pPr>
        <w:spacing w:line="480" w:lineRule="auto"/>
        <w:jc w:val="both"/>
        <w:rPr>
          <w:b/>
        </w:rPr>
      </w:pPr>
      <w:r w:rsidRPr="00584E5A">
        <w:rPr>
          <w:b/>
        </w:rPr>
        <w:lastRenderedPageBreak/>
        <w:t>INTRODUCTION</w:t>
      </w:r>
    </w:p>
    <w:p w14:paraId="31C499FA" w14:textId="77777777" w:rsidR="0057660F" w:rsidRPr="00584E5A" w:rsidRDefault="0057660F" w:rsidP="0057660F">
      <w:pPr>
        <w:spacing w:line="480" w:lineRule="auto"/>
        <w:jc w:val="both"/>
      </w:pPr>
      <w:r w:rsidRPr="00584E5A">
        <w:t>Globally, hypertension is the most common condition seen in primary care [1] and the major cause of death worldwide [2], with ≥ 29% of adults in the United Kingdom and United States presenting as hypertensive [3-4]. Although peripheral blood pressure (BP) measurement is traditionally used to monitor BP, central blood pressures may be more closely related to the pathophysiology of end-organ damage [5]. Systolic blood pressure (SBP) may be increased in the periphery by as much as 40 mmHg due to increased arterial stiffness away from the aorta [6]. Around 30% of peripherally normotensive males and 10% of peripherally normotensive females may share central pressures in common with those with stage I peripheral hypertension [6]. Central haemodynamic parameters may therefore be a superior measure for clinicians than traditional peripheral BP readings [7]. Before these readings are incorporated into clinical practice, the</w:t>
      </w:r>
      <w:r w:rsidR="0020071D" w:rsidRPr="00584E5A">
        <w:t xml:space="preserve"> between-day</w:t>
      </w:r>
      <w:r w:rsidRPr="00584E5A">
        <w:t xml:space="preserve"> reliability of these measures in normal operating conditions must be assessed.</w:t>
      </w:r>
    </w:p>
    <w:p w14:paraId="5E53EA74" w14:textId="0C775DA8" w:rsidR="0057660F" w:rsidRPr="00584E5A" w:rsidRDefault="0057660F" w:rsidP="0057660F">
      <w:pPr>
        <w:spacing w:line="480" w:lineRule="auto"/>
        <w:jc w:val="both"/>
      </w:pPr>
      <w:r w:rsidRPr="00584E5A">
        <w:t xml:space="preserve">Central pressures have previously been recorded invasively; a procedure usually contraindicated in healthy populations [8]. Recent technological advances mean these measures can now be estimated non-invasively using </w:t>
      </w:r>
      <w:proofErr w:type="spellStart"/>
      <w:r w:rsidRPr="00584E5A">
        <w:t>oscillometric</w:t>
      </w:r>
      <w:proofErr w:type="spellEnd"/>
      <w:r w:rsidRPr="00584E5A">
        <w:t>-based pulse wave analysis. Although these devices have been shown to be valid [9-12],</w:t>
      </w:r>
      <w:r w:rsidR="00B91392" w:rsidRPr="00584E5A">
        <w:t xml:space="preserve"> including with an older population sample [</w:t>
      </w:r>
      <w:r w:rsidR="00D13468" w:rsidRPr="00584E5A">
        <w:t>13</w:t>
      </w:r>
      <w:r w:rsidR="00B91392" w:rsidRPr="00584E5A">
        <w:t>],</w:t>
      </w:r>
      <w:r w:rsidRPr="00584E5A">
        <w:t xml:space="preserve"> further work is needed to demonstrate the reliability and optimal operating conditions for the function of these devices. Recent research by Young et al. [7] demonstrated central haemodynamic parameters and </w:t>
      </w:r>
      <w:r w:rsidR="00712627" w:rsidRPr="00584E5A">
        <w:t>systolic loading</w:t>
      </w:r>
      <w:r w:rsidRPr="00584E5A">
        <w:t xml:space="preserve"> readings to be reliable in a young, healthy population (intra-class correlation coefficients [ICCs] of 0.73–0.89), particularly in a supine and fasted state, when using the </w:t>
      </w:r>
      <w:proofErr w:type="spellStart"/>
      <w:r w:rsidRPr="00584E5A">
        <w:t>SphygmoCor</w:t>
      </w:r>
      <w:proofErr w:type="spellEnd"/>
      <w:r w:rsidRPr="00584E5A">
        <w:t xml:space="preserve"> XCEL device. However, the </w:t>
      </w:r>
      <w:r w:rsidR="0020071D" w:rsidRPr="00584E5A">
        <w:t xml:space="preserve">between-day </w:t>
      </w:r>
      <w:r w:rsidRPr="00584E5A">
        <w:t>reliability of these measures has not been demonstrated in an older demographic, where hypertension is more commonly found. As BP measures frequently inform medication prescription, devices recording</w:t>
      </w:r>
      <w:r w:rsidR="002E249B" w:rsidRPr="00584E5A">
        <w:t xml:space="preserve"> these measures must be </w:t>
      </w:r>
      <w:r w:rsidRPr="00584E5A">
        <w:t>reliable enough to make appropriate clinical decisions.</w:t>
      </w:r>
    </w:p>
    <w:p w14:paraId="54564DCA" w14:textId="21794774" w:rsidR="0057660F" w:rsidRPr="00584E5A" w:rsidRDefault="0057660F" w:rsidP="0057660F">
      <w:pPr>
        <w:spacing w:line="480" w:lineRule="auto"/>
        <w:jc w:val="both"/>
      </w:pPr>
      <w:r w:rsidRPr="00584E5A">
        <w:lastRenderedPageBreak/>
        <w:t>It is important to consider the effect of posture and fasting state in older individuals as BP is clinically measured in different postures and prandial states (i.e. within primary and secondary care), depending on individual circumstance. Both posture</w:t>
      </w:r>
      <w:r w:rsidR="00D13468" w:rsidRPr="00584E5A">
        <w:t xml:space="preserve"> [14-15</w:t>
      </w:r>
      <w:r w:rsidRPr="00584E5A">
        <w:t>] and fasting state [1</w:t>
      </w:r>
      <w:r w:rsidR="00D13468" w:rsidRPr="00584E5A">
        <w:t>6</w:t>
      </w:r>
      <w:r w:rsidRPr="00584E5A">
        <w:t>] are reported to influence brachial blood pressures but the influence these variables have on central measures is limited. Young and colleagues [7] suggested no significant difference in central pressures after food consumption but Ahuja,</w:t>
      </w:r>
      <w:r w:rsidR="00D13468" w:rsidRPr="00584E5A">
        <w:t xml:space="preserve"> Robertson &amp; Ball [17</w:t>
      </w:r>
      <w:r w:rsidRPr="00584E5A">
        <w:t>] reported a significant post-prandial drop in central pressures in a participant sample aged between 21 and 80 years.</w:t>
      </w:r>
    </w:p>
    <w:p w14:paraId="0DF31C92" w14:textId="47C968D6" w:rsidR="0057660F" w:rsidRPr="00584E5A" w:rsidRDefault="0057660F" w:rsidP="0057660F">
      <w:pPr>
        <w:spacing w:line="480" w:lineRule="auto"/>
        <w:jc w:val="both"/>
      </w:pPr>
      <w:r w:rsidRPr="00584E5A">
        <w:t xml:space="preserve">This study examined whether between-day reliability of the </w:t>
      </w:r>
      <w:proofErr w:type="spellStart"/>
      <w:r w:rsidRPr="00584E5A">
        <w:t>SphygmoCor</w:t>
      </w:r>
      <w:proofErr w:type="spellEnd"/>
      <w:r w:rsidRPr="00584E5A">
        <w:t xml:space="preserve"> XCEL is influenced by posture and fasting state in an older participant sample (&gt; 50 years), and whether the measurement precision is altered in normotensive and hypertensive individuals. These findings will be important when determining the </w:t>
      </w:r>
      <w:proofErr w:type="spellStart"/>
      <w:r w:rsidRPr="00584E5A">
        <w:t>SphygmoCor</w:t>
      </w:r>
      <w:proofErr w:type="spellEnd"/>
      <w:r w:rsidRPr="00584E5A">
        <w:t xml:space="preserve"> XCEL’s suitability for clinical use and the optimal testing conditions in an aging demographic.  </w:t>
      </w:r>
    </w:p>
    <w:p w14:paraId="429BCCE1" w14:textId="77777777" w:rsidR="0057660F" w:rsidRPr="00584E5A" w:rsidRDefault="0057660F" w:rsidP="0057660F">
      <w:pPr>
        <w:spacing w:line="480" w:lineRule="auto"/>
        <w:jc w:val="both"/>
        <w:rPr>
          <w:b/>
        </w:rPr>
      </w:pPr>
      <w:r w:rsidRPr="00584E5A">
        <w:rPr>
          <w:b/>
        </w:rPr>
        <w:t>METHODS</w:t>
      </w:r>
    </w:p>
    <w:p w14:paraId="6E0FA449" w14:textId="1276B54C" w:rsidR="0057660F" w:rsidRPr="00584E5A" w:rsidRDefault="0057660F" w:rsidP="0057660F">
      <w:pPr>
        <w:spacing w:line="480" w:lineRule="auto"/>
        <w:jc w:val="both"/>
        <w:rPr>
          <w:lang w:val="en-AU"/>
        </w:rPr>
      </w:pPr>
      <w:r w:rsidRPr="00584E5A">
        <w:rPr>
          <w:lang w:val="en-AU"/>
        </w:rPr>
        <w:t>This observation study was carried out in accordance with STROBE (Strengthening the Reporting of Observational Studies in Epidemiology) guideline</w:t>
      </w:r>
      <w:r w:rsidR="00D13468" w:rsidRPr="00584E5A">
        <w:rPr>
          <w:lang w:val="en-AU"/>
        </w:rPr>
        <w:t>s [18</w:t>
      </w:r>
      <w:r w:rsidRPr="00584E5A">
        <w:rPr>
          <w:lang w:val="en-AU"/>
        </w:rPr>
        <w:t>].</w:t>
      </w:r>
    </w:p>
    <w:p w14:paraId="691E6879" w14:textId="77777777" w:rsidR="0057660F" w:rsidRPr="00584E5A" w:rsidRDefault="0057660F" w:rsidP="0057660F">
      <w:pPr>
        <w:spacing w:line="480" w:lineRule="auto"/>
        <w:jc w:val="both"/>
        <w:rPr>
          <w:lang w:val="en-AU"/>
        </w:rPr>
      </w:pPr>
      <w:r w:rsidRPr="00584E5A">
        <w:rPr>
          <w:i/>
        </w:rPr>
        <w:t>Participants</w:t>
      </w:r>
    </w:p>
    <w:p w14:paraId="4E9ACFC9" w14:textId="08663301" w:rsidR="0057660F" w:rsidRPr="00584E5A" w:rsidRDefault="0057660F" w:rsidP="0057660F">
      <w:pPr>
        <w:spacing w:line="480" w:lineRule="auto"/>
        <w:jc w:val="both"/>
        <w:rPr>
          <w:rFonts w:cs="Times New Roman"/>
        </w:rPr>
      </w:pPr>
      <w:r w:rsidRPr="00584E5A">
        <w:t>Fifty-one participants (m=21; f=30; age 57</w:t>
      </w:r>
      <w:r w:rsidRPr="00584E5A">
        <w:rPr>
          <w:rFonts w:cs="Times New Roman"/>
        </w:rPr>
        <w:t xml:space="preserve"> ± 6.4 y</w:t>
      </w:r>
      <w:r w:rsidR="005E500D" w:rsidRPr="00584E5A">
        <w:rPr>
          <w:rFonts w:cs="Times New Roman"/>
        </w:rPr>
        <w:t>; age range = 32 [50-82]</w:t>
      </w:r>
      <w:r w:rsidRPr="00584E5A">
        <w:rPr>
          <w:rFonts w:cs="Times New Roman"/>
        </w:rPr>
        <w:t xml:space="preserve">) were recruited to the study. </w:t>
      </w:r>
      <w:r w:rsidR="005E500D" w:rsidRPr="00584E5A">
        <w:rPr>
          <w:rFonts w:cs="Times New Roman"/>
        </w:rPr>
        <w:t>Participant d</w:t>
      </w:r>
      <w:r w:rsidR="00326124" w:rsidRPr="00584E5A">
        <w:rPr>
          <w:rFonts w:cs="Times New Roman"/>
        </w:rPr>
        <w:t>emographics can be observed in T</w:t>
      </w:r>
      <w:r w:rsidR="008B0B5A" w:rsidRPr="00584E5A">
        <w:rPr>
          <w:rFonts w:cs="Times New Roman"/>
        </w:rPr>
        <w:t xml:space="preserve">able 1. </w:t>
      </w:r>
      <w:r w:rsidRPr="00584E5A">
        <w:rPr>
          <w:rFonts w:cs="Times New Roman"/>
        </w:rPr>
        <w:t xml:space="preserve">Ethical approval was received from the University of Winchester Ethics Committee. </w:t>
      </w:r>
      <w:r w:rsidR="00CA236C" w:rsidRPr="00584E5A">
        <w:rPr>
          <w:rFonts w:cs="Times New Roman"/>
        </w:rPr>
        <w:t xml:space="preserve">The study conformed to the ethical guidelines of the 1975 Declaration of Helsinki. </w:t>
      </w:r>
      <w:r w:rsidRPr="00584E5A">
        <w:rPr>
          <w:rFonts w:cs="Times New Roman"/>
        </w:rPr>
        <w:t>Participants provided written informed consent and maintained the right to withdraw at any time. Participants were recruited if they were over the age of 50 and excluded or were unable to give consent.</w:t>
      </w:r>
    </w:p>
    <w:p w14:paraId="24222617" w14:textId="77777777" w:rsidR="0057660F" w:rsidRPr="00584E5A" w:rsidRDefault="0057660F" w:rsidP="0057660F">
      <w:pPr>
        <w:spacing w:line="480" w:lineRule="auto"/>
        <w:jc w:val="both"/>
        <w:rPr>
          <w:rFonts w:cs="Times New Roman"/>
          <w:i/>
        </w:rPr>
      </w:pPr>
      <w:r w:rsidRPr="00584E5A">
        <w:rPr>
          <w:rFonts w:cs="Times New Roman"/>
          <w:i/>
        </w:rPr>
        <w:t>Experimental Design</w:t>
      </w:r>
    </w:p>
    <w:p w14:paraId="4D1C128D" w14:textId="57D99BE1" w:rsidR="0057660F" w:rsidRPr="00584E5A" w:rsidRDefault="0057660F" w:rsidP="0057660F">
      <w:pPr>
        <w:spacing w:line="480" w:lineRule="auto"/>
        <w:jc w:val="both"/>
        <w:rPr>
          <w:rFonts w:cs="Times New Roman"/>
        </w:rPr>
      </w:pPr>
      <w:r w:rsidRPr="00584E5A">
        <w:rPr>
          <w:rFonts w:cs="Times New Roman"/>
        </w:rPr>
        <w:lastRenderedPageBreak/>
        <w:t>Pa</w:t>
      </w:r>
      <w:r w:rsidR="00C77E5A" w:rsidRPr="00584E5A">
        <w:rPr>
          <w:rFonts w:cs="Times New Roman"/>
        </w:rPr>
        <w:t xml:space="preserve">rticipants were tested on three </w:t>
      </w:r>
      <w:r w:rsidRPr="00584E5A">
        <w:rPr>
          <w:rFonts w:cs="Times New Roman"/>
        </w:rPr>
        <w:t>mornings (</w:t>
      </w:r>
      <w:r w:rsidR="00C77E5A" w:rsidRPr="00584E5A">
        <w:rPr>
          <w:rFonts w:cs="Times New Roman"/>
        </w:rPr>
        <w:t xml:space="preserve">all three visits within three weeks; </w:t>
      </w:r>
      <w:r w:rsidRPr="00584E5A">
        <w:rPr>
          <w:rFonts w:cs="Times New Roman"/>
        </w:rPr>
        <w:t xml:space="preserve">between the hours of 07:00 and 10:00) and had consumed only water for the 12 hours before and refrained from intense physical activity for 24 hours preceding testing. Participants were firstly allocated to either the supine or seated condition using a computerized random number generator. They then adopted the allocated posture for twenty minutes before a minimum of two pulse wave analysis measurements were taken using the </w:t>
      </w:r>
      <w:proofErr w:type="spellStart"/>
      <w:r w:rsidRPr="00584E5A">
        <w:rPr>
          <w:rFonts w:cs="Times New Roman"/>
        </w:rPr>
        <w:t>SphygmoCor</w:t>
      </w:r>
      <w:proofErr w:type="spellEnd"/>
      <w:r w:rsidRPr="00584E5A">
        <w:rPr>
          <w:rFonts w:cs="Times New Roman"/>
        </w:rPr>
        <w:t xml:space="preserve"> XCEL (</w:t>
      </w:r>
      <w:proofErr w:type="spellStart"/>
      <w:r w:rsidRPr="00584E5A">
        <w:rPr>
          <w:rFonts w:cs="Times New Roman"/>
        </w:rPr>
        <w:t>AtCor</w:t>
      </w:r>
      <w:proofErr w:type="spellEnd"/>
      <w:r w:rsidRPr="00584E5A">
        <w:rPr>
          <w:rFonts w:cs="Times New Roman"/>
        </w:rPr>
        <w:t xml:space="preserve"> Medical, Sydney, Australia) with a three-minute interval. If a difference of &gt; 5 mmHg and a difference of &gt; 4% </w:t>
      </w:r>
      <w:proofErr w:type="spellStart"/>
      <w:r w:rsidRPr="00584E5A">
        <w:rPr>
          <w:rFonts w:cs="Times New Roman"/>
        </w:rPr>
        <w:t>AIx</w:t>
      </w:r>
      <w:proofErr w:type="spellEnd"/>
      <w:r w:rsidRPr="00584E5A">
        <w:rPr>
          <w:rFonts w:cs="Times New Roman"/>
        </w:rPr>
        <w:t xml:space="preserve"> was noted</w:t>
      </w:r>
      <w:r w:rsidR="0020071D" w:rsidRPr="00584E5A">
        <w:rPr>
          <w:rFonts w:cs="Times New Roman"/>
        </w:rPr>
        <w:t xml:space="preserve"> under manufacturer guidelines</w:t>
      </w:r>
      <w:r w:rsidRPr="00584E5A">
        <w:rPr>
          <w:rFonts w:cs="Times New Roman"/>
        </w:rPr>
        <w:t xml:space="preserve">, a third measure was taken and </w:t>
      </w:r>
      <w:r w:rsidR="006D7393" w:rsidRPr="00584E5A">
        <w:rPr>
          <w:rFonts w:cs="Times New Roman"/>
        </w:rPr>
        <w:t>data</w:t>
      </w:r>
      <w:r w:rsidRPr="00584E5A">
        <w:rPr>
          <w:rFonts w:cs="Times New Roman"/>
        </w:rPr>
        <w:t xml:space="preserve"> were averaged. After twenty minutes in the other posture, these measures were repeated. A matched breakfast of either cereal (Weetabix), banana, milk, orange juice or two slices of toast with butter, marmalade and orange juice was then provided. The protocol was then repeated in both supine and seated non-fasted conditions in the same order as the fasted state, leading to final measures being approximately 45 minutes post-food consumption. This resulted in approximately 8 data points per session and a total of 1370 data points.</w:t>
      </w:r>
    </w:p>
    <w:p w14:paraId="49008F07" w14:textId="77777777" w:rsidR="0057660F" w:rsidRPr="00584E5A" w:rsidRDefault="0057660F" w:rsidP="0057660F">
      <w:pPr>
        <w:tabs>
          <w:tab w:val="left" w:pos="3767"/>
        </w:tabs>
        <w:spacing w:line="480" w:lineRule="auto"/>
        <w:jc w:val="both"/>
        <w:rPr>
          <w:rFonts w:cs="Times New Roman"/>
          <w:i/>
        </w:rPr>
      </w:pPr>
      <w:r w:rsidRPr="00584E5A">
        <w:rPr>
          <w:rFonts w:cs="Times New Roman"/>
          <w:i/>
        </w:rPr>
        <w:t>Sample Size</w:t>
      </w:r>
      <w:r w:rsidRPr="00584E5A">
        <w:rPr>
          <w:rFonts w:cs="Times New Roman"/>
          <w:i/>
        </w:rPr>
        <w:tab/>
      </w:r>
    </w:p>
    <w:p w14:paraId="357BD749" w14:textId="02214F0E" w:rsidR="0057660F" w:rsidRPr="00584E5A" w:rsidRDefault="0057660F" w:rsidP="0057660F">
      <w:pPr>
        <w:spacing w:line="480" w:lineRule="auto"/>
        <w:jc w:val="both"/>
      </w:pPr>
      <w:r w:rsidRPr="00584E5A">
        <w:t xml:space="preserve">A minimum sample of 25 participants per group was identified using </w:t>
      </w:r>
      <w:r w:rsidR="00D13468" w:rsidRPr="00584E5A">
        <w:t>G*Power [19</w:t>
      </w:r>
      <w:r w:rsidRPr="00584E5A">
        <w:t xml:space="preserve">] with </w:t>
      </w:r>
      <w:r w:rsidRPr="00584E5A">
        <w:rPr>
          <w:i/>
        </w:rPr>
        <w:t xml:space="preserve">p </w:t>
      </w:r>
      <w:r w:rsidRPr="00584E5A">
        <w:t xml:space="preserve">set at 0.05, a power of 0.80 and a moderate effect size (0.50) whilst accounting for a 10% drop-out. </w:t>
      </w:r>
    </w:p>
    <w:p w14:paraId="6AFED9E4" w14:textId="77777777" w:rsidR="0057660F" w:rsidRPr="00584E5A" w:rsidRDefault="0057660F" w:rsidP="0057660F">
      <w:pPr>
        <w:spacing w:line="480" w:lineRule="auto"/>
        <w:jc w:val="both"/>
        <w:rPr>
          <w:i/>
        </w:rPr>
      </w:pPr>
      <w:r w:rsidRPr="00584E5A">
        <w:rPr>
          <w:i/>
        </w:rPr>
        <w:t>Statistics</w:t>
      </w:r>
    </w:p>
    <w:p w14:paraId="4DF9FFE1" w14:textId="599D4418" w:rsidR="0057660F" w:rsidRPr="00584E5A" w:rsidRDefault="0057660F" w:rsidP="0057660F">
      <w:pPr>
        <w:spacing w:line="480" w:lineRule="auto"/>
        <w:jc w:val="both"/>
        <w:rPr>
          <w:rFonts w:cs="Times New Roman"/>
        </w:rPr>
      </w:pPr>
      <w:r w:rsidRPr="00584E5A">
        <w:t xml:space="preserve">Statistical Package for Social Sciences v.22 (SPSS, Inc., Chicago, Illinois, USA) was used to analyse data. Statistical significance was set at </w:t>
      </w:r>
      <w:r w:rsidRPr="00584E5A">
        <w:rPr>
          <w:i/>
        </w:rPr>
        <w:t xml:space="preserve">p </w:t>
      </w:r>
      <w:r w:rsidRPr="00584E5A">
        <w:t>&lt;</w:t>
      </w:r>
      <w:r w:rsidRPr="00584E5A">
        <w:rPr>
          <w:rFonts w:cs="Times New Roman"/>
        </w:rPr>
        <w:t xml:space="preserve"> 0.05. Analysis of variance for repeated measures with two within-participant factors (posture and fasting state) was used to assess differences in</w:t>
      </w:r>
      <w:r w:rsidR="0034424C" w:rsidRPr="00584E5A">
        <w:rPr>
          <w:rFonts w:cs="Times New Roman"/>
        </w:rPr>
        <w:t xml:space="preserve"> peripheral and</w:t>
      </w:r>
      <w:r w:rsidRPr="00584E5A">
        <w:rPr>
          <w:rFonts w:cs="Times New Roman"/>
        </w:rPr>
        <w:t xml:space="preserve"> central haemodynamic parameters (</w:t>
      </w:r>
      <w:r w:rsidR="0034424C" w:rsidRPr="00584E5A">
        <w:rPr>
          <w:rFonts w:cs="Times New Roman"/>
        </w:rPr>
        <w:t xml:space="preserve">systolic blood pressure [SBP]; diastolic blood pressure [DBP]; pulse pressure [PP]; </w:t>
      </w:r>
      <w:r w:rsidRPr="00584E5A">
        <w:rPr>
          <w:rFonts w:cs="Times New Roman"/>
        </w:rPr>
        <w:t>central systolic blood pressure [</w:t>
      </w:r>
      <w:proofErr w:type="spellStart"/>
      <w:r w:rsidRPr="00584E5A">
        <w:rPr>
          <w:rFonts w:cs="Times New Roman"/>
        </w:rPr>
        <w:t>cSBP</w:t>
      </w:r>
      <w:proofErr w:type="spellEnd"/>
      <w:r w:rsidRPr="00584E5A">
        <w:rPr>
          <w:rFonts w:cs="Times New Roman"/>
        </w:rPr>
        <w:t>]; central diastolic blood pressure [</w:t>
      </w:r>
      <w:proofErr w:type="spellStart"/>
      <w:r w:rsidRPr="00584E5A">
        <w:rPr>
          <w:rFonts w:cs="Times New Roman"/>
        </w:rPr>
        <w:t>cDBP</w:t>
      </w:r>
      <w:proofErr w:type="spellEnd"/>
      <w:r w:rsidRPr="00584E5A">
        <w:rPr>
          <w:rFonts w:cs="Times New Roman"/>
        </w:rPr>
        <w:t>] and central pulse pressure [</w:t>
      </w:r>
      <w:proofErr w:type="spellStart"/>
      <w:r w:rsidRPr="00584E5A">
        <w:rPr>
          <w:rFonts w:cs="Times New Roman"/>
        </w:rPr>
        <w:t>cPP</w:t>
      </w:r>
      <w:proofErr w:type="spellEnd"/>
      <w:r w:rsidRPr="00584E5A">
        <w:rPr>
          <w:rFonts w:cs="Times New Roman"/>
        </w:rPr>
        <w:t>]</w:t>
      </w:r>
      <w:r w:rsidR="0034424C" w:rsidRPr="00584E5A">
        <w:rPr>
          <w:rFonts w:cs="Times New Roman"/>
        </w:rPr>
        <w:t>; heart rate [HR]</w:t>
      </w:r>
      <w:r w:rsidRPr="00584E5A">
        <w:rPr>
          <w:rFonts w:cs="Times New Roman"/>
        </w:rPr>
        <w:t xml:space="preserve">) and </w:t>
      </w:r>
      <w:r w:rsidR="00712627" w:rsidRPr="00584E5A">
        <w:rPr>
          <w:rFonts w:cs="Times New Roman"/>
        </w:rPr>
        <w:t>central systolic loading</w:t>
      </w:r>
      <w:r w:rsidRPr="00584E5A">
        <w:rPr>
          <w:rFonts w:cs="Times New Roman"/>
        </w:rPr>
        <w:t xml:space="preserve"> (augmentation index [</w:t>
      </w:r>
      <w:proofErr w:type="spellStart"/>
      <w:r w:rsidRPr="00584E5A">
        <w:rPr>
          <w:rFonts w:cs="Times New Roman"/>
        </w:rPr>
        <w:t>AIx</w:t>
      </w:r>
      <w:proofErr w:type="spellEnd"/>
      <w:r w:rsidRPr="00584E5A">
        <w:rPr>
          <w:rFonts w:cs="Times New Roman"/>
        </w:rPr>
        <w:t>]; augmentation index @ 75 bpm [AIx75]). Effect sizes were reported using partial eta squared (</w:t>
      </w:r>
      <w:r w:rsidRPr="00584E5A">
        <w:rPr>
          <w:rFonts w:cs="Times New Roman"/>
          <w:position w:val="-14"/>
        </w:rPr>
        <w:object w:dxaOrig="300" w:dyaOrig="400" w14:anchorId="3FDF3F70">
          <v:shape id="_x0000_i1026" type="#_x0000_t75" style="width:14.95pt;height:19.95pt" o:ole="">
            <v:imagedata r:id="rId5" o:title=""/>
          </v:shape>
          <o:OLEObject Type="Embed" ProgID="Equation.3" ShapeID="_x0000_i1026" DrawAspect="Content" ObjectID="_1581331400" r:id="rId7"/>
        </w:object>
      </w:r>
      <w:r w:rsidRPr="00584E5A">
        <w:rPr>
          <w:rFonts w:cs="Times New Roman"/>
        </w:rPr>
        <w:t xml:space="preserve">) with </w:t>
      </w:r>
      <w:r w:rsidRPr="00584E5A">
        <w:rPr>
          <w:rFonts w:cs="Times New Roman"/>
        </w:rPr>
        <w:lastRenderedPageBreak/>
        <w:t>0.01, 0.06 and 0.14 representing sma</w:t>
      </w:r>
      <w:r w:rsidR="00C21D9F" w:rsidRPr="00584E5A">
        <w:rPr>
          <w:rFonts w:cs="Times New Roman"/>
        </w:rPr>
        <w:t>ll, medium and large effects [20</w:t>
      </w:r>
      <w:r w:rsidRPr="00584E5A">
        <w:rPr>
          <w:rFonts w:cs="Times New Roman"/>
        </w:rPr>
        <w:t>]. Intra-class correlation coefficient (ICC), standard error of measurement (SEM) and the Smallest Detectable Change (SDC) were used to assess the between-day reliability of the XCEL (see [7]). Identical analysis was performed with the sample split into two groups: normotensive (peripheral b</w:t>
      </w:r>
      <w:r w:rsidR="005270AE" w:rsidRPr="00584E5A">
        <w:rPr>
          <w:rFonts w:cs="Times New Roman"/>
        </w:rPr>
        <w:t>lood pressure &lt;130/8</w:t>
      </w:r>
      <w:r w:rsidR="00FC5657" w:rsidRPr="00584E5A">
        <w:rPr>
          <w:rFonts w:cs="Times New Roman"/>
        </w:rPr>
        <w:t>0 mmHg) and</w:t>
      </w:r>
      <w:r w:rsidRPr="00584E5A">
        <w:rPr>
          <w:rFonts w:cs="Times New Roman"/>
        </w:rPr>
        <w:t xml:space="preserve"> hypertensive (peripheral </w:t>
      </w:r>
      <w:r w:rsidR="005270AE" w:rsidRPr="00584E5A">
        <w:rPr>
          <w:rFonts w:cs="Times New Roman"/>
        </w:rPr>
        <w:t>blood pressure ≥ 130/8</w:t>
      </w:r>
      <w:r w:rsidR="00C21D9F" w:rsidRPr="00584E5A">
        <w:rPr>
          <w:rFonts w:cs="Times New Roman"/>
        </w:rPr>
        <w:t>0 mmHg [21</w:t>
      </w:r>
      <w:r w:rsidRPr="00584E5A">
        <w:rPr>
          <w:rFonts w:cs="Times New Roman"/>
        </w:rPr>
        <w:t xml:space="preserve">]). </w:t>
      </w:r>
    </w:p>
    <w:p w14:paraId="0ADA44EA" w14:textId="77777777" w:rsidR="0057660F" w:rsidRPr="00584E5A" w:rsidRDefault="0057660F" w:rsidP="0057660F">
      <w:pPr>
        <w:spacing w:line="480" w:lineRule="auto"/>
        <w:jc w:val="both"/>
        <w:rPr>
          <w:b/>
        </w:rPr>
      </w:pPr>
      <w:r w:rsidRPr="00584E5A">
        <w:rPr>
          <w:b/>
        </w:rPr>
        <w:t>RESULTS</w:t>
      </w:r>
    </w:p>
    <w:p w14:paraId="7292873E" w14:textId="77777777" w:rsidR="0057660F" w:rsidRPr="00584E5A" w:rsidRDefault="0057660F" w:rsidP="0057660F">
      <w:pPr>
        <w:spacing w:line="480" w:lineRule="auto"/>
        <w:jc w:val="both"/>
      </w:pPr>
      <w:r w:rsidRPr="00584E5A">
        <w:t>Data was successfully collected from all participants in each condition.</w:t>
      </w:r>
    </w:p>
    <w:p w14:paraId="7A5B453D" w14:textId="77777777" w:rsidR="0057660F" w:rsidRPr="00584E5A" w:rsidRDefault="0057660F" w:rsidP="0057660F">
      <w:pPr>
        <w:spacing w:line="480" w:lineRule="auto"/>
        <w:jc w:val="both"/>
        <w:rPr>
          <w:b/>
          <w:i/>
        </w:rPr>
      </w:pPr>
      <w:r w:rsidRPr="00584E5A">
        <w:rPr>
          <w:b/>
          <w:i/>
        </w:rPr>
        <w:t>Central and peripheral blood pressures</w:t>
      </w:r>
    </w:p>
    <w:p w14:paraId="1A7C2EC5" w14:textId="77777777" w:rsidR="0057660F" w:rsidRPr="00584E5A" w:rsidRDefault="0057660F" w:rsidP="0057660F">
      <w:pPr>
        <w:spacing w:line="480" w:lineRule="auto"/>
        <w:jc w:val="both"/>
        <w:rPr>
          <w:i/>
        </w:rPr>
      </w:pPr>
      <w:r w:rsidRPr="00584E5A">
        <w:rPr>
          <w:i/>
        </w:rPr>
        <w:t>Whole Sample</w:t>
      </w:r>
    </w:p>
    <w:p w14:paraId="291B0DEA" w14:textId="57D3F21B" w:rsidR="0057660F" w:rsidRPr="00584E5A" w:rsidRDefault="005E500D" w:rsidP="0057660F">
      <w:pPr>
        <w:spacing w:line="480" w:lineRule="auto"/>
        <w:jc w:val="both"/>
      </w:pPr>
      <w:r w:rsidRPr="00584E5A">
        <w:t>Table 2</w:t>
      </w:r>
      <w:r w:rsidR="0057660F" w:rsidRPr="00584E5A">
        <w:t xml:space="preserve"> summarises the mean values for central and peripheral haemodynamic measures for the whole sample. Significant interaction effects were reported for </w:t>
      </w:r>
      <w:proofErr w:type="spellStart"/>
      <w:r w:rsidR="0057660F" w:rsidRPr="00584E5A">
        <w:t>cDBP</w:t>
      </w:r>
      <w:proofErr w:type="spellEnd"/>
      <w:r w:rsidR="0057660F" w:rsidRPr="00584E5A">
        <w:t xml:space="preserve"> and </w:t>
      </w:r>
      <w:proofErr w:type="spellStart"/>
      <w:r w:rsidR="0057660F" w:rsidRPr="00584E5A">
        <w:t>cPP</w:t>
      </w:r>
      <w:proofErr w:type="spellEnd"/>
      <w:r w:rsidR="0057660F" w:rsidRPr="00584E5A">
        <w:t xml:space="preserve"> (</w:t>
      </w:r>
      <w:r w:rsidR="0057660F" w:rsidRPr="00584E5A">
        <w:rPr>
          <w:i/>
        </w:rPr>
        <w:t>p &lt;</w:t>
      </w:r>
      <w:r w:rsidR="0057660F" w:rsidRPr="00584E5A">
        <w:t xml:space="preserve">0.05; </w:t>
      </w:r>
      <w:r w:rsidR="0057660F" w:rsidRPr="00584E5A">
        <w:rPr>
          <w:rFonts w:cs="Times New Roman"/>
          <w:position w:val="-14"/>
        </w:rPr>
        <w:object w:dxaOrig="300" w:dyaOrig="400" w14:anchorId="72918141">
          <v:shape id="_x0000_i1027" type="#_x0000_t75" style="width:14.95pt;height:19.95pt" o:ole="">
            <v:imagedata r:id="rId5" o:title=""/>
          </v:shape>
          <o:OLEObject Type="Embed" ProgID="Equation.3" ShapeID="_x0000_i1027" DrawAspect="Content" ObjectID="_1581331401" r:id="rId8"/>
        </w:object>
      </w:r>
      <w:r w:rsidR="0057660F" w:rsidRPr="00584E5A">
        <w:t xml:space="preserve">= 0.10-0.23), with greater differences observed between fasted and non-fasted whilst seated than when supine. Fasting state was found to have a significant main effect on </w:t>
      </w:r>
      <w:proofErr w:type="spellStart"/>
      <w:r w:rsidR="0057660F" w:rsidRPr="00584E5A">
        <w:t>cSBP</w:t>
      </w:r>
      <w:proofErr w:type="spellEnd"/>
      <w:r w:rsidR="0006320D" w:rsidRPr="00584E5A">
        <w:t xml:space="preserve"> and HR.</w:t>
      </w:r>
      <w:r w:rsidR="0057660F" w:rsidRPr="00584E5A">
        <w:t xml:space="preserve"> For all central blood pressure variables, ICC values were above the 0.75 criterion in each condition, demonstrating excellent </w:t>
      </w:r>
      <w:r w:rsidRPr="00584E5A">
        <w:t>between-day reliability (Table 3</w:t>
      </w:r>
      <w:r w:rsidR="0057660F" w:rsidRPr="00584E5A">
        <w:t xml:space="preserve">). </w:t>
      </w:r>
    </w:p>
    <w:p w14:paraId="0DF19564" w14:textId="77777777" w:rsidR="0057660F" w:rsidRPr="00584E5A" w:rsidRDefault="0057660F" w:rsidP="0057660F">
      <w:pPr>
        <w:spacing w:line="480" w:lineRule="auto"/>
        <w:jc w:val="both"/>
        <w:rPr>
          <w:i/>
        </w:rPr>
      </w:pPr>
      <w:r w:rsidRPr="00584E5A">
        <w:rPr>
          <w:i/>
        </w:rPr>
        <w:t>Normotensive group</w:t>
      </w:r>
    </w:p>
    <w:p w14:paraId="07FCC678" w14:textId="4C87D8A0" w:rsidR="0057660F" w:rsidRPr="00584E5A" w:rsidRDefault="0057660F" w:rsidP="0057660F">
      <w:pPr>
        <w:spacing w:line="480" w:lineRule="auto"/>
        <w:jc w:val="both"/>
      </w:pPr>
      <w:r w:rsidRPr="00584E5A">
        <w:t xml:space="preserve">Significant interaction effects were observed for </w:t>
      </w:r>
      <w:proofErr w:type="spellStart"/>
      <w:r w:rsidRPr="00584E5A">
        <w:t>cDBP</w:t>
      </w:r>
      <w:proofErr w:type="spellEnd"/>
      <w:r w:rsidRPr="00584E5A">
        <w:t xml:space="preserve"> (</w:t>
      </w:r>
      <w:r w:rsidRPr="00584E5A">
        <w:rPr>
          <w:i/>
        </w:rPr>
        <w:t xml:space="preserve">p </w:t>
      </w:r>
      <w:r w:rsidRPr="00584E5A">
        <w:t xml:space="preserve">&lt;0.05, </w:t>
      </w:r>
      <w:r w:rsidRPr="00584E5A">
        <w:rPr>
          <w:rFonts w:cs="Times New Roman"/>
          <w:position w:val="-14"/>
        </w:rPr>
        <w:object w:dxaOrig="300" w:dyaOrig="400" w14:anchorId="53188516">
          <v:shape id="_x0000_i1028" type="#_x0000_t75" style="width:14.95pt;height:19.95pt" o:ole="">
            <v:imagedata r:id="rId5" o:title=""/>
          </v:shape>
          <o:OLEObject Type="Embed" ProgID="Equation.3" ShapeID="_x0000_i1028" DrawAspect="Content" ObjectID="_1581331402" r:id="rId9"/>
        </w:object>
      </w:r>
      <w:r w:rsidRPr="00584E5A">
        <w:t xml:space="preserve">= 0.18) and </w:t>
      </w:r>
      <w:proofErr w:type="spellStart"/>
      <w:r w:rsidRPr="00584E5A">
        <w:t>cPP</w:t>
      </w:r>
      <w:proofErr w:type="spellEnd"/>
      <w:r w:rsidRPr="00584E5A">
        <w:t xml:space="preserve"> (</w:t>
      </w:r>
      <w:r w:rsidRPr="00584E5A">
        <w:rPr>
          <w:i/>
        </w:rPr>
        <w:t xml:space="preserve">p </w:t>
      </w:r>
      <w:r w:rsidRPr="00584E5A">
        <w:t xml:space="preserve">&lt;0.05; </w:t>
      </w:r>
      <w:r w:rsidRPr="00584E5A">
        <w:rPr>
          <w:rFonts w:cs="Times New Roman"/>
          <w:position w:val="-14"/>
        </w:rPr>
        <w:object w:dxaOrig="300" w:dyaOrig="400" w14:anchorId="6EB67B2D">
          <v:shape id="_x0000_i1029" type="#_x0000_t75" style="width:14.95pt;height:19.95pt" o:ole="">
            <v:imagedata r:id="rId5" o:title=""/>
          </v:shape>
          <o:OLEObject Type="Embed" ProgID="Equation.3" ShapeID="_x0000_i1029" DrawAspect="Content" ObjectID="_1581331403" r:id="rId10"/>
        </w:object>
      </w:r>
      <w:r w:rsidRPr="00584E5A">
        <w:t xml:space="preserve"> = 0.22). For </w:t>
      </w:r>
      <w:proofErr w:type="spellStart"/>
      <w:r w:rsidRPr="00584E5A">
        <w:t>cDBP</w:t>
      </w:r>
      <w:proofErr w:type="spellEnd"/>
      <w:r w:rsidRPr="00584E5A">
        <w:t xml:space="preserve">, greater differences were seen between prandial states (fasted vs. non-fasted) whilst seated than supine. For </w:t>
      </w:r>
      <w:proofErr w:type="spellStart"/>
      <w:r w:rsidRPr="00584E5A">
        <w:t>cPP</w:t>
      </w:r>
      <w:proofErr w:type="spellEnd"/>
      <w:r w:rsidRPr="00584E5A">
        <w:t>, a post-prandial increase was observed when supine but a decrease was shown in the seated condition. Fasted state, but not posture, had a sign</w:t>
      </w:r>
      <w:r w:rsidR="006435BA" w:rsidRPr="00584E5A">
        <w:t xml:space="preserve">ificantly large effect on </w:t>
      </w:r>
      <w:proofErr w:type="spellStart"/>
      <w:r w:rsidR="006435BA" w:rsidRPr="00584E5A">
        <w:t>cSBP</w:t>
      </w:r>
      <w:proofErr w:type="spellEnd"/>
      <w:r w:rsidR="006435BA" w:rsidRPr="00584E5A">
        <w:t xml:space="preserve"> whereas both fasting state and posture had a significant main effect on HR. </w:t>
      </w:r>
      <w:r w:rsidRPr="00584E5A">
        <w:t xml:space="preserve">For central blood pressure variables, ICC values generally exceeded the criterion value of 0.75 </w:t>
      </w:r>
      <w:r w:rsidR="005E500D" w:rsidRPr="00584E5A">
        <w:t>for the four conditions (Table 3</w:t>
      </w:r>
      <w:r w:rsidRPr="00584E5A">
        <w:t xml:space="preserve">), </w:t>
      </w:r>
      <w:r w:rsidRPr="00584E5A">
        <w:lastRenderedPageBreak/>
        <w:t>except for SBP in the supine-fasted condition between visits 1-2, SBP in the seated-fasted condition in visits 1-2 and 2-3 and PP in seated-fasted condition in visits 1-2 and 2-3 (Supp. Table).</w:t>
      </w:r>
    </w:p>
    <w:p w14:paraId="0756925C" w14:textId="02DD0104" w:rsidR="0057660F" w:rsidRPr="00584E5A" w:rsidRDefault="00FC5657" w:rsidP="0057660F">
      <w:pPr>
        <w:spacing w:line="480" w:lineRule="auto"/>
        <w:jc w:val="both"/>
        <w:rPr>
          <w:i/>
        </w:rPr>
      </w:pPr>
      <w:r w:rsidRPr="00584E5A">
        <w:rPr>
          <w:i/>
        </w:rPr>
        <w:t>H</w:t>
      </w:r>
      <w:r w:rsidR="0057660F" w:rsidRPr="00584E5A">
        <w:rPr>
          <w:i/>
        </w:rPr>
        <w:t>ypertensive group</w:t>
      </w:r>
    </w:p>
    <w:p w14:paraId="1F397FB5" w14:textId="3B844AB4" w:rsidR="0057660F" w:rsidRPr="00584E5A" w:rsidRDefault="0057660F" w:rsidP="0057660F">
      <w:pPr>
        <w:spacing w:line="480" w:lineRule="auto"/>
        <w:jc w:val="both"/>
      </w:pPr>
      <w:r w:rsidRPr="00584E5A">
        <w:t xml:space="preserve">Significant interaction effects were observed for </w:t>
      </w:r>
      <w:proofErr w:type="spellStart"/>
      <w:r w:rsidRPr="00584E5A">
        <w:t>cPP</w:t>
      </w:r>
      <w:proofErr w:type="spellEnd"/>
      <w:r w:rsidRPr="00584E5A">
        <w:t xml:space="preserve"> (</w:t>
      </w:r>
      <w:r w:rsidRPr="00584E5A">
        <w:rPr>
          <w:i/>
        </w:rPr>
        <w:t xml:space="preserve">p </w:t>
      </w:r>
      <w:r w:rsidRPr="00584E5A">
        <w:t xml:space="preserve">&lt;0.01; </w:t>
      </w:r>
      <w:r w:rsidRPr="00584E5A">
        <w:rPr>
          <w:rFonts w:cs="Times New Roman"/>
          <w:position w:val="-14"/>
        </w:rPr>
        <w:object w:dxaOrig="300" w:dyaOrig="400" w14:anchorId="69A0538C">
          <v:shape id="_x0000_i1030" type="#_x0000_t75" style="width:14.95pt;height:19.95pt" o:ole="">
            <v:imagedata r:id="rId5" o:title=""/>
          </v:shape>
          <o:OLEObject Type="Embed" ProgID="Equation.3" ShapeID="_x0000_i1030" DrawAspect="Content" ObjectID="_1581331404" r:id="rId11"/>
        </w:object>
      </w:r>
      <w:r w:rsidRPr="00584E5A">
        <w:t xml:space="preserve"> = 0.25</w:t>
      </w:r>
      <w:r w:rsidR="005E500D" w:rsidRPr="00584E5A">
        <w:t>; Table 2</w:t>
      </w:r>
      <w:r w:rsidRPr="00584E5A">
        <w:t>) with greater differences seen between prandial states whilst seated than supine. Posture was shown to have a</w:t>
      </w:r>
      <w:r w:rsidR="006435BA" w:rsidRPr="00584E5A">
        <w:t xml:space="preserve"> significant main effect on DBP, </w:t>
      </w:r>
      <w:proofErr w:type="spellStart"/>
      <w:r w:rsidRPr="00584E5A">
        <w:t>cDBP</w:t>
      </w:r>
      <w:proofErr w:type="spellEnd"/>
      <w:r w:rsidR="006435BA" w:rsidRPr="00584E5A">
        <w:t xml:space="preserve"> and HR,</w:t>
      </w:r>
      <w:r w:rsidRPr="00584E5A">
        <w:t xml:space="preserve"> whereas fasted state had a sign</w:t>
      </w:r>
      <w:r w:rsidR="006435BA" w:rsidRPr="00584E5A">
        <w:t xml:space="preserve">ificant effect on DBP, PP, </w:t>
      </w:r>
      <w:proofErr w:type="spellStart"/>
      <w:r w:rsidR="006435BA" w:rsidRPr="00584E5A">
        <w:t>cSBP</w:t>
      </w:r>
      <w:proofErr w:type="spellEnd"/>
      <w:r w:rsidR="006435BA" w:rsidRPr="00584E5A">
        <w:t xml:space="preserve">, </w:t>
      </w:r>
      <w:proofErr w:type="spellStart"/>
      <w:r w:rsidRPr="00584E5A">
        <w:t>cDBP</w:t>
      </w:r>
      <w:proofErr w:type="spellEnd"/>
      <w:r w:rsidRPr="00584E5A">
        <w:t xml:space="preserve"> </w:t>
      </w:r>
      <w:r w:rsidR="006435BA" w:rsidRPr="00584E5A">
        <w:t xml:space="preserve">and HR </w:t>
      </w:r>
      <w:r w:rsidRPr="00584E5A">
        <w:t xml:space="preserve">(all </w:t>
      </w:r>
      <w:r w:rsidRPr="00584E5A">
        <w:rPr>
          <w:i/>
        </w:rPr>
        <w:t>p</w:t>
      </w:r>
      <w:r w:rsidRPr="00584E5A">
        <w:t>&lt;0.05). The between-day reliability of the XCEL was demonstrated by ICC values &gt; 0.75 for all central haemodynamic variables in all conditions between visits 1-2 and 2-3 (Supp. Table).</w:t>
      </w:r>
    </w:p>
    <w:p w14:paraId="7BE503A3" w14:textId="77777777" w:rsidR="0057660F" w:rsidRPr="00584E5A" w:rsidRDefault="00712627" w:rsidP="0057660F">
      <w:pPr>
        <w:spacing w:line="480" w:lineRule="auto"/>
        <w:jc w:val="both"/>
        <w:rPr>
          <w:b/>
          <w:i/>
        </w:rPr>
      </w:pPr>
      <w:r w:rsidRPr="00584E5A">
        <w:rPr>
          <w:b/>
          <w:i/>
        </w:rPr>
        <w:t>Central systolic loading</w:t>
      </w:r>
    </w:p>
    <w:p w14:paraId="1BC98FF5" w14:textId="77777777" w:rsidR="0057660F" w:rsidRPr="00584E5A" w:rsidRDefault="0057660F" w:rsidP="0057660F">
      <w:pPr>
        <w:spacing w:line="480" w:lineRule="auto"/>
        <w:jc w:val="both"/>
        <w:rPr>
          <w:i/>
        </w:rPr>
      </w:pPr>
      <w:r w:rsidRPr="00584E5A">
        <w:rPr>
          <w:i/>
        </w:rPr>
        <w:t>Whole sample</w:t>
      </w:r>
    </w:p>
    <w:p w14:paraId="1EA47AB4" w14:textId="3E9DB3FB" w:rsidR="0057660F" w:rsidRPr="00584E5A" w:rsidRDefault="0057660F" w:rsidP="0057660F">
      <w:pPr>
        <w:spacing w:line="480" w:lineRule="auto"/>
        <w:jc w:val="both"/>
      </w:pPr>
      <w:r w:rsidRPr="00584E5A">
        <w:t xml:space="preserve">Mean values for </w:t>
      </w:r>
      <w:r w:rsidR="00712627" w:rsidRPr="00584E5A">
        <w:t>central systolic loading</w:t>
      </w:r>
      <w:r w:rsidRPr="00584E5A">
        <w:t xml:space="preserve"> variables in the whole partici</w:t>
      </w:r>
      <w:r w:rsidR="005E500D" w:rsidRPr="00584E5A">
        <w:t>pant sample are shown in Table 2</w:t>
      </w:r>
      <w:r w:rsidRPr="00584E5A">
        <w:t xml:space="preserve">. Significant interaction effects were observed for </w:t>
      </w:r>
      <w:proofErr w:type="spellStart"/>
      <w:r w:rsidRPr="00584E5A">
        <w:t>AIx</w:t>
      </w:r>
      <w:proofErr w:type="spellEnd"/>
      <w:r w:rsidRPr="00584E5A">
        <w:t xml:space="preserve"> and AIx75 (</w:t>
      </w:r>
      <w:r w:rsidRPr="00584E5A">
        <w:rPr>
          <w:i/>
        </w:rPr>
        <w:t>p</w:t>
      </w:r>
      <w:r w:rsidRPr="00584E5A">
        <w:t xml:space="preserve"> &lt;0.05; </w:t>
      </w:r>
      <w:r w:rsidRPr="00584E5A">
        <w:rPr>
          <w:rFonts w:cs="Times New Roman"/>
          <w:position w:val="-14"/>
        </w:rPr>
        <w:object w:dxaOrig="300" w:dyaOrig="400" w14:anchorId="46B218C5">
          <v:shape id="_x0000_i1031" type="#_x0000_t75" style="width:14.95pt;height:19.95pt" o:ole="">
            <v:imagedata r:id="rId5" o:title=""/>
          </v:shape>
          <o:OLEObject Type="Embed" ProgID="Equation.3" ShapeID="_x0000_i1031" DrawAspect="Content" ObjectID="_1581331405" r:id="rId12"/>
        </w:object>
      </w:r>
      <w:r w:rsidRPr="00584E5A">
        <w:rPr>
          <w:rFonts w:cs="Times New Roman"/>
        </w:rPr>
        <w:t>= 0.10-0.18</w:t>
      </w:r>
      <w:r w:rsidRPr="00584E5A">
        <w:t xml:space="preserve">) with greater differences observed between prandial states whilst supine than seated. The between-day ICC of 0.75 was exceeded in all conditions for </w:t>
      </w:r>
      <w:proofErr w:type="spellStart"/>
      <w:r w:rsidRPr="00584E5A">
        <w:t>AIx</w:t>
      </w:r>
      <w:proofErr w:type="spellEnd"/>
      <w:r w:rsidRPr="00584E5A">
        <w:t xml:space="preserve"> and AIx75 (Table </w:t>
      </w:r>
      <w:r w:rsidR="005E500D" w:rsidRPr="00584E5A">
        <w:t>3</w:t>
      </w:r>
      <w:r w:rsidRPr="00584E5A">
        <w:t>).</w:t>
      </w:r>
    </w:p>
    <w:p w14:paraId="270416EC" w14:textId="77777777" w:rsidR="0057660F" w:rsidRPr="00584E5A" w:rsidRDefault="0057660F" w:rsidP="0057660F">
      <w:pPr>
        <w:spacing w:line="480" w:lineRule="auto"/>
        <w:jc w:val="both"/>
        <w:rPr>
          <w:i/>
        </w:rPr>
      </w:pPr>
      <w:r w:rsidRPr="00584E5A">
        <w:rPr>
          <w:i/>
        </w:rPr>
        <w:t>Normotensive group</w:t>
      </w:r>
    </w:p>
    <w:p w14:paraId="62F012CE" w14:textId="2422BA58" w:rsidR="0057660F" w:rsidRPr="00584E5A" w:rsidRDefault="0057660F" w:rsidP="0057660F">
      <w:pPr>
        <w:spacing w:line="480" w:lineRule="auto"/>
        <w:jc w:val="both"/>
      </w:pPr>
      <w:r w:rsidRPr="00584E5A">
        <w:t>The normotensive group presented significant interaction effects for AIx75 (</w:t>
      </w:r>
      <w:r w:rsidRPr="00584E5A">
        <w:rPr>
          <w:i/>
        </w:rPr>
        <w:t xml:space="preserve">p </w:t>
      </w:r>
      <w:r w:rsidRPr="00584E5A">
        <w:t>&lt;0.01</w:t>
      </w:r>
      <w:r w:rsidRPr="00584E5A">
        <w:rPr>
          <w:i/>
        </w:rPr>
        <w:t xml:space="preserve">; </w:t>
      </w:r>
      <w:r w:rsidRPr="00584E5A">
        <w:rPr>
          <w:rFonts w:cs="Times New Roman"/>
          <w:position w:val="-14"/>
        </w:rPr>
        <w:object w:dxaOrig="300" w:dyaOrig="400" w14:anchorId="396D2185">
          <v:shape id="_x0000_i1032" type="#_x0000_t75" style="width:14.95pt;height:19.95pt" o:ole="">
            <v:imagedata r:id="rId5" o:title=""/>
          </v:shape>
          <o:OLEObject Type="Embed" ProgID="Equation.3" ShapeID="_x0000_i1032" DrawAspect="Content" ObjectID="_1581331406" r:id="rId13"/>
        </w:object>
      </w:r>
      <w:r w:rsidRPr="00584E5A">
        <w:rPr>
          <w:i/>
        </w:rPr>
        <w:t xml:space="preserve"> </w:t>
      </w:r>
      <w:r w:rsidRPr="00584E5A">
        <w:t xml:space="preserve">= 0.74) with larger differences reported between prandial states whilst supine compared to seated. Posture caused a significant main effect on </w:t>
      </w:r>
      <w:proofErr w:type="spellStart"/>
      <w:r w:rsidRPr="00584E5A">
        <w:t>AIx</w:t>
      </w:r>
      <w:proofErr w:type="spellEnd"/>
      <w:r w:rsidRPr="00584E5A">
        <w:t xml:space="preserve"> (</w:t>
      </w:r>
      <w:r w:rsidRPr="00584E5A">
        <w:rPr>
          <w:i/>
        </w:rPr>
        <w:t xml:space="preserve">p </w:t>
      </w:r>
      <w:r w:rsidRPr="00584E5A">
        <w:t xml:space="preserve">&lt;0.05; </w:t>
      </w:r>
      <w:r w:rsidRPr="00584E5A">
        <w:rPr>
          <w:rFonts w:cs="Times New Roman"/>
          <w:position w:val="-14"/>
        </w:rPr>
        <w:object w:dxaOrig="300" w:dyaOrig="400" w14:anchorId="2AABD0FF">
          <v:shape id="_x0000_i1033" type="#_x0000_t75" style="width:14.95pt;height:19.95pt" o:ole="">
            <v:imagedata r:id="rId5" o:title=""/>
          </v:shape>
          <o:OLEObject Type="Embed" ProgID="Equation.3" ShapeID="_x0000_i1033" DrawAspect="Content" ObjectID="_1581331407" r:id="rId14"/>
        </w:object>
      </w:r>
      <w:r w:rsidRPr="00584E5A">
        <w:t xml:space="preserve"> = 0.19) as did fasting state (</w:t>
      </w:r>
      <w:proofErr w:type="spellStart"/>
      <w:r w:rsidRPr="00584E5A">
        <w:t>AIx</w:t>
      </w:r>
      <w:proofErr w:type="spellEnd"/>
      <w:r w:rsidRPr="00584E5A">
        <w:t xml:space="preserve"> </w:t>
      </w:r>
      <w:r w:rsidRPr="00584E5A">
        <w:rPr>
          <w:i/>
        </w:rPr>
        <w:t>p</w:t>
      </w:r>
      <w:r w:rsidRPr="00584E5A">
        <w:t xml:space="preserve"> &lt;0.05; </w:t>
      </w:r>
      <w:r w:rsidRPr="00584E5A">
        <w:rPr>
          <w:rFonts w:cs="Times New Roman"/>
          <w:position w:val="-14"/>
        </w:rPr>
        <w:object w:dxaOrig="300" w:dyaOrig="400" w14:anchorId="1C7D8CC6">
          <v:shape id="_x0000_i1034" type="#_x0000_t75" style="width:14.95pt;height:19.95pt" o:ole="">
            <v:imagedata r:id="rId5" o:title=""/>
          </v:shape>
          <o:OLEObject Type="Embed" ProgID="Equation.3" ShapeID="_x0000_i1034" DrawAspect="Content" ObjectID="_1581331408" r:id="rId15"/>
        </w:object>
      </w:r>
      <w:r w:rsidR="005E500D" w:rsidRPr="00584E5A">
        <w:t xml:space="preserve"> = 0.70 [Table 2</w:t>
      </w:r>
      <w:r w:rsidRPr="00584E5A">
        <w:t xml:space="preserve">]). ICC values exceeded 0.75 for all </w:t>
      </w:r>
      <w:r w:rsidR="00712627" w:rsidRPr="00584E5A">
        <w:t>central systolic loading</w:t>
      </w:r>
      <w:r w:rsidRPr="00584E5A">
        <w:t xml:space="preserve"> vari</w:t>
      </w:r>
      <w:r w:rsidR="005E500D" w:rsidRPr="00584E5A">
        <w:t>ables in all conditions (Table 3</w:t>
      </w:r>
      <w:r w:rsidRPr="00584E5A">
        <w:t>).</w:t>
      </w:r>
    </w:p>
    <w:p w14:paraId="2F0E5615" w14:textId="5D876D14" w:rsidR="0057660F" w:rsidRPr="00584E5A" w:rsidRDefault="0066354C" w:rsidP="0057660F">
      <w:pPr>
        <w:spacing w:line="480" w:lineRule="auto"/>
        <w:jc w:val="both"/>
        <w:rPr>
          <w:i/>
        </w:rPr>
      </w:pPr>
      <w:r w:rsidRPr="00584E5A">
        <w:rPr>
          <w:i/>
        </w:rPr>
        <w:t>H</w:t>
      </w:r>
      <w:r w:rsidR="0057660F" w:rsidRPr="00584E5A">
        <w:rPr>
          <w:i/>
        </w:rPr>
        <w:t>ypertensive group</w:t>
      </w:r>
    </w:p>
    <w:p w14:paraId="54093706" w14:textId="082E5D7A" w:rsidR="0057660F" w:rsidRPr="00584E5A" w:rsidRDefault="0057660F" w:rsidP="0057660F">
      <w:pPr>
        <w:spacing w:line="480" w:lineRule="auto"/>
        <w:jc w:val="both"/>
      </w:pPr>
      <w:r w:rsidRPr="00584E5A">
        <w:lastRenderedPageBreak/>
        <w:t xml:space="preserve">Significant interaction effects were observed for </w:t>
      </w:r>
      <w:proofErr w:type="spellStart"/>
      <w:r w:rsidRPr="00584E5A">
        <w:t>AIx</w:t>
      </w:r>
      <w:proofErr w:type="spellEnd"/>
      <w:r w:rsidRPr="00584E5A">
        <w:t xml:space="preserve"> (</w:t>
      </w:r>
      <w:r w:rsidRPr="00584E5A">
        <w:rPr>
          <w:i/>
        </w:rPr>
        <w:t xml:space="preserve">p </w:t>
      </w:r>
      <w:r w:rsidRPr="00584E5A">
        <w:t xml:space="preserve">&lt;0.05; </w:t>
      </w:r>
      <w:r w:rsidRPr="00584E5A">
        <w:rPr>
          <w:rFonts w:cs="Times New Roman"/>
          <w:position w:val="-14"/>
        </w:rPr>
        <w:object w:dxaOrig="300" w:dyaOrig="400" w14:anchorId="178E3C02">
          <v:shape id="_x0000_i1035" type="#_x0000_t75" style="width:14.95pt;height:19.95pt" o:ole="">
            <v:imagedata r:id="rId5" o:title=""/>
          </v:shape>
          <o:OLEObject Type="Embed" ProgID="Equation.3" ShapeID="_x0000_i1035" DrawAspect="Content" ObjectID="_1581331409" r:id="rId16"/>
        </w:object>
      </w:r>
      <w:r w:rsidRPr="00584E5A">
        <w:t xml:space="preserve"> = 0.20) and AIx75 (</w:t>
      </w:r>
      <w:r w:rsidRPr="00584E5A">
        <w:rPr>
          <w:i/>
        </w:rPr>
        <w:t xml:space="preserve">p </w:t>
      </w:r>
      <w:r w:rsidRPr="00584E5A">
        <w:t xml:space="preserve">&lt;0.05; </w:t>
      </w:r>
      <w:r w:rsidRPr="00584E5A">
        <w:rPr>
          <w:rFonts w:cs="Times New Roman"/>
          <w:position w:val="-14"/>
        </w:rPr>
        <w:object w:dxaOrig="300" w:dyaOrig="400" w14:anchorId="46A0D56B">
          <v:shape id="_x0000_i1036" type="#_x0000_t75" style="width:14.95pt;height:19.95pt" o:ole="">
            <v:imagedata r:id="rId5" o:title=""/>
          </v:shape>
          <o:OLEObject Type="Embed" ProgID="Equation.3" ShapeID="_x0000_i1036" DrawAspect="Content" ObjectID="_1581331410" r:id="rId17"/>
        </w:object>
      </w:r>
      <w:r w:rsidRPr="00584E5A">
        <w:t xml:space="preserve"> = 0.29). I</w:t>
      </w:r>
      <w:r w:rsidR="00FC5657" w:rsidRPr="00584E5A">
        <w:t xml:space="preserve">n the </w:t>
      </w:r>
      <w:r w:rsidRPr="00584E5A">
        <w:t xml:space="preserve">hypertensive group, and following food consumption, greater changes in </w:t>
      </w:r>
      <w:proofErr w:type="spellStart"/>
      <w:r w:rsidRPr="00584E5A">
        <w:t>AIx</w:t>
      </w:r>
      <w:proofErr w:type="spellEnd"/>
      <w:r w:rsidRPr="00584E5A">
        <w:t xml:space="preserve"> were demonstrated when supine compared to seated. For AIx75, food consumption elicited a 5.2% decrease in the supine condition whereas a 5.2% increase was observed in the seated condition. ICC values of ≥0.75 were observed in both variables in all conditions other than supine-fast</w:t>
      </w:r>
      <w:r w:rsidR="005E500D" w:rsidRPr="00584E5A">
        <w:t>ed (ICC = 0.73 and 0.74 [Table 3</w:t>
      </w:r>
      <w:r w:rsidRPr="00584E5A">
        <w:t>]), but after breaking data down, ICC values exceeded 0.75 in visits 1-2 and 2-3 (</w:t>
      </w:r>
      <w:proofErr w:type="spellStart"/>
      <w:r w:rsidRPr="00584E5A">
        <w:t>AIx</w:t>
      </w:r>
      <w:proofErr w:type="spellEnd"/>
      <w:r w:rsidRPr="00584E5A">
        <w:t xml:space="preserve"> = 0.76-0.92; AIx75 = 0.77-0.92; [Supp. Table]).</w:t>
      </w:r>
    </w:p>
    <w:p w14:paraId="0090C164" w14:textId="77777777" w:rsidR="0057660F" w:rsidRPr="00584E5A" w:rsidRDefault="0057660F" w:rsidP="0057660F">
      <w:pPr>
        <w:spacing w:line="480" w:lineRule="auto"/>
        <w:jc w:val="both"/>
        <w:rPr>
          <w:b/>
        </w:rPr>
      </w:pPr>
      <w:r w:rsidRPr="00584E5A">
        <w:rPr>
          <w:b/>
        </w:rPr>
        <w:t>DISCUSSION</w:t>
      </w:r>
    </w:p>
    <w:p w14:paraId="4C57D57F" w14:textId="75C4D2BB" w:rsidR="0057660F" w:rsidRPr="00584E5A" w:rsidRDefault="0057660F" w:rsidP="0057660F">
      <w:pPr>
        <w:spacing w:line="480" w:lineRule="auto"/>
        <w:jc w:val="both"/>
      </w:pPr>
      <w:r w:rsidRPr="00584E5A">
        <w:t xml:space="preserve">This study demonstrated that the </w:t>
      </w:r>
      <w:proofErr w:type="spellStart"/>
      <w:r w:rsidRPr="00584E5A">
        <w:t>SphygmoCor</w:t>
      </w:r>
      <w:proofErr w:type="spellEnd"/>
      <w:r w:rsidRPr="00584E5A">
        <w:t xml:space="preserve"> XCEL is a reliable tool for measuring central haemodynamic variables in a non-clinical participant sample &gt; 50 years old in a range of normotensive and hypertensive individuals. Importantly, fasting state was shown to have a greater influence on central measures in a seated than a supine posture. Less disparity after food consumption due to posture was observed in </w:t>
      </w:r>
      <w:r w:rsidR="00712627" w:rsidRPr="00584E5A">
        <w:t>central systolic loading</w:t>
      </w:r>
      <w:r w:rsidRPr="00584E5A">
        <w:t xml:space="preserve"> variables.</w:t>
      </w:r>
    </w:p>
    <w:p w14:paraId="60A63D81" w14:textId="77777777" w:rsidR="0057660F" w:rsidRPr="00584E5A" w:rsidRDefault="0057660F" w:rsidP="0057660F">
      <w:pPr>
        <w:spacing w:line="480" w:lineRule="auto"/>
        <w:jc w:val="both"/>
        <w:rPr>
          <w:b/>
          <w:i/>
        </w:rPr>
      </w:pPr>
      <w:r w:rsidRPr="00584E5A">
        <w:rPr>
          <w:b/>
          <w:i/>
        </w:rPr>
        <w:t>Limitations and Strengths</w:t>
      </w:r>
    </w:p>
    <w:p w14:paraId="64927765" w14:textId="44446C0A" w:rsidR="0057660F" w:rsidRPr="00584E5A" w:rsidRDefault="0057660F" w:rsidP="0057660F">
      <w:pPr>
        <w:spacing w:line="480" w:lineRule="auto"/>
        <w:jc w:val="both"/>
      </w:pPr>
      <w:r w:rsidRPr="00584E5A">
        <w:t>Limitations and strengths should be noted to allow better contextualisation of the results. One limitation was that we recruited a mixed sex sample of healthy adults over the age of 50. Previous work has suggested that the effect which posture has on peripheral BP may be sex specific [2</w:t>
      </w:r>
      <w:r w:rsidR="00C21D9F" w:rsidRPr="00584E5A">
        <w:t>2</w:t>
      </w:r>
      <w:r w:rsidRPr="00584E5A">
        <w:t>] and future work should recruit unisex cohorts to similar protocols to determine whether this is the case for central blood pressure (</w:t>
      </w:r>
      <w:proofErr w:type="spellStart"/>
      <w:r w:rsidRPr="00584E5A">
        <w:t>cBP</w:t>
      </w:r>
      <w:proofErr w:type="spellEnd"/>
      <w:r w:rsidRPr="00584E5A">
        <w:t xml:space="preserve">) measures. </w:t>
      </w:r>
      <w:r w:rsidR="00866775" w:rsidRPr="00584E5A">
        <w:t>It is worth noting that A</w:t>
      </w:r>
      <w:r w:rsidR="006435BA" w:rsidRPr="00584E5A">
        <w:t>I</w:t>
      </w:r>
      <w:r w:rsidR="00866775" w:rsidRPr="00584E5A">
        <w:t>x75 may be physiologically and statistically inappropriate</w:t>
      </w:r>
      <w:r w:rsidR="0014704D" w:rsidRPr="00584E5A">
        <w:t xml:space="preserve"> as a standalone measure</w:t>
      </w:r>
      <w:r w:rsidR="00565EEE" w:rsidRPr="00584E5A">
        <w:t xml:space="preserve">, due to the assumption being made that the relationship </w:t>
      </w:r>
      <w:r w:rsidR="002F702C" w:rsidRPr="00584E5A">
        <w:t xml:space="preserve">between HR and </w:t>
      </w:r>
      <w:proofErr w:type="spellStart"/>
      <w:r w:rsidR="002F702C" w:rsidRPr="00584E5A">
        <w:t>AI</w:t>
      </w:r>
      <w:r w:rsidR="00E34EF6" w:rsidRPr="00584E5A">
        <w:t>x</w:t>
      </w:r>
      <w:proofErr w:type="spellEnd"/>
      <w:r w:rsidR="00E34EF6" w:rsidRPr="00584E5A">
        <w:t xml:space="preserve"> is linear </w:t>
      </w:r>
      <w:r w:rsidR="00C21D9F" w:rsidRPr="00584E5A">
        <w:t>[23</w:t>
      </w:r>
      <w:r w:rsidR="00565EEE" w:rsidRPr="00584E5A">
        <w:t>]</w:t>
      </w:r>
      <w:r w:rsidR="00E34EF6" w:rsidRPr="00584E5A">
        <w:t xml:space="preserve">. Consequently, our statistical analysis reports both </w:t>
      </w:r>
      <w:proofErr w:type="spellStart"/>
      <w:r w:rsidR="00E34EF6" w:rsidRPr="00584E5A">
        <w:t>AIx</w:t>
      </w:r>
      <w:proofErr w:type="spellEnd"/>
      <w:r w:rsidR="00E34EF6" w:rsidRPr="00584E5A">
        <w:t xml:space="preserve"> and AIx75</w:t>
      </w:r>
      <w:r w:rsidR="00F933AF" w:rsidRPr="00584E5A">
        <w:t xml:space="preserve"> </w:t>
      </w:r>
      <w:r w:rsidRPr="00584E5A">
        <w:t xml:space="preserve">The structure of the present study did, however, involve post-prandial measures up to 45 minutes after food intake which is in accordance with Ahuja and colleagues’ [16] recommendations for assessing changes to haemodynamic variables after food intake. Furthermore, the overnight fast </w:t>
      </w:r>
      <w:r w:rsidRPr="00584E5A">
        <w:lastRenderedPageBreak/>
        <w:t>undertaken by participants and randomised order of conditions result in a robust protocol and data collection was consistently undertaken at the same time of day, reducing the likelihood of circadian blood pressure cycles influencing results.</w:t>
      </w:r>
      <w:r w:rsidR="00DB77A0" w:rsidRPr="00584E5A">
        <w:t xml:space="preserve"> It should be noted that two of the thirty female participants were pre-menopausal at the time of assessment due to the </w:t>
      </w:r>
      <w:r w:rsidR="00344EFF" w:rsidRPr="00584E5A">
        <w:t xml:space="preserve">age demographic of our </w:t>
      </w:r>
      <w:r w:rsidR="00DB77A0" w:rsidRPr="00584E5A">
        <w:t>population</w:t>
      </w:r>
      <w:r w:rsidR="00125D7B" w:rsidRPr="00584E5A">
        <w:t>. An international study of ~19,000 women reported the median age of natural menopause to be 50 (median range of 49-52y [</w:t>
      </w:r>
      <w:r w:rsidR="00937434" w:rsidRPr="00584E5A">
        <w:t>24</w:t>
      </w:r>
      <w:r w:rsidR="00125D7B" w:rsidRPr="00584E5A">
        <w:t>]</w:t>
      </w:r>
      <w:r w:rsidR="00DB77A0" w:rsidRPr="00584E5A">
        <w:t>.</w:t>
      </w:r>
      <w:r w:rsidR="00125D7B" w:rsidRPr="00584E5A">
        <w:t xml:space="preserve"> </w:t>
      </w:r>
      <w:r w:rsidR="00DB77A0" w:rsidRPr="00584E5A">
        <w:t xml:space="preserve"> Although this is a condition which </w:t>
      </w:r>
      <w:r w:rsidR="00C63F8E" w:rsidRPr="00584E5A">
        <w:t>causes increased prevalence of hypertension [25]</w:t>
      </w:r>
      <w:r w:rsidR="00DB77A0" w:rsidRPr="00584E5A">
        <w:t xml:space="preserve">, further analysis demonstrated that study outcomes were not influenced by menopausal state. </w:t>
      </w:r>
    </w:p>
    <w:p w14:paraId="61FB4F5B" w14:textId="77777777" w:rsidR="0057660F" w:rsidRPr="00584E5A" w:rsidRDefault="0057660F" w:rsidP="0057660F">
      <w:pPr>
        <w:spacing w:line="480" w:lineRule="auto"/>
        <w:jc w:val="both"/>
        <w:rPr>
          <w:i/>
        </w:rPr>
      </w:pPr>
      <w:r w:rsidRPr="00584E5A">
        <w:rPr>
          <w:i/>
        </w:rPr>
        <w:t>Central Blood Pressure</w:t>
      </w:r>
    </w:p>
    <w:p w14:paraId="012044F5" w14:textId="1E053D33" w:rsidR="0057660F" w:rsidRPr="00584E5A" w:rsidRDefault="0057660F" w:rsidP="0057660F">
      <w:pPr>
        <w:spacing w:line="480" w:lineRule="auto"/>
        <w:jc w:val="both"/>
      </w:pPr>
      <w:r w:rsidRPr="00584E5A">
        <w:t xml:space="preserve">The results of this study demonstrate that the </w:t>
      </w:r>
      <w:proofErr w:type="spellStart"/>
      <w:r w:rsidRPr="00584E5A">
        <w:t>SphygmoCor</w:t>
      </w:r>
      <w:proofErr w:type="spellEnd"/>
      <w:r w:rsidRPr="00584E5A">
        <w:t xml:space="preserve"> XCEL can reliably record central markers of blood pressure. The ICC values we observed for </w:t>
      </w:r>
      <w:proofErr w:type="spellStart"/>
      <w:r w:rsidRPr="00584E5A">
        <w:t>cSBP</w:t>
      </w:r>
      <w:proofErr w:type="spellEnd"/>
      <w:r w:rsidRPr="00584E5A">
        <w:t xml:space="preserve"> for the whole group (0.89-0.92) and after splitting of data (normotensive = 0.58-0.77; hypertensive = 0.85-0.88) are similar to previous research in a younger sample (ICC = 0.89; [7]) and suggest that the </w:t>
      </w:r>
      <w:proofErr w:type="spellStart"/>
      <w:r w:rsidRPr="00584E5A">
        <w:t>SphygmoCor</w:t>
      </w:r>
      <w:proofErr w:type="spellEnd"/>
      <w:r w:rsidRPr="00584E5A">
        <w:t xml:space="preserve"> XCEL is a reliable tool for assessing these central pressures in non-clinical participant sample over the age of 50. However, despite excellent reliability between visit 1 and 2 and visit 2 and 3 (Supp. Table)</w:t>
      </w:r>
      <w:r w:rsidR="0066354C" w:rsidRPr="00584E5A">
        <w:t xml:space="preserve"> for the whole study sample </w:t>
      </w:r>
      <w:r w:rsidRPr="00584E5A">
        <w:t xml:space="preserve">and </w:t>
      </w:r>
      <w:r w:rsidR="0066354C" w:rsidRPr="00584E5A">
        <w:t xml:space="preserve">the </w:t>
      </w:r>
      <w:r w:rsidRPr="00584E5A">
        <w:t xml:space="preserve">hypertensive group, moderate correlations were only reported for the normotensive sample. </w:t>
      </w:r>
      <w:r w:rsidR="00D047D9" w:rsidRPr="00584E5A">
        <w:t xml:space="preserve">This may be due to the presence of white coat syndrome and </w:t>
      </w:r>
      <w:r w:rsidRPr="00584E5A">
        <w:t>should be considered</w:t>
      </w:r>
      <w:r w:rsidR="006E4E77" w:rsidRPr="00584E5A">
        <w:t xml:space="preserve"> in terms of recommendations for blood pressure assessment</w:t>
      </w:r>
      <w:r w:rsidR="0014704D" w:rsidRPr="00584E5A">
        <w:t xml:space="preserve"> protocols</w:t>
      </w:r>
      <w:r w:rsidR="006E4E77" w:rsidRPr="00584E5A">
        <w:t xml:space="preserve">. This </w:t>
      </w:r>
      <w:r w:rsidR="0014704D" w:rsidRPr="00584E5A">
        <w:t xml:space="preserve">point </w:t>
      </w:r>
      <w:r w:rsidR="006E4E77" w:rsidRPr="00584E5A">
        <w:t xml:space="preserve">may be particularly </w:t>
      </w:r>
      <w:r w:rsidR="0014704D" w:rsidRPr="00584E5A">
        <w:t>relevant</w:t>
      </w:r>
      <w:r w:rsidRPr="00584E5A">
        <w:t xml:space="preserve"> in GP practices where blood pressure measures tend to only be completed once per visit, </w:t>
      </w:r>
      <w:r w:rsidR="00AA185C" w:rsidRPr="00584E5A">
        <w:t>potentially</w:t>
      </w:r>
      <w:r w:rsidRPr="00584E5A">
        <w:t xml:space="preserve"> giving a false indication of a patient’s blood pressure at that time.</w:t>
      </w:r>
    </w:p>
    <w:p w14:paraId="4E0217E3" w14:textId="4A0982A7" w:rsidR="0057660F" w:rsidRPr="00584E5A" w:rsidRDefault="0057660F" w:rsidP="0057660F">
      <w:pPr>
        <w:spacing w:line="480" w:lineRule="auto"/>
        <w:jc w:val="both"/>
      </w:pPr>
      <w:r w:rsidRPr="00584E5A">
        <w:t xml:space="preserve">Significant interaction effects were observed for </w:t>
      </w:r>
      <w:proofErr w:type="spellStart"/>
      <w:r w:rsidRPr="00584E5A">
        <w:t>cDBP</w:t>
      </w:r>
      <w:proofErr w:type="spellEnd"/>
      <w:r w:rsidRPr="00584E5A">
        <w:t xml:space="preserve"> and </w:t>
      </w:r>
      <w:proofErr w:type="spellStart"/>
      <w:r w:rsidRPr="00584E5A">
        <w:t>cPP</w:t>
      </w:r>
      <w:proofErr w:type="spellEnd"/>
      <w:r w:rsidRPr="00584E5A">
        <w:t xml:space="preserve"> in the whole group, with similar findings generally reported for both the normotensive and hypertensive groups. The present study has shown smaller differences in blood pressures (</w:t>
      </w:r>
      <w:proofErr w:type="spellStart"/>
      <w:r w:rsidRPr="00584E5A">
        <w:t>cDBP</w:t>
      </w:r>
      <w:proofErr w:type="spellEnd"/>
      <w:r w:rsidRPr="00584E5A">
        <w:t xml:space="preserve">, </w:t>
      </w:r>
      <w:proofErr w:type="spellStart"/>
      <w:r w:rsidRPr="00584E5A">
        <w:t>cPP</w:t>
      </w:r>
      <w:proofErr w:type="spellEnd"/>
      <w:r w:rsidRPr="00584E5A">
        <w:t>) between fasted and non-fasted conditions when a participant is supine (mean difference of 1.4 mmHg and 0.8 mmHg, respectively) than seated (mean difference of 2.7 mmHg and 1.5 mmHg, respectively).</w:t>
      </w:r>
      <w:r w:rsidR="00623F9B" w:rsidRPr="00584E5A">
        <w:t xml:space="preserve"> This may be due to increased speed of early-</w:t>
      </w:r>
      <w:r w:rsidR="00623F9B" w:rsidRPr="00584E5A">
        <w:lastRenderedPageBreak/>
        <w:t>stage digestion taking place in a seated position</w:t>
      </w:r>
      <w:r w:rsidR="00E36B57" w:rsidRPr="00584E5A">
        <w:t xml:space="preserve"> because of gravity</w:t>
      </w:r>
      <w:r w:rsidR="00623F9B" w:rsidRPr="00584E5A">
        <w:t xml:space="preserve">; leading to subsequent greater vasodilation and a drop in BP not seen in a supine </w:t>
      </w:r>
      <w:r w:rsidR="000142CE" w:rsidRPr="00584E5A">
        <w:t>position</w:t>
      </w:r>
      <w:r w:rsidR="00623F9B" w:rsidRPr="00584E5A">
        <w:t>.</w:t>
      </w:r>
      <w:r w:rsidRPr="00584E5A">
        <w:t xml:space="preserve"> This </w:t>
      </w:r>
      <w:r w:rsidR="00E36B57" w:rsidRPr="00584E5A">
        <w:t xml:space="preserve">finding </w:t>
      </w:r>
      <w:r w:rsidRPr="00584E5A">
        <w:t xml:space="preserve">may be important in clinical environments such as GP practices where blood pressure is measured in a variety of fasting states but frequently in a seated rather than </w:t>
      </w:r>
      <w:r w:rsidR="00623F9B" w:rsidRPr="00584E5A">
        <w:t xml:space="preserve">supine posture. </w:t>
      </w:r>
      <w:r w:rsidRPr="00584E5A">
        <w:t>These findings were mirrored in the normotensive and the hypertensive group.</w:t>
      </w:r>
    </w:p>
    <w:p w14:paraId="415B31BD" w14:textId="522FB1E5" w:rsidR="0057660F" w:rsidRPr="00584E5A" w:rsidRDefault="0057660F" w:rsidP="0057660F">
      <w:pPr>
        <w:spacing w:line="480" w:lineRule="auto"/>
        <w:jc w:val="both"/>
      </w:pPr>
      <w:r w:rsidRPr="00584E5A">
        <w:t xml:space="preserve">Greater variability in the </w:t>
      </w:r>
      <w:proofErr w:type="spellStart"/>
      <w:r w:rsidRPr="00584E5A">
        <w:t>cDBP</w:t>
      </w:r>
      <w:proofErr w:type="spellEnd"/>
      <w:r w:rsidRPr="00584E5A">
        <w:t xml:space="preserve"> and </w:t>
      </w:r>
      <w:proofErr w:type="spellStart"/>
      <w:r w:rsidRPr="00584E5A">
        <w:t>cPP</w:t>
      </w:r>
      <w:proofErr w:type="spellEnd"/>
      <w:r w:rsidRPr="00584E5A">
        <w:t xml:space="preserve"> response to food </w:t>
      </w:r>
      <w:r w:rsidR="00623F9B" w:rsidRPr="00584E5A">
        <w:t>was</w:t>
      </w:r>
      <w:r w:rsidRPr="00584E5A">
        <w:t xml:space="preserve"> seen in a seated posture than a supine posture, and thus the seated posture traditionally adopted in a clinical setting may be sub-optimal, particularly as </w:t>
      </w:r>
      <w:proofErr w:type="spellStart"/>
      <w:r w:rsidRPr="00584E5A">
        <w:t>cPP</w:t>
      </w:r>
      <w:proofErr w:type="spellEnd"/>
      <w:r w:rsidRPr="00584E5A">
        <w:t xml:space="preserve"> is potentially a more direct indicator of vascular aging than ot</w:t>
      </w:r>
      <w:r w:rsidR="00565EEE" w:rsidRPr="00584E5A">
        <w:t>her blood pressure variables [2</w:t>
      </w:r>
      <w:r w:rsidR="00876D3B" w:rsidRPr="00584E5A">
        <w:t>6</w:t>
      </w:r>
      <w:r w:rsidRPr="00584E5A">
        <w:t xml:space="preserve">]. In accordance with Young and colleagues [7], the </w:t>
      </w:r>
      <w:proofErr w:type="spellStart"/>
      <w:r w:rsidRPr="00584E5A">
        <w:t>SphygmoCor</w:t>
      </w:r>
      <w:proofErr w:type="spellEnd"/>
      <w:r w:rsidRPr="00584E5A">
        <w:t xml:space="preserve"> XCEL has optimal reliability in a supine posture with an older population, due to the smaller changes caused by prandial state.</w:t>
      </w:r>
    </w:p>
    <w:p w14:paraId="628FEF88" w14:textId="46B80820" w:rsidR="0057660F" w:rsidRPr="00584E5A" w:rsidRDefault="0057660F" w:rsidP="0057660F">
      <w:pPr>
        <w:spacing w:line="480" w:lineRule="auto"/>
        <w:jc w:val="both"/>
      </w:pPr>
      <w:r w:rsidRPr="00584E5A">
        <w:t xml:space="preserve">The posture of a patient is important to consider when measuring blood pressure [14] and the role posture plays in aortic </w:t>
      </w:r>
      <w:proofErr w:type="spellStart"/>
      <w:r w:rsidRPr="00584E5A">
        <w:t>haem</w:t>
      </w:r>
      <w:r w:rsidR="00565EEE" w:rsidRPr="00584E5A">
        <w:t>odynamics</w:t>
      </w:r>
      <w:proofErr w:type="spellEnd"/>
      <w:r w:rsidR="00565EEE" w:rsidRPr="00584E5A">
        <w:t xml:space="preserve"> is less well known [2</w:t>
      </w:r>
      <w:r w:rsidR="00876D3B" w:rsidRPr="00584E5A">
        <w:t>7</w:t>
      </w:r>
      <w:r w:rsidRPr="00584E5A">
        <w:t xml:space="preserve">]. Our results would suggest the greater differences observed for changes in some central variables in fasting state in a seated posture may also be insufficiently recognised in the literature. We observed a significant increase in </w:t>
      </w:r>
      <w:proofErr w:type="spellStart"/>
      <w:r w:rsidRPr="00584E5A">
        <w:t>cDBP</w:t>
      </w:r>
      <w:proofErr w:type="spellEnd"/>
      <w:r w:rsidRPr="00584E5A">
        <w:t xml:space="preserve"> in the seated compared to supine posture in the whole sample as well as the normotensive and hypertensive sub-groups. This is in agreement with previous studies investigating periph</w:t>
      </w:r>
      <w:r w:rsidR="00D047D9" w:rsidRPr="00584E5A">
        <w:t>eral diastolic pressures [13, 2</w:t>
      </w:r>
      <w:r w:rsidR="00876D3B" w:rsidRPr="00584E5A">
        <w:t>8</w:t>
      </w:r>
      <w:r w:rsidRPr="00584E5A">
        <w:t>], although research incorporating only 1–5-minute postural conditions before assessments has shown a greater peripheral blood pressure in a supine than seated posture [14, 2</w:t>
      </w:r>
      <w:r w:rsidR="00876D3B" w:rsidRPr="00584E5A">
        <w:t>9</w:t>
      </w:r>
      <w:r w:rsidRPr="00584E5A">
        <w:t xml:space="preserve">); highlighting the differing acute and chronic responses to postural change. </w:t>
      </w:r>
    </w:p>
    <w:p w14:paraId="46E5265F" w14:textId="77777777" w:rsidR="0057660F" w:rsidRPr="00584E5A" w:rsidRDefault="0057660F" w:rsidP="0057660F">
      <w:pPr>
        <w:spacing w:line="480" w:lineRule="auto"/>
        <w:jc w:val="both"/>
        <w:rPr>
          <w:b/>
        </w:rPr>
      </w:pPr>
      <w:r w:rsidRPr="00584E5A">
        <w:t xml:space="preserve">A forty-eight hour fast has been demonstrated to significantly lower peripheral blood pressures [15], but the acute effects of food on vascular </w:t>
      </w:r>
      <w:proofErr w:type="spellStart"/>
      <w:r w:rsidRPr="00584E5A">
        <w:t>haemodynamics</w:t>
      </w:r>
      <w:proofErr w:type="spellEnd"/>
      <w:r w:rsidRPr="00584E5A">
        <w:t xml:space="preserve"> have received less attention. Our observations of a significant drop in </w:t>
      </w:r>
      <w:proofErr w:type="spellStart"/>
      <w:r w:rsidRPr="00584E5A">
        <w:t>cBP</w:t>
      </w:r>
      <w:proofErr w:type="spellEnd"/>
      <w:r w:rsidRPr="00584E5A">
        <w:t xml:space="preserve"> and non-significant responses of peripheral systolic blood pressure in a post-prandial state are in support of previous work [16]. These significant decreases in </w:t>
      </w:r>
      <w:proofErr w:type="spellStart"/>
      <w:r w:rsidRPr="00584E5A">
        <w:lastRenderedPageBreak/>
        <w:t>cSBP</w:t>
      </w:r>
      <w:proofErr w:type="spellEnd"/>
      <w:r w:rsidRPr="00584E5A">
        <w:t xml:space="preserve"> and </w:t>
      </w:r>
      <w:proofErr w:type="spellStart"/>
      <w:r w:rsidRPr="00584E5A">
        <w:t>cDBP</w:t>
      </w:r>
      <w:proofErr w:type="spellEnd"/>
      <w:r w:rsidRPr="00584E5A">
        <w:t xml:space="preserve"> in the post-prandial state were reported in the sample as a whole and in both sub-groups. </w:t>
      </w:r>
    </w:p>
    <w:p w14:paraId="5FFDEEEA" w14:textId="77777777" w:rsidR="0057660F" w:rsidRPr="00584E5A" w:rsidRDefault="00712627" w:rsidP="0057660F">
      <w:pPr>
        <w:spacing w:line="480" w:lineRule="auto"/>
        <w:jc w:val="both"/>
        <w:rPr>
          <w:i/>
        </w:rPr>
      </w:pPr>
      <w:r w:rsidRPr="00584E5A">
        <w:rPr>
          <w:i/>
        </w:rPr>
        <w:t>Central Systolic Loading</w:t>
      </w:r>
    </w:p>
    <w:p w14:paraId="2BC37022" w14:textId="77777777" w:rsidR="0057660F" w:rsidRPr="00584E5A" w:rsidRDefault="0057660F" w:rsidP="0057660F">
      <w:pPr>
        <w:spacing w:line="480" w:lineRule="auto"/>
        <w:jc w:val="both"/>
      </w:pPr>
      <w:r w:rsidRPr="00584E5A">
        <w:t xml:space="preserve">The strong between-day reliability when measuring </w:t>
      </w:r>
      <w:proofErr w:type="spellStart"/>
      <w:r w:rsidRPr="00584E5A">
        <w:t>AIx</w:t>
      </w:r>
      <w:proofErr w:type="spellEnd"/>
      <w:r w:rsidRPr="00584E5A">
        <w:t xml:space="preserve"> and AIx75 (ICC &gt; 0.75) in our older participant sample supports previous research undertaken with a young, healthy sample (ICC = 0.71-0.82; [7]). Smaller differences were observed between visits 1-2 and 2-3 for </w:t>
      </w:r>
      <w:proofErr w:type="spellStart"/>
      <w:r w:rsidRPr="00584E5A">
        <w:t>AIx</w:t>
      </w:r>
      <w:proofErr w:type="spellEnd"/>
      <w:r w:rsidRPr="00584E5A">
        <w:t xml:space="preserve"> and AIx75 than central blood pressure measures (Supp. Table), meaning that the physiological mechanisms resulting in potential white coat syndrome in peripheral and central blood pressures may not extend to </w:t>
      </w:r>
      <w:proofErr w:type="spellStart"/>
      <w:r w:rsidRPr="00584E5A">
        <w:t>AIx</w:t>
      </w:r>
      <w:proofErr w:type="spellEnd"/>
      <w:r w:rsidRPr="00584E5A">
        <w:t xml:space="preserve"> and AIx75 measures.</w:t>
      </w:r>
    </w:p>
    <w:p w14:paraId="03B19C20" w14:textId="77777777" w:rsidR="0057660F" w:rsidRPr="00584E5A" w:rsidRDefault="0057660F" w:rsidP="0057660F">
      <w:pPr>
        <w:spacing w:line="480" w:lineRule="auto"/>
        <w:jc w:val="both"/>
      </w:pPr>
      <w:r w:rsidRPr="00584E5A">
        <w:t xml:space="preserve">The significant interaction effects observed for </w:t>
      </w:r>
      <w:proofErr w:type="spellStart"/>
      <w:r w:rsidRPr="00584E5A">
        <w:t>AIx</w:t>
      </w:r>
      <w:proofErr w:type="spellEnd"/>
      <w:r w:rsidRPr="00584E5A">
        <w:t xml:space="preserve"> and AIx75 for the whole sample suggested greater post-prandial variability in a supine posture (mean differences of 7.2% and 2.9% respectively) than seated (mean differences of 5.3% and 1.8% respectively). These results are converse to the findings in this study with regards to central blood pressure measures and suggest that, when assessing </w:t>
      </w:r>
      <w:r w:rsidR="00712627" w:rsidRPr="00584E5A">
        <w:t>central systolic loading</w:t>
      </w:r>
      <w:r w:rsidRPr="00584E5A">
        <w:t xml:space="preserve">, a seated posture is optimal to reduce the variability caused by food consumption. These interaction effects were not observed in previous research using a younger sample [7] and suggest that </w:t>
      </w:r>
      <w:r w:rsidR="00712627" w:rsidRPr="00584E5A">
        <w:t>central systolic loading</w:t>
      </w:r>
      <w:r w:rsidRPr="00584E5A">
        <w:t xml:space="preserve"> becomes more variable as a person ages.</w:t>
      </w:r>
    </w:p>
    <w:p w14:paraId="4FBF2DF3" w14:textId="3B32B0F4" w:rsidR="0057660F" w:rsidRPr="00584E5A" w:rsidRDefault="0057660F" w:rsidP="0057660F">
      <w:pPr>
        <w:spacing w:line="480" w:lineRule="auto"/>
        <w:jc w:val="both"/>
      </w:pPr>
      <w:r w:rsidRPr="00584E5A">
        <w:t xml:space="preserve">Significant differences were observed in </w:t>
      </w:r>
      <w:proofErr w:type="spellStart"/>
      <w:r w:rsidRPr="00584E5A">
        <w:t>AIx</w:t>
      </w:r>
      <w:proofErr w:type="spellEnd"/>
      <w:r w:rsidRPr="00584E5A">
        <w:t xml:space="preserve"> and AIx75 in the whole sample due to postural alterations. These differences were not seen in previous work [7], although after the calculation of AIx75, systolic augmentation index was reported to be lower in a supine posture than seated in young f</w:t>
      </w:r>
      <w:r w:rsidR="00876D3B" w:rsidRPr="00584E5A">
        <w:t>emales [30</w:t>
      </w:r>
      <w:r w:rsidRPr="00584E5A">
        <w:t xml:space="preserve">]. Fasting state was reported to cause a significant drop in </w:t>
      </w:r>
      <w:proofErr w:type="spellStart"/>
      <w:r w:rsidRPr="00584E5A">
        <w:t>AIx</w:t>
      </w:r>
      <w:proofErr w:type="spellEnd"/>
      <w:r w:rsidRPr="00584E5A">
        <w:t>. This may be due to alterations of the tone of small vessel beds, large artery function and large artery geometry [7]. Vasodilation after food consumption may lead to a lessening of wave reflection intensity, leading to this decrease in arterial stiffness.</w:t>
      </w:r>
    </w:p>
    <w:p w14:paraId="74529133" w14:textId="77777777" w:rsidR="0057660F" w:rsidRPr="00584E5A" w:rsidRDefault="0057660F" w:rsidP="0057660F">
      <w:pPr>
        <w:spacing w:line="480" w:lineRule="auto"/>
        <w:jc w:val="both"/>
        <w:rPr>
          <w:i/>
        </w:rPr>
      </w:pPr>
      <w:r w:rsidRPr="00584E5A">
        <w:rPr>
          <w:i/>
        </w:rPr>
        <w:t>Clinical Inference</w:t>
      </w:r>
    </w:p>
    <w:p w14:paraId="1E994E23" w14:textId="77777777" w:rsidR="0057660F" w:rsidRPr="00584E5A" w:rsidRDefault="0057660F" w:rsidP="0057660F">
      <w:pPr>
        <w:spacing w:line="480" w:lineRule="auto"/>
        <w:jc w:val="both"/>
      </w:pPr>
      <w:r w:rsidRPr="00584E5A">
        <w:lastRenderedPageBreak/>
        <w:t xml:space="preserve">The present study suggests that the </w:t>
      </w:r>
      <w:proofErr w:type="spellStart"/>
      <w:r w:rsidRPr="00584E5A">
        <w:t>SphygmoCor</w:t>
      </w:r>
      <w:proofErr w:type="spellEnd"/>
      <w:r w:rsidRPr="00584E5A">
        <w:t xml:space="preserve"> XCEL is a reliable measure when assessing </w:t>
      </w:r>
      <w:proofErr w:type="spellStart"/>
      <w:r w:rsidRPr="00584E5A">
        <w:t>cBP</w:t>
      </w:r>
      <w:proofErr w:type="spellEnd"/>
      <w:r w:rsidRPr="00584E5A">
        <w:t xml:space="preserve"> and </w:t>
      </w:r>
      <w:r w:rsidR="00C66D94" w:rsidRPr="00584E5A">
        <w:t>central systolic loading</w:t>
      </w:r>
      <w:r w:rsidRPr="00584E5A">
        <w:t xml:space="preserve"> variables. Clinicians and researchers may find it useful to measure </w:t>
      </w:r>
      <w:proofErr w:type="spellStart"/>
      <w:r w:rsidRPr="00584E5A">
        <w:t>cBP</w:t>
      </w:r>
      <w:proofErr w:type="spellEnd"/>
      <w:r w:rsidRPr="00584E5A">
        <w:t xml:space="preserve"> in a supine posture due to the reduced effect of food intake, but that </w:t>
      </w:r>
      <w:r w:rsidR="00C66D94" w:rsidRPr="00584E5A">
        <w:t>central systolic loading variables are</w:t>
      </w:r>
      <w:r w:rsidRPr="00584E5A">
        <w:t xml:space="preserve"> recorded in a seated position.</w:t>
      </w:r>
    </w:p>
    <w:p w14:paraId="7A574AE3" w14:textId="77777777" w:rsidR="0057660F" w:rsidRPr="00584E5A" w:rsidRDefault="0057660F" w:rsidP="0057660F">
      <w:pPr>
        <w:spacing w:line="480" w:lineRule="auto"/>
        <w:jc w:val="both"/>
        <w:rPr>
          <w:b/>
        </w:rPr>
      </w:pPr>
      <w:r w:rsidRPr="00584E5A">
        <w:rPr>
          <w:b/>
        </w:rPr>
        <w:t>CONCLUSION</w:t>
      </w:r>
    </w:p>
    <w:p w14:paraId="01E0CCD2" w14:textId="77777777" w:rsidR="0057660F" w:rsidRPr="00584E5A" w:rsidRDefault="0057660F" w:rsidP="0057660F">
      <w:pPr>
        <w:spacing w:line="480" w:lineRule="auto"/>
        <w:jc w:val="both"/>
      </w:pPr>
      <w:r w:rsidRPr="00584E5A">
        <w:t xml:space="preserve">Blood pressure assessments occur in a range of postures and fasting states depending on an array of variables both at home and in the clinical environment. This study highlights the significant effect that fasting state can have on central haemodynamic variables and measures of arterial stiffness. We also note that the influence food consumption has on central </w:t>
      </w:r>
      <w:proofErr w:type="spellStart"/>
      <w:r w:rsidRPr="00584E5A">
        <w:t>haemodynamics</w:t>
      </w:r>
      <w:proofErr w:type="spellEnd"/>
      <w:r w:rsidRPr="00584E5A">
        <w:t xml:space="preserve"> is minimised with the use of a supine posture – a position which has also previously been shown to cause the greatest between-day reliability of the </w:t>
      </w:r>
      <w:proofErr w:type="spellStart"/>
      <w:r w:rsidRPr="00584E5A">
        <w:t>SphygmoCor</w:t>
      </w:r>
      <w:proofErr w:type="spellEnd"/>
      <w:r w:rsidRPr="00584E5A">
        <w:t xml:space="preserve"> XCEL. Although previous work has highlighted the possibility of white coat syndrome and the necessity for second blood pressure measures to be recorded, this study suggests that more than one visit may be necessary, particularly for a normotensive population. The </w:t>
      </w:r>
      <w:proofErr w:type="spellStart"/>
      <w:r w:rsidRPr="00584E5A">
        <w:t>SphygmoCor</w:t>
      </w:r>
      <w:proofErr w:type="spellEnd"/>
      <w:r w:rsidRPr="00584E5A">
        <w:t xml:space="preserve"> XCEL is a reliable tool in assessing </w:t>
      </w:r>
      <w:proofErr w:type="spellStart"/>
      <w:r w:rsidRPr="00584E5A">
        <w:t>cBP</w:t>
      </w:r>
      <w:proofErr w:type="spellEnd"/>
      <w:r w:rsidRPr="00584E5A">
        <w:t xml:space="preserve"> and measures of arterial stiffness in a non-clinical sample over the age of 50 and trials should now begin to determine the reliability of this equipment in clinical populations.</w:t>
      </w:r>
    </w:p>
    <w:p w14:paraId="281E4C90" w14:textId="1AD565DA" w:rsidR="0057660F" w:rsidRPr="00584E5A" w:rsidRDefault="0057660F" w:rsidP="0057660F">
      <w:pPr>
        <w:spacing w:line="480" w:lineRule="auto"/>
        <w:jc w:val="both"/>
      </w:pPr>
    </w:p>
    <w:p w14:paraId="07B12E78" w14:textId="33507601" w:rsidR="00840CBF" w:rsidRPr="00584E5A" w:rsidRDefault="00840CBF" w:rsidP="0057660F">
      <w:pPr>
        <w:spacing w:line="480" w:lineRule="auto"/>
        <w:jc w:val="both"/>
      </w:pPr>
    </w:p>
    <w:p w14:paraId="30CBD7FC" w14:textId="1729AD4D" w:rsidR="00840CBF" w:rsidRPr="00584E5A" w:rsidRDefault="00840CBF" w:rsidP="0057660F">
      <w:pPr>
        <w:spacing w:line="480" w:lineRule="auto"/>
        <w:jc w:val="both"/>
      </w:pPr>
    </w:p>
    <w:p w14:paraId="34EA12C7" w14:textId="12DF31CA" w:rsidR="00840CBF" w:rsidRPr="00584E5A" w:rsidRDefault="00840CBF" w:rsidP="0057660F">
      <w:pPr>
        <w:spacing w:line="480" w:lineRule="auto"/>
        <w:jc w:val="both"/>
      </w:pPr>
    </w:p>
    <w:p w14:paraId="1785CF87" w14:textId="037729EA" w:rsidR="00840CBF" w:rsidRPr="00584E5A" w:rsidRDefault="00840CBF" w:rsidP="0057660F">
      <w:pPr>
        <w:spacing w:line="480" w:lineRule="auto"/>
        <w:jc w:val="both"/>
      </w:pPr>
    </w:p>
    <w:p w14:paraId="0D8FAE82" w14:textId="5C26630D" w:rsidR="00840CBF" w:rsidRPr="00584E5A" w:rsidRDefault="00840CBF" w:rsidP="0057660F">
      <w:pPr>
        <w:spacing w:line="480" w:lineRule="auto"/>
        <w:jc w:val="both"/>
      </w:pPr>
    </w:p>
    <w:p w14:paraId="749C4A25" w14:textId="014A43C9" w:rsidR="00840CBF" w:rsidRPr="00584E5A" w:rsidRDefault="00840CBF" w:rsidP="0057660F">
      <w:pPr>
        <w:spacing w:line="480" w:lineRule="auto"/>
        <w:jc w:val="both"/>
      </w:pPr>
    </w:p>
    <w:p w14:paraId="2D6BF39A" w14:textId="77777777" w:rsidR="0057660F" w:rsidRPr="00584E5A" w:rsidRDefault="0057660F" w:rsidP="0057660F">
      <w:pPr>
        <w:spacing w:line="480" w:lineRule="auto"/>
        <w:jc w:val="both"/>
        <w:rPr>
          <w:b/>
        </w:rPr>
      </w:pPr>
      <w:r w:rsidRPr="00584E5A">
        <w:rPr>
          <w:b/>
        </w:rPr>
        <w:lastRenderedPageBreak/>
        <w:t>REFERENCES</w:t>
      </w:r>
    </w:p>
    <w:p w14:paraId="216D29C6" w14:textId="77777777" w:rsidR="0057660F" w:rsidRPr="00584E5A" w:rsidRDefault="0057660F" w:rsidP="0057660F">
      <w:pPr>
        <w:pStyle w:val="ListParagraph"/>
        <w:numPr>
          <w:ilvl w:val="0"/>
          <w:numId w:val="1"/>
        </w:numPr>
        <w:spacing w:after="160" w:line="480" w:lineRule="auto"/>
        <w:jc w:val="both"/>
        <w:rPr>
          <w:rFonts w:eastAsia="Calibri" w:cstheme="minorHAnsi"/>
        </w:rPr>
      </w:pPr>
      <w:r w:rsidRPr="00584E5A">
        <w:rPr>
          <w:rFonts w:eastAsia="Calibri" w:cstheme="minorHAnsi"/>
        </w:rPr>
        <w:t xml:space="preserve">James, PA, </w:t>
      </w:r>
      <w:proofErr w:type="spellStart"/>
      <w:r w:rsidRPr="00584E5A">
        <w:rPr>
          <w:rFonts w:eastAsia="Calibri" w:cstheme="minorHAnsi"/>
        </w:rPr>
        <w:t>Oparil</w:t>
      </w:r>
      <w:proofErr w:type="spellEnd"/>
      <w:r w:rsidRPr="00584E5A">
        <w:rPr>
          <w:rFonts w:eastAsia="Calibri" w:cstheme="minorHAnsi"/>
        </w:rPr>
        <w:t>, S, Carter, BL, Cushman, WC, Dennison-</w:t>
      </w:r>
      <w:proofErr w:type="spellStart"/>
      <w:r w:rsidRPr="00584E5A">
        <w:rPr>
          <w:rFonts w:eastAsia="Calibri" w:cstheme="minorHAnsi"/>
        </w:rPr>
        <w:t>Himmelfarb</w:t>
      </w:r>
      <w:proofErr w:type="spellEnd"/>
      <w:r w:rsidRPr="00584E5A">
        <w:rPr>
          <w:rFonts w:eastAsia="Calibri" w:cstheme="minorHAnsi"/>
        </w:rPr>
        <w:t xml:space="preserve">, C., Handler, J </w:t>
      </w:r>
      <w:r w:rsidRPr="00584E5A">
        <w:rPr>
          <w:rFonts w:eastAsia="Calibri" w:cstheme="minorHAnsi"/>
          <w:i/>
        </w:rPr>
        <w:t>et al.</w:t>
      </w:r>
      <w:r w:rsidRPr="00584E5A">
        <w:rPr>
          <w:rFonts w:eastAsia="Calibri" w:cstheme="minorHAnsi"/>
        </w:rPr>
        <w:t xml:space="preserve">  2014 evidence-based guideline for the management of high blood pressure in adults: report from the panel members appointed to the eighth joint national committee.  JAMA 2014; </w:t>
      </w:r>
      <w:r w:rsidRPr="00584E5A">
        <w:rPr>
          <w:rFonts w:eastAsia="Calibri" w:cstheme="minorHAnsi"/>
          <w:b/>
        </w:rPr>
        <w:t>311</w:t>
      </w:r>
      <w:r w:rsidRPr="00584E5A">
        <w:rPr>
          <w:rFonts w:eastAsia="Calibri" w:cstheme="minorHAnsi"/>
        </w:rPr>
        <w:t>:507-520.</w:t>
      </w:r>
    </w:p>
    <w:p w14:paraId="73E847B3"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He, FJ, Macgregor, G.A. Blood pressure is the most important cause of death and disability in the world. European Heart Journal Supplements</w:t>
      </w:r>
      <w:r w:rsidRPr="00584E5A">
        <w:rPr>
          <w:rFonts w:eastAsia="Times New Roman" w:cstheme="minorHAnsi"/>
          <w:i/>
          <w:lang w:eastAsia="en-GB"/>
        </w:rPr>
        <w:t xml:space="preserve"> </w:t>
      </w:r>
      <w:r w:rsidRPr="00584E5A">
        <w:rPr>
          <w:rFonts w:eastAsia="Times New Roman" w:cstheme="minorHAnsi"/>
          <w:lang w:eastAsia="en-GB"/>
        </w:rPr>
        <w:t xml:space="preserve">2007; </w:t>
      </w:r>
      <w:r w:rsidRPr="00584E5A">
        <w:rPr>
          <w:rFonts w:eastAsia="Times New Roman" w:cstheme="minorHAnsi"/>
          <w:b/>
          <w:lang w:eastAsia="en-GB"/>
        </w:rPr>
        <w:t>9</w:t>
      </w:r>
      <w:r w:rsidRPr="00584E5A">
        <w:rPr>
          <w:rFonts w:eastAsia="Times New Roman" w:cstheme="minorHAnsi"/>
          <w:lang w:eastAsia="en-GB"/>
        </w:rPr>
        <w:t>: B23-B28.</w:t>
      </w:r>
    </w:p>
    <w:p w14:paraId="311395C4" w14:textId="77777777" w:rsidR="0057660F" w:rsidRPr="00584E5A" w:rsidRDefault="0057660F" w:rsidP="0057660F">
      <w:pPr>
        <w:pStyle w:val="ListParagraph"/>
        <w:numPr>
          <w:ilvl w:val="0"/>
          <w:numId w:val="1"/>
        </w:numPr>
        <w:spacing w:after="160" w:line="480" w:lineRule="auto"/>
        <w:jc w:val="both"/>
        <w:rPr>
          <w:rFonts w:eastAsia="Calibri" w:cstheme="minorHAnsi"/>
        </w:rPr>
      </w:pPr>
      <w:r w:rsidRPr="00584E5A">
        <w:rPr>
          <w:rFonts w:eastAsia="Calibri" w:cstheme="minorHAnsi"/>
        </w:rPr>
        <w:t>British Hypertension Society. Statistical information on cardiovascular disease in the UK</w:t>
      </w:r>
      <w:r w:rsidRPr="00584E5A">
        <w:rPr>
          <w:rFonts w:eastAsia="Calibri" w:cstheme="minorHAnsi"/>
          <w:i/>
        </w:rPr>
        <w:t xml:space="preserve"> </w:t>
      </w:r>
      <w:r w:rsidRPr="00584E5A">
        <w:rPr>
          <w:rFonts w:eastAsia="Calibri" w:cstheme="minorHAnsi"/>
        </w:rPr>
        <w:t>2014: [online]. Available at: http://bhsoc.org/resources/statistical-information-on-cardiovascular/ (accessed 12/02/2017).</w:t>
      </w:r>
    </w:p>
    <w:p w14:paraId="57653DDE"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proofErr w:type="spellStart"/>
      <w:r w:rsidRPr="00584E5A">
        <w:rPr>
          <w:rFonts w:eastAsia="Times New Roman" w:cstheme="minorHAnsi"/>
          <w:lang w:eastAsia="en-GB"/>
        </w:rPr>
        <w:t>Merai</w:t>
      </w:r>
      <w:proofErr w:type="spellEnd"/>
      <w:r w:rsidRPr="00584E5A">
        <w:rPr>
          <w:rFonts w:eastAsia="Times New Roman" w:cstheme="minorHAnsi"/>
          <w:lang w:eastAsia="en-GB"/>
        </w:rPr>
        <w:t xml:space="preserve"> R, Siegel C, </w:t>
      </w:r>
      <w:proofErr w:type="spellStart"/>
      <w:r w:rsidRPr="00584E5A">
        <w:rPr>
          <w:rFonts w:eastAsia="Times New Roman" w:cstheme="minorHAnsi"/>
          <w:lang w:eastAsia="en-GB"/>
        </w:rPr>
        <w:t>Rakotz</w:t>
      </w:r>
      <w:proofErr w:type="spellEnd"/>
      <w:r w:rsidRPr="00584E5A">
        <w:rPr>
          <w:rFonts w:eastAsia="Times New Roman" w:cstheme="minorHAnsi"/>
          <w:lang w:eastAsia="en-GB"/>
        </w:rPr>
        <w:t xml:space="preserve"> M, </w:t>
      </w:r>
      <w:proofErr w:type="spellStart"/>
      <w:r w:rsidRPr="00584E5A">
        <w:rPr>
          <w:rFonts w:eastAsia="Times New Roman" w:cstheme="minorHAnsi"/>
          <w:lang w:eastAsia="en-GB"/>
        </w:rPr>
        <w:t>Basch</w:t>
      </w:r>
      <w:proofErr w:type="spellEnd"/>
      <w:r w:rsidRPr="00584E5A">
        <w:rPr>
          <w:rFonts w:eastAsia="Times New Roman" w:cstheme="minorHAnsi"/>
          <w:lang w:eastAsia="en-GB"/>
        </w:rPr>
        <w:t xml:space="preserve"> P, Wright J, Wong B, Thorpe P. CDC Grand Rounds: A Public Health Approach to Detect and Control Hypertension. </w:t>
      </w:r>
      <w:r w:rsidRPr="00584E5A">
        <w:rPr>
          <w:rFonts w:eastAsia="Times New Roman" w:cstheme="minorHAnsi"/>
          <w:iCs/>
          <w:lang w:eastAsia="en-GB"/>
        </w:rPr>
        <w:t xml:space="preserve">MMWR </w:t>
      </w:r>
      <w:proofErr w:type="spellStart"/>
      <w:r w:rsidRPr="00584E5A">
        <w:rPr>
          <w:rFonts w:eastAsia="Times New Roman" w:cstheme="minorHAnsi"/>
          <w:iCs/>
          <w:lang w:eastAsia="en-GB"/>
        </w:rPr>
        <w:t>Morb</w:t>
      </w:r>
      <w:proofErr w:type="spellEnd"/>
      <w:r w:rsidRPr="00584E5A">
        <w:rPr>
          <w:rFonts w:eastAsia="Times New Roman" w:cstheme="minorHAnsi"/>
          <w:iCs/>
          <w:lang w:eastAsia="en-GB"/>
        </w:rPr>
        <w:t xml:space="preserve"> Mortal </w:t>
      </w:r>
      <w:proofErr w:type="spellStart"/>
      <w:r w:rsidRPr="00584E5A">
        <w:rPr>
          <w:rFonts w:eastAsia="Times New Roman" w:cstheme="minorHAnsi"/>
          <w:iCs/>
          <w:lang w:eastAsia="en-GB"/>
        </w:rPr>
        <w:t>Wkly</w:t>
      </w:r>
      <w:proofErr w:type="spellEnd"/>
      <w:r w:rsidRPr="00584E5A">
        <w:rPr>
          <w:rFonts w:eastAsia="Times New Roman" w:cstheme="minorHAnsi"/>
          <w:iCs/>
          <w:lang w:eastAsia="en-GB"/>
        </w:rPr>
        <w:t xml:space="preserve"> Rep</w:t>
      </w:r>
      <w:r w:rsidRPr="00584E5A">
        <w:rPr>
          <w:rFonts w:eastAsia="Times New Roman" w:cstheme="minorHAnsi"/>
          <w:lang w:eastAsia="en-GB"/>
        </w:rPr>
        <w:t xml:space="preserve"> 2016; </w:t>
      </w:r>
      <w:r w:rsidRPr="00584E5A">
        <w:rPr>
          <w:rFonts w:eastAsia="Times New Roman" w:cstheme="minorHAnsi"/>
          <w:b/>
          <w:lang w:eastAsia="en-GB"/>
        </w:rPr>
        <w:t>65</w:t>
      </w:r>
      <w:r w:rsidRPr="00584E5A">
        <w:rPr>
          <w:rFonts w:eastAsia="Times New Roman" w:cstheme="minorHAnsi"/>
          <w:lang w:eastAsia="en-GB"/>
        </w:rPr>
        <w:t>: 1261-1264.</w:t>
      </w:r>
    </w:p>
    <w:p w14:paraId="62035A4B"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Calibri" w:cstheme="minorHAnsi"/>
        </w:rPr>
        <w:t>Protogerou</w:t>
      </w:r>
      <w:proofErr w:type="spellEnd"/>
      <w:r w:rsidRPr="00584E5A">
        <w:rPr>
          <w:rFonts w:eastAsia="Calibri" w:cstheme="minorHAnsi"/>
        </w:rPr>
        <w:t xml:space="preserve"> AD, </w:t>
      </w:r>
      <w:proofErr w:type="spellStart"/>
      <w:r w:rsidRPr="00584E5A">
        <w:rPr>
          <w:rFonts w:eastAsia="Calibri" w:cstheme="minorHAnsi"/>
        </w:rPr>
        <w:t>Papaioannou</w:t>
      </w:r>
      <w:proofErr w:type="spellEnd"/>
      <w:r w:rsidRPr="00584E5A">
        <w:rPr>
          <w:rFonts w:eastAsia="Calibri" w:cstheme="minorHAnsi"/>
        </w:rPr>
        <w:t xml:space="preserve"> TG, </w:t>
      </w:r>
      <w:proofErr w:type="spellStart"/>
      <w:r w:rsidRPr="00584E5A">
        <w:rPr>
          <w:rFonts w:eastAsia="Calibri" w:cstheme="minorHAnsi"/>
        </w:rPr>
        <w:t>Blacher</w:t>
      </w:r>
      <w:proofErr w:type="spellEnd"/>
      <w:r w:rsidRPr="00584E5A">
        <w:rPr>
          <w:rFonts w:eastAsia="Calibri" w:cstheme="minorHAnsi"/>
        </w:rPr>
        <w:t xml:space="preserve"> J, </w:t>
      </w:r>
      <w:proofErr w:type="spellStart"/>
      <w:r w:rsidRPr="00584E5A">
        <w:rPr>
          <w:rFonts w:eastAsia="Calibri" w:cstheme="minorHAnsi"/>
        </w:rPr>
        <w:t>Papamichael</w:t>
      </w:r>
      <w:proofErr w:type="spellEnd"/>
      <w:r w:rsidRPr="00584E5A">
        <w:rPr>
          <w:rFonts w:eastAsia="Calibri" w:cstheme="minorHAnsi"/>
        </w:rPr>
        <w:t xml:space="preserve"> CM, </w:t>
      </w:r>
      <w:proofErr w:type="spellStart"/>
      <w:r w:rsidRPr="00584E5A">
        <w:rPr>
          <w:rFonts w:eastAsia="Calibri" w:cstheme="minorHAnsi"/>
        </w:rPr>
        <w:t>Lekakis</w:t>
      </w:r>
      <w:proofErr w:type="spellEnd"/>
      <w:r w:rsidRPr="00584E5A">
        <w:rPr>
          <w:rFonts w:eastAsia="Calibri" w:cstheme="minorHAnsi"/>
        </w:rPr>
        <w:t xml:space="preserve"> JP, Safar ME. Central blood pressures: do we need them in the management of cardiovascular disease? Is it a feasible therapeutic target? J Hypertension</w:t>
      </w:r>
      <w:r w:rsidRPr="00584E5A">
        <w:rPr>
          <w:rFonts w:eastAsia="Calibri" w:cstheme="minorHAnsi"/>
          <w:i/>
        </w:rPr>
        <w:t xml:space="preserve"> </w:t>
      </w:r>
      <w:r w:rsidRPr="00584E5A">
        <w:rPr>
          <w:rFonts w:eastAsia="Calibri" w:cstheme="minorHAnsi"/>
        </w:rPr>
        <w:t xml:space="preserve">2007; </w:t>
      </w:r>
      <w:r w:rsidRPr="00584E5A">
        <w:rPr>
          <w:rFonts w:eastAsia="Calibri" w:cstheme="minorHAnsi"/>
          <w:b/>
        </w:rPr>
        <w:t>25</w:t>
      </w:r>
      <w:r w:rsidRPr="00584E5A">
        <w:rPr>
          <w:rFonts w:eastAsia="Calibri" w:cstheme="minorHAnsi"/>
        </w:rPr>
        <w:t>: 265-72.</w:t>
      </w:r>
    </w:p>
    <w:p w14:paraId="35ABD79F"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Calibri" w:cstheme="minorHAnsi"/>
        </w:rPr>
        <w:t>McEniery</w:t>
      </w:r>
      <w:proofErr w:type="spellEnd"/>
      <w:r w:rsidRPr="00584E5A">
        <w:rPr>
          <w:rFonts w:eastAsia="Calibri" w:cstheme="minorHAnsi"/>
        </w:rPr>
        <w:t xml:space="preserve"> CM, Cockcroft JR, Roman MJ, Franklin SS, Wilkinson IB. Central blood pressure: current evidence and clinical importance. European Heart Journal</w:t>
      </w:r>
      <w:r w:rsidRPr="00584E5A">
        <w:rPr>
          <w:rFonts w:eastAsia="Calibri" w:cstheme="minorHAnsi"/>
          <w:i/>
        </w:rPr>
        <w:t xml:space="preserve"> </w:t>
      </w:r>
      <w:r w:rsidRPr="00584E5A">
        <w:rPr>
          <w:rFonts w:eastAsia="Calibri" w:cstheme="minorHAnsi"/>
        </w:rPr>
        <w:t xml:space="preserve">2014; </w:t>
      </w:r>
      <w:proofErr w:type="spellStart"/>
      <w:r w:rsidRPr="00584E5A">
        <w:rPr>
          <w:rFonts w:eastAsia="Calibri" w:cstheme="minorHAnsi"/>
        </w:rPr>
        <w:t>doi</w:t>
      </w:r>
      <w:proofErr w:type="spellEnd"/>
      <w:r w:rsidRPr="00584E5A">
        <w:rPr>
          <w:rFonts w:eastAsia="Calibri" w:cstheme="minorHAnsi"/>
        </w:rPr>
        <w:t>: 10.1093/</w:t>
      </w:r>
      <w:proofErr w:type="spellStart"/>
      <w:r w:rsidRPr="00584E5A">
        <w:rPr>
          <w:rFonts w:eastAsia="Calibri" w:cstheme="minorHAnsi"/>
        </w:rPr>
        <w:t>eurheart</w:t>
      </w:r>
      <w:proofErr w:type="spellEnd"/>
      <w:r w:rsidRPr="00584E5A">
        <w:rPr>
          <w:rFonts w:eastAsia="Calibri" w:cstheme="minorHAnsi"/>
        </w:rPr>
        <w:t>/eht565.</w:t>
      </w:r>
    </w:p>
    <w:p w14:paraId="1C7BC994" w14:textId="77777777" w:rsidR="0057660F" w:rsidRPr="00584E5A" w:rsidRDefault="0057660F" w:rsidP="0057660F">
      <w:pPr>
        <w:pStyle w:val="ListParagraph"/>
        <w:numPr>
          <w:ilvl w:val="0"/>
          <w:numId w:val="1"/>
        </w:numPr>
        <w:spacing w:after="160" w:line="480" w:lineRule="auto"/>
        <w:jc w:val="both"/>
        <w:rPr>
          <w:rFonts w:ascii="Times New Roman" w:eastAsia="Calibri" w:hAnsi="Times New Roman" w:cs="Times New Roman"/>
          <w:sz w:val="24"/>
          <w:szCs w:val="24"/>
        </w:rPr>
      </w:pPr>
      <w:r w:rsidRPr="00584E5A">
        <w:rPr>
          <w:rFonts w:eastAsia="Calibri" w:cstheme="minorHAnsi"/>
        </w:rPr>
        <w:t xml:space="preserve">Young Y, </w:t>
      </w:r>
      <w:proofErr w:type="spellStart"/>
      <w:r w:rsidRPr="00584E5A">
        <w:rPr>
          <w:rFonts w:eastAsia="Calibri" w:cstheme="minorHAnsi"/>
        </w:rPr>
        <w:t>Abdolhosseini</w:t>
      </w:r>
      <w:proofErr w:type="spellEnd"/>
      <w:r w:rsidRPr="00584E5A">
        <w:rPr>
          <w:rFonts w:eastAsia="Calibri" w:cstheme="minorHAnsi"/>
        </w:rPr>
        <w:t xml:space="preserve"> P, Brown F, Faulkner J, Lambrick D, Williams MA, Stoner, L.  Reliability of </w:t>
      </w:r>
      <w:proofErr w:type="spellStart"/>
      <w:r w:rsidRPr="00584E5A">
        <w:rPr>
          <w:rFonts w:eastAsia="Calibri" w:cstheme="minorHAnsi"/>
        </w:rPr>
        <w:t>oscillometric</w:t>
      </w:r>
      <w:proofErr w:type="spellEnd"/>
      <w:r w:rsidRPr="00584E5A">
        <w:rPr>
          <w:rFonts w:eastAsia="Calibri" w:cstheme="minorHAnsi"/>
        </w:rPr>
        <w:t xml:space="preserve"> central blood pressure and wave reflection readings: effects of posture and fasting</w:t>
      </w:r>
      <w:r w:rsidRPr="00584E5A">
        <w:rPr>
          <w:rFonts w:eastAsia="Calibri" w:cstheme="minorHAnsi"/>
          <w:i/>
        </w:rPr>
        <w:t xml:space="preserve">. Journal of Hypertension </w:t>
      </w:r>
      <w:r w:rsidRPr="00584E5A">
        <w:rPr>
          <w:rFonts w:eastAsia="Calibri" w:cstheme="minorHAnsi"/>
        </w:rPr>
        <w:t>2015;</w:t>
      </w:r>
      <w:r w:rsidRPr="00584E5A">
        <w:rPr>
          <w:rFonts w:eastAsia="Calibri" w:cstheme="minorHAnsi"/>
          <w:i/>
        </w:rPr>
        <w:t xml:space="preserve"> </w:t>
      </w:r>
      <w:r w:rsidRPr="00584E5A">
        <w:rPr>
          <w:rFonts w:eastAsia="Calibri" w:cstheme="minorHAnsi"/>
          <w:b/>
        </w:rPr>
        <w:t>33:</w:t>
      </w:r>
      <w:r w:rsidRPr="00584E5A">
        <w:rPr>
          <w:rFonts w:eastAsia="Calibri" w:cstheme="minorHAnsi"/>
        </w:rPr>
        <w:t xml:space="preserve"> 1588-1593.</w:t>
      </w:r>
      <w:bookmarkStart w:id="0" w:name="_GoBack"/>
      <w:bookmarkEnd w:id="0"/>
    </w:p>
    <w:p w14:paraId="53F0EBEF" w14:textId="77777777" w:rsidR="0057660F" w:rsidRPr="00584E5A" w:rsidRDefault="0057660F" w:rsidP="0057660F">
      <w:pPr>
        <w:pStyle w:val="ListParagraph"/>
        <w:numPr>
          <w:ilvl w:val="0"/>
          <w:numId w:val="1"/>
        </w:numPr>
        <w:spacing w:line="480" w:lineRule="auto"/>
        <w:jc w:val="both"/>
        <w:rPr>
          <w:rFonts w:cstheme="minorHAnsi"/>
        </w:rPr>
      </w:pPr>
      <w:r w:rsidRPr="00584E5A">
        <w:rPr>
          <w:rFonts w:cstheme="minorHAnsi"/>
        </w:rPr>
        <w:t xml:space="preserve">Dawson EA, Black MA, </w:t>
      </w:r>
      <w:proofErr w:type="spellStart"/>
      <w:r w:rsidRPr="00584E5A">
        <w:rPr>
          <w:rFonts w:cstheme="minorHAnsi"/>
        </w:rPr>
        <w:t>Pybis</w:t>
      </w:r>
      <w:proofErr w:type="spellEnd"/>
      <w:r w:rsidRPr="00584E5A">
        <w:rPr>
          <w:rFonts w:cstheme="minorHAnsi"/>
        </w:rPr>
        <w:t xml:space="preserve"> JN, Cable T, Green DJ. The impact of exercise on derived measures of central pressure and augmentation index obtained from the </w:t>
      </w:r>
      <w:proofErr w:type="spellStart"/>
      <w:r w:rsidRPr="00584E5A">
        <w:rPr>
          <w:rFonts w:cstheme="minorHAnsi"/>
        </w:rPr>
        <w:t>SphygmoCor</w:t>
      </w:r>
      <w:proofErr w:type="spellEnd"/>
      <w:r w:rsidRPr="00584E5A">
        <w:rPr>
          <w:rFonts w:cstheme="minorHAnsi"/>
        </w:rPr>
        <w:t xml:space="preserve"> device. Journal of Applied Physiology</w:t>
      </w:r>
      <w:r w:rsidRPr="00584E5A">
        <w:rPr>
          <w:rFonts w:cstheme="minorHAnsi"/>
          <w:i/>
        </w:rPr>
        <w:t xml:space="preserve"> </w:t>
      </w:r>
      <w:r w:rsidRPr="00584E5A">
        <w:rPr>
          <w:rFonts w:cstheme="minorHAnsi"/>
        </w:rPr>
        <w:t xml:space="preserve">2009; </w:t>
      </w:r>
      <w:r w:rsidRPr="00584E5A">
        <w:rPr>
          <w:rFonts w:cstheme="minorHAnsi"/>
          <w:b/>
        </w:rPr>
        <w:t>106:</w:t>
      </w:r>
      <w:r w:rsidRPr="00584E5A">
        <w:rPr>
          <w:rFonts w:cstheme="minorHAnsi"/>
        </w:rPr>
        <w:t xml:space="preserve"> 1896-1901.</w:t>
      </w:r>
    </w:p>
    <w:p w14:paraId="5C98205D"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Lowe A, Harrison W, El-</w:t>
      </w:r>
      <w:proofErr w:type="spellStart"/>
      <w:r w:rsidRPr="00584E5A">
        <w:rPr>
          <w:rFonts w:eastAsia="Times New Roman" w:cstheme="minorHAnsi"/>
          <w:lang w:eastAsia="en-GB"/>
        </w:rPr>
        <w:t>Aklouk</w:t>
      </w:r>
      <w:proofErr w:type="spellEnd"/>
      <w:r w:rsidRPr="00584E5A">
        <w:rPr>
          <w:rFonts w:eastAsia="Times New Roman" w:cstheme="minorHAnsi"/>
          <w:lang w:eastAsia="en-GB"/>
        </w:rPr>
        <w:t xml:space="preserve"> E, </w:t>
      </w:r>
      <w:proofErr w:type="spellStart"/>
      <w:r w:rsidRPr="00584E5A">
        <w:rPr>
          <w:rFonts w:eastAsia="Times New Roman" w:cstheme="minorHAnsi"/>
          <w:lang w:eastAsia="en-GB"/>
        </w:rPr>
        <w:t>Ruygrok</w:t>
      </w:r>
      <w:proofErr w:type="spellEnd"/>
      <w:r w:rsidRPr="00584E5A">
        <w:rPr>
          <w:rFonts w:eastAsia="Times New Roman" w:cstheme="minorHAnsi"/>
          <w:lang w:eastAsia="en-GB"/>
        </w:rPr>
        <w:t xml:space="preserve"> P. &amp; Al-</w:t>
      </w:r>
      <w:proofErr w:type="spellStart"/>
      <w:r w:rsidRPr="00584E5A">
        <w:rPr>
          <w:rFonts w:eastAsia="Times New Roman" w:cstheme="minorHAnsi"/>
          <w:lang w:eastAsia="en-GB"/>
        </w:rPr>
        <w:t>Jumaily</w:t>
      </w:r>
      <w:proofErr w:type="spellEnd"/>
      <w:r w:rsidRPr="00584E5A">
        <w:rPr>
          <w:rFonts w:eastAsia="Times New Roman" w:cstheme="minorHAnsi"/>
          <w:lang w:eastAsia="en-GB"/>
        </w:rPr>
        <w:t xml:space="preserve"> A.M. Non-invasive model-based estimation of aortic pulse pressure using supra-systolic brachial pressure waveforms. J </w:t>
      </w:r>
      <w:proofErr w:type="spellStart"/>
      <w:r w:rsidRPr="00584E5A">
        <w:rPr>
          <w:rFonts w:eastAsia="Times New Roman" w:cstheme="minorHAnsi"/>
          <w:lang w:eastAsia="en-GB"/>
        </w:rPr>
        <w:t>Biomech</w:t>
      </w:r>
      <w:proofErr w:type="spellEnd"/>
      <w:r w:rsidRPr="00584E5A">
        <w:rPr>
          <w:rFonts w:eastAsia="Times New Roman" w:cstheme="minorHAnsi"/>
          <w:lang w:eastAsia="en-GB"/>
        </w:rPr>
        <w:t xml:space="preserve"> 2009; </w:t>
      </w:r>
      <w:r w:rsidRPr="00584E5A">
        <w:rPr>
          <w:rFonts w:eastAsia="Times New Roman" w:cstheme="minorHAnsi"/>
          <w:b/>
          <w:lang w:eastAsia="en-GB"/>
        </w:rPr>
        <w:t>42</w:t>
      </w:r>
      <w:r w:rsidRPr="00584E5A">
        <w:rPr>
          <w:rFonts w:eastAsia="Times New Roman" w:cstheme="minorHAnsi"/>
          <w:lang w:eastAsia="en-GB"/>
        </w:rPr>
        <w:t>: 2111-2115.</w:t>
      </w:r>
    </w:p>
    <w:p w14:paraId="531E893E"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lastRenderedPageBreak/>
        <w:t xml:space="preserve">Lin AC, Lowe A, Sidhu K, Harrison W, </w:t>
      </w:r>
      <w:proofErr w:type="spellStart"/>
      <w:r w:rsidRPr="00584E5A">
        <w:rPr>
          <w:rFonts w:eastAsia="Times New Roman" w:cstheme="minorHAnsi"/>
          <w:lang w:eastAsia="en-GB"/>
        </w:rPr>
        <w:t>Ruygrok</w:t>
      </w:r>
      <w:proofErr w:type="spellEnd"/>
      <w:r w:rsidRPr="00584E5A">
        <w:rPr>
          <w:rFonts w:eastAsia="Times New Roman" w:cstheme="minorHAnsi"/>
          <w:lang w:eastAsia="en-GB"/>
        </w:rPr>
        <w:t xml:space="preserve"> P, Stewart R. Evaluation of a novel sphygmomanometer, which estimates central aortic blood pressure from analysis of brachial artery </w:t>
      </w:r>
      <w:proofErr w:type="spellStart"/>
      <w:r w:rsidRPr="00584E5A">
        <w:rPr>
          <w:rFonts w:eastAsia="Times New Roman" w:cstheme="minorHAnsi"/>
          <w:lang w:eastAsia="en-GB"/>
        </w:rPr>
        <w:t>suprasystolic</w:t>
      </w:r>
      <w:proofErr w:type="spellEnd"/>
      <w:r w:rsidRPr="00584E5A">
        <w:rPr>
          <w:rFonts w:eastAsia="Times New Roman" w:cstheme="minorHAnsi"/>
          <w:lang w:eastAsia="en-GB"/>
        </w:rPr>
        <w:t xml:space="preserve"> pressure waves. J </w:t>
      </w:r>
      <w:proofErr w:type="spellStart"/>
      <w:r w:rsidRPr="00584E5A">
        <w:rPr>
          <w:rFonts w:eastAsia="Times New Roman" w:cstheme="minorHAnsi"/>
          <w:lang w:eastAsia="en-GB"/>
        </w:rPr>
        <w:t>Hypertens</w:t>
      </w:r>
      <w:proofErr w:type="spellEnd"/>
      <w:r w:rsidRPr="00584E5A">
        <w:rPr>
          <w:rFonts w:eastAsia="Times New Roman" w:cstheme="minorHAnsi"/>
          <w:i/>
          <w:lang w:eastAsia="en-GB"/>
        </w:rPr>
        <w:t xml:space="preserve"> </w:t>
      </w:r>
      <w:r w:rsidRPr="00584E5A">
        <w:rPr>
          <w:rFonts w:eastAsia="Times New Roman" w:cstheme="minorHAnsi"/>
          <w:lang w:eastAsia="en-GB"/>
        </w:rPr>
        <w:t xml:space="preserve">2012; </w:t>
      </w:r>
      <w:r w:rsidRPr="00584E5A">
        <w:rPr>
          <w:rFonts w:eastAsia="Times New Roman" w:cstheme="minorHAnsi"/>
          <w:b/>
          <w:lang w:eastAsia="en-GB"/>
        </w:rPr>
        <w:t>30</w:t>
      </w:r>
      <w:r w:rsidRPr="00584E5A">
        <w:rPr>
          <w:rFonts w:eastAsia="Times New Roman" w:cstheme="minorHAnsi"/>
          <w:lang w:eastAsia="en-GB"/>
        </w:rPr>
        <w:t>: 1743-1750.</w:t>
      </w:r>
    </w:p>
    <w:p w14:paraId="5583FA38"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 xml:space="preserve">Hwang M-H, </w:t>
      </w:r>
      <w:proofErr w:type="spellStart"/>
      <w:r w:rsidRPr="00584E5A">
        <w:rPr>
          <w:rFonts w:eastAsia="Times New Roman" w:cstheme="minorHAnsi"/>
          <w:lang w:eastAsia="en-GB"/>
        </w:rPr>
        <w:t>Yoo</w:t>
      </w:r>
      <w:proofErr w:type="spellEnd"/>
      <w:r w:rsidRPr="00584E5A">
        <w:rPr>
          <w:rFonts w:eastAsia="Times New Roman" w:cstheme="minorHAnsi"/>
          <w:lang w:eastAsia="en-GB"/>
        </w:rPr>
        <w:t xml:space="preserve"> J-K, Kim H-K, Hwang C-L, Mackay K, </w:t>
      </w:r>
      <w:proofErr w:type="spellStart"/>
      <w:r w:rsidRPr="00584E5A">
        <w:rPr>
          <w:rFonts w:eastAsia="Times New Roman" w:cstheme="minorHAnsi"/>
          <w:lang w:eastAsia="en-GB"/>
        </w:rPr>
        <w:t>Hemstreet</w:t>
      </w:r>
      <w:proofErr w:type="spellEnd"/>
      <w:r w:rsidRPr="00584E5A">
        <w:rPr>
          <w:rFonts w:eastAsia="Times New Roman" w:cstheme="minorHAnsi"/>
          <w:lang w:eastAsia="en-GB"/>
        </w:rPr>
        <w:t xml:space="preserve"> O, Nichols WW, Christou, DD. Validity and reliability of aortic pulse wave velocity and augmentation index determined by the new cuff-based </w:t>
      </w:r>
      <w:proofErr w:type="spellStart"/>
      <w:r w:rsidRPr="00584E5A">
        <w:rPr>
          <w:rFonts w:eastAsia="Times New Roman" w:cstheme="minorHAnsi"/>
          <w:lang w:eastAsia="en-GB"/>
        </w:rPr>
        <w:t>SphygmoCor</w:t>
      </w:r>
      <w:proofErr w:type="spellEnd"/>
      <w:r w:rsidRPr="00584E5A">
        <w:rPr>
          <w:rFonts w:eastAsia="Times New Roman" w:cstheme="minorHAnsi"/>
          <w:lang w:eastAsia="en-GB"/>
        </w:rPr>
        <w:t xml:space="preserve"> Xcel</w:t>
      </w:r>
      <w:r w:rsidRPr="00584E5A">
        <w:rPr>
          <w:rFonts w:eastAsia="Times New Roman" w:cstheme="minorHAnsi"/>
          <w:i/>
          <w:lang w:eastAsia="en-GB"/>
        </w:rPr>
        <w:t xml:space="preserve">. Journal of Human Hypertension </w:t>
      </w:r>
      <w:r w:rsidRPr="00584E5A">
        <w:rPr>
          <w:rFonts w:eastAsia="Times New Roman" w:cstheme="minorHAnsi"/>
          <w:lang w:eastAsia="en-GB"/>
        </w:rPr>
        <w:t xml:space="preserve">2014; </w:t>
      </w:r>
      <w:r w:rsidRPr="00584E5A">
        <w:rPr>
          <w:rFonts w:eastAsia="Times New Roman" w:cstheme="minorHAnsi"/>
          <w:b/>
          <w:lang w:eastAsia="en-GB"/>
        </w:rPr>
        <w:t>28</w:t>
      </w:r>
      <w:r w:rsidRPr="00584E5A">
        <w:rPr>
          <w:rFonts w:eastAsia="Times New Roman" w:cstheme="minorHAnsi"/>
          <w:lang w:eastAsia="en-GB"/>
        </w:rPr>
        <w:t>: 475-481.</w:t>
      </w:r>
    </w:p>
    <w:p w14:paraId="4323295C" w14:textId="5A50B771"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Calibri" w:cstheme="minorHAnsi"/>
        </w:rPr>
        <w:t>Butlin</w:t>
      </w:r>
      <w:proofErr w:type="spellEnd"/>
      <w:r w:rsidRPr="00584E5A">
        <w:rPr>
          <w:rFonts w:eastAsia="Calibri" w:cstheme="minorHAnsi"/>
        </w:rPr>
        <w:t xml:space="preserve"> M, </w:t>
      </w:r>
      <w:proofErr w:type="spellStart"/>
      <w:r w:rsidRPr="00584E5A">
        <w:rPr>
          <w:rFonts w:eastAsia="Calibri" w:cstheme="minorHAnsi"/>
        </w:rPr>
        <w:t>Qasem</w:t>
      </w:r>
      <w:proofErr w:type="spellEnd"/>
      <w:r w:rsidRPr="00584E5A">
        <w:rPr>
          <w:rFonts w:eastAsia="Calibri" w:cstheme="minorHAnsi"/>
        </w:rPr>
        <w:t xml:space="preserve"> A, </w:t>
      </w:r>
      <w:proofErr w:type="spellStart"/>
      <w:r w:rsidRPr="00584E5A">
        <w:rPr>
          <w:rFonts w:eastAsia="Calibri" w:cstheme="minorHAnsi"/>
        </w:rPr>
        <w:t>Avolio</w:t>
      </w:r>
      <w:proofErr w:type="spellEnd"/>
      <w:r w:rsidRPr="00584E5A">
        <w:rPr>
          <w:rFonts w:eastAsia="Calibri" w:cstheme="minorHAnsi"/>
        </w:rPr>
        <w:t xml:space="preserve"> AP. Estimation of central aortic pressure waveform features derived from the brachial cuff volume displacement waveform. </w:t>
      </w:r>
      <w:proofErr w:type="spellStart"/>
      <w:r w:rsidRPr="00584E5A">
        <w:rPr>
          <w:rFonts w:eastAsia="Calibri" w:cstheme="minorHAnsi"/>
        </w:rPr>
        <w:t>Conf</w:t>
      </w:r>
      <w:proofErr w:type="spellEnd"/>
      <w:r w:rsidRPr="00584E5A">
        <w:rPr>
          <w:rFonts w:eastAsia="Calibri" w:cstheme="minorHAnsi"/>
        </w:rPr>
        <w:t xml:space="preserve"> </w:t>
      </w:r>
      <w:proofErr w:type="spellStart"/>
      <w:r w:rsidRPr="00584E5A">
        <w:rPr>
          <w:rFonts w:eastAsia="Calibri" w:cstheme="minorHAnsi"/>
        </w:rPr>
        <w:t>Proc</w:t>
      </w:r>
      <w:proofErr w:type="spellEnd"/>
      <w:r w:rsidRPr="00584E5A">
        <w:rPr>
          <w:rFonts w:eastAsia="Calibri" w:cstheme="minorHAnsi"/>
        </w:rPr>
        <w:t xml:space="preserve"> IEEE </w:t>
      </w:r>
      <w:proofErr w:type="spellStart"/>
      <w:r w:rsidRPr="00584E5A">
        <w:rPr>
          <w:rFonts w:eastAsia="Calibri" w:cstheme="minorHAnsi"/>
        </w:rPr>
        <w:t>Eng</w:t>
      </w:r>
      <w:proofErr w:type="spellEnd"/>
      <w:r w:rsidRPr="00584E5A">
        <w:rPr>
          <w:rFonts w:eastAsia="Calibri" w:cstheme="minorHAnsi"/>
        </w:rPr>
        <w:t xml:space="preserve"> Med </w:t>
      </w:r>
      <w:proofErr w:type="spellStart"/>
      <w:r w:rsidRPr="00584E5A">
        <w:rPr>
          <w:rFonts w:eastAsia="Calibri" w:cstheme="minorHAnsi"/>
        </w:rPr>
        <w:t>Biol</w:t>
      </w:r>
      <w:proofErr w:type="spellEnd"/>
      <w:r w:rsidRPr="00584E5A">
        <w:rPr>
          <w:rFonts w:eastAsia="Calibri" w:cstheme="minorHAnsi"/>
        </w:rPr>
        <w:t xml:space="preserve"> </w:t>
      </w:r>
      <w:proofErr w:type="spellStart"/>
      <w:r w:rsidRPr="00584E5A">
        <w:rPr>
          <w:rFonts w:eastAsia="Calibri" w:cstheme="minorHAnsi"/>
        </w:rPr>
        <w:t>Soc</w:t>
      </w:r>
      <w:proofErr w:type="spellEnd"/>
      <w:r w:rsidRPr="00584E5A">
        <w:rPr>
          <w:rFonts w:eastAsia="Calibri" w:cstheme="minorHAnsi"/>
        </w:rPr>
        <w:t xml:space="preserve"> 2012: 2591-2594.</w:t>
      </w:r>
    </w:p>
    <w:p w14:paraId="659A59D8" w14:textId="369EC800" w:rsidR="00D13468" w:rsidRPr="00584E5A" w:rsidRDefault="00D13468" w:rsidP="0057660F">
      <w:pPr>
        <w:pStyle w:val="ListParagraph"/>
        <w:numPr>
          <w:ilvl w:val="0"/>
          <w:numId w:val="1"/>
        </w:numPr>
        <w:spacing w:after="160" w:line="480" w:lineRule="auto"/>
        <w:jc w:val="both"/>
        <w:rPr>
          <w:rFonts w:eastAsia="Calibri" w:cstheme="minorHAnsi"/>
        </w:rPr>
      </w:pPr>
      <w:r w:rsidRPr="00584E5A">
        <w:rPr>
          <w:rFonts w:eastAsia="Calibri" w:cstheme="minorHAnsi"/>
        </w:rPr>
        <w:t xml:space="preserve">Shoji </w:t>
      </w:r>
      <w:r w:rsidRPr="00584E5A">
        <w:rPr>
          <w:rFonts w:eastAsia="Times New Roman"/>
        </w:rPr>
        <w:t xml:space="preserve">T, </w:t>
      </w:r>
      <w:proofErr w:type="spellStart"/>
      <w:r w:rsidRPr="00584E5A">
        <w:rPr>
          <w:rFonts w:eastAsia="Times New Roman"/>
        </w:rPr>
        <w:t>Nakagomi</w:t>
      </w:r>
      <w:proofErr w:type="spellEnd"/>
      <w:r w:rsidRPr="00584E5A">
        <w:rPr>
          <w:rFonts w:eastAsia="Times New Roman"/>
        </w:rPr>
        <w:t xml:space="preserve"> A, Okada S, </w:t>
      </w:r>
      <w:proofErr w:type="spellStart"/>
      <w:r w:rsidRPr="00584E5A">
        <w:rPr>
          <w:rFonts w:eastAsia="Times New Roman"/>
        </w:rPr>
        <w:t>Ohno</w:t>
      </w:r>
      <w:proofErr w:type="spellEnd"/>
      <w:r w:rsidRPr="00584E5A">
        <w:rPr>
          <w:rFonts w:eastAsia="Times New Roman"/>
        </w:rPr>
        <w:t xml:space="preserve"> Y, Kobayashi Y. Invasive validation of a novel brachial cuff-based </w:t>
      </w:r>
      <w:proofErr w:type="spellStart"/>
      <w:r w:rsidRPr="00584E5A">
        <w:rPr>
          <w:rFonts w:eastAsia="Times New Roman"/>
        </w:rPr>
        <w:t>oscillometric</w:t>
      </w:r>
      <w:proofErr w:type="spellEnd"/>
      <w:r w:rsidRPr="00584E5A">
        <w:rPr>
          <w:rFonts w:eastAsia="Times New Roman"/>
        </w:rPr>
        <w:t xml:space="preserve"> device (</w:t>
      </w:r>
      <w:proofErr w:type="spellStart"/>
      <w:r w:rsidRPr="00584E5A">
        <w:rPr>
          <w:rFonts w:eastAsia="Times New Roman"/>
        </w:rPr>
        <w:t>SphygmoCor</w:t>
      </w:r>
      <w:proofErr w:type="spellEnd"/>
      <w:r w:rsidRPr="00584E5A">
        <w:rPr>
          <w:rFonts w:eastAsia="Times New Roman"/>
        </w:rPr>
        <w:t xml:space="preserve"> XCEL) for measuring central blood pressure. Journal of Hypertension. 2017; </w:t>
      </w:r>
      <w:r w:rsidRPr="00584E5A">
        <w:rPr>
          <w:rFonts w:eastAsia="Times New Roman"/>
          <w:b/>
        </w:rPr>
        <w:t>35:</w:t>
      </w:r>
      <w:r w:rsidRPr="00584E5A">
        <w:rPr>
          <w:rFonts w:eastAsia="Times New Roman"/>
        </w:rPr>
        <w:t xml:space="preserve"> 69-75</w:t>
      </w:r>
    </w:p>
    <w:p w14:paraId="36F6814B"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Calibri" w:cstheme="minorHAnsi"/>
        </w:rPr>
        <w:t>Cavelaars</w:t>
      </w:r>
      <w:proofErr w:type="spellEnd"/>
      <w:r w:rsidRPr="00584E5A">
        <w:rPr>
          <w:rFonts w:eastAsia="Calibri" w:cstheme="minorHAnsi"/>
        </w:rPr>
        <w:t xml:space="preserve"> M, </w:t>
      </w:r>
      <w:proofErr w:type="spellStart"/>
      <w:r w:rsidRPr="00584E5A">
        <w:rPr>
          <w:rFonts w:eastAsia="Calibri" w:cstheme="minorHAnsi"/>
        </w:rPr>
        <w:t>Tulen</w:t>
      </w:r>
      <w:proofErr w:type="spellEnd"/>
      <w:r w:rsidRPr="00584E5A">
        <w:rPr>
          <w:rFonts w:eastAsia="Calibri" w:cstheme="minorHAnsi"/>
        </w:rPr>
        <w:t xml:space="preserve"> JH, van </w:t>
      </w:r>
      <w:proofErr w:type="spellStart"/>
      <w:r w:rsidRPr="00584E5A">
        <w:rPr>
          <w:rFonts w:eastAsia="Calibri" w:cstheme="minorHAnsi"/>
        </w:rPr>
        <w:t>Bemmel</w:t>
      </w:r>
      <w:proofErr w:type="spellEnd"/>
      <w:r w:rsidRPr="00584E5A">
        <w:rPr>
          <w:rFonts w:eastAsia="Calibri" w:cstheme="minorHAnsi"/>
        </w:rPr>
        <w:t xml:space="preserve"> JH, Mulder PG, van den </w:t>
      </w:r>
      <w:proofErr w:type="spellStart"/>
      <w:r w:rsidRPr="00584E5A">
        <w:rPr>
          <w:rFonts w:eastAsia="Calibri" w:cstheme="minorHAnsi"/>
        </w:rPr>
        <w:t>Meiracker</w:t>
      </w:r>
      <w:proofErr w:type="spellEnd"/>
      <w:r w:rsidRPr="00584E5A">
        <w:rPr>
          <w:rFonts w:eastAsia="Calibri" w:cstheme="minorHAnsi"/>
        </w:rPr>
        <w:t xml:space="preserve"> AH. Reproducibility of intra-arterial ambulatory blood pressure: effects of physical activity and posture</w:t>
      </w:r>
      <w:r w:rsidRPr="00584E5A">
        <w:rPr>
          <w:rFonts w:eastAsia="Calibri" w:cstheme="minorHAnsi"/>
          <w:i/>
        </w:rPr>
        <w:t xml:space="preserve">. Journal of Hypertension </w:t>
      </w:r>
      <w:r w:rsidRPr="00584E5A">
        <w:rPr>
          <w:rFonts w:eastAsia="Calibri" w:cstheme="minorHAnsi"/>
        </w:rPr>
        <w:t xml:space="preserve">2004; </w:t>
      </w:r>
      <w:r w:rsidRPr="00584E5A">
        <w:rPr>
          <w:rFonts w:eastAsia="Calibri" w:cstheme="minorHAnsi"/>
          <w:b/>
        </w:rPr>
        <w:t>22:</w:t>
      </w:r>
      <w:r w:rsidRPr="00584E5A">
        <w:rPr>
          <w:rFonts w:eastAsia="Calibri" w:cstheme="minorHAnsi"/>
        </w:rPr>
        <w:t xml:space="preserve"> 1105-1112.</w:t>
      </w:r>
    </w:p>
    <w:p w14:paraId="29CAF00A"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proofErr w:type="spellStart"/>
      <w:r w:rsidRPr="00584E5A">
        <w:rPr>
          <w:rFonts w:eastAsia="Times New Roman" w:cstheme="minorHAnsi"/>
          <w:lang w:eastAsia="en-GB"/>
        </w:rPr>
        <w:t>Eser</w:t>
      </w:r>
      <w:proofErr w:type="spellEnd"/>
      <w:r w:rsidRPr="00584E5A">
        <w:rPr>
          <w:rFonts w:eastAsia="Times New Roman" w:cstheme="minorHAnsi"/>
          <w:lang w:eastAsia="en-GB"/>
        </w:rPr>
        <w:t xml:space="preserve"> I, </w:t>
      </w:r>
      <w:proofErr w:type="spellStart"/>
      <w:r w:rsidRPr="00584E5A">
        <w:rPr>
          <w:rFonts w:eastAsia="Times New Roman" w:cstheme="minorHAnsi"/>
          <w:lang w:eastAsia="en-GB"/>
        </w:rPr>
        <w:t>Khorshid</w:t>
      </w:r>
      <w:proofErr w:type="spellEnd"/>
      <w:r w:rsidRPr="00584E5A">
        <w:rPr>
          <w:rFonts w:eastAsia="Times New Roman" w:cstheme="minorHAnsi"/>
          <w:lang w:eastAsia="en-GB"/>
        </w:rPr>
        <w:t xml:space="preserve"> L, </w:t>
      </w:r>
      <w:proofErr w:type="spellStart"/>
      <w:r w:rsidRPr="00584E5A">
        <w:rPr>
          <w:rFonts w:eastAsia="Times New Roman" w:cstheme="minorHAnsi"/>
          <w:lang w:eastAsia="en-GB"/>
        </w:rPr>
        <w:t>Gunes</w:t>
      </w:r>
      <w:proofErr w:type="spellEnd"/>
      <w:r w:rsidRPr="00584E5A">
        <w:rPr>
          <w:rFonts w:eastAsia="Times New Roman" w:cstheme="minorHAnsi"/>
          <w:lang w:eastAsia="en-GB"/>
        </w:rPr>
        <w:t xml:space="preserve"> UY, </w:t>
      </w:r>
      <w:proofErr w:type="spellStart"/>
      <w:r w:rsidRPr="00584E5A">
        <w:rPr>
          <w:rFonts w:eastAsia="Times New Roman" w:cstheme="minorHAnsi"/>
          <w:lang w:eastAsia="en-GB"/>
        </w:rPr>
        <w:t>Demir</w:t>
      </w:r>
      <w:proofErr w:type="spellEnd"/>
      <w:r w:rsidRPr="00584E5A">
        <w:rPr>
          <w:rFonts w:eastAsia="Times New Roman" w:cstheme="minorHAnsi"/>
          <w:lang w:eastAsia="en-GB"/>
        </w:rPr>
        <w:t xml:space="preserve"> Y. The effect of different body positions on blood pressure</w:t>
      </w:r>
      <w:r w:rsidRPr="00584E5A">
        <w:rPr>
          <w:rFonts w:eastAsia="Times New Roman" w:cstheme="minorHAnsi"/>
          <w:i/>
          <w:lang w:eastAsia="en-GB"/>
        </w:rPr>
        <w:t xml:space="preserve">. </w:t>
      </w:r>
      <w:r w:rsidRPr="00584E5A">
        <w:rPr>
          <w:rFonts w:eastAsia="Times New Roman" w:cstheme="minorHAnsi"/>
          <w:lang w:eastAsia="en-GB"/>
        </w:rPr>
        <w:t xml:space="preserve">Journal of Clinical Nursing 2007; </w:t>
      </w:r>
      <w:r w:rsidRPr="00584E5A">
        <w:rPr>
          <w:rFonts w:eastAsia="Times New Roman" w:cstheme="minorHAnsi"/>
          <w:b/>
          <w:lang w:eastAsia="en-GB"/>
        </w:rPr>
        <w:t>16:</w:t>
      </w:r>
      <w:r w:rsidRPr="00584E5A">
        <w:rPr>
          <w:rFonts w:eastAsia="Times New Roman" w:cstheme="minorHAnsi"/>
          <w:lang w:eastAsia="en-GB"/>
        </w:rPr>
        <w:t xml:space="preserve"> 137-140.</w:t>
      </w:r>
    </w:p>
    <w:p w14:paraId="696788A5"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Calibri" w:cstheme="minorHAnsi"/>
        </w:rPr>
        <w:t>Andersson</w:t>
      </w:r>
      <w:proofErr w:type="spellEnd"/>
      <w:r w:rsidRPr="00584E5A">
        <w:rPr>
          <w:rFonts w:eastAsia="Calibri" w:cstheme="minorHAnsi"/>
        </w:rPr>
        <w:t xml:space="preserve"> B, </w:t>
      </w:r>
      <w:proofErr w:type="spellStart"/>
      <w:r w:rsidRPr="00584E5A">
        <w:rPr>
          <w:rFonts w:eastAsia="Calibri" w:cstheme="minorHAnsi"/>
        </w:rPr>
        <w:t>Wallin</w:t>
      </w:r>
      <w:proofErr w:type="spellEnd"/>
      <w:r w:rsidRPr="00584E5A">
        <w:rPr>
          <w:rFonts w:eastAsia="Calibri" w:cstheme="minorHAnsi"/>
        </w:rPr>
        <w:t xml:space="preserve"> G, </w:t>
      </w:r>
      <w:proofErr w:type="spellStart"/>
      <w:r w:rsidRPr="00584E5A">
        <w:rPr>
          <w:rFonts w:eastAsia="Calibri" w:cstheme="minorHAnsi"/>
        </w:rPr>
        <w:t>Hedner</w:t>
      </w:r>
      <w:proofErr w:type="spellEnd"/>
      <w:r w:rsidRPr="00584E5A">
        <w:rPr>
          <w:rFonts w:eastAsia="Calibri" w:cstheme="minorHAnsi"/>
        </w:rPr>
        <w:t xml:space="preserve"> T, </w:t>
      </w:r>
      <w:proofErr w:type="spellStart"/>
      <w:r w:rsidRPr="00584E5A">
        <w:rPr>
          <w:rFonts w:eastAsia="Calibri" w:cstheme="minorHAnsi"/>
        </w:rPr>
        <w:t>Ahlberg</w:t>
      </w:r>
      <w:proofErr w:type="spellEnd"/>
      <w:r w:rsidRPr="00584E5A">
        <w:rPr>
          <w:rFonts w:eastAsia="Calibri" w:cstheme="minorHAnsi"/>
        </w:rPr>
        <w:t xml:space="preserve"> AC, </w:t>
      </w:r>
      <w:proofErr w:type="spellStart"/>
      <w:r w:rsidRPr="00584E5A">
        <w:rPr>
          <w:rFonts w:eastAsia="Calibri" w:cstheme="minorHAnsi"/>
        </w:rPr>
        <w:t>Andersson</w:t>
      </w:r>
      <w:proofErr w:type="spellEnd"/>
      <w:r w:rsidRPr="00584E5A">
        <w:rPr>
          <w:rFonts w:eastAsia="Calibri" w:cstheme="minorHAnsi"/>
        </w:rPr>
        <w:t xml:space="preserve"> OK. Acute effects of short-term fasting on blood pressure, circulating noradrenaline and efferent sympathetic nerve activity. </w:t>
      </w:r>
      <w:proofErr w:type="spellStart"/>
      <w:r w:rsidRPr="00584E5A">
        <w:rPr>
          <w:rFonts w:eastAsia="Calibri" w:cstheme="minorHAnsi"/>
        </w:rPr>
        <w:t>Acta</w:t>
      </w:r>
      <w:proofErr w:type="spellEnd"/>
      <w:r w:rsidRPr="00584E5A">
        <w:rPr>
          <w:rFonts w:eastAsia="Calibri" w:cstheme="minorHAnsi"/>
        </w:rPr>
        <w:t xml:space="preserve"> Med </w:t>
      </w:r>
      <w:proofErr w:type="spellStart"/>
      <w:r w:rsidRPr="00584E5A">
        <w:rPr>
          <w:rFonts w:eastAsia="Calibri" w:cstheme="minorHAnsi"/>
        </w:rPr>
        <w:t>Scand</w:t>
      </w:r>
      <w:proofErr w:type="spellEnd"/>
      <w:r w:rsidRPr="00584E5A">
        <w:rPr>
          <w:rFonts w:eastAsia="Calibri" w:cstheme="minorHAnsi"/>
          <w:i/>
        </w:rPr>
        <w:t xml:space="preserve"> </w:t>
      </w:r>
      <w:r w:rsidRPr="00584E5A">
        <w:rPr>
          <w:rFonts w:eastAsia="Calibri" w:cstheme="minorHAnsi"/>
        </w:rPr>
        <w:t xml:space="preserve">1988; </w:t>
      </w:r>
      <w:r w:rsidRPr="00584E5A">
        <w:rPr>
          <w:rFonts w:eastAsia="Calibri" w:cstheme="minorHAnsi"/>
          <w:b/>
        </w:rPr>
        <w:t>223</w:t>
      </w:r>
      <w:r w:rsidRPr="00584E5A">
        <w:rPr>
          <w:rFonts w:eastAsia="Calibri" w:cstheme="minorHAnsi"/>
        </w:rPr>
        <w:t>: 485-490.</w:t>
      </w:r>
    </w:p>
    <w:p w14:paraId="43F21A0D" w14:textId="77777777" w:rsidR="0057660F" w:rsidRPr="00584E5A" w:rsidRDefault="0057660F" w:rsidP="0057660F">
      <w:pPr>
        <w:pStyle w:val="ListParagraph"/>
        <w:numPr>
          <w:ilvl w:val="0"/>
          <w:numId w:val="1"/>
        </w:numPr>
        <w:spacing w:after="160" w:line="480" w:lineRule="auto"/>
        <w:jc w:val="both"/>
        <w:rPr>
          <w:rFonts w:eastAsia="Calibri" w:cstheme="minorHAnsi"/>
        </w:rPr>
      </w:pPr>
      <w:r w:rsidRPr="00584E5A">
        <w:rPr>
          <w:rFonts w:eastAsia="Calibri" w:cstheme="minorHAnsi"/>
        </w:rPr>
        <w:t>Ahuja KDK, Robertson IK, Ball MJ. Acute effects of food on postprandial blood pressure and measures of arterial stiffness in healthy humans. American Journal of Clinical Nutrition</w:t>
      </w:r>
      <w:r w:rsidRPr="00584E5A">
        <w:rPr>
          <w:rFonts w:eastAsia="Calibri" w:cstheme="minorHAnsi"/>
          <w:i/>
        </w:rPr>
        <w:t xml:space="preserve"> </w:t>
      </w:r>
      <w:r w:rsidRPr="00584E5A">
        <w:rPr>
          <w:rFonts w:eastAsia="Calibri" w:cstheme="minorHAnsi"/>
        </w:rPr>
        <w:t xml:space="preserve">2009; </w:t>
      </w:r>
      <w:r w:rsidRPr="00584E5A">
        <w:rPr>
          <w:rFonts w:eastAsia="Calibri" w:cstheme="minorHAnsi"/>
          <w:b/>
        </w:rPr>
        <w:t>90</w:t>
      </w:r>
      <w:r w:rsidRPr="00584E5A">
        <w:rPr>
          <w:rFonts w:eastAsia="Calibri" w:cstheme="minorHAnsi"/>
        </w:rPr>
        <w:t>: 298-303.</w:t>
      </w:r>
    </w:p>
    <w:p w14:paraId="39DE4515" w14:textId="77777777" w:rsidR="0057660F" w:rsidRPr="00584E5A" w:rsidRDefault="0057660F" w:rsidP="0057660F">
      <w:pPr>
        <w:pStyle w:val="ListParagraph"/>
        <w:numPr>
          <w:ilvl w:val="0"/>
          <w:numId w:val="1"/>
        </w:numPr>
        <w:spacing w:after="160" w:line="480" w:lineRule="auto"/>
        <w:jc w:val="both"/>
        <w:rPr>
          <w:rFonts w:eastAsia="Calibri" w:cstheme="minorHAnsi"/>
        </w:rPr>
      </w:pPr>
      <w:r w:rsidRPr="00584E5A">
        <w:t xml:space="preserve">von Elm E, Altman DG, Egger M, </w:t>
      </w:r>
      <w:proofErr w:type="spellStart"/>
      <w:r w:rsidRPr="00584E5A">
        <w:t>Pocock</w:t>
      </w:r>
      <w:proofErr w:type="spellEnd"/>
      <w:r w:rsidRPr="00584E5A">
        <w:t xml:space="preserve"> SJ, </w:t>
      </w:r>
      <w:proofErr w:type="spellStart"/>
      <w:r w:rsidRPr="00584E5A">
        <w:t>Gotzsche</w:t>
      </w:r>
      <w:proofErr w:type="spellEnd"/>
      <w:r w:rsidRPr="00584E5A">
        <w:t xml:space="preserve"> PC, </w:t>
      </w:r>
      <w:proofErr w:type="spellStart"/>
      <w:r w:rsidRPr="00584E5A">
        <w:t>Vandenbroucke</w:t>
      </w:r>
      <w:proofErr w:type="spellEnd"/>
      <w:r w:rsidRPr="00584E5A">
        <w:t xml:space="preserve"> JP, Initiative S. The Strengthening the Reporting of Observational Studies in Epidemiology (STROBE) statement: guidelines for reporting observational studies. </w:t>
      </w:r>
      <w:r w:rsidRPr="00584E5A">
        <w:rPr>
          <w:i/>
        </w:rPr>
        <w:t xml:space="preserve">Lancet. </w:t>
      </w:r>
      <w:r w:rsidRPr="00584E5A">
        <w:t>2007;</w:t>
      </w:r>
      <w:r w:rsidRPr="00584E5A">
        <w:rPr>
          <w:b/>
        </w:rPr>
        <w:t xml:space="preserve"> 370</w:t>
      </w:r>
      <w:r w:rsidRPr="00584E5A">
        <w:t>: 1453-1457.</w:t>
      </w:r>
    </w:p>
    <w:p w14:paraId="1F0D00BC"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cs="Arial"/>
          <w:lang w:val="en"/>
        </w:rPr>
        <w:lastRenderedPageBreak/>
        <w:t>Faul</w:t>
      </w:r>
      <w:proofErr w:type="spellEnd"/>
      <w:r w:rsidRPr="00584E5A">
        <w:rPr>
          <w:rFonts w:cs="Arial"/>
          <w:lang w:val="en"/>
        </w:rPr>
        <w:t xml:space="preserve"> F, </w:t>
      </w:r>
      <w:proofErr w:type="spellStart"/>
      <w:r w:rsidRPr="00584E5A">
        <w:rPr>
          <w:rFonts w:cs="Arial"/>
          <w:lang w:val="en"/>
        </w:rPr>
        <w:t>Erdfelder</w:t>
      </w:r>
      <w:proofErr w:type="spellEnd"/>
      <w:r w:rsidRPr="00584E5A">
        <w:rPr>
          <w:rFonts w:cs="Arial"/>
          <w:lang w:val="en"/>
        </w:rPr>
        <w:t xml:space="preserve"> E, Lang AG, Buchner A. G*Power 3: A flexible statistical power analysis program for the social, behavioral, and biomedical sciences. </w:t>
      </w:r>
      <w:r w:rsidRPr="00584E5A">
        <w:rPr>
          <w:rFonts w:cs="Arial"/>
          <w:iCs/>
          <w:lang w:val="en"/>
        </w:rPr>
        <w:t>Behavior Research Methods</w:t>
      </w:r>
      <w:r w:rsidRPr="00584E5A">
        <w:rPr>
          <w:rFonts w:cs="Arial"/>
          <w:lang w:val="en"/>
        </w:rPr>
        <w:t xml:space="preserve">, 2007; </w:t>
      </w:r>
      <w:r w:rsidRPr="00584E5A">
        <w:rPr>
          <w:rFonts w:cs="Arial"/>
          <w:b/>
          <w:i/>
          <w:iCs/>
          <w:lang w:val="en"/>
        </w:rPr>
        <w:t>39</w:t>
      </w:r>
      <w:r w:rsidRPr="00584E5A">
        <w:rPr>
          <w:rFonts w:cs="Arial"/>
          <w:lang w:val="en"/>
        </w:rPr>
        <w:t>: 175-191.</w:t>
      </w:r>
    </w:p>
    <w:p w14:paraId="50E1F86C" w14:textId="2F7089A2"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 xml:space="preserve">Cohen J. </w:t>
      </w:r>
      <w:r w:rsidRPr="00584E5A">
        <w:rPr>
          <w:rFonts w:eastAsia="Times New Roman" w:cstheme="minorHAnsi"/>
          <w:i/>
          <w:lang w:eastAsia="en-GB"/>
        </w:rPr>
        <w:t xml:space="preserve">Statistical power analysis for the </w:t>
      </w:r>
      <w:proofErr w:type="spellStart"/>
      <w:r w:rsidRPr="00584E5A">
        <w:rPr>
          <w:rFonts w:eastAsia="Times New Roman" w:cstheme="minorHAnsi"/>
          <w:i/>
          <w:lang w:eastAsia="en-GB"/>
        </w:rPr>
        <w:t>behavioral</w:t>
      </w:r>
      <w:proofErr w:type="spellEnd"/>
      <w:r w:rsidRPr="00584E5A">
        <w:rPr>
          <w:rFonts w:eastAsia="Times New Roman" w:cstheme="minorHAnsi"/>
          <w:i/>
          <w:lang w:eastAsia="en-GB"/>
        </w:rPr>
        <w:t xml:space="preserve"> sciences</w:t>
      </w:r>
      <w:r w:rsidRPr="00584E5A">
        <w:rPr>
          <w:rFonts w:eastAsia="Times New Roman" w:cstheme="minorHAnsi"/>
          <w:lang w:eastAsia="en-GB"/>
        </w:rPr>
        <w:t>. New York; London: Academic Press; 1969.</w:t>
      </w:r>
    </w:p>
    <w:p w14:paraId="6ACCEF63" w14:textId="7263CD14" w:rsidR="007516EC" w:rsidRPr="00584E5A" w:rsidRDefault="0066354C" w:rsidP="007516EC">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proofErr w:type="spellStart"/>
      <w:r w:rsidRPr="00584E5A">
        <w:rPr>
          <w:rFonts w:eastAsia="Times New Roman" w:cstheme="minorHAnsi"/>
          <w:lang w:eastAsia="en-GB"/>
        </w:rPr>
        <w:t>Whelton</w:t>
      </w:r>
      <w:proofErr w:type="spellEnd"/>
      <w:r w:rsidRPr="00584E5A">
        <w:rPr>
          <w:rFonts w:eastAsia="Times New Roman" w:cstheme="minorHAnsi"/>
          <w:lang w:eastAsia="en-GB"/>
        </w:rPr>
        <w:t xml:space="preserve"> PK, Carey RM, </w:t>
      </w:r>
      <w:proofErr w:type="spellStart"/>
      <w:r w:rsidRPr="00584E5A">
        <w:rPr>
          <w:rFonts w:eastAsia="Times New Roman" w:cstheme="minorHAnsi"/>
          <w:lang w:eastAsia="en-GB"/>
        </w:rPr>
        <w:t>Aronow</w:t>
      </w:r>
      <w:proofErr w:type="spellEnd"/>
      <w:r w:rsidRPr="00584E5A">
        <w:rPr>
          <w:rFonts w:eastAsia="Times New Roman" w:cstheme="minorHAnsi"/>
          <w:lang w:eastAsia="en-GB"/>
        </w:rPr>
        <w:t xml:space="preserve"> WS, Casey DE, Collins KJ, </w:t>
      </w:r>
      <w:proofErr w:type="spellStart"/>
      <w:r w:rsidRPr="00584E5A">
        <w:rPr>
          <w:rFonts w:eastAsia="Times New Roman" w:cstheme="minorHAnsi"/>
          <w:lang w:eastAsia="en-GB"/>
        </w:rPr>
        <w:t>Himmelfarb</w:t>
      </w:r>
      <w:proofErr w:type="spellEnd"/>
      <w:r w:rsidRPr="00584E5A">
        <w:rPr>
          <w:rFonts w:eastAsia="Times New Roman" w:cstheme="minorHAnsi"/>
          <w:lang w:eastAsia="en-GB"/>
        </w:rPr>
        <w:t xml:space="preserve"> CD et al. 2017 ACC/AHA/AAPA/ABC/ACPM/AGS/</w:t>
      </w:r>
      <w:proofErr w:type="spellStart"/>
      <w:r w:rsidRPr="00584E5A">
        <w:rPr>
          <w:rFonts w:eastAsia="Times New Roman" w:cstheme="minorHAnsi"/>
          <w:lang w:eastAsia="en-GB"/>
        </w:rPr>
        <w:t>APhA</w:t>
      </w:r>
      <w:proofErr w:type="spellEnd"/>
      <w:r w:rsidRPr="00584E5A">
        <w:rPr>
          <w:rFonts w:eastAsia="Times New Roman" w:cstheme="minorHAnsi"/>
          <w:lang w:eastAsia="en-GB"/>
        </w:rPr>
        <w:t xml:space="preserve">/ASH/ASPC/NMA/PCNA guideline for the prevention, detection, evaluation, and management of high blood pressure in adults. Hypertension. </w:t>
      </w:r>
      <w:r w:rsidR="007516EC" w:rsidRPr="00584E5A">
        <w:rPr>
          <w:rFonts w:eastAsia="Times New Roman" w:cstheme="minorHAnsi"/>
          <w:lang w:eastAsia="en-GB"/>
        </w:rPr>
        <w:t xml:space="preserve">2017: </w:t>
      </w:r>
      <w:proofErr w:type="spellStart"/>
      <w:r w:rsidR="007516EC" w:rsidRPr="00584E5A">
        <w:rPr>
          <w:rFonts w:eastAsia="Times New Roman" w:cstheme="minorHAnsi"/>
          <w:lang w:eastAsia="en-GB"/>
        </w:rPr>
        <w:t>doi</w:t>
      </w:r>
      <w:proofErr w:type="spellEnd"/>
      <w:r w:rsidR="007516EC" w:rsidRPr="00584E5A">
        <w:rPr>
          <w:rFonts w:eastAsia="Times New Roman" w:cstheme="minorHAnsi"/>
          <w:lang w:eastAsia="en-GB"/>
        </w:rPr>
        <w:t>: 10.1161.HYP.0000000000000066.</w:t>
      </w:r>
    </w:p>
    <w:p w14:paraId="249A835D"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 xml:space="preserve">Gerber K, </w:t>
      </w:r>
      <w:proofErr w:type="spellStart"/>
      <w:r w:rsidRPr="00584E5A">
        <w:rPr>
          <w:rFonts w:eastAsia="Times New Roman" w:cstheme="minorHAnsi"/>
          <w:lang w:eastAsia="en-GB"/>
        </w:rPr>
        <w:t>Haedt</w:t>
      </w:r>
      <w:proofErr w:type="spellEnd"/>
      <w:r w:rsidRPr="00584E5A">
        <w:rPr>
          <w:rFonts w:eastAsia="Times New Roman" w:cstheme="minorHAnsi"/>
          <w:lang w:eastAsia="en-GB"/>
        </w:rPr>
        <w:t xml:space="preserve"> N, </w:t>
      </w:r>
      <w:proofErr w:type="spellStart"/>
      <w:r w:rsidRPr="00584E5A">
        <w:rPr>
          <w:rFonts w:eastAsia="Times New Roman" w:cstheme="minorHAnsi"/>
          <w:lang w:eastAsia="en-GB"/>
        </w:rPr>
        <w:t>Schany</w:t>
      </w:r>
      <w:proofErr w:type="spellEnd"/>
      <w:r w:rsidRPr="00584E5A">
        <w:rPr>
          <w:rFonts w:eastAsia="Times New Roman" w:cstheme="minorHAnsi"/>
          <w:lang w:eastAsia="en-GB"/>
        </w:rPr>
        <w:t xml:space="preserve"> B, Bunker A. Effects of arm and body position when measuring blood pressure in young healthy males and females. BIO</w:t>
      </w:r>
      <w:r w:rsidRPr="00584E5A">
        <w:rPr>
          <w:rFonts w:eastAsia="Times New Roman" w:cstheme="minorHAnsi"/>
          <w:i/>
          <w:lang w:eastAsia="en-GB"/>
        </w:rPr>
        <w:t xml:space="preserve"> </w:t>
      </w:r>
      <w:r w:rsidRPr="00584E5A">
        <w:rPr>
          <w:rFonts w:eastAsia="Times New Roman" w:cstheme="minorHAnsi"/>
          <w:lang w:eastAsia="en-GB"/>
        </w:rPr>
        <w:t xml:space="preserve">2015; </w:t>
      </w:r>
      <w:r w:rsidRPr="00584E5A">
        <w:rPr>
          <w:rFonts w:eastAsia="Times New Roman" w:cstheme="minorHAnsi"/>
          <w:b/>
          <w:lang w:eastAsia="en-GB"/>
        </w:rPr>
        <w:t>86</w:t>
      </w:r>
      <w:r w:rsidRPr="00584E5A">
        <w:rPr>
          <w:rFonts w:eastAsia="Times New Roman" w:cstheme="minorHAnsi"/>
          <w:lang w:eastAsia="en-GB"/>
        </w:rPr>
        <w:t>: 1-9.</w:t>
      </w:r>
    </w:p>
    <w:p w14:paraId="56AE5D2D" w14:textId="042897B1" w:rsidR="008A0A84" w:rsidRPr="00584E5A" w:rsidRDefault="008A0A84" w:rsidP="00C63F8E">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 xml:space="preserve">Stoner L, Faulkner J, Lowe, </w:t>
      </w:r>
      <w:proofErr w:type="gramStart"/>
      <w:r w:rsidRPr="00584E5A">
        <w:rPr>
          <w:rFonts w:eastAsia="Times New Roman" w:cstheme="minorHAnsi"/>
          <w:lang w:eastAsia="en-GB"/>
        </w:rPr>
        <w:t>A</w:t>
      </w:r>
      <w:proofErr w:type="gramEnd"/>
      <w:r w:rsidRPr="00584E5A">
        <w:rPr>
          <w:rFonts w:eastAsia="Times New Roman" w:cstheme="minorHAnsi"/>
          <w:lang w:eastAsia="en-GB"/>
        </w:rPr>
        <w:t xml:space="preserve">, Lambrick, D, Young, JM, Love R, Rowlands S. Should the augmentation index be normalized to heart rate? Journal of Atherosclerosis and Thrombosis, 2013; </w:t>
      </w:r>
      <w:r w:rsidRPr="00584E5A">
        <w:rPr>
          <w:rFonts w:eastAsia="Times New Roman" w:cstheme="minorHAnsi"/>
          <w:b/>
          <w:lang w:eastAsia="en-GB"/>
        </w:rPr>
        <w:t>21</w:t>
      </w:r>
      <w:r w:rsidRPr="00584E5A">
        <w:rPr>
          <w:rFonts w:eastAsia="Times New Roman" w:cstheme="minorHAnsi"/>
          <w:lang w:eastAsia="en-GB"/>
        </w:rPr>
        <w:t>: 11-16.</w:t>
      </w:r>
    </w:p>
    <w:p w14:paraId="222B009F" w14:textId="77777777" w:rsidR="00C63F8E" w:rsidRPr="00584E5A" w:rsidRDefault="00937434" w:rsidP="00C63F8E">
      <w:pPr>
        <w:pStyle w:val="ListParagraph"/>
        <w:numPr>
          <w:ilvl w:val="0"/>
          <w:numId w:val="1"/>
        </w:numPr>
        <w:shd w:val="clear" w:color="auto" w:fill="FFFFFF"/>
        <w:spacing w:after="0" w:line="480" w:lineRule="auto"/>
        <w:jc w:val="both"/>
      </w:pPr>
      <w:proofErr w:type="spellStart"/>
      <w:r w:rsidRPr="00584E5A">
        <w:rPr>
          <w:rFonts w:eastAsia="Times New Roman" w:cs="Times New Roman"/>
          <w:lang w:val="en" w:eastAsia="en-GB"/>
        </w:rPr>
        <w:t>Morabia</w:t>
      </w:r>
      <w:proofErr w:type="spellEnd"/>
      <w:r w:rsidRPr="00584E5A">
        <w:rPr>
          <w:rFonts w:eastAsia="Times New Roman" w:cs="Times New Roman"/>
          <w:lang w:val="en" w:eastAsia="en-GB"/>
        </w:rPr>
        <w:t xml:space="preserve"> A, </w:t>
      </w:r>
      <w:proofErr w:type="spellStart"/>
      <w:r w:rsidRPr="00584E5A">
        <w:rPr>
          <w:rFonts w:eastAsia="Times New Roman" w:cs="Times New Roman"/>
          <w:lang w:val="en" w:eastAsia="en-GB"/>
        </w:rPr>
        <w:t>Costanza</w:t>
      </w:r>
      <w:proofErr w:type="spellEnd"/>
      <w:r w:rsidRPr="00584E5A">
        <w:rPr>
          <w:rFonts w:eastAsia="Times New Roman" w:cs="Times New Roman"/>
          <w:lang w:val="en" w:eastAsia="en-GB"/>
        </w:rPr>
        <w:t xml:space="preserve"> MC, World Health Organization Collaborative Study of Neoplasia and Steroid Contraceptives. International variability in ages at menarche, first livebirth, and menopause. Am J </w:t>
      </w:r>
      <w:proofErr w:type="spellStart"/>
      <w:r w:rsidRPr="00584E5A">
        <w:rPr>
          <w:rFonts w:eastAsia="Times New Roman" w:cs="Times New Roman"/>
          <w:lang w:val="en" w:eastAsia="en-GB"/>
        </w:rPr>
        <w:t>Epidemiol</w:t>
      </w:r>
      <w:proofErr w:type="spellEnd"/>
      <w:r w:rsidRPr="00584E5A">
        <w:rPr>
          <w:rFonts w:eastAsia="Times New Roman" w:cs="Times New Roman"/>
          <w:lang w:val="en" w:eastAsia="en-GB"/>
        </w:rPr>
        <w:t xml:space="preserve">. 1998: </w:t>
      </w:r>
      <w:r w:rsidRPr="00584E5A">
        <w:rPr>
          <w:rFonts w:eastAsia="Times New Roman" w:cs="Times New Roman"/>
          <w:b/>
          <w:lang w:val="en" w:eastAsia="en-GB"/>
        </w:rPr>
        <w:t>148</w:t>
      </w:r>
      <w:r w:rsidRPr="00584E5A">
        <w:rPr>
          <w:rFonts w:eastAsia="Times New Roman" w:cs="Times New Roman"/>
          <w:lang w:val="en" w:eastAsia="en-GB"/>
        </w:rPr>
        <w:t>; 1195 –205.</w:t>
      </w:r>
    </w:p>
    <w:p w14:paraId="43226791" w14:textId="6E6F7DF5" w:rsidR="00C63F8E" w:rsidRPr="00584E5A" w:rsidRDefault="00C63F8E" w:rsidP="00C63F8E">
      <w:pPr>
        <w:pStyle w:val="ListParagraph"/>
        <w:numPr>
          <w:ilvl w:val="0"/>
          <w:numId w:val="1"/>
        </w:numPr>
        <w:shd w:val="clear" w:color="auto" w:fill="FFFFFF"/>
        <w:spacing w:after="0" w:line="480" w:lineRule="auto"/>
        <w:jc w:val="both"/>
      </w:pPr>
      <w:r w:rsidRPr="00584E5A">
        <w:t xml:space="preserve">Johnson SA, Figueroa A, </w:t>
      </w:r>
      <w:proofErr w:type="spellStart"/>
      <w:r w:rsidRPr="00584E5A">
        <w:t>Navaei</w:t>
      </w:r>
      <w:proofErr w:type="spellEnd"/>
      <w:r w:rsidRPr="00584E5A">
        <w:t xml:space="preserve"> N, Wong A, </w:t>
      </w:r>
      <w:proofErr w:type="spellStart"/>
      <w:r w:rsidRPr="00584E5A">
        <w:t>Kalfon</w:t>
      </w:r>
      <w:proofErr w:type="spellEnd"/>
      <w:r w:rsidRPr="00584E5A">
        <w:t xml:space="preserve"> R, </w:t>
      </w:r>
      <w:proofErr w:type="spellStart"/>
      <w:r w:rsidRPr="00584E5A">
        <w:t>Ormsbee</w:t>
      </w:r>
      <w:proofErr w:type="spellEnd"/>
      <w:r w:rsidRPr="00584E5A">
        <w:t xml:space="preserve"> T et al. Daily blueberry consumption improves blood pressure and arterial stiffness in postmenopausal women with pre- and stage 1- hypertension: a randomized, double-blind, placebo-controlled clinical trial. Journal of the Academy of Nutrition and Dietetics. 2015; </w:t>
      </w:r>
      <w:r w:rsidRPr="00584E5A">
        <w:rPr>
          <w:b/>
        </w:rPr>
        <w:t>115</w:t>
      </w:r>
      <w:r w:rsidRPr="00584E5A">
        <w:t>: 369-377.</w:t>
      </w:r>
    </w:p>
    <w:p w14:paraId="2450068B" w14:textId="77777777" w:rsidR="00937434" w:rsidRPr="00584E5A" w:rsidRDefault="00937434" w:rsidP="00937434">
      <w:pPr>
        <w:pStyle w:val="ListParagraph"/>
        <w:shd w:val="clear" w:color="auto" w:fill="FFFFFF"/>
        <w:spacing w:before="100" w:beforeAutospacing="1" w:after="100" w:afterAutospacing="1" w:line="480" w:lineRule="auto"/>
        <w:ind w:left="360"/>
        <w:jc w:val="both"/>
        <w:rPr>
          <w:rFonts w:eastAsia="Times New Roman" w:cstheme="minorHAnsi"/>
          <w:lang w:eastAsia="en-GB"/>
        </w:rPr>
      </w:pPr>
    </w:p>
    <w:p w14:paraId="7A3971BE"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r w:rsidRPr="00584E5A">
        <w:rPr>
          <w:rFonts w:eastAsia="Times New Roman" w:cstheme="minorHAnsi"/>
          <w:lang w:eastAsia="en-GB"/>
        </w:rPr>
        <w:t xml:space="preserve">Xiao WK, Ye P, Bai YY, Luo LM, Wu HM, </w:t>
      </w:r>
      <w:proofErr w:type="gramStart"/>
      <w:r w:rsidRPr="00584E5A">
        <w:rPr>
          <w:rFonts w:eastAsia="Times New Roman" w:cstheme="minorHAnsi"/>
          <w:lang w:eastAsia="en-GB"/>
        </w:rPr>
        <w:t>Gao</w:t>
      </w:r>
      <w:proofErr w:type="gramEnd"/>
      <w:r w:rsidRPr="00584E5A">
        <w:rPr>
          <w:rFonts w:eastAsia="Times New Roman" w:cstheme="minorHAnsi"/>
          <w:lang w:eastAsia="en-GB"/>
        </w:rPr>
        <w:t xml:space="preserve"> P. Central pulse pressure but not brachial blood pressure is the predominant factor affecting aortic arterial stiffness. Nan Fang Yi </w:t>
      </w:r>
      <w:proofErr w:type="spellStart"/>
      <w:r w:rsidRPr="00584E5A">
        <w:rPr>
          <w:rFonts w:eastAsia="Times New Roman" w:cstheme="minorHAnsi"/>
          <w:lang w:eastAsia="en-GB"/>
        </w:rPr>
        <w:t>Ke</w:t>
      </w:r>
      <w:proofErr w:type="spellEnd"/>
      <w:r w:rsidRPr="00584E5A">
        <w:rPr>
          <w:rFonts w:eastAsia="Times New Roman" w:cstheme="minorHAnsi"/>
          <w:lang w:eastAsia="en-GB"/>
        </w:rPr>
        <w:t xml:space="preserve"> Da </w:t>
      </w:r>
      <w:proofErr w:type="spellStart"/>
      <w:r w:rsidRPr="00584E5A">
        <w:rPr>
          <w:rFonts w:eastAsia="Times New Roman" w:cstheme="minorHAnsi"/>
          <w:lang w:eastAsia="en-GB"/>
        </w:rPr>
        <w:t>Xue</w:t>
      </w:r>
      <w:proofErr w:type="spellEnd"/>
      <w:r w:rsidRPr="00584E5A">
        <w:rPr>
          <w:rFonts w:eastAsia="Times New Roman" w:cstheme="minorHAnsi"/>
          <w:lang w:eastAsia="en-GB"/>
        </w:rPr>
        <w:t xml:space="preserve"> </w:t>
      </w:r>
      <w:proofErr w:type="spellStart"/>
      <w:r w:rsidRPr="00584E5A">
        <w:rPr>
          <w:rFonts w:eastAsia="Times New Roman" w:cstheme="minorHAnsi"/>
          <w:lang w:eastAsia="en-GB"/>
        </w:rPr>
        <w:t>Xue</w:t>
      </w:r>
      <w:proofErr w:type="spellEnd"/>
      <w:r w:rsidRPr="00584E5A">
        <w:rPr>
          <w:rFonts w:eastAsia="Times New Roman" w:cstheme="minorHAnsi"/>
          <w:lang w:eastAsia="en-GB"/>
        </w:rPr>
        <w:t xml:space="preserve"> </w:t>
      </w:r>
      <w:proofErr w:type="spellStart"/>
      <w:r w:rsidRPr="00584E5A">
        <w:rPr>
          <w:rFonts w:eastAsia="Times New Roman" w:cstheme="minorHAnsi"/>
          <w:lang w:eastAsia="en-GB"/>
        </w:rPr>
        <w:t>Bao</w:t>
      </w:r>
      <w:proofErr w:type="spellEnd"/>
      <w:r w:rsidRPr="00584E5A">
        <w:rPr>
          <w:rFonts w:eastAsia="Times New Roman" w:cstheme="minorHAnsi"/>
          <w:i/>
          <w:lang w:eastAsia="en-GB"/>
        </w:rPr>
        <w:t xml:space="preserve"> </w:t>
      </w:r>
      <w:r w:rsidRPr="00584E5A">
        <w:rPr>
          <w:rFonts w:eastAsia="Times New Roman" w:cstheme="minorHAnsi"/>
          <w:lang w:eastAsia="en-GB"/>
        </w:rPr>
        <w:t xml:space="preserve">2015; </w:t>
      </w:r>
      <w:r w:rsidRPr="00584E5A">
        <w:rPr>
          <w:rFonts w:eastAsia="Times New Roman" w:cstheme="minorHAnsi"/>
          <w:b/>
          <w:lang w:eastAsia="en-GB"/>
        </w:rPr>
        <w:t>31</w:t>
      </w:r>
      <w:r w:rsidRPr="00584E5A">
        <w:rPr>
          <w:rFonts w:eastAsia="Times New Roman" w:cstheme="minorHAnsi"/>
          <w:lang w:eastAsia="en-GB"/>
        </w:rPr>
        <w:t>: 34-39.</w:t>
      </w:r>
    </w:p>
    <w:p w14:paraId="08CD8388" w14:textId="77777777" w:rsidR="0057660F" w:rsidRPr="00584E5A" w:rsidRDefault="0057660F" w:rsidP="0057660F">
      <w:pPr>
        <w:pStyle w:val="ListParagraph"/>
        <w:numPr>
          <w:ilvl w:val="0"/>
          <w:numId w:val="1"/>
        </w:numPr>
        <w:spacing w:after="160" w:line="480" w:lineRule="auto"/>
        <w:jc w:val="both"/>
        <w:rPr>
          <w:rFonts w:eastAsia="Calibri" w:cstheme="minorHAnsi"/>
        </w:rPr>
      </w:pPr>
      <w:proofErr w:type="spellStart"/>
      <w:r w:rsidRPr="00584E5A">
        <w:rPr>
          <w:rFonts w:eastAsia="Times New Roman" w:cstheme="minorHAnsi"/>
          <w:lang w:eastAsia="en-GB"/>
        </w:rPr>
        <w:lastRenderedPageBreak/>
        <w:t>Vrachatis</w:t>
      </w:r>
      <w:proofErr w:type="spellEnd"/>
      <w:r w:rsidRPr="00584E5A">
        <w:rPr>
          <w:rFonts w:eastAsia="Times New Roman" w:cstheme="minorHAnsi"/>
          <w:lang w:eastAsia="en-GB"/>
        </w:rPr>
        <w:t xml:space="preserve"> D, </w:t>
      </w:r>
      <w:proofErr w:type="spellStart"/>
      <w:r w:rsidRPr="00584E5A">
        <w:rPr>
          <w:rFonts w:eastAsia="Times New Roman" w:cstheme="minorHAnsi"/>
          <w:lang w:eastAsia="en-GB"/>
        </w:rPr>
        <w:t>Papaioannou</w:t>
      </w:r>
      <w:proofErr w:type="spellEnd"/>
      <w:r w:rsidRPr="00584E5A">
        <w:rPr>
          <w:rFonts w:eastAsia="Times New Roman" w:cstheme="minorHAnsi"/>
          <w:lang w:eastAsia="en-GB"/>
        </w:rPr>
        <w:t xml:space="preserve"> TG, </w:t>
      </w:r>
      <w:proofErr w:type="spellStart"/>
      <w:r w:rsidRPr="00584E5A">
        <w:rPr>
          <w:rFonts w:eastAsia="Times New Roman" w:cstheme="minorHAnsi"/>
          <w:lang w:eastAsia="en-GB"/>
        </w:rPr>
        <w:t>Konstantopoulou</w:t>
      </w:r>
      <w:proofErr w:type="spellEnd"/>
      <w:r w:rsidRPr="00584E5A">
        <w:rPr>
          <w:rFonts w:eastAsia="Times New Roman" w:cstheme="minorHAnsi"/>
          <w:lang w:eastAsia="en-GB"/>
        </w:rPr>
        <w:t xml:space="preserve"> A, </w:t>
      </w:r>
      <w:proofErr w:type="spellStart"/>
      <w:r w:rsidRPr="00584E5A">
        <w:rPr>
          <w:rFonts w:eastAsia="Times New Roman" w:cstheme="minorHAnsi"/>
          <w:lang w:eastAsia="en-GB"/>
        </w:rPr>
        <w:t>Nasothimiou</w:t>
      </w:r>
      <w:proofErr w:type="spellEnd"/>
      <w:r w:rsidRPr="00584E5A">
        <w:rPr>
          <w:rFonts w:eastAsia="Times New Roman" w:cstheme="minorHAnsi"/>
          <w:lang w:eastAsia="en-GB"/>
        </w:rPr>
        <w:t xml:space="preserve"> EG, </w:t>
      </w:r>
      <w:proofErr w:type="spellStart"/>
      <w:r w:rsidRPr="00584E5A">
        <w:rPr>
          <w:rFonts w:eastAsia="Times New Roman" w:cstheme="minorHAnsi"/>
          <w:lang w:eastAsia="en-GB"/>
        </w:rPr>
        <w:t>Millasseau</w:t>
      </w:r>
      <w:proofErr w:type="spellEnd"/>
      <w:r w:rsidRPr="00584E5A">
        <w:rPr>
          <w:rFonts w:eastAsia="Times New Roman" w:cstheme="minorHAnsi"/>
          <w:lang w:eastAsia="en-GB"/>
        </w:rPr>
        <w:t xml:space="preserve"> S, </w:t>
      </w:r>
      <w:proofErr w:type="spellStart"/>
      <w:r w:rsidRPr="00584E5A">
        <w:rPr>
          <w:rFonts w:eastAsia="Times New Roman" w:cstheme="minorHAnsi"/>
          <w:lang w:eastAsia="en-GB"/>
        </w:rPr>
        <w:t>Blacher</w:t>
      </w:r>
      <w:proofErr w:type="spellEnd"/>
      <w:r w:rsidRPr="00584E5A">
        <w:rPr>
          <w:rFonts w:eastAsia="Times New Roman" w:cstheme="minorHAnsi"/>
          <w:lang w:eastAsia="en-GB"/>
        </w:rPr>
        <w:t xml:space="preserve"> J </w:t>
      </w:r>
      <w:r w:rsidRPr="00584E5A">
        <w:rPr>
          <w:rFonts w:eastAsia="Times New Roman" w:cstheme="minorHAnsi"/>
          <w:i/>
          <w:lang w:eastAsia="en-GB"/>
        </w:rPr>
        <w:t>et al</w:t>
      </w:r>
      <w:r w:rsidRPr="00584E5A">
        <w:rPr>
          <w:rFonts w:eastAsia="Times New Roman" w:cstheme="minorHAnsi"/>
          <w:lang w:eastAsia="en-GB"/>
        </w:rPr>
        <w:t xml:space="preserve">. Effect of supine versus sitting position of </w:t>
      </w:r>
      <w:proofErr w:type="spellStart"/>
      <w:r w:rsidRPr="00584E5A">
        <w:rPr>
          <w:rFonts w:eastAsia="Times New Roman" w:cstheme="minorHAnsi"/>
          <w:lang w:eastAsia="en-GB"/>
        </w:rPr>
        <w:t>noninvasive</w:t>
      </w:r>
      <w:proofErr w:type="spellEnd"/>
      <w:r w:rsidRPr="00584E5A">
        <w:rPr>
          <w:rFonts w:eastAsia="Times New Roman" w:cstheme="minorHAnsi"/>
          <w:lang w:eastAsia="en-GB"/>
        </w:rPr>
        <w:t xml:space="preserve"> assessment of aortic pressure waveform: a randomized cross-over study</w:t>
      </w:r>
      <w:r w:rsidRPr="00584E5A">
        <w:rPr>
          <w:rFonts w:eastAsia="Times New Roman" w:cstheme="minorHAnsi"/>
          <w:i/>
          <w:lang w:eastAsia="en-GB"/>
        </w:rPr>
        <w:t xml:space="preserve">. Journal of Human Hypertension </w:t>
      </w:r>
      <w:r w:rsidRPr="00584E5A">
        <w:rPr>
          <w:rFonts w:eastAsia="Times New Roman" w:cstheme="minorHAnsi"/>
          <w:lang w:eastAsia="en-GB"/>
        </w:rPr>
        <w:t xml:space="preserve">2014; </w:t>
      </w:r>
      <w:r w:rsidRPr="00584E5A">
        <w:rPr>
          <w:rFonts w:eastAsia="Times New Roman" w:cstheme="minorHAnsi"/>
          <w:b/>
          <w:lang w:eastAsia="en-GB"/>
        </w:rPr>
        <w:t>28</w:t>
      </w:r>
      <w:r w:rsidRPr="00584E5A">
        <w:rPr>
          <w:rFonts w:eastAsia="Times New Roman" w:cstheme="minorHAnsi"/>
          <w:lang w:eastAsia="en-GB"/>
        </w:rPr>
        <w:t>: 236-241.</w:t>
      </w:r>
    </w:p>
    <w:p w14:paraId="4F3BB579"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proofErr w:type="spellStart"/>
      <w:r w:rsidRPr="00584E5A">
        <w:rPr>
          <w:rFonts w:eastAsia="Times New Roman" w:cstheme="minorHAnsi"/>
          <w:lang w:eastAsia="en-GB"/>
        </w:rPr>
        <w:t>Cicolini</w:t>
      </w:r>
      <w:proofErr w:type="spellEnd"/>
      <w:r w:rsidRPr="00584E5A">
        <w:rPr>
          <w:rFonts w:eastAsia="Times New Roman" w:cstheme="minorHAnsi"/>
          <w:lang w:eastAsia="en-GB"/>
        </w:rPr>
        <w:t xml:space="preserve"> G, </w:t>
      </w:r>
      <w:proofErr w:type="spellStart"/>
      <w:r w:rsidRPr="00584E5A">
        <w:rPr>
          <w:rFonts w:eastAsia="Times New Roman" w:cstheme="minorHAnsi"/>
          <w:lang w:eastAsia="en-GB"/>
        </w:rPr>
        <w:t>Pizzi</w:t>
      </w:r>
      <w:proofErr w:type="spellEnd"/>
      <w:r w:rsidRPr="00584E5A">
        <w:rPr>
          <w:rFonts w:eastAsia="Times New Roman" w:cstheme="minorHAnsi"/>
          <w:lang w:eastAsia="en-GB"/>
        </w:rPr>
        <w:t xml:space="preserve"> C, Palma E, </w:t>
      </w:r>
      <w:proofErr w:type="spellStart"/>
      <w:r w:rsidRPr="00584E5A">
        <w:rPr>
          <w:rFonts w:eastAsia="Times New Roman" w:cstheme="minorHAnsi"/>
          <w:lang w:eastAsia="en-GB"/>
        </w:rPr>
        <w:t>Bucci</w:t>
      </w:r>
      <w:proofErr w:type="spellEnd"/>
      <w:r w:rsidRPr="00584E5A">
        <w:rPr>
          <w:rFonts w:eastAsia="Times New Roman" w:cstheme="minorHAnsi"/>
          <w:lang w:eastAsia="en-GB"/>
        </w:rPr>
        <w:t xml:space="preserve"> M, </w:t>
      </w:r>
      <w:proofErr w:type="spellStart"/>
      <w:r w:rsidRPr="00584E5A">
        <w:rPr>
          <w:rFonts w:eastAsia="Times New Roman" w:cstheme="minorHAnsi"/>
          <w:lang w:eastAsia="en-GB"/>
        </w:rPr>
        <w:t>Schioppa</w:t>
      </w:r>
      <w:proofErr w:type="spellEnd"/>
      <w:r w:rsidRPr="00584E5A">
        <w:rPr>
          <w:rFonts w:eastAsia="Times New Roman" w:cstheme="minorHAnsi"/>
          <w:lang w:eastAsia="en-GB"/>
        </w:rPr>
        <w:t xml:space="preserve"> F, </w:t>
      </w:r>
      <w:proofErr w:type="spellStart"/>
      <w:r w:rsidRPr="00584E5A">
        <w:rPr>
          <w:rFonts w:eastAsia="Times New Roman" w:cstheme="minorHAnsi"/>
          <w:lang w:eastAsia="en-GB"/>
        </w:rPr>
        <w:t>Mezzetti</w:t>
      </w:r>
      <w:proofErr w:type="spellEnd"/>
      <w:r w:rsidRPr="00584E5A">
        <w:rPr>
          <w:rFonts w:eastAsia="Times New Roman" w:cstheme="minorHAnsi"/>
          <w:lang w:eastAsia="en-GB"/>
        </w:rPr>
        <w:t xml:space="preserve"> A, </w:t>
      </w:r>
      <w:proofErr w:type="spellStart"/>
      <w:r w:rsidRPr="00584E5A">
        <w:rPr>
          <w:rFonts w:eastAsia="Times New Roman" w:cstheme="minorHAnsi"/>
          <w:lang w:eastAsia="en-GB"/>
        </w:rPr>
        <w:t>Manzoli</w:t>
      </w:r>
      <w:proofErr w:type="spellEnd"/>
      <w:r w:rsidRPr="00584E5A">
        <w:rPr>
          <w:rFonts w:eastAsia="Times New Roman" w:cstheme="minorHAnsi"/>
          <w:lang w:eastAsia="en-GB"/>
        </w:rPr>
        <w:t xml:space="preserve"> L. Differences in blood pressure by body position (supine, Fowler’s, and sitting) in hypertensive subjects. American Journal of Hypertension</w:t>
      </w:r>
      <w:r w:rsidRPr="00584E5A">
        <w:rPr>
          <w:rFonts w:eastAsia="Times New Roman" w:cstheme="minorHAnsi"/>
          <w:i/>
          <w:lang w:eastAsia="en-GB"/>
        </w:rPr>
        <w:t xml:space="preserve"> </w:t>
      </w:r>
      <w:r w:rsidRPr="00584E5A">
        <w:rPr>
          <w:rFonts w:eastAsia="Times New Roman" w:cstheme="minorHAnsi"/>
          <w:lang w:eastAsia="en-GB"/>
        </w:rPr>
        <w:t xml:space="preserve">2011; </w:t>
      </w:r>
      <w:r w:rsidRPr="00584E5A">
        <w:rPr>
          <w:rFonts w:eastAsia="Times New Roman" w:cstheme="minorHAnsi"/>
          <w:b/>
          <w:lang w:eastAsia="en-GB"/>
        </w:rPr>
        <w:t>24</w:t>
      </w:r>
      <w:r w:rsidRPr="00584E5A">
        <w:rPr>
          <w:rFonts w:eastAsia="Times New Roman" w:cstheme="minorHAnsi"/>
          <w:lang w:eastAsia="en-GB"/>
        </w:rPr>
        <w:t>: 1073-1079.</w:t>
      </w:r>
    </w:p>
    <w:p w14:paraId="40ADBE38" w14:textId="77777777" w:rsidR="0057660F" w:rsidRPr="00584E5A" w:rsidRDefault="0057660F" w:rsidP="0057660F">
      <w:pPr>
        <w:pStyle w:val="ListParagraph"/>
        <w:numPr>
          <w:ilvl w:val="0"/>
          <w:numId w:val="1"/>
        </w:numPr>
        <w:shd w:val="clear" w:color="auto" w:fill="FFFFFF"/>
        <w:spacing w:before="100" w:beforeAutospacing="1" w:after="100" w:afterAutospacing="1" w:line="480" w:lineRule="auto"/>
        <w:jc w:val="both"/>
        <w:rPr>
          <w:rFonts w:eastAsia="Times New Roman" w:cstheme="minorHAnsi"/>
          <w:lang w:eastAsia="en-GB"/>
        </w:rPr>
      </w:pPr>
      <w:proofErr w:type="spellStart"/>
      <w:r w:rsidRPr="00584E5A">
        <w:rPr>
          <w:rFonts w:eastAsia="Times New Roman" w:cstheme="minorHAnsi"/>
          <w:lang w:eastAsia="en-GB"/>
        </w:rPr>
        <w:t>Netea</w:t>
      </w:r>
      <w:proofErr w:type="spellEnd"/>
      <w:r w:rsidRPr="00584E5A">
        <w:rPr>
          <w:rFonts w:eastAsia="Times New Roman" w:cstheme="minorHAnsi"/>
          <w:lang w:eastAsia="en-GB"/>
        </w:rPr>
        <w:t xml:space="preserve"> RT, Lenders JW, Smits P, </w:t>
      </w:r>
      <w:proofErr w:type="spellStart"/>
      <w:r w:rsidRPr="00584E5A">
        <w:rPr>
          <w:rFonts w:eastAsia="Times New Roman" w:cstheme="minorHAnsi"/>
          <w:lang w:eastAsia="en-GB"/>
        </w:rPr>
        <w:t>Thien</w:t>
      </w:r>
      <w:proofErr w:type="spellEnd"/>
      <w:r w:rsidRPr="00584E5A">
        <w:rPr>
          <w:rFonts w:eastAsia="Times New Roman" w:cstheme="minorHAnsi"/>
          <w:lang w:eastAsia="en-GB"/>
        </w:rPr>
        <w:t xml:space="preserve"> T. Both body and arm position significantly influence blood pressure measurement. J Hum </w:t>
      </w:r>
      <w:proofErr w:type="spellStart"/>
      <w:r w:rsidRPr="00584E5A">
        <w:rPr>
          <w:rFonts w:eastAsia="Times New Roman" w:cstheme="minorHAnsi"/>
          <w:lang w:eastAsia="en-GB"/>
        </w:rPr>
        <w:t>Hypertens</w:t>
      </w:r>
      <w:proofErr w:type="spellEnd"/>
      <w:r w:rsidRPr="00584E5A">
        <w:rPr>
          <w:rFonts w:eastAsia="Times New Roman" w:cstheme="minorHAnsi"/>
          <w:i/>
          <w:lang w:eastAsia="en-GB"/>
        </w:rPr>
        <w:t xml:space="preserve"> </w:t>
      </w:r>
      <w:r w:rsidRPr="00584E5A">
        <w:rPr>
          <w:rFonts w:eastAsia="Times New Roman" w:cstheme="minorHAnsi"/>
          <w:lang w:eastAsia="en-GB"/>
        </w:rPr>
        <w:t xml:space="preserve">2003; </w:t>
      </w:r>
      <w:r w:rsidRPr="00584E5A">
        <w:rPr>
          <w:rFonts w:eastAsia="Times New Roman" w:cstheme="minorHAnsi"/>
          <w:b/>
          <w:lang w:eastAsia="en-GB"/>
        </w:rPr>
        <w:t>17</w:t>
      </w:r>
      <w:r w:rsidRPr="00584E5A">
        <w:rPr>
          <w:rFonts w:eastAsia="Times New Roman" w:cstheme="minorHAnsi"/>
          <w:lang w:eastAsia="en-GB"/>
        </w:rPr>
        <w:t>: 459-462.</w:t>
      </w:r>
    </w:p>
    <w:p w14:paraId="40735E95" w14:textId="4D375E1D" w:rsidR="00326D70" w:rsidRPr="00584E5A" w:rsidRDefault="0057660F" w:rsidP="00326D70">
      <w:pPr>
        <w:pStyle w:val="ListParagraph"/>
        <w:numPr>
          <w:ilvl w:val="0"/>
          <w:numId w:val="1"/>
        </w:numPr>
        <w:shd w:val="clear" w:color="auto" w:fill="FFFFFF"/>
        <w:spacing w:before="100" w:beforeAutospacing="1" w:after="100" w:afterAutospacing="1" w:line="480" w:lineRule="auto"/>
        <w:jc w:val="both"/>
      </w:pPr>
      <w:proofErr w:type="spellStart"/>
      <w:r w:rsidRPr="00584E5A">
        <w:rPr>
          <w:rFonts w:eastAsia="Times New Roman" w:cstheme="minorHAnsi"/>
          <w:lang w:eastAsia="en-GB"/>
        </w:rPr>
        <w:t>Jaccoud</w:t>
      </w:r>
      <w:proofErr w:type="spellEnd"/>
      <w:r w:rsidRPr="00584E5A">
        <w:rPr>
          <w:rFonts w:eastAsia="Times New Roman" w:cstheme="minorHAnsi"/>
          <w:lang w:eastAsia="en-GB"/>
        </w:rPr>
        <w:t xml:space="preserve"> L, </w:t>
      </w:r>
      <w:proofErr w:type="spellStart"/>
      <w:r w:rsidRPr="00584E5A">
        <w:rPr>
          <w:rFonts w:eastAsia="Times New Roman" w:cstheme="minorHAnsi"/>
          <w:lang w:eastAsia="en-GB"/>
        </w:rPr>
        <w:t>Rotaru</w:t>
      </w:r>
      <w:proofErr w:type="spellEnd"/>
      <w:r w:rsidRPr="00584E5A">
        <w:rPr>
          <w:rFonts w:eastAsia="Times New Roman" w:cstheme="minorHAnsi"/>
          <w:lang w:eastAsia="en-GB"/>
        </w:rPr>
        <w:t xml:space="preserve"> C, Heim A, </w:t>
      </w:r>
      <w:proofErr w:type="spellStart"/>
      <w:r w:rsidRPr="00584E5A">
        <w:rPr>
          <w:rFonts w:eastAsia="Times New Roman" w:cstheme="minorHAnsi"/>
          <w:lang w:eastAsia="en-GB"/>
        </w:rPr>
        <w:t>Liaudet</w:t>
      </w:r>
      <w:proofErr w:type="spellEnd"/>
      <w:r w:rsidRPr="00584E5A">
        <w:rPr>
          <w:rFonts w:eastAsia="Times New Roman" w:cstheme="minorHAnsi"/>
          <w:lang w:eastAsia="en-GB"/>
        </w:rPr>
        <w:t xml:space="preserve"> L, </w:t>
      </w:r>
      <w:proofErr w:type="spellStart"/>
      <w:r w:rsidRPr="00584E5A">
        <w:rPr>
          <w:rFonts w:eastAsia="Times New Roman" w:cstheme="minorHAnsi"/>
          <w:lang w:eastAsia="en-GB"/>
        </w:rPr>
        <w:t>Waeber</w:t>
      </w:r>
      <w:proofErr w:type="spellEnd"/>
      <w:r w:rsidRPr="00584E5A">
        <w:rPr>
          <w:rFonts w:eastAsia="Times New Roman" w:cstheme="minorHAnsi"/>
          <w:lang w:eastAsia="en-GB"/>
        </w:rPr>
        <w:t xml:space="preserve"> B, </w:t>
      </w:r>
      <w:proofErr w:type="spellStart"/>
      <w:r w:rsidRPr="00584E5A">
        <w:rPr>
          <w:rFonts w:eastAsia="Times New Roman" w:cstheme="minorHAnsi"/>
          <w:lang w:eastAsia="en-GB"/>
        </w:rPr>
        <w:t>Hohlfield</w:t>
      </w:r>
      <w:proofErr w:type="spellEnd"/>
      <w:r w:rsidRPr="00584E5A">
        <w:rPr>
          <w:rFonts w:eastAsia="Times New Roman" w:cstheme="minorHAnsi"/>
          <w:lang w:eastAsia="en-GB"/>
        </w:rPr>
        <w:t xml:space="preserve"> P, </w:t>
      </w:r>
      <w:proofErr w:type="spellStart"/>
      <w:r w:rsidRPr="00584E5A">
        <w:rPr>
          <w:rFonts w:eastAsia="Times New Roman" w:cstheme="minorHAnsi"/>
          <w:lang w:eastAsia="en-GB"/>
        </w:rPr>
        <w:t>Feihl</w:t>
      </w:r>
      <w:proofErr w:type="spellEnd"/>
      <w:r w:rsidRPr="00584E5A">
        <w:rPr>
          <w:rFonts w:eastAsia="Times New Roman" w:cstheme="minorHAnsi"/>
          <w:lang w:eastAsia="en-GB"/>
        </w:rPr>
        <w:t xml:space="preserve"> F. Major impact of body position on arterial stiffness indices derived from radial </w:t>
      </w:r>
      <w:proofErr w:type="spellStart"/>
      <w:r w:rsidRPr="00584E5A">
        <w:rPr>
          <w:rFonts w:eastAsia="Times New Roman" w:cstheme="minorHAnsi"/>
          <w:lang w:eastAsia="en-GB"/>
        </w:rPr>
        <w:t>applanation</w:t>
      </w:r>
      <w:proofErr w:type="spellEnd"/>
      <w:r w:rsidRPr="00584E5A">
        <w:rPr>
          <w:rFonts w:eastAsia="Times New Roman" w:cstheme="minorHAnsi"/>
          <w:lang w:eastAsia="en-GB"/>
        </w:rPr>
        <w:t xml:space="preserve"> tonometry in pregnant and </w:t>
      </w:r>
      <w:proofErr w:type="spellStart"/>
      <w:r w:rsidRPr="00584E5A">
        <w:rPr>
          <w:rFonts w:eastAsia="Times New Roman" w:cstheme="minorHAnsi"/>
          <w:lang w:eastAsia="en-GB"/>
        </w:rPr>
        <w:t>nonpregnant</w:t>
      </w:r>
      <w:proofErr w:type="spellEnd"/>
      <w:r w:rsidRPr="00584E5A">
        <w:rPr>
          <w:rFonts w:eastAsia="Times New Roman" w:cstheme="minorHAnsi"/>
          <w:lang w:eastAsia="en-GB"/>
        </w:rPr>
        <w:t xml:space="preserve"> women</w:t>
      </w:r>
      <w:r w:rsidRPr="00584E5A">
        <w:rPr>
          <w:rFonts w:eastAsia="Times New Roman" w:cstheme="minorHAnsi"/>
          <w:i/>
          <w:lang w:eastAsia="en-GB"/>
        </w:rPr>
        <w:t xml:space="preserve">. Journal of Hypertension </w:t>
      </w:r>
      <w:r w:rsidRPr="00584E5A">
        <w:rPr>
          <w:rFonts w:eastAsia="Times New Roman" w:cstheme="minorHAnsi"/>
          <w:lang w:eastAsia="en-GB"/>
        </w:rPr>
        <w:t xml:space="preserve">2012, </w:t>
      </w:r>
      <w:r w:rsidRPr="00584E5A">
        <w:rPr>
          <w:rFonts w:eastAsia="Times New Roman" w:cstheme="minorHAnsi"/>
          <w:b/>
          <w:lang w:eastAsia="en-GB"/>
        </w:rPr>
        <w:t>30</w:t>
      </w:r>
      <w:r w:rsidRPr="00584E5A">
        <w:rPr>
          <w:rFonts w:eastAsia="Times New Roman" w:cstheme="minorHAnsi"/>
          <w:lang w:eastAsia="en-GB"/>
        </w:rPr>
        <w:t>: 1161-1168.</w:t>
      </w:r>
    </w:p>
    <w:sectPr w:rsidR="00326D70" w:rsidRPr="00584E5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0618F" w16cid:durableId="1D9F8088"/>
  <w16cid:commentId w16cid:paraId="042D7A44" w16cid:durableId="1D9F80FA"/>
  <w16cid:commentId w16cid:paraId="5FB8288A" w16cid:durableId="1D9F81B4"/>
  <w16cid:commentId w16cid:paraId="01787A5C" w16cid:durableId="1D9F8249"/>
  <w16cid:commentId w16cid:paraId="262DF240" w16cid:durableId="1D9F82BF"/>
  <w16cid:commentId w16cid:paraId="64C0726E" w16cid:durableId="1D9F82ED"/>
  <w16cid:commentId w16cid:paraId="06E5ABB8" w16cid:durableId="1D9F8324"/>
  <w16cid:commentId w16cid:paraId="6CEDEF66" w16cid:durableId="1D9F83FC"/>
  <w16cid:commentId w16cid:paraId="7F3AF3EC" w16cid:durableId="1D9F84CC"/>
  <w16cid:commentId w16cid:paraId="2BC79AC1" w16cid:durableId="1D9F84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C2E45"/>
    <w:multiLevelType w:val="hybridMultilevel"/>
    <w:tmpl w:val="40488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1120AE"/>
    <w:multiLevelType w:val="hybridMultilevel"/>
    <w:tmpl w:val="11C6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236069"/>
    <w:multiLevelType w:val="hybridMultilevel"/>
    <w:tmpl w:val="3CE0E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0F"/>
    <w:rsid w:val="000142CE"/>
    <w:rsid w:val="0001711B"/>
    <w:rsid w:val="0006320D"/>
    <w:rsid w:val="000C261D"/>
    <w:rsid w:val="00125D7B"/>
    <w:rsid w:val="00130D12"/>
    <w:rsid w:val="0014704D"/>
    <w:rsid w:val="0020071D"/>
    <w:rsid w:val="00215078"/>
    <w:rsid w:val="002D21DC"/>
    <w:rsid w:val="002E249B"/>
    <w:rsid w:val="002F702C"/>
    <w:rsid w:val="00325D1C"/>
    <w:rsid w:val="00326124"/>
    <w:rsid w:val="00326D70"/>
    <w:rsid w:val="0034424C"/>
    <w:rsid w:val="00344EFF"/>
    <w:rsid w:val="0037221B"/>
    <w:rsid w:val="005270AE"/>
    <w:rsid w:val="00565EEE"/>
    <w:rsid w:val="0057660F"/>
    <w:rsid w:val="00584E5A"/>
    <w:rsid w:val="005C57AD"/>
    <w:rsid w:val="005C6F7A"/>
    <w:rsid w:val="005E117C"/>
    <w:rsid w:val="005E500D"/>
    <w:rsid w:val="00623F9B"/>
    <w:rsid w:val="006435BA"/>
    <w:rsid w:val="0066354C"/>
    <w:rsid w:val="006A66AA"/>
    <w:rsid w:val="006D7393"/>
    <w:rsid w:val="006E3DC4"/>
    <w:rsid w:val="006E4AB6"/>
    <w:rsid w:val="006E4E77"/>
    <w:rsid w:val="007061AA"/>
    <w:rsid w:val="00712627"/>
    <w:rsid w:val="007158F5"/>
    <w:rsid w:val="00736045"/>
    <w:rsid w:val="007516EC"/>
    <w:rsid w:val="007713BB"/>
    <w:rsid w:val="00790A80"/>
    <w:rsid w:val="007D09D4"/>
    <w:rsid w:val="007F0C9D"/>
    <w:rsid w:val="00840CBF"/>
    <w:rsid w:val="00866775"/>
    <w:rsid w:val="00876D3B"/>
    <w:rsid w:val="008A0A84"/>
    <w:rsid w:val="008B0B5A"/>
    <w:rsid w:val="0090010F"/>
    <w:rsid w:val="00937434"/>
    <w:rsid w:val="009A1118"/>
    <w:rsid w:val="009F248D"/>
    <w:rsid w:val="00A17E7A"/>
    <w:rsid w:val="00A83AEB"/>
    <w:rsid w:val="00AA185C"/>
    <w:rsid w:val="00B516EB"/>
    <w:rsid w:val="00B91392"/>
    <w:rsid w:val="00B95A53"/>
    <w:rsid w:val="00BB7B60"/>
    <w:rsid w:val="00BE3756"/>
    <w:rsid w:val="00C21D9F"/>
    <w:rsid w:val="00C63F8E"/>
    <w:rsid w:val="00C66D94"/>
    <w:rsid w:val="00C73F52"/>
    <w:rsid w:val="00C77E5A"/>
    <w:rsid w:val="00CA236C"/>
    <w:rsid w:val="00D047D9"/>
    <w:rsid w:val="00D13468"/>
    <w:rsid w:val="00D330D2"/>
    <w:rsid w:val="00DB77A0"/>
    <w:rsid w:val="00DC6836"/>
    <w:rsid w:val="00E34EF6"/>
    <w:rsid w:val="00E36B57"/>
    <w:rsid w:val="00F521E2"/>
    <w:rsid w:val="00F776C0"/>
    <w:rsid w:val="00F933AF"/>
    <w:rsid w:val="00FC5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3599"/>
  <w15:chartTrackingRefBased/>
  <w15:docId w15:val="{0A55CB79-09A5-4511-A0F2-6E0D0ED5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6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7660F"/>
    <w:pPr>
      <w:spacing w:line="240" w:lineRule="auto"/>
    </w:pPr>
    <w:rPr>
      <w:sz w:val="20"/>
      <w:szCs w:val="20"/>
    </w:rPr>
  </w:style>
  <w:style w:type="character" w:customStyle="1" w:styleId="CommentTextChar">
    <w:name w:val="Comment Text Char"/>
    <w:basedOn w:val="DefaultParagraphFont"/>
    <w:link w:val="CommentText"/>
    <w:uiPriority w:val="99"/>
    <w:rsid w:val="0057660F"/>
    <w:rPr>
      <w:sz w:val="20"/>
      <w:szCs w:val="20"/>
    </w:rPr>
  </w:style>
  <w:style w:type="paragraph" w:styleId="NormalWeb">
    <w:name w:val="Normal (Web)"/>
    <w:basedOn w:val="Normal"/>
    <w:uiPriority w:val="99"/>
    <w:unhideWhenUsed/>
    <w:rsid w:val="005766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660F"/>
    <w:rPr>
      <w:b/>
      <w:bCs/>
    </w:rPr>
  </w:style>
  <w:style w:type="character" w:styleId="CommentReference">
    <w:name w:val="annotation reference"/>
    <w:basedOn w:val="DefaultParagraphFont"/>
    <w:uiPriority w:val="99"/>
    <w:semiHidden/>
    <w:unhideWhenUsed/>
    <w:rsid w:val="0057660F"/>
    <w:rPr>
      <w:sz w:val="16"/>
      <w:szCs w:val="16"/>
    </w:rPr>
  </w:style>
  <w:style w:type="paragraph" w:styleId="BalloonText">
    <w:name w:val="Balloon Text"/>
    <w:basedOn w:val="Normal"/>
    <w:link w:val="BalloonTextChar"/>
    <w:uiPriority w:val="99"/>
    <w:semiHidden/>
    <w:unhideWhenUsed/>
    <w:rsid w:val="00576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6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7660F"/>
    <w:rPr>
      <w:b/>
      <w:bCs/>
    </w:rPr>
  </w:style>
  <w:style w:type="character" w:customStyle="1" w:styleId="CommentSubjectChar">
    <w:name w:val="Comment Subject Char"/>
    <w:basedOn w:val="CommentTextChar"/>
    <w:link w:val="CommentSubject"/>
    <w:uiPriority w:val="99"/>
    <w:semiHidden/>
    <w:rsid w:val="0057660F"/>
    <w:rPr>
      <w:b/>
      <w:bCs/>
      <w:sz w:val="20"/>
      <w:szCs w:val="20"/>
    </w:rPr>
  </w:style>
  <w:style w:type="paragraph" w:styleId="ListParagraph">
    <w:name w:val="List Paragraph"/>
    <w:basedOn w:val="Normal"/>
    <w:uiPriority w:val="34"/>
    <w:qFormat/>
    <w:rsid w:val="0057660F"/>
    <w:pPr>
      <w:ind w:left="720"/>
      <w:contextualSpacing/>
    </w:pPr>
  </w:style>
  <w:style w:type="paragraph" w:styleId="Header">
    <w:name w:val="header"/>
    <w:basedOn w:val="Normal"/>
    <w:link w:val="HeaderChar"/>
    <w:uiPriority w:val="99"/>
    <w:unhideWhenUsed/>
    <w:rsid w:val="0057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F"/>
  </w:style>
  <w:style w:type="paragraph" w:styleId="Footer">
    <w:name w:val="footer"/>
    <w:basedOn w:val="Normal"/>
    <w:link w:val="FooterChar"/>
    <w:uiPriority w:val="99"/>
    <w:unhideWhenUsed/>
    <w:rsid w:val="00576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F"/>
  </w:style>
  <w:style w:type="character" w:styleId="Hyperlink">
    <w:name w:val="Hyperlink"/>
    <w:basedOn w:val="DefaultParagraphFont"/>
    <w:uiPriority w:val="99"/>
    <w:unhideWhenUsed/>
    <w:rsid w:val="0057660F"/>
    <w:rPr>
      <w:color w:val="0563C1" w:themeColor="hyperlink"/>
      <w:u w:val="single"/>
    </w:rPr>
  </w:style>
  <w:style w:type="paragraph" w:customStyle="1" w:styleId="EndNoteBibliography">
    <w:name w:val="EndNote Bibliography"/>
    <w:basedOn w:val="Normal"/>
    <w:link w:val="EndNoteBibliographyChar"/>
    <w:rsid w:val="0057660F"/>
    <w:pPr>
      <w:spacing w:after="0" w:line="240" w:lineRule="auto"/>
    </w:pPr>
    <w:rPr>
      <w:rFonts w:ascii="Arial" w:eastAsia="Times New Roman" w:hAnsi="Arial" w:cs="Arial"/>
      <w:noProof/>
      <w:sz w:val="18"/>
      <w:szCs w:val="24"/>
      <w:lang w:val="en-US"/>
    </w:rPr>
  </w:style>
  <w:style w:type="character" w:customStyle="1" w:styleId="EndNoteBibliographyChar">
    <w:name w:val="EndNote Bibliography Char"/>
    <w:link w:val="EndNoteBibliography"/>
    <w:rsid w:val="0057660F"/>
    <w:rPr>
      <w:rFonts w:ascii="Arial" w:eastAsia="Times New Roman" w:hAnsi="Arial" w:cs="Arial"/>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8.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7.bin"/><Relationship Id="rId17"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11.bin"/><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wmf"/><Relationship Id="rId15" Type="http://schemas.openxmlformats.org/officeDocument/2006/relationships/oleObject" Target="embeddings/oleObject10.bin"/><Relationship Id="rId10" Type="http://schemas.openxmlformats.org/officeDocument/2006/relationships/oleObject" Target="embeddings/oleObject5.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17</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Andrew.Mitchelmore</dc:creator>
  <cp:keywords/>
  <dc:description/>
  <cp:lastModifiedBy>Lambrick D.M.</cp:lastModifiedBy>
  <cp:revision>20</cp:revision>
  <dcterms:created xsi:type="dcterms:W3CDTF">2017-12-06T09:55:00Z</dcterms:created>
  <dcterms:modified xsi:type="dcterms:W3CDTF">2018-02-28T13:57:00Z</dcterms:modified>
</cp:coreProperties>
</file>