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5315" w14:textId="6A1C8754" w:rsidR="00DE427B" w:rsidRPr="00C3333D" w:rsidRDefault="00DE427B" w:rsidP="00FE5C7E">
      <w:pPr>
        <w:spacing w:after="0" w:line="480" w:lineRule="auto"/>
        <w:jc w:val="center"/>
        <w:rPr>
          <w:rFonts w:cs="Arial"/>
          <w:b/>
          <w:sz w:val="36"/>
          <w:szCs w:val="36"/>
        </w:rPr>
      </w:pPr>
      <w:r w:rsidRPr="00C3333D">
        <w:rPr>
          <w:rFonts w:cs="Arial"/>
          <w:b/>
          <w:sz w:val="36"/>
          <w:szCs w:val="36"/>
        </w:rPr>
        <w:t xml:space="preserve">Population </w:t>
      </w:r>
      <w:r w:rsidR="001A509F" w:rsidRPr="00C3333D">
        <w:rPr>
          <w:rFonts w:cs="Arial"/>
          <w:b/>
          <w:sz w:val="36"/>
          <w:szCs w:val="36"/>
        </w:rPr>
        <w:t>p</w:t>
      </w:r>
      <w:r w:rsidRPr="00C3333D">
        <w:rPr>
          <w:rFonts w:cs="Arial"/>
          <w:b/>
          <w:sz w:val="36"/>
          <w:szCs w:val="36"/>
        </w:rPr>
        <w:t xml:space="preserve">revalence and </w:t>
      </w:r>
      <w:r w:rsidR="001A509F" w:rsidRPr="00C3333D">
        <w:rPr>
          <w:rFonts w:cs="Arial"/>
          <w:b/>
          <w:sz w:val="36"/>
          <w:szCs w:val="36"/>
        </w:rPr>
        <w:t>d</w:t>
      </w:r>
      <w:r w:rsidRPr="00C3333D">
        <w:rPr>
          <w:rFonts w:cs="Arial"/>
          <w:b/>
          <w:sz w:val="36"/>
          <w:szCs w:val="36"/>
        </w:rPr>
        <w:t xml:space="preserve">istribution of </w:t>
      </w:r>
      <w:r w:rsidR="001A509F" w:rsidRPr="00C3333D">
        <w:rPr>
          <w:rFonts w:cs="Arial"/>
          <w:b/>
          <w:sz w:val="36"/>
          <w:szCs w:val="36"/>
        </w:rPr>
        <w:t>a</w:t>
      </w:r>
      <w:r w:rsidRPr="00C3333D">
        <w:rPr>
          <w:rFonts w:cs="Arial"/>
          <w:b/>
          <w:sz w:val="36"/>
          <w:szCs w:val="36"/>
        </w:rPr>
        <w:t xml:space="preserve">nkle </w:t>
      </w:r>
      <w:r w:rsidR="001A509F" w:rsidRPr="00C3333D">
        <w:rPr>
          <w:rFonts w:cs="Arial"/>
          <w:b/>
          <w:sz w:val="36"/>
          <w:szCs w:val="36"/>
        </w:rPr>
        <w:t>p</w:t>
      </w:r>
      <w:r w:rsidRPr="00C3333D">
        <w:rPr>
          <w:rFonts w:cs="Arial"/>
          <w:b/>
          <w:sz w:val="36"/>
          <w:szCs w:val="36"/>
        </w:rPr>
        <w:t xml:space="preserve">ain and </w:t>
      </w:r>
      <w:r w:rsidR="001A509F" w:rsidRPr="00C3333D">
        <w:rPr>
          <w:rFonts w:cs="Arial"/>
          <w:b/>
          <w:sz w:val="36"/>
          <w:szCs w:val="36"/>
        </w:rPr>
        <w:t>s</w:t>
      </w:r>
      <w:r w:rsidRPr="00C3333D">
        <w:rPr>
          <w:rFonts w:cs="Arial"/>
          <w:b/>
          <w:sz w:val="36"/>
          <w:szCs w:val="36"/>
        </w:rPr>
        <w:t xml:space="preserve">ymptomatic </w:t>
      </w:r>
      <w:r w:rsidR="001A509F" w:rsidRPr="00C3333D">
        <w:rPr>
          <w:rFonts w:cs="Arial"/>
          <w:b/>
          <w:sz w:val="36"/>
          <w:szCs w:val="36"/>
        </w:rPr>
        <w:t>r</w:t>
      </w:r>
      <w:r w:rsidRPr="00C3333D">
        <w:rPr>
          <w:rFonts w:cs="Arial"/>
          <w:b/>
          <w:sz w:val="36"/>
          <w:szCs w:val="36"/>
        </w:rPr>
        <w:t xml:space="preserve">adiographic </w:t>
      </w:r>
      <w:r w:rsidR="001A509F" w:rsidRPr="00C3333D">
        <w:rPr>
          <w:rFonts w:cs="Arial"/>
          <w:b/>
          <w:sz w:val="36"/>
          <w:szCs w:val="36"/>
        </w:rPr>
        <w:t>a</w:t>
      </w:r>
      <w:r w:rsidRPr="00C3333D">
        <w:rPr>
          <w:rFonts w:cs="Arial"/>
          <w:b/>
          <w:sz w:val="36"/>
          <w:szCs w:val="36"/>
        </w:rPr>
        <w:t xml:space="preserve">nkle </w:t>
      </w:r>
      <w:r w:rsidR="001A509F" w:rsidRPr="00C3333D">
        <w:rPr>
          <w:rFonts w:cs="Arial"/>
          <w:b/>
          <w:sz w:val="36"/>
          <w:szCs w:val="36"/>
        </w:rPr>
        <w:t>o</w:t>
      </w:r>
      <w:r w:rsidRPr="00C3333D">
        <w:rPr>
          <w:rFonts w:cs="Arial"/>
          <w:b/>
          <w:sz w:val="36"/>
          <w:szCs w:val="36"/>
        </w:rPr>
        <w:t xml:space="preserve">steoarthritis in </w:t>
      </w:r>
      <w:r w:rsidR="001A509F" w:rsidRPr="00CA05BA">
        <w:rPr>
          <w:rFonts w:cs="Arial"/>
          <w:b/>
          <w:noProof/>
          <w:sz w:val="36"/>
          <w:szCs w:val="36"/>
        </w:rPr>
        <w:t>c</w:t>
      </w:r>
      <w:r w:rsidRPr="00CA05BA">
        <w:rPr>
          <w:rFonts w:cs="Arial"/>
          <w:b/>
          <w:noProof/>
          <w:sz w:val="36"/>
          <w:szCs w:val="36"/>
        </w:rPr>
        <w:t xml:space="preserve">ommunity </w:t>
      </w:r>
      <w:r w:rsidR="001A509F" w:rsidRPr="00CA05BA">
        <w:rPr>
          <w:rFonts w:cs="Arial"/>
          <w:b/>
          <w:noProof/>
          <w:sz w:val="36"/>
          <w:szCs w:val="36"/>
        </w:rPr>
        <w:t>d</w:t>
      </w:r>
      <w:r w:rsidRPr="00CA05BA">
        <w:rPr>
          <w:rFonts w:cs="Arial"/>
          <w:b/>
          <w:noProof/>
          <w:sz w:val="36"/>
          <w:szCs w:val="36"/>
        </w:rPr>
        <w:t>welling</w:t>
      </w:r>
      <w:r w:rsidRPr="00C3333D">
        <w:rPr>
          <w:rFonts w:cs="Arial"/>
          <w:b/>
          <w:sz w:val="36"/>
          <w:szCs w:val="36"/>
        </w:rPr>
        <w:t xml:space="preserve"> </w:t>
      </w:r>
      <w:r w:rsidR="001A509F" w:rsidRPr="00C3333D">
        <w:rPr>
          <w:rFonts w:cs="Arial"/>
          <w:b/>
          <w:sz w:val="36"/>
          <w:szCs w:val="36"/>
        </w:rPr>
        <w:t>o</w:t>
      </w:r>
      <w:r w:rsidRPr="00C3333D">
        <w:rPr>
          <w:rFonts w:cs="Arial"/>
          <w:b/>
          <w:sz w:val="36"/>
          <w:szCs w:val="36"/>
        </w:rPr>
        <w:t xml:space="preserve">lder </w:t>
      </w:r>
      <w:r w:rsidR="001A509F" w:rsidRPr="00C3333D">
        <w:rPr>
          <w:rFonts w:cs="Arial"/>
          <w:b/>
          <w:sz w:val="36"/>
          <w:szCs w:val="36"/>
        </w:rPr>
        <w:t>a</w:t>
      </w:r>
      <w:r w:rsidRPr="00C3333D">
        <w:rPr>
          <w:rFonts w:cs="Arial"/>
          <w:b/>
          <w:sz w:val="36"/>
          <w:szCs w:val="36"/>
        </w:rPr>
        <w:t>dults</w:t>
      </w:r>
      <w:r w:rsidR="00682D4D" w:rsidRPr="00C3333D">
        <w:rPr>
          <w:rFonts w:cs="Arial"/>
          <w:b/>
          <w:sz w:val="36"/>
          <w:szCs w:val="36"/>
        </w:rPr>
        <w:t>:</w:t>
      </w:r>
      <w:r w:rsidRPr="00C3333D">
        <w:rPr>
          <w:rFonts w:cs="Arial"/>
          <w:b/>
          <w:sz w:val="36"/>
          <w:szCs w:val="36"/>
        </w:rPr>
        <w:t xml:space="preserve"> </w:t>
      </w:r>
      <w:r w:rsidR="001A509F" w:rsidRPr="00C3333D">
        <w:rPr>
          <w:rFonts w:cs="Arial"/>
          <w:b/>
          <w:sz w:val="36"/>
          <w:szCs w:val="36"/>
        </w:rPr>
        <w:t>a</w:t>
      </w:r>
      <w:r w:rsidRPr="00C3333D">
        <w:rPr>
          <w:rFonts w:cs="Arial"/>
          <w:b/>
          <w:sz w:val="36"/>
          <w:szCs w:val="36"/>
        </w:rPr>
        <w:t xml:space="preserve"> </w:t>
      </w:r>
      <w:r w:rsidR="001A509F" w:rsidRPr="00C3333D">
        <w:rPr>
          <w:rFonts w:cs="Arial"/>
          <w:b/>
          <w:sz w:val="36"/>
          <w:szCs w:val="36"/>
        </w:rPr>
        <w:t>s</w:t>
      </w:r>
      <w:r w:rsidRPr="00C3333D">
        <w:rPr>
          <w:rFonts w:cs="Arial"/>
          <w:b/>
          <w:sz w:val="36"/>
          <w:szCs w:val="36"/>
        </w:rPr>
        <w:t xml:space="preserve">ystematic </w:t>
      </w:r>
      <w:r w:rsidR="001A509F" w:rsidRPr="00C3333D">
        <w:rPr>
          <w:rFonts w:cs="Arial"/>
          <w:b/>
          <w:sz w:val="36"/>
          <w:szCs w:val="36"/>
        </w:rPr>
        <w:t>r</w:t>
      </w:r>
      <w:r w:rsidRPr="00C3333D">
        <w:rPr>
          <w:rFonts w:cs="Arial"/>
          <w:b/>
          <w:sz w:val="36"/>
          <w:szCs w:val="36"/>
        </w:rPr>
        <w:t>evi</w:t>
      </w:r>
      <w:r w:rsidR="00520E77" w:rsidRPr="00C3333D">
        <w:rPr>
          <w:rFonts w:cs="Arial"/>
          <w:b/>
          <w:sz w:val="36"/>
          <w:szCs w:val="36"/>
        </w:rPr>
        <w:t xml:space="preserve">ew and </w:t>
      </w:r>
      <w:r w:rsidR="001A509F" w:rsidRPr="00C3333D">
        <w:rPr>
          <w:rFonts w:cs="Arial"/>
          <w:b/>
          <w:sz w:val="36"/>
          <w:szCs w:val="36"/>
        </w:rPr>
        <w:t>c</w:t>
      </w:r>
      <w:r w:rsidR="00520E77" w:rsidRPr="00C3333D">
        <w:rPr>
          <w:rFonts w:cs="Arial"/>
          <w:b/>
          <w:sz w:val="36"/>
          <w:szCs w:val="36"/>
        </w:rPr>
        <w:t>ross-</w:t>
      </w:r>
      <w:r w:rsidR="001A509F" w:rsidRPr="00C3333D">
        <w:rPr>
          <w:rFonts w:cs="Arial"/>
          <w:b/>
          <w:sz w:val="36"/>
          <w:szCs w:val="36"/>
        </w:rPr>
        <w:t>s</w:t>
      </w:r>
      <w:r w:rsidR="00520E77" w:rsidRPr="00C3333D">
        <w:rPr>
          <w:rFonts w:cs="Arial"/>
          <w:b/>
          <w:sz w:val="36"/>
          <w:szCs w:val="36"/>
        </w:rPr>
        <w:t xml:space="preserve">ectional </w:t>
      </w:r>
      <w:bookmarkStart w:id="0" w:name="_GoBack"/>
      <w:bookmarkEnd w:id="0"/>
      <w:r w:rsidR="001A509F" w:rsidRPr="00C3333D">
        <w:rPr>
          <w:rFonts w:cs="Arial"/>
          <w:b/>
          <w:sz w:val="36"/>
          <w:szCs w:val="36"/>
        </w:rPr>
        <w:t>s</w:t>
      </w:r>
      <w:r w:rsidR="00E73012" w:rsidRPr="00C3333D">
        <w:rPr>
          <w:rFonts w:cs="Arial"/>
          <w:b/>
          <w:sz w:val="36"/>
          <w:szCs w:val="36"/>
        </w:rPr>
        <w:t>tudy</w:t>
      </w:r>
    </w:p>
    <w:p w14:paraId="3C69050D" w14:textId="77777777" w:rsidR="000777DA" w:rsidRPr="00D3657C" w:rsidRDefault="000777DA" w:rsidP="00C108E8">
      <w:pPr>
        <w:spacing w:after="0" w:line="480" w:lineRule="auto"/>
        <w:rPr>
          <w:rFonts w:cs="Arial"/>
          <w:b/>
        </w:rPr>
      </w:pPr>
    </w:p>
    <w:p w14:paraId="23F394F2" w14:textId="010B9061" w:rsidR="00DE427B" w:rsidRPr="00D3657C" w:rsidRDefault="00DE427B" w:rsidP="00C108E8">
      <w:pPr>
        <w:spacing w:after="0" w:line="480" w:lineRule="auto"/>
        <w:rPr>
          <w:rFonts w:cs="Arial"/>
          <w:vertAlign w:val="superscript"/>
        </w:rPr>
      </w:pPr>
      <w:r w:rsidRPr="00D3657C">
        <w:rPr>
          <w:rFonts w:cs="Arial"/>
        </w:rPr>
        <w:t>Charlotte Murray</w:t>
      </w:r>
      <w:r w:rsidRPr="00D3657C">
        <w:rPr>
          <w:rFonts w:cs="Arial"/>
          <w:vertAlign w:val="superscript"/>
        </w:rPr>
        <w:t>1</w:t>
      </w:r>
      <w:r w:rsidRPr="00D3657C">
        <w:rPr>
          <w:rFonts w:cs="Arial"/>
        </w:rPr>
        <w:t>, Michelle Marshall</w:t>
      </w:r>
      <w:r w:rsidRPr="00D3657C">
        <w:rPr>
          <w:rFonts w:cs="Arial"/>
          <w:vertAlign w:val="superscript"/>
        </w:rPr>
        <w:t>1</w:t>
      </w:r>
      <w:r w:rsidR="0087752E">
        <w:rPr>
          <w:rFonts w:cs="Arial"/>
        </w:rPr>
        <w:t>*</w:t>
      </w:r>
      <w:r w:rsidRPr="00D3657C">
        <w:rPr>
          <w:rFonts w:cs="Arial"/>
        </w:rPr>
        <w:t xml:space="preserve">, </w:t>
      </w:r>
      <w:proofErr w:type="spellStart"/>
      <w:r w:rsidRPr="00D3657C">
        <w:rPr>
          <w:rFonts w:cs="Arial"/>
        </w:rPr>
        <w:t>Trishna</w:t>
      </w:r>
      <w:proofErr w:type="spellEnd"/>
      <w:r w:rsidRPr="00D3657C">
        <w:rPr>
          <w:rFonts w:cs="Arial"/>
        </w:rPr>
        <w:t xml:space="preserve"> Rathod</w:t>
      </w:r>
      <w:r w:rsidRPr="00D3657C">
        <w:rPr>
          <w:rFonts w:cs="Arial"/>
          <w:vertAlign w:val="superscript"/>
        </w:rPr>
        <w:t>1</w:t>
      </w:r>
      <w:r w:rsidRPr="00D3657C">
        <w:rPr>
          <w:rFonts w:cs="Arial"/>
        </w:rPr>
        <w:t xml:space="preserve">, </w:t>
      </w:r>
      <w:r w:rsidR="00A63969" w:rsidRPr="00D3657C">
        <w:rPr>
          <w:rFonts w:cs="Arial"/>
        </w:rPr>
        <w:t>Cath</w:t>
      </w:r>
      <w:r w:rsidR="007525D9">
        <w:rPr>
          <w:rFonts w:cs="Arial"/>
        </w:rPr>
        <w:t>erine J</w:t>
      </w:r>
      <w:r w:rsidR="00A63969" w:rsidRPr="00D3657C">
        <w:rPr>
          <w:rFonts w:cs="Arial"/>
        </w:rPr>
        <w:t xml:space="preserve"> Bowen</w:t>
      </w:r>
      <w:r w:rsidR="00E507BD">
        <w:rPr>
          <w:rFonts w:cs="Arial"/>
          <w:vertAlign w:val="superscript"/>
        </w:rPr>
        <w:t>2</w:t>
      </w:r>
      <w:r w:rsidR="00A63969">
        <w:rPr>
          <w:rFonts w:cs="Arial"/>
        </w:rPr>
        <w:t xml:space="preserve">, </w:t>
      </w:r>
      <w:proofErr w:type="spellStart"/>
      <w:r w:rsidRPr="00D3657C">
        <w:rPr>
          <w:rFonts w:cs="Arial"/>
        </w:rPr>
        <w:t>Hylton</w:t>
      </w:r>
      <w:proofErr w:type="spellEnd"/>
      <w:r w:rsidRPr="00D3657C">
        <w:rPr>
          <w:rFonts w:cs="Arial"/>
        </w:rPr>
        <w:t xml:space="preserve"> </w:t>
      </w:r>
      <w:r w:rsidR="006B463C" w:rsidRPr="00D3657C">
        <w:rPr>
          <w:rFonts w:cs="Arial"/>
        </w:rPr>
        <w:t xml:space="preserve">B </w:t>
      </w:r>
      <w:r w:rsidRPr="00D3657C">
        <w:rPr>
          <w:rFonts w:cs="Arial"/>
        </w:rPr>
        <w:t>Menz</w:t>
      </w:r>
      <w:r w:rsidRPr="00D3657C">
        <w:rPr>
          <w:rFonts w:cs="Arial"/>
          <w:vertAlign w:val="superscript"/>
        </w:rPr>
        <w:t>1</w:t>
      </w:r>
      <w:proofErr w:type="gramStart"/>
      <w:r w:rsidRPr="00D3657C">
        <w:rPr>
          <w:rFonts w:cs="Arial"/>
          <w:vertAlign w:val="superscript"/>
        </w:rPr>
        <w:t>,</w:t>
      </w:r>
      <w:r w:rsidR="00E507BD">
        <w:rPr>
          <w:rFonts w:cs="Arial"/>
          <w:vertAlign w:val="superscript"/>
        </w:rPr>
        <w:t>3</w:t>
      </w:r>
      <w:proofErr w:type="gramEnd"/>
      <w:r w:rsidRPr="00D3657C">
        <w:rPr>
          <w:rFonts w:cs="Arial"/>
        </w:rPr>
        <w:t>, Edward Roddy</w:t>
      </w:r>
      <w:r w:rsidRPr="00D3657C">
        <w:rPr>
          <w:rFonts w:cs="Arial"/>
          <w:vertAlign w:val="superscript"/>
        </w:rPr>
        <w:t>1</w:t>
      </w:r>
    </w:p>
    <w:p w14:paraId="52A5DDDB" w14:textId="77777777" w:rsidR="000777DA" w:rsidRPr="00D3657C" w:rsidRDefault="000777DA" w:rsidP="00C108E8">
      <w:pPr>
        <w:spacing w:after="0" w:line="480" w:lineRule="auto"/>
        <w:rPr>
          <w:rFonts w:cs="Arial"/>
          <w:vertAlign w:val="superscript"/>
        </w:rPr>
      </w:pPr>
    </w:p>
    <w:p w14:paraId="7F6FC817" w14:textId="054E260D" w:rsidR="00DE427B" w:rsidRDefault="00DE427B" w:rsidP="00C108E8">
      <w:pPr>
        <w:spacing w:after="0" w:line="480" w:lineRule="auto"/>
        <w:rPr>
          <w:rStyle w:val="Strong"/>
          <w:rFonts w:cs="Arial"/>
          <w:b w:val="0"/>
          <w:color w:val="1F1F1F"/>
          <w:bdr w:val="none" w:sz="0" w:space="0" w:color="auto" w:frame="1"/>
        </w:rPr>
      </w:pPr>
      <w:r w:rsidRPr="00D3657C">
        <w:rPr>
          <w:rFonts w:cs="Arial"/>
          <w:vertAlign w:val="superscript"/>
        </w:rPr>
        <w:t xml:space="preserve">1 </w:t>
      </w:r>
      <w:r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 xml:space="preserve">Research Institute for Primary Care &amp; Health Sciences, </w:t>
      </w:r>
      <w:proofErr w:type="spellStart"/>
      <w:r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>Keele</w:t>
      </w:r>
      <w:proofErr w:type="spellEnd"/>
      <w:r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 xml:space="preserve"> University, </w:t>
      </w:r>
      <w:proofErr w:type="spellStart"/>
      <w:r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>Keele</w:t>
      </w:r>
      <w:proofErr w:type="spellEnd"/>
      <w:r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>, Staffordshire, ST5 5BG</w:t>
      </w:r>
      <w:r w:rsidR="006B463C"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>, U</w:t>
      </w:r>
      <w:r w:rsidR="00493CBA">
        <w:rPr>
          <w:rStyle w:val="Strong"/>
          <w:rFonts w:cs="Arial"/>
          <w:b w:val="0"/>
          <w:color w:val="1F1F1F"/>
          <w:bdr w:val="none" w:sz="0" w:space="0" w:color="auto" w:frame="1"/>
        </w:rPr>
        <w:t xml:space="preserve">nited </w:t>
      </w:r>
      <w:r w:rsidR="006B463C"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>K</w:t>
      </w:r>
      <w:r w:rsidR="00493CBA">
        <w:rPr>
          <w:rStyle w:val="Strong"/>
          <w:rFonts w:cs="Arial"/>
          <w:b w:val="0"/>
          <w:color w:val="1F1F1F"/>
          <w:bdr w:val="none" w:sz="0" w:space="0" w:color="auto" w:frame="1"/>
        </w:rPr>
        <w:t>ingdom</w:t>
      </w:r>
      <w:r w:rsidRPr="00D3657C">
        <w:rPr>
          <w:rStyle w:val="Strong"/>
          <w:rFonts w:cs="Arial"/>
          <w:b w:val="0"/>
          <w:color w:val="1F1F1F"/>
          <w:bdr w:val="none" w:sz="0" w:space="0" w:color="auto" w:frame="1"/>
        </w:rPr>
        <w:t xml:space="preserve">; </w:t>
      </w:r>
    </w:p>
    <w:p w14:paraId="033A2803" w14:textId="77777777" w:rsidR="00493CBA" w:rsidRDefault="00E507BD" w:rsidP="00C108E8">
      <w:pPr>
        <w:spacing w:after="0"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cs="Arial"/>
          <w:b w:val="0"/>
          <w:color w:val="1F1F1F"/>
          <w:bdr w:val="none" w:sz="0" w:space="0" w:color="auto" w:frame="1"/>
          <w:vertAlign w:val="superscript"/>
        </w:rPr>
        <w:t xml:space="preserve">2 </w:t>
      </w:r>
      <w:r w:rsidR="00552E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Faculty of Health Sciences, University of Southampton, Southampton, </w:t>
      </w:r>
      <w:r w:rsidR="00AC20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SO17 1BJ, </w:t>
      </w:r>
      <w:r w:rsidR="00552E2D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493CB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nited </w:t>
      </w:r>
      <w:r w:rsidR="00552E2D"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493CBA">
        <w:rPr>
          <w:rFonts w:ascii="Arial" w:hAnsi="Arial" w:cs="Arial"/>
          <w:color w:val="000000"/>
          <w:sz w:val="20"/>
          <w:szCs w:val="20"/>
          <w:shd w:val="clear" w:color="auto" w:fill="FFFFFF"/>
        </w:rPr>
        <w:t>ingdom</w:t>
      </w:r>
      <w:r w:rsidR="00AC20B8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7E5C21D3" w14:textId="691DB0A9" w:rsidR="00DE427B" w:rsidRPr="00D3657C" w:rsidRDefault="00E507BD" w:rsidP="00C108E8">
      <w:pPr>
        <w:spacing w:after="0" w:line="480" w:lineRule="auto"/>
        <w:rPr>
          <w:rFonts w:cs="Arial"/>
        </w:rPr>
      </w:pPr>
      <w:r>
        <w:rPr>
          <w:rStyle w:val="Strong"/>
          <w:rFonts w:cs="Arial"/>
          <w:b w:val="0"/>
          <w:color w:val="1F1F1F"/>
          <w:bdr w:val="none" w:sz="0" w:space="0" w:color="auto" w:frame="1"/>
          <w:vertAlign w:val="superscript"/>
        </w:rPr>
        <w:t>3</w:t>
      </w:r>
      <w:r w:rsidR="00DE427B" w:rsidRPr="00D3657C">
        <w:rPr>
          <w:rStyle w:val="Strong"/>
          <w:rFonts w:cs="Arial"/>
          <w:b w:val="0"/>
          <w:color w:val="1F1F1F"/>
          <w:bdr w:val="none" w:sz="0" w:space="0" w:color="auto" w:frame="1"/>
          <w:vertAlign w:val="superscript"/>
        </w:rPr>
        <w:t xml:space="preserve"> </w:t>
      </w:r>
      <w:r w:rsidR="00DE427B" w:rsidRPr="00D3657C">
        <w:rPr>
          <w:rFonts w:cs="Arial"/>
        </w:rPr>
        <w:t xml:space="preserve">School of Allied Health, La Trobe University, </w:t>
      </w:r>
      <w:proofErr w:type="spellStart"/>
      <w:r w:rsidR="00DE427B" w:rsidRPr="00D3657C">
        <w:rPr>
          <w:rFonts w:cs="Arial"/>
        </w:rPr>
        <w:t>Bundoora</w:t>
      </w:r>
      <w:proofErr w:type="spellEnd"/>
      <w:r w:rsidR="00DE427B" w:rsidRPr="00D3657C">
        <w:rPr>
          <w:rFonts w:cs="Arial"/>
        </w:rPr>
        <w:t>, Victoria 3086, Australia.</w:t>
      </w:r>
    </w:p>
    <w:p w14:paraId="2F8A8514" w14:textId="77777777" w:rsidR="00DE427B" w:rsidRPr="00D3657C" w:rsidRDefault="00DE427B" w:rsidP="00C108E8">
      <w:pPr>
        <w:spacing w:after="0" w:line="480" w:lineRule="auto"/>
        <w:rPr>
          <w:rFonts w:cs="Arial"/>
        </w:rPr>
      </w:pPr>
    </w:p>
    <w:p w14:paraId="7B35C2E4" w14:textId="77777777" w:rsidR="0087752E" w:rsidRDefault="0087752E" w:rsidP="0087752E">
      <w:pPr>
        <w:spacing w:after="0" w:line="480" w:lineRule="auto"/>
        <w:rPr>
          <w:rFonts w:cs="Arial"/>
          <w:bCs/>
        </w:rPr>
      </w:pPr>
      <w:r w:rsidRPr="0087752E">
        <w:rPr>
          <w:rFonts w:cs="Arial"/>
        </w:rPr>
        <w:t xml:space="preserve">* </w:t>
      </w:r>
      <w:r w:rsidR="003118F8" w:rsidRPr="0087752E">
        <w:rPr>
          <w:rFonts w:cs="Arial"/>
        </w:rPr>
        <w:t>Corresponding author</w:t>
      </w:r>
      <w:r w:rsidR="004A360C" w:rsidRPr="00D3657C">
        <w:rPr>
          <w:rFonts w:cs="Arial"/>
          <w:bCs/>
        </w:rPr>
        <w:t xml:space="preserve"> </w:t>
      </w:r>
    </w:p>
    <w:p w14:paraId="1A83BBEF" w14:textId="58829B24" w:rsidR="003118F8" w:rsidRPr="00D3657C" w:rsidRDefault="004A360C" w:rsidP="0087752E">
      <w:pPr>
        <w:spacing w:after="0" w:line="480" w:lineRule="auto"/>
        <w:rPr>
          <w:rFonts w:cs="Arial"/>
          <w:color w:val="777777"/>
          <w:shd w:val="clear" w:color="auto" w:fill="FFFFFF"/>
        </w:rPr>
      </w:pPr>
      <w:r w:rsidRPr="00D3657C">
        <w:rPr>
          <w:rFonts w:cs="Arial"/>
          <w:bCs/>
        </w:rPr>
        <w:t>Ema</w:t>
      </w:r>
      <w:r w:rsidRPr="00D3657C">
        <w:rPr>
          <w:rFonts w:cs="Arial"/>
        </w:rPr>
        <w:t xml:space="preserve">il: </w:t>
      </w:r>
      <w:hyperlink r:id="rId8" w:history="1">
        <w:r w:rsidR="000E1ED4" w:rsidRPr="00A06D42">
          <w:rPr>
            <w:rStyle w:val="Hyperlink"/>
            <w:rFonts w:cs="Arial"/>
            <w:shd w:val="clear" w:color="auto" w:fill="FFFFFF"/>
          </w:rPr>
          <w:t>m.marshall@keele.ac.uk</w:t>
        </w:r>
      </w:hyperlink>
    </w:p>
    <w:p w14:paraId="0BFA52F1" w14:textId="77777777" w:rsidR="00FD376D" w:rsidRPr="00D3657C" w:rsidRDefault="00FD376D" w:rsidP="00C108E8">
      <w:pPr>
        <w:spacing w:after="0" w:line="480" w:lineRule="auto"/>
        <w:rPr>
          <w:rFonts w:cs="Arial"/>
          <w:b/>
        </w:rPr>
      </w:pPr>
      <w:r w:rsidRPr="00D3657C">
        <w:rPr>
          <w:rFonts w:cs="Arial"/>
          <w:b/>
        </w:rPr>
        <w:br w:type="page"/>
      </w:r>
    </w:p>
    <w:p w14:paraId="1D4C91D0" w14:textId="71F0B2D5" w:rsidR="006B463C" w:rsidRPr="00B41437" w:rsidRDefault="006B463C" w:rsidP="00C108E8">
      <w:pPr>
        <w:spacing w:after="0" w:line="480" w:lineRule="auto"/>
        <w:rPr>
          <w:rFonts w:cs="Arial"/>
          <w:b/>
          <w:sz w:val="36"/>
          <w:szCs w:val="36"/>
        </w:rPr>
      </w:pPr>
      <w:r w:rsidRPr="00B41437">
        <w:rPr>
          <w:rFonts w:cs="Arial"/>
          <w:b/>
          <w:sz w:val="36"/>
          <w:szCs w:val="36"/>
        </w:rPr>
        <w:lastRenderedPageBreak/>
        <w:t>A</w:t>
      </w:r>
      <w:r w:rsidR="00560BAF" w:rsidRPr="00B41437">
        <w:rPr>
          <w:rFonts w:cs="Arial"/>
          <w:b/>
          <w:sz w:val="36"/>
          <w:szCs w:val="36"/>
        </w:rPr>
        <w:t>bstract</w:t>
      </w:r>
      <w:r w:rsidR="005025DC">
        <w:rPr>
          <w:rFonts w:cs="Arial"/>
          <w:b/>
          <w:sz w:val="36"/>
          <w:szCs w:val="36"/>
        </w:rPr>
        <w:t xml:space="preserve"> (word count=300)</w:t>
      </w:r>
    </w:p>
    <w:p w14:paraId="3A98829F" w14:textId="543B7938" w:rsidR="00EC2C2F" w:rsidRPr="00D3657C" w:rsidRDefault="00DE427B">
      <w:pPr>
        <w:spacing w:after="0" w:line="480" w:lineRule="auto"/>
        <w:rPr>
          <w:rFonts w:cs="Arial"/>
        </w:rPr>
      </w:pPr>
      <w:r w:rsidRPr="00D3657C">
        <w:rPr>
          <w:rFonts w:cs="Arial"/>
          <w:b/>
        </w:rPr>
        <w:t>Objective</w:t>
      </w:r>
      <w:r w:rsidR="00037729" w:rsidRPr="00D3657C">
        <w:rPr>
          <w:rFonts w:cs="Arial"/>
          <w:b/>
        </w:rPr>
        <w:t>s</w:t>
      </w:r>
      <w:r w:rsidRPr="00D3657C">
        <w:rPr>
          <w:rFonts w:cs="Arial"/>
          <w:b/>
        </w:rPr>
        <w:t xml:space="preserve">: </w:t>
      </w:r>
      <w:r w:rsidRPr="00D3657C">
        <w:rPr>
          <w:rFonts w:cs="Arial"/>
        </w:rPr>
        <w:t xml:space="preserve">To </w:t>
      </w:r>
      <w:r w:rsidR="00037729" w:rsidRPr="00D3657C">
        <w:rPr>
          <w:rFonts w:cs="Arial"/>
        </w:rPr>
        <w:t xml:space="preserve">identify </w:t>
      </w:r>
      <w:r w:rsidR="007B37C7">
        <w:rPr>
          <w:rFonts w:cs="Arial"/>
        </w:rPr>
        <w:t xml:space="preserve">by </w:t>
      </w:r>
      <w:r w:rsidR="007B37C7" w:rsidRPr="002C3302">
        <w:rPr>
          <w:rFonts w:cs="Arial"/>
          <w:noProof/>
        </w:rPr>
        <w:t>systematic</w:t>
      </w:r>
      <w:r w:rsidR="007B37C7">
        <w:rPr>
          <w:rFonts w:cs="Arial"/>
        </w:rPr>
        <w:t xml:space="preserve"> review </w:t>
      </w:r>
      <w:r w:rsidR="00037729" w:rsidRPr="00D3657C">
        <w:rPr>
          <w:rFonts w:cs="Arial"/>
        </w:rPr>
        <w:t xml:space="preserve">prevalence </w:t>
      </w:r>
      <w:r w:rsidR="00B10547" w:rsidRPr="00D3657C">
        <w:rPr>
          <w:rFonts w:cs="Arial"/>
        </w:rPr>
        <w:t xml:space="preserve">estimates </w:t>
      </w:r>
      <w:r w:rsidR="00037729" w:rsidRPr="00D3657C">
        <w:rPr>
          <w:rFonts w:cs="Arial"/>
        </w:rPr>
        <w:t xml:space="preserve">of radiographic ankle osteoarthritis (OA) </w:t>
      </w:r>
      <w:r w:rsidRPr="00D3657C">
        <w:rPr>
          <w:rFonts w:cs="Arial"/>
        </w:rPr>
        <w:t xml:space="preserve">and to subsequently </w:t>
      </w:r>
      <w:r w:rsidR="0074070A" w:rsidRPr="00D3657C">
        <w:rPr>
          <w:rFonts w:cs="Arial"/>
        </w:rPr>
        <w:t>estimate</w:t>
      </w:r>
      <w:r w:rsidR="00A2218B" w:rsidRPr="00D3657C">
        <w:rPr>
          <w:rFonts w:cs="Arial"/>
        </w:rPr>
        <w:t xml:space="preserve"> the </w:t>
      </w:r>
      <w:r w:rsidRPr="00D3657C">
        <w:rPr>
          <w:rFonts w:cs="Arial"/>
        </w:rPr>
        <w:t xml:space="preserve">prevalence </w:t>
      </w:r>
      <w:r w:rsidR="00A2218B" w:rsidRPr="00D3657C">
        <w:rPr>
          <w:rFonts w:cs="Arial"/>
        </w:rPr>
        <w:t>of</w:t>
      </w:r>
      <w:r w:rsidRPr="00D3657C">
        <w:rPr>
          <w:rFonts w:cs="Arial"/>
        </w:rPr>
        <w:t xml:space="preserve"> ankle pain and symptomatic, radiographic ankle OA within community-dwelling older adults from North Staffordshire</w:t>
      </w:r>
      <w:r w:rsidR="006176CF" w:rsidRPr="00D3657C">
        <w:rPr>
          <w:rFonts w:cs="Arial"/>
        </w:rPr>
        <w:t>, UK</w:t>
      </w:r>
      <w:r w:rsidRPr="00D3657C">
        <w:rPr>
          <w:rFonts w:cs="Arial"/>
        </w:rPr>
        <w:t>.</w:t>
      </w:r>
    </w:p>
    <w:p w14:paraId="1BC078FF" w14:textId="093725A3" w:rsidR="00DE427B" w:rsidRPr="00D3657C" w:rsidRDefault="00DE427B">
      <w:pPr>
        <w:spacing w:after="0" w:line="480" w:lineRule="auto"/>
        <w:rPr>
          <w:rFonts w:cs="Arial"/>
        </w:rPr>
      </w:pPr>
      <w:r w:rsidRPr="00D3657C">
        <w:rPr>
          <w:rFonts w:cs="Arial"/>
          <w:b/>
        </w:rPr>
        <w:t xml:space="preserve">Methods: </w:t>
      </w:r>
      <w:r w:rsidR="00D34F0E" w:rsidRPr="00D3657C">
        <w:rPr>
          <w:rFonts w:cs="Arial"/>
        </w:rPr>
        <w:t>E</w:t>
      </w:r>
      <w:r w:rsidRPr="00D3657C">
        <w:rPr>
          <w:rFonts w:cs="Arial"/>
        </w:rPr>
        <w:t xml:space="preserve">lectronic databases </w:t>
      </w:r>
      <w:r w:rsidR="00AE3BEC" w:rsidRPr="00D3657C">
        <w:rPr>
          <w:rFonts w:cs="Arial"/>
        </w:rPr>
        <w:t xml:space="preserve">were searched </w:t>
      </w:r>
      <w:r w:rsidR="00380568" w:rsidRPr="00D3657C">
        <w:rPr>
          <w:rFonts w:cs="Arial"/>
        </w:rPr>
        <w:t>using</w:t>
      </w:r>
      <w:r w:rsidRPr="00D3657C">
        <w:rPr>
          <w:rFonts w:cs="Arial"/>
        </w:rPr>
        <w:t xml:space="preserve"> terms for ankle, osteoarthritis and radiography. </w:t>
      </w:r>
      <w:r w:rsidR="00D34F0E" w:rsidRPr="00D3657C">
        <w:rPr>
          <w:rFonts w:cs="Arial"/>
        </w:rPr>
        <w:t xml:space="preserve">Data </w:t>
      </w:r>
      <w:r w:rsidR="0024618B" w:rsidRPr="00D3657C">
        <w:rPr>
          <w:rFonts w:cs="Arial"/>
        </w:rPr>
        <w:t>regarding</w:t>
      </w:r>
      <w:r w:rsidR="00D34F0E" w:rsidRPr="00D3657C">
        <w:rPr>
          <w:rFonts w:cs="Arial"/>
        </w:rPr>
        <w:t xml:space="preserve"> population, radiographic methods, definitions and prevalence estimates of ankle OA </w:t>
      </w:r>
      <w:r w:rsidR="00D34F0E" w:rsidRPr="002C3302">
        <w:rPr>
          <w:rFonts w:cs="Arial"/>
          <w:noProof/>
        </w:rPr>
        <w:t>were extracted</w:t>
      </w:r>
      <w:r w:rsidR="00D34F0E" w:rsidRPr="00D3657C">
        <w:rPr>
          <w:rFonts w:cs="Arial"/>
        </w:rPr>
        <w:t xml:space="preserve"> from p</w:t>
      </w:r>
      <w:r w:rsidR="00AE3BEC" w:rsidRPr="00D3657C">
        <w:rPr>
          <w:rFonts w:cs="Arial"/>
        </w:rPr>
        <w:t>apers meeting p</w:t>
      </w:r>
      <w:r w:rsidRPr="00D3657C">
        <w:rPr>
          <w:rFonts w:cs="Arial"/>
        </w:rPr>
        <w:t xml:space="preserve">redetermined selection </w:t>
      </w:r>
      <w:r w:rsidR="00225204" w:rsidRPr="00D3657C">
        <w:rPr>
          <w:rFonts w:cs="Arial"/>
        </w:rPr>
        <w:t>criteria</w:t>
      </w:r>
      <w:r w:rsidR="0053340C" w:rsidRPr="00D3657C">
        <w:rPr>
          <w:rFonts w:cs="Arial"/>
        </w:rPr>
        <w:t>.</w:t>
      </w:r>
      <w:r w:rsidR="008D2256" w:rsidRPr="00D3657C">
        <w:rPr>
          <w:rFonts w:cs="Arial"/>
        </w:rPr>
        <w:t xml:space="preserve"> </w:t>
      </w:r>
      <w:r w:rsidR="00D80FC8" w:rsidRPr="00D3657C">
        <w:rPr>
          <w:rFonts w:cs="Arial"/>
        </w:rPr>
        <w:t>A</w:t>
      </w:r>
      <w:r w:rsidRPr="00D3657C">
        <w:rPr>
          <w:rFonts w:cs="Arial"/>
        </w:rPr>
        <w:t xml:space="preserve">dults aged </w:t>
      </w:r>
      <w:r w:rsidR="00423F4A">
        <w:rPr>
          <w:rFonts w:cs="Arial"/>
        </w:rPr>
        <w:t>≥</w:t>
      </w:r>
      <w:r w:rsidRPr="00D3657C">
        <w:rPr>
          <w:rFonts w:cs="Arial"/>
        </w:rPr>
        <w:t xml:space="preserve">50 years </w:t>
      </w:r>
      <w:r w:rsidRPr="00281168">
        <w:rPr>
          <w:rFonts w:cs="Arial"/>
        </w:rPr>
        <w:t>and</w:t>
      </w:r>
      <w:r w:rsidRPr="00D3657C">
        <w:rPr>
          <w:rFonts w:cs="Arial"/>
        </w:rPr>
        <w:t xml:space="preserve"> registered with four general practices in North Staffordshire</w:t>
      </w:r>
      <w:r w:rsidR="00D80FC8" w:rsidRPr="00D3657C">
        <w:rPr>
          <w:rFonts w:cs="Arial"/>
        </w:rPr>
        <w:t xml:space="preserve"> </w:t>
      </w:r>
      <w:r w:rsidRPr="002C3302">
        <w:rPr>
          <w:rFonts w:cs="Arial"/>
          <w:noProof/>
        </w:rPr>
        <w:t>were mailed</w:t>
      </w:r>
      <w:r w:rsidRPr="00D3657C">
        <w:rPr>
          <w:rFonts w:cs="Arial"/>
        </w:rPr>
        <w:t xml:space="preserve"> a health questionnaire</w:t>
      </w:r>
      <w:r w:rsidR="0024618B" w:rsidRPr="00D3657C">
        <w:rPr>
          <w:rFonts w:cs="Arial"/>
        </w:rPr>
        <w:t>.</w:t>
      </w:r>
      <w:r w:rsidR="0034270C" w:rsidRPr="00D3657C">
        <w:rPr>
          <w:rFonts w:cs="Arial"/>
        </w:rPr>
        <w:t xml:space="preserve"> Ankle pain in the previous month was determined </w:t>
      </w:r>
      <w:r w:rsidR="002F6A90" w:rsidRPr="00D3657C">
        <w:rPr>
          <w:rFonts w:cs="Arial"/>
        </w:rPr>
        <w:t>using</w:t>
      </w:r>
      <w:r w:rsidR="0034270C" w:rsidRPr="00D3657C">
        <w:rPr>
          <w:rFonts w:cs="Arial"/>
        </w:rPr>
        <w:t xml:space="preserve"> a pain manikin. </w:t>
      </w:r>
      <w:r w:rsidR="00FB20FB" w:rsidRPr="00D3657C">
        <w:rPr>
          <w:rFonts w:cs="Arial"/>
        </w:rPr>
        <w:t>Respondents</w:t>
      </w:r>
      <w:r w:rsidRPr="00D3657C">
        <w:rPr>
          <w:rFonts w:cs="Arial"/>
        </w:rPr>
        <w:t xml:space="preserve"> reporting pain in or around the foot in the last 12 months were invited </w:t>
      </w:r>
      <w:r w:rsidRPr="00281168">
        <w:rPr>
          <w:rFonts w:cs="Arial"/>
        </w:rPr>
        <w:t>to</w:t>
      </w:r>
      <w:r w:rsidR="0024618B" w:rsidRPr="00281168">
        <w:rPr>
          <w:rFonts w:cs="Arial"/>
        </w:rPr>
        <w:t xml:space="preserve"> attend</w:t>
      </w:r>
      <w:r w:rsidR="0024618B" w:rsidRPr="00D3657C">
        <w:rPr>
          <w:rFonts w:cs="Arial"/>
        </w:rPr>
        <w:t xml:space="preserve"> a research clinic where </w:t>
      </w:r>
      <w:r w:rsidRPr="00D3657C">
        <w:rPr>
          <w:rFonts w:cs="Arial"/>
        </w:rPr>
        <w:t>weight-bearing radiographs were obtained</w:t>
      </w:r>
      <w:r w:rsidR="0024618B" w:rsidRPr="00D3657C">
        <w:rPr>
          <w:rFonts w:cs="Arial"/>
        </w:rPr>
        <w:t xml:space="preserve"> and</w:t>
      </w:r>
      <w:r w:rsidR="00B931B1" w:rsidRPr="00D3657C">
        <w:rPr>
          <w:rFonts w:cs="Arial"/>
        </w:rPr>
        <w:t xml:space="preserve"> </w:t>
      </w:r>
      <w:r w:rsidRPr="00D3657C">
        <w:rPr>
          <w:rFonts w:cs="Arial"/>
        </w:rPr>
        <w:t xml:space="preserve">scored </w:t>
      </w:r>
      <w:r w:rsidR="00B931B1" w:rsidRPr="00D3657C">
        <w:rPr>
          <w:rFonts w:cs="Arial"/>
        </w:rPr>
        <w:t>for</w:t>
      </w:r>
      <w:r w:rsidR="00D1763B" w:rsidRPr="00D3657C">
        <w:rPr>
          <w:rFonts w:cs="Arial"/>
        </w:rPr>
        <w:t xml:space="preserve"> </w:t>
      </w:r>
      <w:r w:rsidR="008601D8" w:rsidRPr="00D3657C">
        <w:rPr>
          <w:rFonts w:cs="Arial"/>
        </w:rPr>
        <w:t>OA</w:t>
      </w:r>
      <w:r w:rsidR="00225204" w:rsidRPr="00D3657C">
        <w:rPr>
          <w:rFonts w:cs="Arial"/>
        </w:rPr>
        <w:t xml:space="preserve">. </w:t>
      </w:r>
      <w:r w:rsidRPr="00D3657C">
        <w:rPr>
          <w:rFonts w:cs="Arial"/>
        </w:rPr>
        <w:t xml:space="preserve">Prevalence estimates </w:t>
      </w:r>
      <w:r w:rsidRPr="00281168">
        <w:rPr>
          <w:rFonts w:cs="Arial"/>
        </w:rPr>
        <w:t>for ankle pain and symptomatic, radiographic ankle OA</w:t>
      </w:r>
      <w:r w:rsidRPr="00D3657C">
        <w:rPr>
          <w:rFonts w:cs="Arial"/>
        </w:rPr>
        <w:t xml:space="preserve"> were calculated using multiple </w:t>
      </w:r>
      <w:r w:rsidRPr="002C3302">
        <w:rPr>
          <w:rFonts w:cs="Arial"/>
          <w:noProof/>
        </w:rPr>
        <w:t>imputation</w:t>
      </w:r>
      <w:r w:rsidRPr="00D3657C">
        <w:rPr>
          <w:rFonts w:cs="Arial"/>
        </w:rPr>
        <w:t xml:space="preserve"> and weighted logistic </w:t>
      </w:r>
      <w:r w:rsidRPr="002C3302">
        <w:rPr>
          <w:rFonts w:cs="Arial"/>
          <w:noProof/>
        </w:rPr>
        <w:t>regression</w:t>
      </w:r>
      <w:r w:rsidR="000C48BA" w:rsidRPr="00A13706">
        <w:rPr>
          <w:rFonts w:cs="Arial"/>
          <w:noProof/>
        </w:rPr>
        <w:t>,</w:t>
      </w:r>
      <w:r w:rsidR="000C48BA" w:rsidRPr="00D3657C">
        <w:rPr>
          <w:rFonts w:cs="Arial"/>
        </w:rPr>
        <w:t xml:space="preserve"> and </w:t>
      </w:r>
      <w:r w:rsidRPr="00D3657C">
        <w:rPr>
          <w:rFonts w:cs="Arial"/>
        </w:rPr>
        <w:t>stratified by age, gender and socioeconomic status.</w:t>
      </w:r>
    </w:p>
    <w:p w14:paraId="41EE88EE" w14:textId="6BF15B01" w:rsidR="00DE427B" w:rsidRPr="00D3657C" w:rsidRDefault="00DE427B">
      <w:pPr>
        <w:spacing w:after="0" w:line="480" w:lineRule="auto"/>
        <w:rPr>
          <w:rFonts w:cs="Arial"/>
        </w:rPr>
      </w:pPr>
      <w:r w:rsidRPr="00D3657C">
        <w:rPr>
          <w:rFonts w:cs="Arial"/>
          <w:b/>
        </w:rPr>
        <w:t>Results:</w:t>
      </w:r>
      <w:r w:rsidRPr="008835FA">
        <w:rPr>
          <w:rFonts w:cs="Arial"/>
        </w:rPr>
        <w:t xml:space="preserve"> </w:t>
      </w:r>
      <w:r w:rsidR="008835FA" w:rsidRPr="008835FA">
        <w:rPr>
          <w:rFonts w:cs="Arial"/>
        </w:rPr>
        <w:t>Eighteen</w:t>
      </w:r>
      <w:r w:rsidRPr="00D3657C">
        <w:rPr>
          <w:rFonts w:cs="Arial"/>
        </w:rPr>
        <w:t xml:space="preserve"> studies </w:t>
      </w:r>
      <w:r w:rsidRPr="002C3302">
        <w:rPr>
          <w:rFonts w:cs="Arial"/>
          <w:noProof/>
        </w:rPr>
        <w:t xml:space="preserve">were </w:t>
      </w:r>
      <w:r w:rsidR="004D61B9" w:rsidRPr="00A13706">
        <w:rPr>
          <w:rFonts w:cs="Arial"/>
          <w:noProof/>
        </w:rPr>
        <w:t>included</w:t>
      </w:r>
      <w:r w:rsidRPr="00D3657C">
        <w:rPr>
          <w:rFonts w:cs="Arial"/>
        </w:rPr>
        <w:t xml:space="preserve"> in the systematic review. The methods of radiographic </w:t>
      </w:r>
      <w:proofErr w:type="gramStart"/>
      <w:r w:rsidRPr="00D3657C">
        <w:rPr>
          <w:rFonts w:cs="Arial"/>
        </w:rPr>
        <w:t>classification</w:t>
      </w:r>
      <w:proofErr w:type="gramEnd"/>
      <w:r w:rsidRPr="00D3657C">
        <w:rPr>
          <w:rFonts w:cs="Arial"/>
        </w:rPr>
        <w:t xml:space="preserve"> of ankle OA </w:t>
      </w:r>
      <w:r w:rsidR="00901E43" w:rsidRPr="00D3657C">
        <w:rPr>
          <w:rFonts w:cs="Arial"/>
        </w:rPr>
        <w:t xml:space="preserve">were poorly reported </w:t>
      </w:r>
      <w:r w:rsidR="00901E43">
        <w:rPr>
          <w:rFonts w:cs="Arial"/>
        </w:rPr>
        <w:t xml:space="preserve">and </w:t>
      </w:r>
      <w:r w:rsidR="0024618B" w:rsidRPr="00D3657C">
        <w:rPr>
          <w:rFonts w:cs="Arial"/>
        </w:rPr>
        <w:t>showed heterogeneity</w:t>
      </w:r>
      <w:r w:rsidRPr="00D3657C">
        <w:rPr>
          <w:rFonts w:cs="Arial"/>
        </w:rPr>
        <w:t>. No tru</w:t>
      </w:r>
      <w:r w:rsidR="00D92866" w:rsidRPr="00D3657C">
        <w:rPr>
          <w:rFonts w:cs="Arial"/>
        </w:rPr>
        <w:t>e</w:t>
      </w:r>
      <w:r w:rsidRPr="00D3657C">
        <w:rPr>
          <w:rFonts w:cs="Arial"/>
        </w:rPr>
        <w:t xml:space="preserve"> general population</w:t>
      </w:r>
      <w:r w:rsidR="00E03B35" w:rsidRPr="00D3657C">
        <w:rPr>
          <w:rFonts w:cs="Arial"/>
        </w:rPr>
        <w:t xml:space="preserve"> </w:t>
      </w:r>
      <w:r w:rsidRPr="00D3657C">
        <w:rPr>
          <w:rFonts w:cs="Arial"/>
        </w:rPr>
        <w:t xml:space="preserve">prevalence </w:t>
      </w:r>
      <w:r w:rsidR="00E03B35" w:rsidRPr="00D3657C">
        <w:rPr>
          <w:rFonts w:cs="Arial"/>
        </w:rPr>
        <w:t xml:space="preserve">estimates </w:t>
      </w:r>
      <w:r w:rsidR="00D92866" w:rsidRPr="00D3657C">
        <w:rPr>
          <w:rFonts w:cs="Arial"/>
        </w:rPr>
        <w:t>of</w:t>
      </w:r>
      <w:r w:rsidR="00423F4A">
        <w:rPr>
          <w:rFonts w:cs="Arial"/>
        </w:rPr>
        <w:t xml:space="preserve"> radiographic</w:t>
      </w:r>
      <w:r w:rsidR="00D92866" w:rsidRPr="00D3657C">
        <w:rPr>
          <w:rFonts w:cs="Arial"/>
        </w:rPr>
        <w:t xml:space="preserve"> ankle OA </w:t>
      </w:r>
      <w:r w:rsidR="00D92866" w:rsidRPr="002C3302">
        <w:rPr>
          <w:rFonts w:cs="Arial"/>
          <w:noProof/>
        </w:rPr>
        <w:t>were found</w:t>
      </w:r>
      <w:r w:rsidR="002B14D8" w:rsidRPr="00E36F06">
        <w:rPr>
          <w:rFonts w:cs="Arial"/>
        </w:rPr>
        <w:t>, estimates in select sporting and medical populations ranged from 0</w:t>
      </w:r>
      <w:r w:rsidR="00E36F06" w:rsidRPr="00E36F06">
        <w:rPr>
          <w:rFonts w:cs="Arial"/>
        </w:rPr>
        <w:t>.0</w:t>
      </w:r>
      <w:r w:rsidR="002B14D8" w:rsidRPr="00E36F06">
        <w:rPr>
          <w:rFonts w:cs="Arial"/>
        </w:rPr>
        <w:t>-97</w:t>
      </w:r>
      <w:r w:rsidR="00E36F06" w:rsidRPr="00E36F06">
        <w:rPr>
          <w:rFonts w:cs="Arial"/>
        </w:rPr>
        <w:t>.1</w:t>
      </w:r>
      <w:r w:rsidR="002B14D8" w:rsidRPr="00E36F06">
        <w:rPr>
          <w:rFonts w:cs="Arial"/>
        </w:rPr>
        <w:t>%</w:t>
      </w:r>
      <w:r w:rsidRPr="00E36F06">
        <w:rPr>
          <w:rFonts w:cs="Arial"/>
        </w:rPr>
        <w:t>.</w:t>
      </w:r>
      <w:r w:rsidRPr="00D3657C">
        <w:rPr>
          <w:rFonts w:cs="Arial"/>
        </w:rPr>
        <w:t xml:space="preserve"> 5109 participants responded to the health questionnaire (adjusted response 56%)</w:t>
      </w:r>
      <w:r w:rsidR="00A01CED" w:rsidRPr="00D3657C">
        <w:rPr>
          <w:rFonts w:cs="Arial"/>
        </w:rPr>
        <w:t xml:space="preserve">. Radiographs </w:t>
      </w:r>
      <w:r w:rsidR="00A01CED" w:rsidRPr="002C3302">
        <w:rPr>
          <w:rFonts w:cs="Arial"/>
          <w:noProof/>
        </w:rPr>
        <w:t>were obtained</w:t>
      </w:r>
      <w:r w:rsidR="00A01CED" w:rsidRPr="00D3657C">
        <w:rPr>
          <w:rFonts w:cs="Arial"/>
        </w:rPr>
        <w:t xml:space="preserve"> in</w:t>
      </w:r>
      <w:r w:rsidRPr="00D3657C">
        <w:rPr>
          <w:rFonts w:cs="Arial"/>
        </w:rPr>
        <w:t xml:space="preserve"> </w:t>
      </w:r>
      <w:r w:rsidR="00CE37C1">
        <w:rPr>
          <w:rFonts w:cs="Arial"/>
        </w:rPr>
        <w:t>557</w:t>
      </w:r>
      <w:r w:rsidR="00CE37C1" w:rsidRPr="00CE37C1">
        <w:rPr>
          <w:rFonts w:cs="Arial"/>
        </w:rPr>
        <w:t xml:space="preserve"> </w:t>
      </w:r>
      <w:r w:rsidRPr="00D3657C">
        <w:rPr>
          <w:rFonts w:cs="Arial"/>
        </w:rPr>
        <w:t xml:space="preserve">participants. </w:t>
      </w:r>
      <w:r w:rsidR="007B37C7">
        <w:rPr>
          <w:rFonts w:cs="Arial"/>
        </w:rPr>
        <w:t>The p</w:t>
      </w:r>
      <w:r w:rsidRPr="00D3657C">
        <w:rPr>
          <w:rFonts w:cs="Arial"/>
        </w:rPr>
        <w:t>revalence</w:t>
      </w:r>
      <w:r w:rsidR="00067997" w:rsidRPr="00D3657C">
        <w:rPr>
          <w:rFonts w:cs="Arial"/>
        </w:rPr>
        <w:t xml:space="preserve"> of ankle pain </w:t>
      </w:r>
      <w:r w:rsidR="0085269F">
        <w:rPr>
          <w:rFonts w:cs="Arial"/>
        </w:rPr>
        <w:t>was 11.7% (10.8</w:t>
      </w:r>
      <w:proofErr w:type="gramStart"/>
      <w:r w:rsidR="0085269F">
        <w:rPr>
          <w:rFonts w:cs="Arial"/>
        </w:rPr>
        <w:t>,</w:t>
      </w:r>
      <w:r w:rsidR="0085269F" w:rsidRPr="00D3657C">
        <w:rPr>
          <w:rFonts w:cs="Arial"/>
        </w:rPr>
        <w:t>12.6</w:t>
      </w:r>
      <w:proofErr w:type="gramEnd"/>
      <w:r w:rsidR="0085269F" w:rsidRPr="00D3657C">
        <w:rPr>
          <w:rFonts w:cs="Arial"/>
        </w:rPr>
        <w:t xml:space="preserve">) </w:t>
      </w:r>
      <w:r w:rsidR="00067997" w:rsidRPr="00D3657C">
        <w:rPr>
          <w:rFonts w:cs="Arial"/>
        </w:rPr>
        <w:t>and symptomatic, radiographic ankle OA</w:t>
      </w:r>
      <w:r w:rsidR="0085269F">
        <w:rPr>
          <w:rFonts w:cs="Arial"/>
        </w:rPr>
        <w:t xml:space="preserve"> grade≥2 was</w:t>
      </w:r>
      <w:r w:rsidRPr="00D3657C">
        <w:rPr>
          <w:rFonts w:cs="Arial"/>
        </w:rPr>
        <w:t xml:space="preserve"> 3.4% (2.</w:t>
      </w:r>
      <w:r w:rsidR="00A15BE3">
        <w:rPr>
          <w:rFonts w:cs="Arial"/>
        </w:rPr>
        <w:t>3</w:t>
      </w:r>
      <w:r w:rsidR="00D94C76">
        <w:rPr>
          <w:rFonts w:cs="Arial"/>
        </w:rPr>
        <w:t>,</w:t>
      </w:r>
      <w:r w:rsidRPr="00D3657C">
        <w:rPr>
          <w:rFonts w:cs="Arial"/>
        </w:rPr>
        <w:t xml:space="preserve"> 4.</w:t>
      </w:r>
      <w:r w:rsidR="00A15BE3">
        <w:rPr>
          <w:rFonts w:cs="Arial"/>
        </w:rPr>
        <w:t>5</w:t>
      </w:r>
      <w:r w:rsidRPr="00D3657C">
        <w:rPr>
          <w:rFonts w:cs="Arial"/>
        </w:rPr>
        <w:t xml:space="preserve">) </w:t>
      </w:r>
      <w:r w:rsidR="0085269F">
        <w:rPr>
          <w:rFonts w:cs="Arial"/>
        </w:rPr>
        <w:t>(grade≥1</w:t>
      </w:r>
      <w:r w:rsidR="00CA05BA">
        <w:rPr>
          <w:rFonts w:cs="Arial"/>
        </w:rPr>
        <w:t>:</w:t>
      </w:r>
      <w:r w:rsidR="0085269F">
        <w:rPr>
          <w:rFonts w:cs="Arial"/>
        </w:rPr>
        <w:t xml:space="preserve"> 8.8% (7.9,9.8); grade=3</w:t>
      </w:r>
      <w:r w:rsidR="00CA05BA">
        <w:rPr>
          <w:rFonts w:cs="Arial"/>
        </w:rPr>
        <w:t>:</w:t>
      </w:r>
      <w:r w:rsidR="0085269F">
        <w:rPr>
          <w:rFonts w:cs="Arial"/>
        </w:rPr>
        <w:t xml:space="preserve"> </w:t>
      </w:r>
      <w:r w:rsidR="00887A4D">
        <w:rPr>
          <w:rFonts w:cs="Arial"/>
        </w:rPr>
        <w:t>1.9% (1.0,</w:t>
      </w:r>
      <w:r w:rsidR="0085269F">
        <w:rPr>
          <w:rFonts w:cs="Arial"/>
        </w:rPr>
        <w:t>2.7)</w:t>
      </w:r>
      <w:r w:rsidRPr="00D3657C">
        <w:rPr>
          <w:rFonts w:cs="Arial"/>
        </w:rPr>
        <w:t xml:space="preserve">. </w:t>
      </w:r>
      <w:r w:rsidR="0012328C" w:rsidRPr="00D3657C">
        <w:rPr>
          <w:rFonts w:cs="Arial"/>
        </w:rPr>
        <w:t>Prevalence was highe</w:t>
      </w:r>
      <w:r w:rsidR="00FE2AF6">
        <w:rPr>
          <w:rFonts w:cs="Arial"/>
        </w:rPr>
        <w:t>r</w:t>
      </w:r>
      <w:r w:rsidR="0012328C" w:rsidRPr="00D3657C">
        <w:rPr>
          <w:rFonts w:cs="Arial"/>
        </w:rPr>
        <w:t xml:space="preserve"> in </w:t>
      </w:r>
      <w:r w:rsidRPr="00D3657C">
        <w:rPr>
          <w:rFonts w:cs="Arial"/>
        </w:rPr>
        <w:t xml:space="preserve">females, younger adults (50-64 years) and </w:t>
      </w:r>
      <w:r w:rsidR="0012328C" w:rsidRPr="00D3657C">
        <w:rPr>
          <w:rFonts w:cs="Arial"/>
        </w:rPr>
        <w:t>those</w:t>
      </w:r>
      <w:r w:rsidRPr="00D3657C">
        <w:rPr>
          <w:rFonts w:cs="Arial"/>
        </w:rPr>
        <w:t xml:space="preserve"> with routine/manual occupations. </w:t>
      </w:r>
    </w:p>
    <w:p w14:paraId="07D2C2B3" w14:textId="1B105265" w:rsidR="00FE2158" w:rsidRPr="007B37C7" w:rsidRDefault="00DE427B">
      <w:pPr>
        <w:spacing w:after="0" w:line="480" w:lineRule="auto"/>
        <w:rPr>
          <w:rFonts w:cs="Arial"/>
        </w:rPr>
      </w:pPr>
      <w:r w:rsidRPr="00D3657C">
        <w:rPr>
          <w:rFonts w:cs="Arial"/>
          <w:b/>
        </w:rPr>
        <w:t xml:space="preserve">Conclusion: </w:t>
      </w:r>
      <w:r w:rsidR="00A64466" w:rsidRPr="00D3657C">
        <w:rPr>
          <w:rFonts w:cs="Arial"/>
        </w:rPr>
        <w:t>N</w:t>
      </w:r>
      <w:r w:rsidR="003538B0" w:rsidRPr="00D3657C">
        <w:rPr>
          <w:rFonts w:cs="Arial"/>
        </w:rPr>
        <w:t xml:space="preserve">o </w:t>
      </w:r>
      <w:r w:rsidR="00922C68">
        <w:rPr>
          <w:rFonts w:cs="Arial"/>
        </w:rPr>
        <w:t>general</w:t>
      </w:r>
      <w:r w:rsidR="003538B0" w:rsidRPr="00D3657C">
        <w:rPr>
          <w:rFonts w:cs="Arial"/>
        </w:rPr>
        <w:t xml:space="preserve"> </w:t>
      </w:r>
      <w:r w:rsidR="00903833" w:rsidRPr="00D3657C">
        <w:rPr>
          <w:rFonts w:cs="Arial"/>
        </w:rPr>
        <w:t>population</w:t>
      </w:r>
      <w:r w:rsidR="003538B0" w:rsidRPr="00D3657C">
        <w:rPr>
          <w:rFonts w:cs="Arial"/>
        </w:rPr>
        <w:t xml:space="preserve"> </w:t>
      </w:r>
      <w:r w:rsidR="00903833" w:rsidRPr="00D3657C">
        <w:rPr>
          <w:rFonts w:cs="Arial"/>
        </w:rPr>
        <w:t>prevalence</w:t>
      </w:r>
      <w:r w:rsidR="003538B0" w:rsidRPr="00D3657C">
        <w:rPr>
          <w:rFonts w:cs="Arial"/>
        </w:rPr>
        <w:t xml:space="preserve"> est</w:t>
      </w:r>
      <w:r w:rsidR="00903833" w:rsidRPr="00D3657C">
        <w:rPr>
          <w:rFonts w:cs="Arial"/>
        </w:rPr>
        <w:t>i</w:t>
      </w:r>
      <w:r w:rsidR="003538B0" w:rsidRPr="00D3657C">
        <w:rPr>
          <w:rFonts w:cs="Arial"/>
        </w:rPr>
        <w:t>m</w:t>
      </w:r>
      <w:r w:rsidR="00903833" w:rsidRPr="00D3657C">
        <w:rPr>
          <w:rFonts w:cs="Arial"/>
        </w:rPr>
        <w:t>at</w:t>
      </w:r>
      <w:r w:rsidR="003538B0" w:rsidRPr="00D3657C">
        <w:rPr>
          <w:rFonts w:cs="Arial"/>
        </w:rPr>
        <w:t>es of radiog</w:t>
      </w:r>
      <w:r w:rsidR="00903833" w:rsidRPr="00D3657C">
        <w:rPr>
          <w:rFonts w:cs="Arial"/>
        </w:rPr>
        <w:t>r</w:t>
      </w:r>
      <w:r w:rsidR="003538B0" w:rsidRPr="00D3657C">
        <w:rPr>
          <w:rFonts w:cs="Arial"/>
        </w:rPr>
        <w:t>a</w:t>
      </w:r>
      <w:r w:rsidR="00903833" w:rsidRPr="00D3657C">
        <w:rPr>
          <w:rFonts w:cs="Arial"/>
        </w:rPr>
        <w:t>p</w:t>
      </w:r>
      <w:r w:rsidR="003538B0" w:rsidRPr="00D3657C">
        <w:rPr>
          <w:rFonts w:cs="Arial"/>
        </w:rPr>
        <w:t>hic ankle OA</w:t>
      </w:r>
      <w:r w:rsidR="00A64466" w:rsidRPr="00D3657C">
        <w:rPr>
          <w:rFonts w:cs="Arial"/>
        </w:rPr>
        <w:t xml:space="preserve"> </w:t>
      </w:r>
      <w:r w:rsidR="00A64466" w:rsidRPr="002C3302">
        <w:rPr>
          <w:rFonts w:cs="Arial"/>
          <w:noProof/>
        </w:rPr>
        <w:t>were identified</w:t>
      </w:r>
      <w:r w:rsidR="00922C68">
        <w:rPr>
          <w:rFonts w:cs="Arial"/>
        </w:rPr>
        <w:t xml:space="preserve"> in the literature</w:t>
      </w:r>
      <w:r w:rsidR="00903833" w:rsidRPr="00D3657C">
        <w:rPr>
          <w:rFonts w:cs="Arial"/>
        </w:rPr>
        <w:t>.</w:t>
      </w:r>
      <w:r w:rsidR="003538B0" w:rsidRPr="00D3657C">
        <w:rPr>
          <w:rFonts w:cs="Arial"/>
          <w:b/>
        </w:rPr>
        <w:t xml:space="preserve"> </w:t>
      </w:r>
      <w:r w:rsidR="00157E0D">
        <w:rPr>
          <w:rFonts w:cs="Arial"/>
        </w:rPr>
        <w:t xml:space="preserve">We </w:t>
      </w:r>
      <w:r w:rsidR="00903833" w:rsidRPr="00D3657C">
        <w:rPr>
          <w:rFonts w:cs="Arial"/>
        </w:rPr>
        <w:t>found that a</w:t>
      </w:r>
      <w:r w:rsidRPr="00D3657C">
        <w:rPr>
          <w:rFonts w:cs="Arial"/>
        </w:rPr>
        <w:t>nkle pain was common in community-dwelling older adults,</w:t>
      </w:r>
      <w:r w:rsidR="00DE53F2" w:rsidRPr="00D3657C">
        <w:rPr>
          <w:rFonts w:cs="Arial"/>
        </w:rPr>
        <w:t xml:space="preserve"> </w:t>
      </w:r>
      <w:r w:rsidR="00FD100E" w:rsidRPr="00D3657C">
        <w:rPr>
          <w:rFonts w:cs="Arial"/>
        </w:rPr>
        <w:t xml:space="preserve">whereas </w:t>
      </w:r>
      <w:r w:rsidR="004129D0" w:rsidRPr="00E70903">
        <w:rPr>
          <w:rFonts w:cs="Arial"/>
        </w:rPr>
        <w:t>moderate</w:t>
      </w:r>
      <w:r w:rsidR="00F32B99" w:rsidRPr="00E70903">
        <w:rPr>
          <w:rFonts w:cs="Arial"/>
        </w:rPr>
        <w:t xml:space="preserve"> to severe</w:t>
      </w:r>
      <w:r w:rsidR="004129D0">
        <w:rPr>
          <w:rFonts w:cs="Arial"/>
        </w:rPr>
        <w:t xml:space="preserve"> </w:t>
      </w:r>
      <w:r w:rsidRPr="00D3657C">
        <w:rPr>
          <w:rFonts w:cs="Arial"/>
        </w:rPr>
        <w:t>symptomatic, radiographic ankle OA occurred less frequently</w:t>
      </w:r>
      <w:r w:rsidR="00F42B79" w:rsidRPr="00D3657C">
        <w:rPr>
          <w:rFonts w:cs="Arial"/>
        </w:rPr>
        <w:t xml:space="preserve">. </w:t>
      </w:r>
      <w:r w:rsidR="00C064DB">
        <w:rPr>
          <w:rFonts w:cs="Arial"/>
        </w:rPr>
        <w:t>Further investigations of the prevalence of ankle OA using more sensitive imaging modalities are warranted</w:t>
      </w:r>
      <w:r w:rsidRPr="00D3657C">
        <w:rPr>
          <w:rFonts w:cs="Arial"/>
        </w:rPr>
        <w:t xml:space="preserve">. </w:t>
      </w:r>
    </w:p>
    <w:p w14:paraId="4FB2C1F4" w14:textId="0869F13C" w:rsidR="00FB42E9" w:rsidRPr="007F71B4" w:rsidRDefault="00FD376D">
      <w:pPr>
        <w:spacing w:after="0" w:line="480" w:lineRule="auto"/>
        <w:rPr>
          <w:rFonts w:cs="Arial"/>
          <w:b/>
          <w:sz w:val="36"/>
          <w:szCs w:val="36"/>
        </w:rPr>
      </w:pPr>
      <w:r w:rsidRPr="00D3657C">
        <w:rPr>
          <w:rFonts w:cs="Arial"/>
          <w:b/>
        </w:rPr>
        <w:br w:type="page"/>
      </w:r>
      <w:r w:rsidR="006B463C" w:rsidRPr="007F71B4">
        <w:rPr>
          <w:rFonts w:cs="Arial"/>
          <w:b/>
          <w:sz w:val="36"/>
          <w:szCs w:val="36"/>
        </w:rPr>
        <w:lastRenderedPageBreak/>
        <w:t>I</w:t>
      </w:r>
      <w:r w:rsidR="00560BAF" w:rsidRPr="007F71B4">
        <w:rPr>
          <w:rFonts w:cs="Arial"/>
          <w:b/>
          <w:sz w:val="36"/>
          <w:szCs w:val="36"/>
        </w:rPr>
        <w:t>ntroduction</w:t>
      </w:r>
    </w:p>
    <w:p w14:paraId="5B469B22" w14:textId="6226AFBF" w:rsidR="00FB42E9" w:rsidRPr="00EF5389" w:rsidRDefault="00FB42E9">
      <w:pPr>
        <w:spacing w:after="0" w:line="480" w:lineRule="auto"/>
        <w:rPr>
          <w:rFonts w:cs="Arial"/>
        </w:rPr>
      </w:pPr>
      <w:r w:rsidRPr="00EF5389">
        <w:rPr>
          <w:rFonts w:cs="Arial"/>
        </w:rPr>
        <w:t xml:space="preserve">Osteoarthritis (OA) is a </w:t>
      </w:r>
      <w:r w:rsidR="00777C8B" w:rsidRPr="00EF5389">
        <w:rPr>
          <w:rFonts w:cs="Arial"/>
        </w:rPr>
        <w:t>recognised</w:t>
      </w:r>
      <w:r w:rsidRPr="00EF5389">
        <w:rPr>
          <w:rFonts w:cs="Arial"/>
        </w:rPr>
        <w:t xml:space="preserve"> global burden of disease</w:t>
      </w:r>
      <w:r w:rsidR="00777C8B" w:rsidRPr="00EF5389">
        <w:rPr>
          <w:rFonts w:cs="Arial"/>
        </w:rPr>
        <w:t>, affecting</w:t>
      </w:r>
      <w:r w:rsidRPr="00CC0306">
        <w:rPr>
          <w:rFonts w:cs="Arial"/>
        </w:rPr>
        <w:t xml:space="preserve"> more than 100 million people worldwide</w:t>
      </w:r>
      <w:r w:rsidR="00CC0306">
        <w:rPr>
          <w:rFonts w:cs="Arial"/>
        </w:rPr>
        <w:t xml:space="preserve"> </w:t>
      </w:r>
      <w:r w:rsidR="00EF5389">
        <w:rPr>
          <w:rFonts w:cs="Arial"/>
        </w:rPr>
        <w:t>[</w:t>
      </w:r>
      <w:r w:rsidR="00C84566" w:rsidRPr="005909C0">
        <w:rPr>
          <w:rFonts w:cs="Arial"/>
        </w:rPr>
        <w:t>1</w:t>
      </w:r>
      <w:r w:rsidR="00EF5389">
        <w:rPr>
          <w:rFonts w:cs="Arial"/>
        </w:rPr>
        <w:t>]</w:t>
      </w:r>
      <w:r w:rsidRPr="00EF5389">
        <w:rPr>
          <w:rFonts w:cs="Arial"/>
        </w:rPr>
        <w:t xml:space="preserve">. </w:t>
      </w:r>
      <w:r w:rsidR="00777C8B" w:rsidRPr="00EF5389">
        <w:rPr>
          <w:rFonts w:cs="Arial"/>
        </w:rPr>
        <w:t>The prevalence of symptomatic, radiographic OA in adults aged 60 years and over is reported to be 10% for men and 18% for women</w:t>
      </w:r>
      <w:r w:rsidR="008E6355">
        <w:rPr>
          <w:rFonts w:cs="Arial"/>
        </w:rPr>
        <w:t>,</w:t>
      </w:r>
      <w:r w:rsidR="00777C8B" w:rsidRPr="00EF5389">
        <w:rPr>
          <w:rFonts w:cs="Arial"/>
        </w:rPr>
        <w:t xml:space="preserve"> and </w:t>
      </w:r>
      <w:r w:rsidR="003926AC" w:rsidRPr="00CC0306">
        <w:rPr>
          <w:rFonts w:cs="Arial"/>
        </w:rPr>
        <w:t>as</w:t>
      </w:r>
      <w:r w:rsidR="00777C8B" w:rsidRPr="00CC0306">
        <w:rPr>
          <w:rFonts w:cs="Arial"/>
        </w:rPr>
        <w:t xml:space="preserve"> population</w:t>
      </w:r>
      <w:r w:rsidR="003926AC" w:rsidRPr="00CC0306">
        <w:rPr>
          <w:rFonts w:cs="Arial"/>
        </w:rPr>
        <w:t>s age,</w:t>
      </w:r>
      <w:r w:rsidR="00D44C0E" w:rsidRPr="00CC0306">
        <w:rPr>
          <w:rFonts w:cs="Arial"/>
        </w:rPr>
        <w:t xml:space="preserve"> </w:t>
      </w:r>
      <w:r w:rsidR="00777C8B" w:rsidRPr="00CC0306">
        <w:rPr>
          <w:rFonts w:cs="Arial"/>
        </w:rPr>
        <w:t xml:space="preserve">it </w:t>
      </w:r>
      <w:r w:rsidR="00777C8B" w:rsidRPr="00D42ED6">
        <w:rPr>
          <w:rFonts w:cs="Arial"/>
          <w:noProof/>
        </w:rPr>
        <w:t>is predicted</w:t>
      </w:r>
      <w:r w:rsidR="00777C8B" w:rsidRPr="00CC0306">
        <w:rPr>
          <w:rFonts w:cs="Arial"/>
        </w:rPr>
        <w:t xml:space="preserve"> that OA will become </w:t>
      </w:r>
      <w:r w:rsidRPr="00CC0306">
        <w:rPr>
          <w:rFonts w:cs="Arial"/>
        </w:rPr>
        <w:t xml:space="preserve">one of </w:t>
      </w:r>
      <w:r w:rsidR="00D44C0E" w:rsidRPr="00CC0306">
        <w:rPr>
          <w:rFonts w:cs="Arial"/>
        </w:rPr>
        <w:t xml:space="preserve">the leading causes of </w:t>
      </w:r>
      <w:r w:rsidRPr="00CC0306">
        <w:rPr>
          <w:rFonts w:cs="Arial"/>
        </w:rPr>
        <w:t>disability</w:t>
      </w:r>
      <w:r w:rsidR="00D44C0E" w:rsidRPr="00CC0306">
        <w:rPr>
          <w:rFonts w:cs="Arial"/>
        </w:rPr>
        <w:t xml:space="preserve"> worldwide</w:t>
      </w:r>
      <w:r w:rsidR="00C83253" w:rsidRPr="00CC0306">
        <w:rPr>
          <w:rFonts w:cs="Arial"/>
        </w:rPr>
        <w:t xml:space="preserve"> by the year 2020</w:t>
      </w:r>
      <w:r w:rsidR="00CC0306">
        <w:rPr>
          <w:rFonts w:cs="Arial"/>
        </w:rPr>
        <w:t xml:space="preserve"> [</w:t>
      </w:r>
      <w:r w:rsidR="00C84566" w:rsidRPr="005909C0">
        <w:rPr>
          <w:rFonts w:cs="Arial"/>
        </w:rPr>
        <w:t>2</w:t>
      </w:r>
      <w:r w:rsidR="00CC0306">
        <w:rPr>
          <w:rFonts w:cs="Arial"/>
        </w:rPr>
        <w:t>]</w:t>
      </w:r>
      <w:r w:rsidRPr="00EF5389">
        <w:rPr>
          <w:rFonts w:cs="Arial"/>
        </w:rPr>
        <w:t xml:space="preserve">. </w:t>
      </w:r>
      <w:r w:rsidR="00167F5A" w:rsidRPr="00EF5389">
        <w:rPr>
          <w:rFonts w:cs="Arial"/>
        </w:rPr>
        <w:t>OA at joint sites such as the knee, hip and hand have received considerable attention</w:t>
      </w:r>
      <w:r w:rsidR="00C45F38" w:rsidRPr="00CC0306">
        <w:rPr>
          <w:rFonts w:cs="Arial"/>
        </w:rPr>
        <w:t xml:space="preserve">, </w:t>
      </w:r>
      <w:r w:rsidR="00167F5A" w:rsidRPr="00CC0306">
        <w:rPr>
          <w:rFonts w:cs="Arial"/>
        </w:rPr>
        <w:t>in comparison</w:t>
      </w:r>
      <w:r w:rsidR="00C45F38" w:rsidRPr="00CC0306">
        <w:rPr>
          <w:rFonts w:cs="Arial"/>
        </w:rPr>
        <w:t>,</w:t>
      </w:r>
      <w:r w:rsidR="00167F5A" w:rsidRPr="00CC0306">
        <w:rPr>
          <w:rFonts w:cs="Arial"/>
        </w:rPr>
        <w:t xml:space="preserve"> the foot and ankle</w:t>
      </w:r>
      <w:r w:rsidR="00C45F38" w:rsidRPr="00CC0306">
        <w:rPr>
          <w:rFonts w:cs="Arial"/>
        </w:rPr>
        <w:t xml:space="preserve"> joints </w:t>
      </w:r>
      <w:r w:rsidR="00167F5A" w:rsidRPr="00CC0306">
        <w:rPr>
          <w:rFonts w:cs="Arial"/>
        </w:rPr>
        <w:t xml:space="preserve">have </w:t>
      </w:r>
      <w:r w:rsidR="00167F5A" w:rsidRPr="00D42ED6">
        <w:rPr>
          <w:rFonts w:cs="Arial"/>
          <w:noProof/>
        </w:rPr>
        <w:t>been relatively neglected</w:t>
      </w:r>
      <w:r w:rsidR="00167F5A" w:rsidRPr="00CC0306">
        <w:rPr>
          <w:rFonts w:cs="Arial"/>
        </w:rPr>
        <w:t xml:space="preserve">. </w:t>
      </w:r>
      <w:r w:rsidR="00407F2A" w:rsidRPr="00F37B43">
        <w:rPr>
          <w:rFonts w:cs="Arial"/>
        </w:rPr>
        <w:t>T</w:t>
      </w:r>
      <w:r w:rsidR="00A911A2" w:rsidRPr="00F37B43">
        <w:rPr>
          <w:rFonts w:cs="Arial"/>
        </w:rPr>
        <w:t xml:space="preserve">he prevalence of ankle OA within the general population </w:t>
      </w:r>
      <w:r w:rsidR="00407F2A" w:rsidRPr="00F37B43">
        <w:rPr>
          <w:rFonts w:cs="Arial"/>
        </w:rPr>
        <w:t>is</w:t>
      </w:r>
      <w:r w:rsidR="00A911A2" w:rsidRPr="00F37B43">
        <w:rPr>
          <w:rFonts w:cs="Arial"/>
        </w:rPr>
        <w:t xml:space="preserve"> not clear, but</w:t>
      </w:r>
      <w:r w:rsidR="007525D9">
        <w:rPr>
          <w:rFonts w:cs="Arial"/>
        </w:rPr>
        <w:t xml:space="preserve"> clinical observation</w:t>
      </w:r>
      <w:r w:rsidR="00A72B0B">
        <w:rPr>
          <w:rFonts w:cs="Arial"/>
        </w:rPr>
        <w:t>s and experience suggest that it</w:t>
      </w:r>
      <w:r w:rsidR="007525D9">
        <w:rPr>
          <w:rFonts w:cs="Arial"/>
        </w:rPr>
        <w:t xml:space="preserve"> is </w:t>
      </w:r>
      <w:r w:rsidR="00C84566" w:rsidRPr="00D65AA2">
        <w:rPr>
          <w:rFonts w:cs="Arial"/>
        </w:rPr>
        <w:t>significantly lower than OA of the knee or hip</w:t>
      </w:r>
      <w:r w:rsidR="00CC0306">
        <w:rPr>
          <w:rFonts w:cs="Arial"/>
        </w:rPr>
        <w:t xml:space="preserve"> [</w:t>
      </w:r>
      <w:r w:rsidR="00FD19F0" w:rsidRPr="005909C0">
        <w:rPr>
          <w:rFonts w:cs="Arial"/>
        </w:rPr>
        <w:t>3</w:t>
      </w:r>
      <w:r w:rsidR="00CC0306">
        <w:rPr>
          <w:rFonts w:cs="Arial"/>
        </w:rPr>
        <w:t>]</w:t>
      </w:r>
      <w:r w:rsidR="00777C8B" w:rsidRPr="00EF5389">
        <w:rPr>
          <w:rFonts w:cs="Arial"/>
        </w:rPr>
        <w:t>.</w:t>
      </w:r>
      <w:r w:rsidR="00443D06" w:rsidRPr="00EF5389">
        <w:rPr>
          <w:rFonts w:cs="Arial"/>
        </w:rPr>
        <w:t xml:space="preserve"> </w:t>
      </w:r>
      <w:r w:rsidR="007A1119" w:rsidRPr="00D42ED6">
        <w:rPr>
          <w:rFonts w:cs="Arial"/>
          <w:noProof/>
        </w:rPr>
        <w:t>Estimates</w:t>
      </w:r>
      <w:r w:rsidR="007A1119" w:rsidRPr="00EF5389">
        <w:rPr>
          <w:rFonts w:cs="Arial"/>
        </w:rPr>
        <w:t xml:space="preserve"> of the prevalence </w:t>
      </w:r>
      <w:r w:rsidR="00443D06" w:rsidRPr="00EF5389">
        <w:rPr>
          <w:rFonts w:cs="Arial"/>
        </w:rPr>
        <w:t xml:space="preserve">of ankle pain </w:t>
      </w:r>
      <w:r w:rsidR="007A1119" w:rsidRPr="00CC0306">
        <w:rPr>
          <w:rFonts w:cs="Arial"/>
        </w:rPr>
        <w:t xml:space="preserve">range from </w:t>
      </w:r>
      <w:r w:rsidR="00443D06" w:rsidRPr="00CC0306">
        <w:rPr>
          <w:rFonts w:cs="Arial"/>
        </w:rPr>
        <w:t>9</w:t>
      </w:r>
      <w:r w:rsidR="006F678B" w:rsidRPr="00CC0306">
        <w:rPr>
          <w:rFonts w:cs="Arial"/>
        </w:rPr>
        <w:t>%</w:t>
      </w:r>
      <w:r w:rsidR="007A1119" w:rsidRPr="00CC0306">
        <w:rPr>
          <w:rFonts w:cs="Arial"/>
        </w:rPr>
        <w:t xml:space="preserve"> to </w:t>
      </w:r>
      <w:r w:rsidR="00443D06" w:rsidRPr="00CC0306">
        <w:rPr>
          <w:rFonts w:cs="Arial"/>
        </w:rPr>
        <w:t>15% in general adult populations</w:t>
      </w:r>
      <w:r w:rsidR="00CC0306">
        <w:rPr>
          <w:rFonts w:cs="Arial"/>
        </w:rPr>
        <w:t xml:space="preserve"> [</w:t>
      </w:r>
      <w:r w:rsidR="00443D06" w:rsidRPr="005909C0">
        <w:rPr>
          <w:rFonts w:cs="Arial"/>
        </w:rPr>
        <w:t>4</w:t>
      </w:r>
      <w:proofErr w:type="gramStart"/>
      <w:r w:rsidR="00443D06" w:rsidRPr="005909C0">
        <w:rPr>
          <w:rFonts w:cs="Arial"/>
        </w:rPr>
        <w:t>,5</w:t>
      </w:r>
      <w:proofErr w:type="gramEnd"/>
      <w:r w:rsidR="00CC0306">
        <w:rPr>
          <w:rFonts w:cs="Arial"/>
        </w:rPr>
        <w:t>]</w:t>
      </w:r>
      <w:r w:rsidR="00443D06" w:rsidRPr="00EF5389">
        <w:rPr>
          <w:rFonts w:cs="Arial"/>
        </w:rPr>
        <w:t>.</w:t>
      </w:r>
    </w:p>
    <w:p w14:paraId="7B48F1B5" w14:textId="77777777" w:rsidR="00D24E60" w:rsidRPr="00F37B43" w:rsidRDefault="00D24E60">
      <w:pPr>
        <w:spacing w:after="0" w:line="480" w:lineRule="auto"/>
        <w:rPr>
          <w:rFonts w:cs="Arial"/>
        </w:rPr>
      </w:pPr>
    </w:p>
    <w:p w14:paraId="3950F3D9" w14:textId="65B2A4D7" w:rsidR="00C108E8" w:rsidRPr="00D65AA2" w:rsidRDefault="00C108E8" w:rsidP="00C108E8">
      <w:pPr>
        <w:spacing w:after="0" w:line="480" w:lineRule="auto"/>
        <w:rPr>
          <w:rFonts w:cs="Arial"/>
        </w:rPr>
      </w:pPr>
      <w:r w:rsidRPr="00F37B43">
        <w:rPr>
          <w:rFonts w:cs="Arial"/>
        </w:rPr>
        <w:t>Previous reviews have examined the methods of radiographic assessment at the knee, hip, hand and foot</w:t>
      </w:r>
      <w:r w:rsidR="000F21B0">
        <w:rPr>
          <w:rFonts w:cs="Arial"/>
        </w:rPr>
        <w:t xml:space="preserve"> </w:t>
      </w:r>
      <w:r w:rsidR="00CC0306">
        <w:rPr>
          <w:rFonts w:cs="Arial"/>
        </w:rPr>
        <w:t>[</w:t>
      </w:r>
      <w:r w:rsidR="00537C7E" w:rsidRPr="005909C0">
        <w:rPr>
          <w:rFonts w:cs="Arial"/>
        </w:rPr>
        <w:t>6</w:t>
      </w:r>
      <w:r w:rsidRPr="005909C0">
        <w:rPr>
          <w:rFonts w:cs="Arial"/>
        </w:rPr>
        <w:t>,</w:t>
      </w:r>
      <w:r w:rsidR="00273697" w:rsidRPr="005909C0">
        <w:rPr>
          <w:rFonts w:cs="Arial"/>
        </w:rPr>
        <w:t xml:space="preserve"> 7</w:t>
      </w:r>
      <w:r w:rsidRPr="005909C0">
        <w:rPr>
          <w:rFonts w:cs="Arial"/>
        </w:rPr>
        <w:t xml:space="preserve">, 8, </w:t>
      </w:r>
      <w:r w:rsidR="00273697" w:rsidRPr="005909C0">
        <w:rPr>
          <w:rFonts w:cs="Arial"/>
        </w:rPr>
        <w:t>9</w:t>
      </w:r>
      <w:r w:rsidR="00CC0306">
        <w:rPr>
          <w:rFonts w:cs="Arial"/>
        </w:rPr>
        <w:t>]</w:t>
      </w:r>
      <w:r w:rsidRPr="00EF5389">
        <w:rPr>
          <w:rFonts w:cs="Arial"/>
        </w:rPr>
        <w:t xml:space="preserve">. However, the methods used to examine radiographic ankle OA and define its presence have not </w:t>
      </w:r>
      <w:r w:rsidRPr="00D42ED6">
        <w:rPr>
          <w:rFonts w:cs="Arial"/>
          <w:noProof/>
        </w:rPr>
        <w:t>been reviewed</w:t>
      </w:r>
      <w:r w:rsidRPr="00EF5389">
        <w:rPr>
          <w:rFonts w:cs="Arial"/>
        </w:rPr>
        <w:t xml:space="preserve"> </w:t>
      </w:r>
      <w:r w:rsidRPr="00842B68">
        <w:rPr>
          <w:rFonts w:cs="Arial"/>
          <w:noProof/>
        </w:rPr>
        <w:t>previously</w:t>
      </w:r>
      <w:r w:rsidR="00842B68" w:rsidRPr="0011734C">
        <w:rPr>
          <w:rFonts w:cs="Arial"/>
          <w:noProof/>
        </w:rPr>
        <w:t>,</w:t>
      </w:r>
      <w:r w:rsidR="0008015D">
        <w:rPr>
          <w:rFonts w:cs="Arial"/>
        </w:rPr>
        <w:t xml:space="preserve"> and estimates of ankle OA have ranged </w:t>
      </w:r>
      <w:r w:rsidR="00A83A15">
        <w:rPr>
          <w:rFonts w:cs="Arial"/>
        </w:rPr>
        <w:t xml:space="preserve">widely </w:t>
      </w:r>
      <w:r w:rsidR="0008015D">
        <w:rPr>
          <w:rFonts w:cs="Arial"/>
        </w:rPr>
        <w:t xml:space="preserve">between </w:t>
      </w:r>
      <w:r w:rsidR="00A83A15">
        <w:rPr>
          <w:rFonts w:cs="Arial"/>
        </w:rPr>
        <w:t>0 and 97% [</w:t>
      </w:r>
      <w:r w:rsidR="00F2602C">
        <w:rPr>
          <w:rFonts w:cs="Arial"/>
        </w:rPr>
        <w:t>10</w:t>
      </w:r>
      <w:proofErr w:type="gramStart"/>
      <w:r w:rsidR="005370E0" w:rsidRPr="00F2602C">
        <w:rPr>
          <w:rFonts w:cs="Arial"/>
        </w:rPr>
        <w:t>,</w:t>
      </w:r>
      <w:r w:rsidR="00F2602C" w:rsidRPr="00F2602C">
        <w:rPr>
          <w:rFonts w:cs="Arial"/>
        </w:rPr>
        <w:t>11</w:t>
      </w:r>
      <w:proofErr w:type="gramEnd"/>
      <w:r w:rsidR="007C510C">
        <w:rPr>
          <w:rFonts w:cs="Arial"/>
        </w:rPr>
        <w:t>]</w:t>
      </w:r>
      <w:r w:rsidRPr="00CC0306">
        <w:rPr>
          <w:rFonts w:cs="Arial"/>
        </w:rPr>
        <w:t xml:space="preserve">. </w:t>
      </w:r>
      <w:r w:rsidR="004B1631" w:rsidRPr="00F56EE1">
        <w:rPr>
          <w:rFonts w:cs="Arial"/>
        </w:rPr>
        <w:t>The variations between studies regarding t</w:t>
      </w:r>
      <w:r w:rsidRPr="00F37B43">
        <w:rPr>
          <w:rFonts w:cs="Arial"/>
        </w:rPr>
        <w:t xml:space="preserve">he methods and definitions used for radiographic ankle OA, as well as the characteristics of the study populations examined, </w:t>
      </w:r>
      <w:r w:rsidR="004B1631" w:rsidRPr="00F37B43">
        <w:rPr>
          <w:rFonts w:cs="Arial"/>
        </w:rPr>
        <w:t>may</w:t>
      </w:r>
      <w:r w:rsidRPr="00F37B43">
        <w:rPr>
          <w:rFonts w:cs="Arial"/>
        </w:rPr>
        <w:t xml:space="preserve"> explain </w:t>
      </w:r>
      <w:r w:rsidR="004B1631" w:rsidRPr="00F37B43">
        <w:rPr>
          <w:rFonts w:cs="Arial"/>
        </w:rPr>
        <w:t>the differences in reported p</w:t>
      </w:r>
      <w:r w:rsidRPr="00D65AA2">
        <w:rPr>
          <w:rFonts w:cs="Arial"/>
        </w:rPr>
        <w:t xml:space="preserve">revalence estimates between studies. </w:t>
      </w:r>
    </w:p>
    <w:p w14:paraId="71A7A1D9" w14:textId="77777777" w:rsidR="00C108E8" w:rsidRPr="00D65AA2" w:rsidRDefault="00C108E8" w:rsidP="00C108E8">
      <w:pPr>
        <w:spacing w:after="0" w:line="480" w:lineRule="auto"/>
        <w:rPr>
          <w:rFonts w:cs="Arial"/>
        </w:rPr>
      </w:pPr>
    </w:p>
    <w:p w14:paraId="46F8EFC0" w14:textId="7E9D5239" w:rsidR="00C108E8" w:rsidRPr="00F37B43" w:rsidRDefault="00C108E8" w:rsidP="00C108E8">
      <w:pPr>
        <w:spacing w:after="0" w:line="480" w:lineRule="auto"/>
        <w:rPr>
          <w:rFonts w:cs="Arial"/>
        </w:rPr>
      </w:pPr>
      <w:r w:rsidRPr="00D65AA2">
        <w:rPr>
          <w:rFonts w:cs="Arial"/>
        </w:rPr>
        <w:t>While the population prevalence of ankle pain within the general population has been estimated previously</w:t>
      </w:r>
      <w:r w:rsidR="00A7661A">
        <w:rPr>
          <w:rFonts w:cs="Arial"/>
        </w:rPr>
        <w:t xml:space="preserve"> </w:t>
      </w:r>
      <w:r w:rsidR="00F56EE1">
        <w:rPr>
          <w:rFonts w:cs="Arial"/>
        </w:rPr>
        <w:t>[</w:t>
      </w:r>
      <w:r w:rsidR="00412F8C">
        <w:rPr>
          <w:rFonts w:cs="Arial"/>
        </w:rPr>
        <w:t xml:space="preserve">4, 5, </w:t>
      </w:r>
      <w:r w:rsidR="00273697" w:rsidRPr="005909C0">
        <w:rPr>
          <w:rFonts w:cs="Arial"/>
        </w:rPr>
        <w:t>1</w:t>
      </w:r>
      <w:r w:rsidR="00C803BE">
        <w:rPr>
          <w:rFonts w:cs="Arial"/>
        </w:rPr>
        <w:t>2</w:t>
      </w:r>
      <w:r w:rsidRPr="005909C0">
        <w:rPr>
          <w:rFonts w:cs="Arial"/>
        </w:rPr>
        <w:t>,</w:t>
      </w:r>
      <w:r w:rsidR="00412F8C">
        <w:rPr>
          <w:rFonts w:cs="Arial"/>
        </w:rPr>
        <w:t xml:space="preserve"> </w:t>
      </w:r>
      <w:r w:rsidR="00273697" w:rsidRPr="005909C0">
        <w:rPr>
          <w:rFonts w:cs="Arial"/>
        </w:rPr>
        <w:t>1</w:t>
      </w:r>
      <w:r w:rsidR="00C803BE">
        <w:rPr>
          <w:rFonts w:cs="Arial"/>
        </w:rPr>
        <w:t>3</w:t>
      </w:r>
      <w:r w:rsidR="00F56EE1">
        <w:rPr>
          <w:rFonts w:cs="Arial"/>
        </w:rPr>
        <w:t>]</w:t>
      </w:r>
      <w:r w:rsidRPr="00EF5389">
        <w:rPr>
          <w:rFonts w:cs="Arial"/>
        </w:rPr>
        <w:t xml:space="preserve">, there seems to be a paucity of existing studies examining radiographic </w:t>
      </w:r>
      <w:r w:rsidR="004B1631" w:rsidRPr="00EF5389">
        <w:rPr>
          <w:rFonts w:cs="Arial"/>
        </w:rPr>
        <w:t xml:space="preserve">ankle </w:t>
      </w:r>
      <w:r w:rsidRPr="00EF5389">
        <w:rPr>
          <w:rFonts w:cs="Arial"/>
        </w:rPr>
        <w:t xml:space="preserve">OA in </w:t>
      </w:r>
      <w:r w:rsidR="007E04AD">
        <w:rPr>
          <w:rFonts w:cs="Arial"/>
        </w:rPr>
        <w:t xml:space="preserve">community-dwelling </w:t>
      </w:r>
      <w:r w:rsidRPr="00EF5389">
        <w:rPr>
          <w:rFonts w:cs="Arial"/>
        </w:rPr>
        <w:t>population</w:t>
      </w:r>
      <w:r w:rsidR="007E04AD">
        <w:rPr>
          <w:rFonts w:cs="Arial"/>
        </w:rPr>
        <w:t>s</w:t>
      </w:r>
      <w:r w:rsidRPr="00EF5389">
        <w:rPr>
          <w:rFonts w:cs="Arial"/>
        </w:rPr>
        <w:t>. Population prevalence estimates for both ankle pain and symptomatic, radiographic ankle OA w</w:t>
      </w:r>
      <w:r w:rsidRPr="00F56EE1">
        <w:rPr>
          <w:rFonts w:cs="Arial"/>
        </w:rPr>
        <w:t xml:space="preserve">ould demonstrate the burden of these two conditions within a community setting more clearly and inform healthcare </w:t>
      </w:r>
      <w:r w:rsidRPr="00D42ED6">
        <w:rPr>
          <w:rFonts w:cs="Arial"/>
          <w:noProof/>
        </w:rPr>
        <w:t>provision</w:t>
      </w:r>
      <w:r w:rsidRPr="00F56EE1">
        <w:rPr>
          <w:rFonts w:cs="Arial"/>
        </w:rPr>
        <w:t xml:space="preserve"> and clinical needs. It would also provide a basis for understanding </w:t>
      </w:r>
      <w:r w:rsidR="00F01FCF">
        <w:rPr>
          <w:rFonts w:cs="Arial"/>
        </w:rPr>
        <w:t xml:space="preserve">better </w:t>
      </w:r>
      <w:r w:rsidRPr="00F56EE1">
        <w:rPr>
          <w:rFonts w:cs="Arial"/>
        </w:rPr>
        <w:t>the aetiology of ankle OA and the association between</w:t>
      </w:r>
      <w:r w:rsidRPr="00F37B43">
        <w:rPr>
          <w:rFonts w:cs="Arial"/>
        </w:rPr>
        <w:t xml:space="preserve"> ankle pain and the occurrence of OA.</w:t>
      </w:r>
    </w:p>
    <w:p w14:paraId="3AE3340F" w14:textId="77777777" w:rsidR="00C108E8" w:rsidRPr="00F37B43" w:rsidRDefault="00C108E8" w:rsidP="00C108E8">
      <w:pPr>
        <w:spacing w:after="0" w:line="480" w:lineRule="auto"/>
        <w:rPr>
          <w:rFonts w:cs="Arial"/>
        </w:rPr>
      </w:pPr>
    </w:p>
    <w:p w14:paraId="1F543D72" w14:textId="74685701" w:rsidR="00D62474" w:rsidRPr="00721C05" w:rsidRDefault="00A268A0" w:rsidP="00D3657C">
      <w:pPr>
        <w:spacing w:after="0" w:line="480" w:lineRule="auto"/>
        <w:rPr>
          <w:rFonts w:cs="Arial"/>
        </w:rPr>
      </w:pPr>
      <w:r w:rsidRPr="00F37B43">
        <w:rPr>
          <w:rFonts w:cs="Arial"/>
        </w:rPr>
        <w:lastRenderedPageBreak/>
        <w:t xml:space="preserve">The objective of this </w:t>
      </w:r>
      <w:r w:rsidRPr="00721C05">
        <w:rPr>
          <w:rFonts w:cs="Arial"/>
        </w:rPr>
        <w:t>study was (</w:t>
      </w:r>
      <w:proofErr w:type="spellStart"/>
      <w:r w:rsidR="00302754">
        <w:rPr>
          <w:rFonts w:cs="Arial"/>
        </w:rPr>
        <w:t>i</w:t>
      </w:r>
      <w:proofErr w:type="spellEnd"/>
      <w:r w:rsidRPr="00F56EE1">
        <w:rPr>
          <w:rFonts w:cs="Arial"/>
        </w:rPr>
        <w:t xml:space="preserve">) </w:t>
      </w:r>
      <w:r w:rsidR="00120168" w:rsidRPr="00F56EE1">
        <w:rPr>
          <w:rFonts w:cs="Arial"/>
        </w:rPr>
        <w:t>to undertake a system</w:t>
      </w:r>
      <w:r w:rsidR="007E039B">
        <w:rPr>
          <w:rFonts w:cs="Arial"/>
        </w:rPr>
        <w:t>at</w:t>
      </w:r>
      <w:r w:rsidR="00120168" w:rsidRPr="00F56EE1">
        <w:rPr>
          <w:rFonts w:cs="Arial"/>
        </w:rPr>
        <w:t xml:space="preserve">ic review to identify </w:t>
      </w:r>
      <w:r w:rsidRPr="00F56EE1">
        <w:rPr>
          <w:rFonts w:cs="Arial"/>
        </w:rPr>
        <w:t xml:space="preserve">existing prevalence estimates for radiographic ankle OA </w:t>
      </w:r>
      <w:r w:rsidR="00803621">
        <w:rPr>
          <w:rFonts w:cs="Arial"/>
        </w:rPr>
        <w:t xml:space="preserve">in community-dwelling populations </w:t>
      </w:r>
      <w:r w:rsidRPr="00F56EE1">
        <w:rPr>
          <w:rFonts w:cs="Arial"/>
        </w:rPr>
        <w:t>and (</w:t>
      </w:r>
      <w:r w:rsidR="00302754">
        <w:rPr>
          <w:rFonts w:cs="Arial"/>
        </w:rPr>
        <w:t>ii</w:t>
      </w:r>
      <w:r w:rsidRPr="00F56EE1">
        <w:rPr>
          <w:rFonts w:cs="Arial"/>
        </w:rPr>
        <w:t xml:space="preserve">) </w:t>
      </w:r>
      <w:r w:rsidR="00120168" w:rsidRPr="00F56EE1">
        <w:rPr>
          <w:rFonts w:cs="Arial"/>
        </w:rPr>
        <w:t xml:space="preserve">to </w:t>
      </w:r>
      <w:r w:rsidRPr="00F56EE1">
        <w:rPr>
          <w:rFonts w:cs="Arial"/>
        </w:rPr>
        <w:t xml:space="preserve">estimate </w:t>
      </w:r>
      <w:r w:rsidR="004B1631" w:rsidRPr="00F56EE1">
        <w:rPr>
          <w:rFonts w:cs="Arial"/>
        </w:rPr>
        <w:t>the prevalence of</w:t>
      </w:r>
      <w:r w:rsidRPr="00F56EE1">
        <w:rPr>
          <w:rFonts w:cs="Arial"/>
        </w:rPr>
        <w:t xml:space="preserve"> ankle pain and symptoma</w:t>
      </w:r>
      <w:r w:rsidR="000256C9" w:rsidRPr="00721C05">
        <w:rPr>
          <w:rFonts w:cs="Arial"/>
        </w:rPr>
        <w:t xml:space="preserve">tic radiographic ankle OA in a </w:t>
      </w:r>
      <w:r w:rsidRPr="00721C05">
        <w:rPr>
          <w:rFonts w:cs="Arial"/>
        </w:rPr>
        <w:t>population of community</w:t>
      </w:r>
      <w:r w:rsidR="000E09DE" w:rsidRPr="00721C05">
        <w:rPr>
          <w:rFonts w:cs="Arial"/>
        </w:rPr>
        <w:t>-</w:t>
      </w:r>
      <w:r w:rsidRPr="00721C05">
        <w:rPr>
          <w:rFonts w:cs="Arial"/>
        </w:rPr>
        <w:t xml:space="preserve">dwelling older adults </w:t>
      </w:r>
      <w:r w:rsidR="00B57110" w:rsidRPr="00721C05">
        <w:rPr>
          <w:rFonts w:cs="Arial"/>
        </w:rPr>
        <w:t>aged 50 years and over</w:t>
      </w:r>
      <w:r w:rsidRPr="00721C05">
        <w:rPr>
          <w:rFonts w:cs="Arial"/>
        </w:rPr>
        <w:t xml:space="preserve">. </w:t>
      </w:r>
    </w:p>
    <w:p w14:paraId="2387BEA9" w14:textId="77777777" w:rsidR="00D3657C" w:rsidRPr="00D3657C" w:rsidRDefault="00D3657C" w:rsidP="00D3657C">
      <w:pPr>
        <w:spacing w:after="0" w:line="480" w:lineRule="auto"/>
        <w:rPr>
          <w:rFonts w:cs="Arial"/>
        </w:rPr>
      </w:pPr>
    </w:p>
    <w:p w14:paraId="39D6987F" w14:textId="260EEF41" w:rsidR="00865095" w:rsidRPr="007F71B4" w:rsidRDefault="0095121A">
      <w:pPr>
        <w:spacing w:after="0" w:line="480" w:lineRule="auto"/>
        <w:rPr>
          <w:rFonts w:cs="Arial"/>
          <w:b/>
          <w:sz w:val="36"/>
          <w:szCs w:val="36"/>
        </w:rPr>
      </w:pPr>
      <w:r w:rsidRPr="007F71B4">
        <w:rPr>
          <w:rFonts w:cs="Arial"/>
          <w:b/>
          <w:sz w:val="36"/>
          <w:szCs w:val="36"/>
        </w:rPr>
        <w:t>Materials and Methods: Systematic Review</w:t>
      </w:r>
    </w:p>
    <w:p w14:paraId="046B3A86" w14:textId="4946FE2A" w:rsidR="000908A5" w:rsidRPr="008D179A" w:rsidRDefault="000908A5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Search strategy</w:t>
      </w:r>
    </w:p>
    <w:p w14:paraId="740C5D74" w14:textId="3875A859" w:rsidR="00CF6414" w:rsidRPr="00DA60F6" w:rsidRDefault="003C7B50" w:rsidP="000A10CF">
      <w:pPr>
        <w:spacing w:after="0" w:line="480" w:lineRule="auto"/>
        <w:rPr>
          <w:rFonts w:cs="Arial"/>
        </w:rPr>
      </w:pPr>
      <w:r w:rsidRPr="00721C05">
        <w:rPr>
          <w:rFonts w:cs="Arial"/>
        </w:rPr>
        <w:t xml:space="preserve">A search strategy </w:t>
      </w:r>
      <w:r w:rsidRPr="00D42ED6">
        <w:rPr>
          <w:rFonts w:cs="Arial"/>
          <w:noProof/>
        </w:rPr>
        <w:t>was developed</w:t>
      </w:r>
      <w:r w:rsidRPr="00721C05">
        <w:rPr>
          <w:rFonts w:cs="Arial"/>
        </w:rPr>
        <w:t xml:space="preserve"> </w:t>
      </w:r>
      <w:r w:rsidRPr="00D42ED6">
        <w:rPr>
          <w:rFonts w:cs="Arial"/>
          <w:noProof/>
        </w:rPr>
        <w:t>in order to</w:t>
      </w:r>
      <w:r w:rsidRPr="00721C05">
        <w:rPr>
          <w:rFonts w:cs="Arial"/>
        </w:rPr>
        <w:t xml:space="preserve"> identify all </w:t>
      </w:r>
      <w:r w:rsidR="008E13B3">
        <w:rPr>
          <w:rFonts w:cs="Arial"/>
        </w:rPr>
        <w:t xml:space="preserve">community-dwelling </w:t>
      </w:r>
      <w:r w:rsidRPr="00721C05">
        <w:rPr>
          <w:rFonts w:cs="Arial"/>
        </w:rPr>
        <w:t xml:space="preserve">epidemiological studies which examined radiographic ankle OA in adults. Electronic searches </w:t>
      </w:r>
      <w:r w:rsidRPr="00D42ED6">
        <w:rPr>
          <w:rFonts w:cs="Arial"/>
          <w:noProof/>
        </w:rPr>
        <w:t>were conducted</w:t>
      </w:r>
      <w:r w:rsidRPr="00721C05">
        <w:rPr>
          <w:rFonts w:cs="Arial"/>
        </w:rPr>
        <w:t xml:space="preserve"> in Medline, </w:t>
      </w:r>
      <w:proofErr w:type="spellStart"/>
      <w:r w:rsidRPr="00721C05">
        <w:rPr>
          <w:rFonts w:cs="Arial"/>
        </w:rPr>
        <w:t>Embase</w:t>
      </w:r>
      <w:proofErr w:type="spellEnd"/>
      <w:r w:rsidRPr="00721C05">
        <w:rPr>
          <w:rFonts w:cs="Arial"/>
        </w:rPr>
        <w:t xml:space="preserve"> and CINAHL and all studies registered on these databases from inception until the search date </w:t>
      </w:r>
      <w:r w:rsidR="00A82EF0" w:rsidRPr="00721C05">
        <w:rPr>
          <w:rFonts w:cs="Arial"/>
        </w:rPr>
        <w:t>(</w:t>
      </w:r>
      <w:r w:rsidR="00942E37">
        <w:rPr>
          <w:rFonts w:cs="Arial"/>
        </w:rPr>
        <w:t>31</w:t>
      </w:r>
      <w:r w:rsidR="00942E37" w:rsidRPr="00942E37">
        <w:rPr>
          <w:rFonts w:cs="Arial"/>
          <w:vertAlign w:val="superscript"/>
        </w:rPr>
        <w:t>st</w:t>
      </w:r>
      <w:r w:rsidR="00942E37">
        <w:rPr>
          <w:rFonts w:cs="Arial"/>
        </w:rPr>
        <w:t xml:space="preserve"> </w:t>
      </w:r>
      <w:r w:rsidR="00A82EF0" w:rsidRPr="00F56EE1">
        <w:rPr>
          <w:rFonts w:cs="Arial"/>
        </w:rPr>
        <w:t>December 20</w:t>
      </w:r>
      <w:r w:rsidR="00942E37">
        <w:rPr>
          <w:rFonts w:cs="Arial"/>
        </w:rPr>
        <w:t>16</w:t>
      </w:r>
      <w:r w:rsidR="00A82EF0" w:rsidRPr="00F56EE1">
        <w:rPr>
          <w:rFonts w:cs="Arial"/>
        </w:rPr>
        <w:t xml:space="preserve">) </w:t>
      </w:r>
      <w:r w:rsidRPr="00F56EE1">
        <w:rPr>
          <w:rFonts w:cs="Arial"/>
        </w:rPr>
        <w:t>were eligible for inclusion</w:t>
      </w:r>
      <w:r w:rsidR="00E7503B" w:rsidRPr="00721C05">
        <w:rPr>
          <w:rFonts w:cs="Arial"/>
        </w:rPr>
        <w:t xml:space="preserve"> in this review</w:t>
      </w:r>
      <w:r w:rsidRPr="00F37B43">
        <w:rPr>
          <w:rFonts w:cs="Arial"/>
        </w:rPr>
        <w:t xml:space="preserve">. </w:t>
      </w:r>
      <w:r w:rsidR="00E7503B" w:rsidRPr="00D42ED6">
        <w:rPr>
          <w:rFonts w:cs="Arial"/>
          <w:noProof/>
        </w:rPr>
        <w:t>The search strategy used the subject index terms ‘osteoarthritis’, ‘radiology’ ‘radiography’, ‘x</w:t>
      </w:r>
      <w:r w:rsidR="00DE4057" w:rsidRPr="00D42ED6">
        <w:rPr>
          <w:rFonts w:cs="Arial"/>
          <w:noProof/>
        </w:rPr>
        <w:t>-</w:t>
      </w:r>
      <w:r w:rsidR="00E7503B" w:rsidRPr="00033AF0">
        <w:rPr>
          <w:rFonts w:cs="Arial"/>
          <w:noProof/>
        </w:rPr>
        <w:t>ray’, ‘x</w:t>
      </w:r>
      <w:r w:rsidR="00DE4057" w:rsidRPr="00D42ED6">
        <w:rPr>
          <w:rFonts w:cs="Arial"/>
          <w:noProof/>
        </w:rPr>
        <w:t>-</w:t>
      </w:r>
      <w:r w:rsidR="00E7503B" w:rsidRPr="00D42ED6">
        <w:rPr>
          <w:rFonts w:cs="Arial"/>
          <w:noProof/>
        </w:rPr>
        <w:t>ray film’ and ‘ankle’</w:t>
      </w:r>
      <w:r w:rsidR="00FF438E" w:rsidRPr="00D42ED6">
        <w:rPr>
          <w:rFonts w:cs="Arial"/>
          <w:noProof/>
        </w:rPr>
        <w:t xml:space="preserve"> as well as </w:t>
      </w:r>
      <w:r w:rsidR="004D1600" w:rsidRPr="00D42ED6">
        <w:rPr>
          <w:rFonts w:cs="Arial"/>
          <w:noProof/>
        </w:rPr>
        <w:t xml:space="preserve">the following </w:t>
      </w:r>
      <w:r w:rsidR="00FF438E" w:rsidRPr="00D42ED6">
        <w:rPr>
          <w:rFonts w:cs="Arial"/>
          <w:noProof/>
        </w:rPr>
        <w:t>free text terms</w:t>
      </w:r>
      <w:r w:rsidR="004D1600" w:rsidRPr="00D42ED6">
        <w:rPr>
          <w:rFonts w:cs="Arial"/>
          <w:noProof/>
        </w:rPr>
        <w:t>: o</w:t>
      </w:r>
      <w:r w:rsidR="009F0E05" w:rsidRPr="00D42ED6">
        <w:rPr>
          <w:rFonts w:cs="Arial"/>
          <w:noProof/>
        </w:rPr>
        <w:t>steoarthr* or degenerative</w:t>
      </w:r>
      <w:r w:rsidR="004D1600" w:rsidRPr="00D42ED6">
        <w:rPr>
          <w:rFonts w:cs="Arial"/>
          <w:noProof/>
        </w:rPr>
        <w:t xml:space="preserve"> arthr* or OA AND radiograph* or radiolog* or x ray or imaging or rontgen* or roentgen* AND</w:t>
      </w:r>
      <w:r w:rsidR="009F0E05" w:rsidRPr="00D42ED6">
        <w:rPr>
          <w:rFonts w:cs="Arial"/>
          <w:noProof/>
        </w:rPr>
        <w:t xml:space="preserve"> </w:t>
      </w:r>
      <w:r w:rsidR="004D1600" w:rsidRPr="00D42ED6">
        <w:rPr>
          <w:rFonts w:cs="Arial"/>
          <w:noProof/>
        </w:rPr>
        <w:t>ankle or ankle joint or talus or talar or talocrural or talotibial or talofibul</w:t>
      </w:r>
      <w:r w:rsidR="00A72B0B" w:rsidRPr="00D42ED6">
        <w:rPr>
          <w:rFonts w:cs="Arial"/>
          <w:noProof/>
        </w:rPr>
        <w:t>*</w:t>
      </w:r>
      <w:r w:rsidR="004D1600" w:rsidRPr="00D42ED6">
        <w:rPr>
          <w:rFonts w:cs="Arial"/>
          <w:noProof/>
        </w:rPr>
        <w:t xml:space="preserve"> or tibiotal</w:t>
      </w:r>
      <w:r w:rsidR="00A72B0B" w:rsidRPr="00D42ED6">
        <w:rPr>
          <w:rFonts w:cs="Arial"/>
          <w:noProof/>
        </w:rPr>
        <w:t>*</w:t>
      </w:r>
      <w:r w:rsidR="004D1600" w:rsidRPr="00D42ED6">
        <w:rPr>
          <w:rFonts w:cs="Arial"/>
          <w:noProof/>
        </w:rPr>
        <w:t xml:space="preserve"> or tibiofibul</w:t>
      </w:r>
      <w:r w:rsidR="00A72B0B" w:rsidRPr="00D42ED6">
        <w:rPr>
          <w:rFonts w:cs="Arial"/>
          <w:noProof/>
        </w:rPr>
        <w:t>*</w:t>
      </w:r>
      <w:r w:rsidR="004D1600" w:rsidRPr="00D42ED6">
        <w:rPr>
          <w:rFonts w:cs="Arial"/>
          <w:noProof/>
        </w:rPr>
        <w:t xml:space="preserve"> or hindfoot or hind foot)</w:t>
      </w:r>
      <w:r w:rsidR="00830B1B" w:rsidRPr="00D42ED6">
        <w:rPr>
          <w:rFonts w:cs="Arial"/>
          <w:noProof/>
        </w:rPr>
        <w:t>.</w:t>
      </w:r>
    </w:p>
    <w:p w14:paraId="1A9BC169" w14:textId="77777777" w:rsidR="009F0E05" w:rsidRDefault="009F0E05" w:rsidP="00A30050">
      <w:pPr>
        <w:spacing w:after="0" w:line="480" w:lineRule="auto"/>
        <w:rPr>
          <w:rFonts w:cs="Arial"/>
        </w:rPr>
      </w:pPr>
    </w:p>
    <w:p w14:paraId="1F3C820E" w14:textId="5ACDDD50" w:rsidR="000908A5" w:rsidRPr="008D179A" w:rsidRDefault="000908A5" w:rsidP="00A30050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Search criteria</w:t>
      </w:r>
    </w:p>
    <w:p w14:paraId="33B2FD98" w14:textId="579B5260" w:rsidR="000908A5" w:rsidRDefault="00FB4B5B" w:rsidP="00BA505F">
      <w:pPr>
        <w:spacing w:after="0" w:line="480" w:lineRule="auto"/>
        <w:rPr>
          <w:rFonts w:cs="Arial"/>
        </w:rPr>
      </w:pPr>
      <w:r w:rsidRPr="00A11F58">
        <w:rPr>
          <w:rFonts w:cs="Arial"/>
        </w:rPr>
        <w:t xml:space="preserve">A single reviewer </w:t>
      </w:r>
      <w:r w:rsidR="00A847FF">
        <w:rPr>
          <w:rFonts w:cs="Arial"/>
        </w:rPr>
        <w:t xml:space="preserve">(CM) </w:t>
      </w:r>
      <w:r w:rsidRPr="00A11F58">
        <w:rPr>
          <w:rFonts w:cs="Arial"/>
        </w:rPr>
        <w:t xml:space="preserve">screened the titles and abstracts using the following selection criteria. </w:t>
      </w:r>
      <w:r w:rsidR="00FC513A" w:rsidRPr="00A11F58">
        <w:rPr>
          <w:rFonts w:cs="Arial"/>
        </w:rPr>
        <w:t>The i</w:t>
      </w:r>
      <w:r w:rsidR="00747F7B" w:rsidRPr="00A11F58">
        <w:rPr>
          <w:rFonts w:cs="Arial"/>
        </w:rPr>
        <w:t>nclusion criteria</w:t>
      </w:r>
      <w:r w:rsidR="00FC513A" w:rsidRPr="00A11F58">
        <w:rPr>
          <w:rFonts w:cs="Arial"/>
        </w:rPr>
        <w:t xml:space="preserve"> were</w:t>
      </w:r>
      <w:r w:rsidR="00747F7B" w:rsidRPr="00F73A4D">
        <w:rPr>
          <w:rFonts w:cs="Arial"/>
        </w:rPr>
        <w:t xml:space="preserve">: </w:t>
      </w:r>
      <w:r w:rsidR="00FC513A" w:rsidRPr="00F73A4D">
        <w:rPr>
          <w:rFonts w:cs="Arial"/>
        </w:rPr>
        <w:t>(1) human subject</w:t>
      </w:r>
      <w:r w:rsidR="00EC0FB5" w:rsidRPr="00F73A4D">
        <w:rPr>
          <w:rFonts w:cs="Arial"/>
        </w:rPr>
        <w:t>s</w:t>
      </w:r>
      <w:r w:rsidR="00FC513A" w:rsidRPr="00243308">
        <w:rPr>
          <w:rFonts w:cs="Arial"/>
        </w:rPr>
        <w:t xml:space="preserve">, (2) the study population contained adults aged 18 years and over, (3) </w:t>
      </w:r>
      <w:r w:rsidR="00B547A6" w:rsidRPr="0095121A">
        <w:rPr>
          <w:rFonts w:cs="Arial"/>
        </w:rPr>
        <w:t>plain</w:t>
      </w:r>
      <w:r w:rsidR="00FC513A" w:rsidRPr="0095121A">
        <w:rPr>
          <w:rFonts w:cs="Arial"/>
        </w:rPr>
        <w:t xml:space="preserve"> film </w:t>
      </w:r>
      <w:r w:rsidR="00B547A6" w:rsidRPr="0062311E">
        <w:rPr>
          <w:rFonts w:cs="Arial"/>
        </w:rPr>
        <w:t xml:space="preserve">radiography </w:t>
      </w:r>
      <w:r w:rsidR="00EC0FB5" w:rsidRPr="0062311E">
        <w:rPr>
          <w:rFonts w:cs="Arial"/>
        </w:rPr>
        <w:t>was</w:t>
      </w:r>
      <w:r w:rsidR="00B547A6" w:rsidRPr="00BF061C">
        <w:rPr>
          <w:rFonts w:cs="Arial"/>
        </w:rPr>
        <w:t xml:space="preserve"> used to assess the presence of ankle OA, (4) the study population was from a community-dwelling or </w:t>
      </w:r>
      <w:r w:rsidR="00B547A6" w:rsidRPr="00F56EE1">
        <w:rPr>
          <w:rFonts w:cs="Arial"/>
        </w:rPr>
        <w:t xml:space="preserve">population. </w:t>
      </w:r>
      <w:r w:rsidRPr="00D42ED6">
        <w:rPr>
          <w:rFonts w:cs="Arial"/>
          <w:noProof/>
        </w:rPr>
        <w:t>Exclusion criteria</w:t>
      </w:r>
      <w:r w:rsidR="00B547A6" w:rsidRPr="00D42ED6">
        <w:rPr>
          <w:rFonts w:cs="Arial"/>
          <w:noProof/>
        </w:rPr>
        <w:t xml:space="preserve"> were</w:t>
      </w:r>
      <w:r w:rsidRPr="00D42ED6">
        <w:rPr>
          <w:rFonts w:cs="Arial"/>
          <w:noProof/>
        </w:rPr>
        <w:t xml:space="preserve">: (1) </w:t>
      </w:r>
      <w:r w:rsidR="009F0E05" w:rsidRPr="00D42ED6">
        <w:rPr>
          <w:rFonts w:cs="Arial"/>
          <w:noProof/>
        </w:rPr>
        <w:t>non-human studies</w:t>
      </w:r>
      <w:r w:rsidRPr="00D42ED6">
        <w:rPr>
          <w:rFonts w:cs="Arial"/>
          <w:noProof/>
        </w:rPr>
        <w:t xml:space="preserve">, (2) studies </w:t>
      </w:r>
      <w:r w:rsidR="009B2790" w:rsidRPr="00033AF0">
        <w:rPr>
          <w:rFonts w:cs="Arial"/>
          <w:noProof/>
        </w:rPr>
        <w:t xml:space="preserve">that </w:t>
      </w:r>
      <w:r w:rsidRPr="00D42ED6">
        <w:rPr>
          <w:rFonts w:cs="Arial"/>
          <w:noProof/>
        </w:rPr>
        <w:t xml:space="preserve">involved solely children (&lt;18 years), (3) studies </w:t>
      </w:r>
      <w:r w:rsidR="00261246" w:rsidRPr="00D42ED6">
        <w:rPr>
          <w:rFonts w:cs="Arial"/>
          <w:noProof/>
        </w:rPr>
        <w:t xml:space="preserve">that </w:t>
      </w:r>
      <w:r w:rsidRPr="00D42ED6">
        <w:rPr>
          <w:rFonts w:cs="Arial"/>
          <w:noProof/>
        </w:rPr>
        <w:t xml:space="preserve">used </w:t>
      </w:r>
      <w:r w:rsidR="00EC3DC5" w:rsidRPr="00D42ED6">
        <w:rPr>
          <w:rFonts w:cs="Arial"/>
          <w:noProof/>
        </w:rPr>
        <w:t xml:space="preserve">only </w:t>
      </w:r>
      <w:r w:rsidR="009F0E05" w:rsidRPr="00D42ED6">
        <w:rPr>
          <w:rFonts w:cs="Arial"/>
          <w:noProof/>
        </w:rPr>
        <w:t>macro radiography</w:t>
      </w:r>
      <w:r w:rsidR="00261246" w:rsidRPr="00D42ED6">
        <w:rPr>
          <w:rFonts w:cs="Arial"/>
          <w:noProof/>
        </w:rPr>
        <w:t>, computerised tomography, magnetic resonance imaging, ultrasound or scintigraphy</w:t>
      </w:r>
      <w:r w:rsidRPr="00D42ED6">
        <w:rPr>
          <w:rFonts w:cs="Arial"/>
          <w:noProof/>
        </w:rPr>
        <w:t>, (</w:t>
      </w:r>
      <w:r w:rsidR="00774EAB" w:rsidRPr="00D42ED6">
        <w:rPr>
          <w:rFonts w:cs="Arial"/>
          <w:noProof/>
        </w:rPr>
        <w:t>4</w:t>
      </w:r>
      <w:r w:rsidRPr="00D42ED6">
        <w:rPr>
          <w:rFonts w:cs="Arial"/>
          <w:noProof/>
        </w:rPr>
        <w:t xml:space="preserve">) studies that </w:t>
      </w:r>
      <w:r w:rsidR="00774EAB" w:rsidRPr="00D42ED6">
        <w:rPr>
          <w:rFonts w:cs="Arial"/>
          <w:noProof/>
        </w:rPr>
        <w:t>recruited patients from secondary or tertiary care settings</w:t>
      </w:r>
      <w:r w:rsidR="002C4811" w:rsidRPr="00D42ED6">
        <w:rPr>
          <w:rFonts w:cs="Arial"/>
          <w:noProof/>
        </w:rPr>
        <w:t>,</w:t>
      </w:r>
      <w:r w:rsidRPr="00D42ED6">
        <w:rPr>
          <w:rFonts w:cs="Arial"/>
          <w:noProof/>
        </w:rPr>
        <w:t xml:space="preserve"> (</w:t>
      </w:r>
      <w:r w:rsidR="00774EAB" w:rsidRPr="00D42ED6">
        <w:rPr>
          <w:rFonts w:cs="Arial"/>
          <w:noProof/>
        </w:rPr>
        <w:t>5</w:t>
      </w:r>
      <w:r w:rsidRPr="00D42ED6">
        <w:rPr>
          <w:rFonts w:cs="Arial"/>
          <w:noProof/>
        </w:rPr>
        <w:t xml:space="preserve">) </w:t>
      </w:r>
      <w:r w:rsidR="00BB427B" w:rsidRPr="00D42ED6">
        <w:rPr>
          <w:rFonts w:cs="Arial"/>
          <w:noProof/>
        </w:rPr>
        <w:t>clinical</w:t>
      </w:r>
      <w:r w:rsidR="00587C4A" w:rsidRPr="00D42ED6">
        <w:rPr>
          <w:rFonts w:cs="Arial"/>
          <w:noProof/>
        </w:rPr>
        <w:t xml:space="preserve"> </w:t>
      </w:r>
      <w:r w:rsidR="00BB427B" w:rsidRPr="00D42ED6">
        <w:rPr>
          <w:rFonts w:cs="Arial"/>
          <w:noProof/>
        </w:rPr>
        <w:t>trials</w:t>
      </w:r>
      <w:r w:rsidR="00587C4A" w:rsidRPr="00D42ED6">
        <w:rPr>
          <w:rFonts w:cs="Arial"/>
          <w:noProof/>
        </w:rPr>
        <w:t xml:space="preserve"> or narrative reviews</w:t>
      </w:r>
      <w:r w:rsidRPr="00D42ED6">
        <w:rPr>
          <w:rFonts w:cs="Arial"/>
          <w:noProof/>
        </w:rPr>
        <w:t>, (</w:t>
      </w:r>
      <w:r w:rsidR="00587C4A" w:rsidRPr="00D42ED6">
        <w:rPr>
          <w:rFonts w:cs="Arial"/>
          <w:noProof/>
        </w:rPr>
        <w:t>6</w:t>
      </w:r>
      <w:r w:rsidRPr="00D42ED6">
        <w:rPr>
          <w:rFonts w:cs="Arial"/>
          <w:noProof/>
        </w:rPr>
        <w:t>) incomplete or un-published articles.</w:t>
      </w:r>
      <w:r w:rsidRPr="00F56EE1">
        <w:rPr>
          <w:rFonts w:cs="Arial"/>
        </w:rPr>
        <w:t xml:space="preserve"> </w:t>
      </w:r>
    </w:p>
    <w:p w14:paraId="3767F9E4" w14:textId="77777777" w:rsidR="000908A5" w:rsidRDefault="000908A5" w:rsidP="00BA505F">
      <w:pPr>
        <w:spacing w:after="0" w:line="480" w:lineRule="auto"/>
        <w:rPr>
          <w:rFonts w:cs="Arial"/>
        </w:rPr>
      </w:pPr>
    </w:p>
    <w:p w14:paraId="51259217" w14:textId="1F8F76EF" w:rsidR="000908A5" w:rsidRPr="008D179A" w:rsidRDefault="000908A5" w:rsidP="00BA505F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lastRenderedPageBreak/>
        <w:t xml:space="preserve">Data extraction </w:t>
      </w:r>
      <w:r w:rsidR="008F40DD" w:rsidRPr="008D179A">
        <w:rPr>
          <w:rFonts w:cs="Arial"/>
          <w:b/>
          <w:sz w:val="32"/>
          <w:szCs w:val="32"/>
        </w:rPr>
        <w:t>and</w:t>
      </w:r>
      <w:r w:rsidRPr="008D179A">
        <w:rPr>
          <w:rFonts w:cs="Arial"/>
          <w:b/>
          <w:sz w:val="32"/>
          <w:szCs w:val="32"/>
        </w:rPr>
        <w:t xml:space="preserve"> synthesis</w:t>
      </w:r>
    </w:p>
    <w:p w14:paraId="196A2A99" w14:textId="5297B5F9" w:rsidR="00FB4B5B" w:rsidRPr="00F56EE1" w:rsidRDefault="00C17B0A" w:rsidP="00BA505F">
      <w:pPr>
        <w:spacing w:after="0" w:line="480" w:lineRule="auto"/>
        <w:rPr>
          <w:rFonts w:cs="Arial"/>
        </w:rPr>
      </w:pPr>
      <w:r w:rsidRPr="000908A5">
        <w:rPr>
          <w:rFonts w:cs="Arial"/>
        </w:rPr>
        <w:t xml:space="preserve">Titles and abstracts </w:t>
      </w:r>
      <w:r w:rsidR="00826337" w:rsidRPr="000908A5">
        <w:rPr>
          <w:rFonts w:cs="Arial"/>
        </w:rPr>
        <w:t xml:space="preserve">not excluded or those </w:t>
      </w:r>
      <w:r w:rsidRPr="000908A5">
        <w:rPr>
          <w:rFonts w:cs="Arial"/>
        </w:rPr>
        <w:t xml:space="preserve">whose relevance </w:t>
      </w:r>
      <w:r w:rsidR="00B82C6C" w:rsidRPr="000908A5">
        <w:rPr>
          <w:rFonts w:cs="Arial"/>
        </w:rPr>
        <w:t>was</w:t>
      </w:r>
      <w:r w:rsidRPr="000908A5">
        <w:rPr>
          <w:rFonts w:cs="Arial"/>
        </w:rPr>
        <w:t xml:space="preserve"> </w:t>
      </w:r>
      <w:r w:rsidR="00826337" w:rsidRPr="000908A5">
        <w:rPr>
          <w:rFonts w:cs="Arial"/>
        </w:rPr>
        <w:t xml:space="preserve">ambiguous </w:t>
      </w:r>
      <w:r w:rsidR="00EC7E74" w:rsidRPr="00D42ED6">
        <w:rPr>
          <w:rFonts w:cs="Arial"/>
          <w:noProof/>
        </w:rPr>
        <w:t>were retained</w:t>
      </w:r>
      <w:r w:rsidR="00EC7E74" w:rsidRPr="000908A5">
        <w:rPr>
          <w:rFonts w:cs="Arial"/>
        </w:rPr>
        <w:t xml:space="preserve"> for </w:t>
      </w:r>
      <w:r w:rsidR="00FB4B5B" w:rsidRPr="000908A5">
        <w:rPr>
          <w:rFonts w:cs="Arial"/>
        </w:rPr>
        <w:t>full</w:t>
      </w:r>
      <w:r w:rsidR="00EC7E74" w:rsidRPr="000908A5">
        <w:rPr>
          <w:rFonts w:cs="Arial"/>
        </w:rPr>
        <w:t>-</w:t>
      </w:r>
      <w:r w:rsidR="00FB4B5B" w:rsidRPr="000908A5">
        <w:rPr>
          <w:rFonts w:cs="Arial"/>
        </w:rPr>
        <w:t xml:space="preserve">text </w:t>
      </w:r>
      <w:r w:rsidR="00EC7E74" w:rsidRPr="0062311E">
        <w:rPr>
          <w:rFonts w:cs="Arial"/>
        </w:rPr>
        <w:t>review</w:t>
      </w:r>
      <w:r w:rsidR="00B82C6C" w:rsidRPr="0062311E">
        <w:rPr>
          <w:rFonts w:cs="Arial"/>
        </w:rPr>
        <w:t xml:space="preserve">. A single reviewer </w:t>
      </w:r>
      <w:r w:rsidR="00EE072A">
        <w:rPr>
          <w:rFonts w:cs="Arial"/>
        </w:rPr>
        <w:t xml:space="preserve">(CM) </w:t>
      </w:r>
      <w:r w:rsidR="00B82C6C" w:rsidRPr="0062311E">
        <w:rPr>
          <w:rFonts w:cs="Arial"/>
        </w:rPr>
        <w:t>assessed the full texts and conferred with two other researchers</w:t>
      </w:r>
      <w:r w:rsidR="001833BC" w:rsidRPr="0062311E">
        <w:rPr>
          <w:rFonts w:cs="Arial"/>
        </w:rPr>
        <w:t xml:space="preserve"> (</w:t>
      </w:r>
      <w:r w:rsidR="002C4811">
        <w:rPr>
          <w:rFonts w:cs="Arial"/>
        </w:rPr>
        <w:t>ER, MM</w:t>
      </w:r>
      <w:r w:rsidR="001833BC" w:rsidRPr="0062311E">
        <w:rPr>
          <w:rFonts w:cs="Arial"/>
        </w:rPr>
        <w:t>)</w:t>
      </w:r>
      <w:r w:rsidR="00B82C6C" w:rsidRPr="00F56EE1">
        <w:rPr>
          <w:rFonts w:cs="Arial"/>
        </w:rPr>
        <w:t xml:space="preserve"> when uncertainty</w:t>
      </w:r>
      <w:r w:rsidR="001833BC" w:rsidRPr="00F56EE1">
        <w:rPr>
          <w:rFonts w:cs="Arial"/>
        </w:rPr>
        <w:t xml:space="preserve"> remained. </w:t>
      </w:r>
      <w:r w:rsidR="007658BE" w:rsidRPr="00F56EE1">
        <w:rPr>
          <w:rFonts w:cs="Arial"/>
        </w:rPr>
        <w:t xml:space="preserve">Two </w:t>
      </w:r>
      <w:r w:rsidR="001A3E27" w:rsidRPr="00F56EE1">
        <w:rPr>
          <w:rFonts w:cs="Arial"/>
        </w:rPr>
        <w:t>non-English</w:t>
      </w:r>
      <w:r w:rsidR="007658BE" w:rsidRPr="00F56EE1">
        <w:rPr>
          <w:rFonts w:cs="Arial"/>
        </w:rPr>
        <w:t xml:space="preserve"> </w:t>
      </w:r>
      <w:r w:rsidR="001A3E27" w:rsidRPr="00F56EE1">
        <w:rPr>
          <w:rFonts w:cs="Arial"/>
        </w:rPr>
        <w:t xml:space="preserve">articles </w:t>
      </w:r>
      <w:r w:rsidR="001A3E27" w:rsidRPr="00D42ED6">
        <w:rPr>
          <w:rFonts w:cs="Arial"/>
          <w:noProof/>
        </w:rPr>
        <w:t>were identified</w:t>
      </w:r>
      <w:r w:rsidR="001A3E27" w:rsidRPr="00F56EE1">
        <w:rPr>
          <w:rFonts w:cs="Arial"/>
        </w:rPr>
        <w:t xml:space="preserve"> </w:t>
      </w:r>
      <w:r w:rsidR="007658BE" w:rsidRPr="00F56EE1">
        <w:rPr>
          <w:rFonts w:cs="Arial"/>
        </w:rPr>
        <w:t>in the search and translation</w:t>
      </w:r>
      <w:r w:rsidR="00B82C6C" w:rsidRPr="00F56EE1">
        <w:rPr>
          <w:rFonts w:cs="Arial"/>
        </w:rPr>
        <w:t>s were</w:t>
      </w:r>
      <w:r w:rsidR="007658BE" w:rsidRPr="00F56EE1">
        <w:rPr>
          <w:rFonts w:cs="Arial"/>
        </w:rPr>
        <w:t xml:space="preserve"> </w:t>
      </w:r>
      <w:r w:rsidR="001A3E27" w:rsidRPr="00F56EE1">
        <w:rPr>
          <w:rFonts w:cs="Arial"/>
        </w:rPr>
        <w:t>obtained.</w:t>
      </w:r>
      <w:r w:rsidR="001833BC" w:rsidRPr="00F56EE1">
        <w:rPr>
          <w:rFonts w:cs="Arial"/>
        </w:rPr>
        <w:t xml:space="preserve"> Additionally, reference lists of papers included in the review </w:t>
      </w:r>
      <w:r w:rsidR="001833BC" w:rsidRPr="00D42ED6">
        <w:rPr>
          <w:rFonts w:cs="Arial"/>
          <w:noProof/>
        </w:rPr>
        <w:t>were also screened</w:t>
      </w:r>
      <w:r w:rsidR="001833BC" w:rsidRPr="00F56EE1">
        <w:rPr>
          <w:rFonts w:cs="Arial"/>
        </w:rPr>
        <w:t xml:space="preserve"> for further relevant articles.</w:t>
      </w:r>
    </w:p>
    <w:p w14:paraId="18F0E203" w14:textId="77777777" w:rsidR="00CF6414" w:rsidRPr="00F56EE1" w:rsidRDefault="00CF6414" w:rsidP="00672764">
      <w:pPr>
        <w:spacing w:after="0" w:line="480" w:lineRule="auto"/>
        <w:rPr>
          <w:rFonts w:cs="Arial"/>
        </w:rPr>
      </w:pPr>
    </w:p>
    <w:p w14:paraId="385F649F" w14:textId="2335B7DA" w:rsidR="004B1631" w:rsidRPr="00721C05" w:rsidRDefault="00FB4B5B" w:rsidP="00D3657C">
      <w:pPr>
        <w:spacing w:after="0" w:line="480" w:lineRule="auto"/>
        <w:rPr>
          <w:rFonts w:cs="Arial"/>
        </w:rPr>
      </w:pPr>
      <w:r w:rsidRPr="00F56EE1">
        <w:rPr>
          <w:rFonts w:cs="Arial"/>
        </w:rPr>
        <w:t>Data extracted from all papers that satisfied the selection criteria included the following information: study population</w:t>
      </w:r>
      <w:r w:rsidR="002E0244" w:rsidRPr="00F56EE1">
        <w:rPr>
          <w:rFonts w:cs="Arial"/>
        </w:rPr>
        <w:t xml:space="preserve"> and </w:t>
      </w:r>
      <w:r w:rsidRPr="00F56EE1">
        <w:rPr>
          <w:rFonts w:cs="Arial"/>
        </w:rPr>
        <w:t xml:space="preserve">demographics, </w:t>
      </w:r>
      <w:r w:rsidR="001833BC" w:rsidRPr="00D42ED6">
        <w:rPr>
          <w:rFonts w:cs="Arial"/>
          <w:noProof/>
        </w:rPr>
        <w:t>anatomical</w:t>
      </w:r>
      <w:r w:rsidR="001833BC" w:rsidRPr="00F56EE1">
        <w:rPr>
          <w:rFonts w:cs="Arial"/>
        </w:rPr>
        <w:t xml:space="preserve"> definition of the ankle joint</w:t>
      </w:r>
      <w:r w:rsidRPr="00F56EE1">
        <w:rPr>
          <w:rFonts w:cs="Arial"/>
        </w:rPr>
        <w:t>, radiographic views</w:t>
      </w:r>
      <w:r w:rsidR="001833BC" w:rsidRPr="00F56EE1">
        <w:rPr>
          <w:rFonts w:cs="Arial"/>
        </w:rPr>
        <w:t>,</w:t>
      </w:r>
      <w:r w:rsidRPr="00F56EE1">
        <w:rPr>
          <w:rFonts w:cs="Arial"/>
        </w:rPr>
        <w:t xml:space="preserve"> </w:t>
      </w:r>
      <w:r w:rsidRPr="00D42ED6">
        <w:rPr>
          <w:rFonts w:cs="Arial"/>
          <w:noProof/>
        </w:rPr>
        <w:t>method</w:t>
      </w:r>
      <w:r w:rsidRPr="00F56EE1">
        <w:rPr>
          <w:rFonts w:cs="Arial"/>
        </w:rPr>
        <w:t xml:space="preserve"> of radiographic assessment of ankle OA</w:t>
      </w:r>
      <w:r w:rsidR="00F81128" w:rsidRPr="00F56EE1">
        <w:rPr>
          <w:rFonts w:cs="Arial"/>
        </w:rPr>
        <w:t xml:space="preserve"> including </w:t>
      </w:r>
      <w:r w:rsidRPr="00F56EE1">
        <w:rPr>
          <w:rFonts w:cs="Arial"/>
        </w:rPr>
        <w:t xml:space="preserve">reliability, </w:t>
      </w:r>
      <w:r w:rsidRPr="00D42ED6">
        <w:rPr>
          <w:rFonts w:cs="Arial"/>
          <w:noProof/>
        </w:rPr>
        <w:t>definition</w:t>
      </w:r>
      <w:r w:rsidRPr="00F56EE1">
        <w:rPr>
          <w:rFonts w:cs="Arial"/>
        </w:rPr>
        <w:t xml:space="preserve"> of radiographic ankle OA</w:t>
      </w:r>
      <w:r w:rsidR="00F81128" w:rsidRPr="00F56EE1">
        <w:rPr>
          <w:rFonts w:cs="Arial"/>
        </w:rPr>
        <w:t xml:space="preserve"> and</w:t>
      </w:r>
      <w:r w:rsidRPr="00F56EE1">
        <w:rPr>
          <w:rFonts w:cs="Arial"/>
        </w:rPr>
        <w:t xml:space="preserve"> prevalence estimates of </w:t>
      </w:r>
      <w:r w:rsidRPr="002B1000">
        <w:rPr>
          <w:rFonts w:cs="Arial"/>
        </w:rPr>
        <w:t xml:space="preserve">radiographic ankle OA. </w:t>
      </w:r>
      <w:r w:rsidR="00DE6CF1" w:rsidRPr="002B1000">
        <w:rPr>
          <w:rFonts w:cs="Arial"/>
        </w:rPr>
        <w:t xml:space="preserve">Quality assessment was performed using the </w:t>
      </w:r>
      <w:r w:rsidR="00931969">
        <w:rPr>
          <w:rFonts w:cs="Arial"/>
        </w:rPr>
        <w:t xml:space="preserve">8-item </w:t>
      </w:r>
      <w:r w:rsidR="00DE6CF1" w:rsidRPr="002B1000">
        <w:rPr>
          <w:rFonts w:cs="Arial"/>
        </w:rPr>
        <w:t>Newcastle-Ottawa Quality Appraisal Scale</w:t>
      </w:r>
      <w:r w:rsidR="0040566C">
        <w:rPr>
          <w:rFonts w:cs="Arial"/>
        </w:rPr>
        <w:t>,</w:t>
      </w:r>
      <w:r w:rsidR="00721C05" w:rsidRPr="002B1000">
        <w:rPr>
          <w:rFonts w:cs="Arial"/>
        </w:rPr>
        <w:t xml:space="preserve"> </w:t>
      </w:r>
      <w:r w:rsidR="0040566C">
        <w:rPr>
          <w:rFonts w:cs="Arial"/>
        </w:rPr>
        <w:t>b</w:t>
      </w:r>
      <w:r w:rsidR="00EE072A">
        <w:rPr>
          <w:rFonts w:cs="Arial"/>
        </w:rPr>
        <w:t xml:space="preserve">y a single reviewer (CM) </w:t>
      </w:r>
      <w:r w:rsidR="006C1505">
        <w:rPr>
          <w:rFonts w:cs="Arial"/>
        </w:rPr>
        <w:t>who</w:t>
      </w:r>
      <w:r w:rsidR="00EE072A" w:rsidRPr="0062311E">
        <w:rPr>
          <w:rFonts w:cs="Arial"/>
        </w:rPr>
        <w:t xml:space="preserve"> conferred with two other researchers (</w:t>
      </w:r>
      <w:r w:rsidR="00EE072A">
        <w:rPr>
          <w:rFonts w:cs="Arial"/>
        </w:rPr>
        <w:t>ER, MM</w:t>
      </w:r>
      <w:r w:rsidR="00EE072A" w:rsidRPr="0062311E">
        <w:rPr>
          <w:rFonts w:cs="Arial"/>
        </w:rPr>
        <w:t>)</w:t>
      </w:r>
      <w:r w:rsidR="00EE072A" w:rsidRPr="00F56EE1">
        <w:rPr>
          <w:rFonts w:cs="Arial"/>
        </w:rPr>
        <w:t xml:space="preserve"> when uncertainty remained</w:t>
      </w:r>
      <w:r w:rsidR="00EE072A">
        <w:rPr>
          <w:rFonts w:cs="Arial"/>
        </w:rPr>
        <w:t xml:space="preserve"> </w:t>
      </w:r>
      <w:r w:rsidR="00721C05" w:rsidRPr="002B1000">
        <w:rPr>
          <w:rFonts w:cs="Arial"/>
        </w:rPr>
        <w:t>[</w:t>
      </w:r>
      <w:r w:rsidR="00412F8C" w:rsidRPr="002B1000">
        <w:rPr>
          <w:rFonts w:cs="Arial"/>
        </w:rPr>
        <w:t>1</w:t>
      </w:r>
      <w:r w:rsidR="00C95D2A">
        <w:rPr>
          <w:rFonts w:cs="Arial"/>
        </w:rPr>
        <w:t>4</w:t>
      </w:r>
      <w:r w:rsidR="00721C05" w:rsidRPr="002B1000">
        <w:rPr>
          <w:rFonts w:cs="Arial"/>
        </w:rPr>
        <w:t>]</w:t>
      </w:r>
      <w:r w:rsidR="00DE6CF1" w:rsidRPr="002B1000">
        <w:rPr>
          <w:rFonts w:cs="Arial"/>
        </w:rPr>
        <w:t>.</w:t>
      </w:r>
      <w:r w:rsidR="00082063" w:rsidRPr="00721C05">
        <w:rPr>
          <w:rFonts w:cs="Arial"/>
        </w:rPr>
        <w:t xml:space="preserve"> </w:t>
      </w:r>
      <w:r w:rsidR="005E0CDE">
        <w:rPr>
          <w:rFonts w:cs="Arial"/>
        </w:rPr>
        <w:t>The scale</w:t>
      </w:r>
      <w:r w:rsidR="00D12C55">
        <w:rPr>
          <w:rFonts w:cs="Arial"/>
        </w:rPr>
        <w:t xml:space="preserve"> was modified </w:t>
      </w:r>
      <w:r w:rsidR="005E0CDE">
        <w:rPr>
          <w:rFonts w:cs="Arial"/>
        </w:rPr>
        <w:t xml:space="preserve">to 5-items </w:t>
      </w:r>
      <w:r w:rsidR="00D12C55">
        <w:rPr>
          <w:rFonts w:cs="Arial"/>
        </w:rPr>
        <w:t>f</w:t>
      </w:r>
      <w:r w:rsidR="00175560">
        <w:rPr>
          <w:rFonts w:cs="Arial"/>
        </w:rPr>
        <w:t xml:space="preserve">or cross-sectional </w:t>
      </w:r>
      <w:r w:rsidR="00D12C55">
        <w:rPr>
          <w:rFonts w:cs="Arial"/>
        </w:rPr>
        <w:t xml:space="preserve">studies questions </w:t>
      </w:r>
      <w:r w:rsidR="005E0CDE">
        <w:rPr>
          <w:rFonts w:cs="Arial"/>
        </w:rPr>
        <w:t xml:space="preserve">by dropping questions </w:t>
      </w:r>
      <w:r w:rsidR="00D12C55">
        <w:rPr>
          <w:rFonts w:cs="Arial"/>
        </w:rPr>
        <w:t>related to longitudinal study design</w:t>
      </w:r>
      <w:r w:rsidR="00175560">
        <w:rPr>
          <w:rFonts w:cs="Arial"/>
        </w:rPr>
        <w:t>.</w:t>
      </w:r>
    </w:p>
    <w:p w14:paraId="55AA3025" w14:textId="77777777" w:rsidR="00D3657C" w:rsidRPr="00D3657C" w:rsidRDefault="00D3657C" w:rsidP="00D3657C">
      <w:pPr>
        <w:spacing w:after="0" w:line="480" w:lineRule="auto"/>
        <w:rPr>
          <w:rFonts w:cs="Arial"/>
        </w:rPr>
      </w:pPr>
    </w:p>
    <w:p w14:paraId="3DD5DC33" w14:textId="2823930E" w:rsidR="0095121A" w:rsidRPr="007F71B4" w:rsidRDefault="0095121A" w:rsidP="00C108E8">
      <w:pPr>
        <w:spacing w:after="0" w:line="480" w:lineRule="auto"/>
        <w:rPr>
          <w:rFonts w:cs="Arial"/>
          <w:b/>
          <w:sz w:val="36"/>
          <w:szCs w:val="36"/>
        </w:rPr>
      </w:pPr>
      <w:r w:rsidRPr="007F71B4">
        <w:rPr>
          <w:rFonts w:cs="Arial"/>
          <w:b/>
          <w:sz w:val="36"/>
          <w:szCs w:val="36"/>
        </w:rPr>
        <w:t>Results: Systematic Review</w:t>
      </w:r>
    </w:p>
    <w:p w14:paraId="1FB1F0DA" w14:textId="506D78C0" w:rsidR="00D542DF" w:rsidRPr="008D179A" w:rsidRDefault="00D542DF" w:rsidP="00C108E8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Search</w:t>
      </w:r>
    </w:p>
    <w:p w14:paraId="7453EAEE" w14:textId="3F44A15B" w:rsidR="00D3657C" w:rsidRPr="00963569" w:rsidRDefault="00865095" w:rsidP="00A30050">
      <w:pPr>
        <w:spacing w:after="0" w:line="480" w:lineRule="auto"/>
        <w:rPr>
          <w:rFonts w:cs="Arial"/>
        </w:rPr>
      </w:pPr>
      <w:r w:rsidRPr="004F3C1F">
        <w:rPr>
          <w:rFonts w:cs="Arial"/>
        </w:rPr>
        <w:t xml:space="preserve">The search identified </w:t>
      </w:r>
      <w:r w:rsidR="00EF1083">
        <w:rPr>
          <w:rFonts w:cs="Arial"/>
        </w:rPr>
        <w:t>1517</w:t>
      </w:r>
      <w:r w:rsidRPr="004F3C1F">
        <w:rPr>
          <w:rFonts w:cs="Arial"/>
        </w:rPr>
        <w:t xml:space="preserve"> </w:t>
      </w:r>
      <w:r w:rsidR="00517FA8" w:rsidRPr="00614420">
        <w:rPr>
          <w:rFonts w:cs="Arial"/>
        </w:rPr>
        <w:t xml:space="preserve">unique </w:t>
      </w:r>
      <w:r w:rsidRPr="009F45DA">
        <w:rPr>
          <w:rFonts w:cs="Arial"/>
        </w:rPr>
        <w:t xml:space="preserve">papers </w:t>
      </w:r>
      <w:r w:rsidR="00674EB9" w:rsidRPr="009F45DA">
        <w:rPr>
          <w:rFonts w:cs="Arial"/>
        </w:rPr>
        <w:t xml:space="preserve">of which </w:t>
      </w:r>
      <w:r w:rsidR="00EF1083">
        <w:rPr>
          <w:rFonts w:cs="Arial"/>
        </w:rPr>
        <w:t>1446</w:t>
      </w:r>
      <w:r w:rsidR="00674EB9" w:rsidRPr="009F45DA">
        <w:rPr>
          <w:rFonts w:cs="Arial"/>
        </w:rPr>
        <w:t xml:space="preserve"> </w:t>
      </w:r>
      <w:r w:rsidR="00674EB9" w:rsidRPr="00D42ED6">
        <w:rPr>
          <w:rFonts w:cs="Arial"/>
          <w:noProof/>
        </w:rPr>
        <w:t>were excluded</w:t>
      </w:r>
      <w:r w:rsidR="00674EB9" w:rsidRPr="009F45DA">
        <w:rPr>
          <w:rFonts w:cs="Arial"/>
        </w:rPr>
        <w:t xml:space="preserve"> </w:t>
      </w:r>
      <w:r w:rsidR="00674EB9" w:rsidRPr="00D42ED6">
        <w:rPr>
          <w:rFonts w:cs="Arial"/>
          <w:noProof/>
        </w:rPr>
        <w:t>through</w:t>
      </w:r>
      <w:r w:rsidR="00674EB9" w:rsidRPr="009F45DA">
        <w:rPr>
          <w:rFonts w:cs="Arial"/>
        </w:rPr>
        <w:t xml:space="preserve"> review of titles and abstracts </w:t>
      </w:r>
      <w:r w:rsidRPr="00F37B43">
        <w:rPr>
          <w:rFonts w:cs="Arial"/>
        </w:rPr>
        <w:t>(</w:t>
      </w:r>
      <w:r w:rsidR="00E25312" w:rsidRPr="00F37B43">
        <w:rPr>
          <w:rFonts w:cs="Arial"/>
        </w:rPr>
        <w:t>F</w:t>
      </w:r>
      <w:r w:rsidRPr="00F37B43">
        <w:rPr>
          <w:rFonts w:cs="Arial"/>
        </w:rPr>
        <w:t>ig 1). After full</w:t>
      </w:r>
      <w:r w:rsidR="0012483D" w:rsidRPr="00F37B43">
        <w:rPr>
          <w:rFonts w:cs="Arial"/>
        </w:rPr>
        <w:t>-</w:t>
      </w:r>
      <w:r w:rsidRPr="00F37B43">
        <w:rPr>
          <w:rFonts w:cs="Arial"/>
        </w:rPr>
        <w:t>text review of</w:t>
      </w:r>
      <w:r w:rsidR="00674EB9" w:rsidRPr="00D65AA2">
        <w:rPr>
          <w:rFonts w:cs="Arial"/>
        </w:rPr>
        <w:t xml:space="preserve"> the remaining</w:t>
      </w:r>
      <w:r w:rsidRPr="00D65AA2">
        <w:rPr>
          <w:rFonts w:cs="Arial"/>
        </w:rPr>
        <w:t xml:space="preserve"> </w:t>
      </w:r>
      <w:r w:rsidR="00EF1083">
        <w:rPr>
          <w:rFonts w:cs="Arial"/>
        </w:rPr>
        <w:t>71</w:t>
      </w:r>
      <w:r w:rsidRPr="00D65AA2">
        <w:rPr>
          <w:rFonts w:cs="Arial"/>
        </w:rPr>
        <w:t xml:space="preserve"> publications, a further </w:t>
      </w:r>
      <w:r w:rsidR="00EF1083">
        <w:rPr>
          <w:rFonts w:cs="Arial"/>
        </w:rPr>
        <w:t>57</w:t>
      </w:r>
      <w:r w:rsidRPr="00D65AA2">
        <w:rPr>
          <w:rFonts w:cs="Arial"/>
        </w:rPr>
        <w:t xml:space="preserve"> were excluded, leaving </w:t>
      </w:r>
      <w:r w:rsidR="00EF1083">
        <w:rPr>
          <w:rFonts w:cs="Arial"/>
        </w:rPr>
        <w:t>14</w:t>
      </w:r>
      <w:r w:rsidRPr="00D65AA2">
        <w:rPr>
          <w:rFonts w:cs="Arial"/>
        </w:rPr>
        <w:t xml:space="preserve"> papers to </w:t>
      </w:r>
      <w:r w:rsidRPr="00D42ED6">
        <w:rPr>
          <w:rFonts w:cs="Arial"/>
          <w:noProof/>
        </w:rPr>
        <w:t>be included</w:t>
      </w:r>
      <w:r w:rsidRPr="00D65AA2">
        <w:rPr>
          <w:rFonts w:cs="Arial"/>
        </w:rPr>
        <w:t xml:space="preserve">. </w:t>
      </w:r>
      <w:r w:rsidR="00674EB9" w:rsidRPr="00A63321">
        <w:rPr>
          <w:rFonts w:cs="Arial"/>
        </w:rPr>
        <w:t>S</w:t>
      </w:r>
      <w:r w:rsidRPr="00A63321">
        <w:rPr>
          <w:rFonts w:cs="Arial"/>
        </w:rPr>
        <w:t xml:space="preserve">creening the reference lists of these papers </w:t>
      </w:r>
      <w:r w:rsidR="0012483D" w:rsidRPr="002B1000">
        <w:rPr>
          <w:rFonts w:cs="Arial"/>
        </w:rPr>
        <w:t>identified</w:t>
      </w:r>
      <w:r w:rsidR="00674EB9" w:rsidRPr="002B1000">
        <w:rPr>
          <w:rFonts w:cs="Arial"/>
        </w:rPr>
        <w:t xml:space="preserve"> </w:t>
      </w:r>
      <w:r w:rsidRPr="002B1000">
        <w:rPr>
          <w:rFonts w:cs="Arial"/>
        </w:rPr>
        <w:t xml:space="preserve">a further four studies </w:t>
      </w:r>
      <w:r w:rsidR="0012483D" w:rsidRPr="002B1000">
        <w:rPr>
          <w:rFonts w:cs="Arial"/>
        </w:rPr>
        <w:t xml:space="preserve">suitable </w:t>
      </w:r>
      <w:r w:rsidR="00674EB9" w:rsidRPr="002B1000">
        <w:rPr>
          <w:rFonts w:cs="Arial"/>
        </w:rPr>
        <w:t>for inclusion</w:t>
      </w:r>
      <w:r w:rsidRPr="002B1000">
        <w:rPr>
          <w:rFonts w:cs="Arial"/>
        </w:rPr>
        <w:t>. Therefore</w:t>
      </w:r>
      <w:r w:rsidR="00674EB9" w:rsidRPr="002B1000">
        <w:rPr>
          <w:rFonts w:cs="Arial"/>
        </w:rPr>
        <w:t>,</w:t>
      </w:r>
      <w:r w:rsidRPr="002B1000">
        <w:rPr>
          <w:rFonts w:cs="Arial"/>
        </w:rPr>
        <w:t xml:space="preserve"> a total of </w:t>
      </w:r>
      <w:r w:rsidR="00EF1083">
        <w:rPr>
          <w:rFonts w:cs="Arial"/>
        </w:rPr>
        <w:t>18</w:t>
      </w:r>
      <w:r w:rsidRPr="002B1000">
        <w:rPr>
          <w:rFonts w:cs="Arial"/>
        </w:rPr>
        <w:t xml:space="preserve"> papers were included</w:t>
      </w:r>
      <w:r w:rsidR="00963569" w:rsidRPr="002B1000">
        <w:rPr>
          <w:rFonts w:cs="Arial"/>
        </w:rPr>
        <w:t xml:space="preserve"> [</w:t>
      </w:r>
      <w:r w:rsidR="00C95D2A">
        <w:rPr>
          <w:rFonts w:cs="Arial"/>
        </w:rPr>
        <w:t>10</w:t>
      </w:r>
      <w:proofErr w:type="gramStart"/>
      <w:r w:rsidR="00C95D2A">
        <w:rPr>
          <w:rFonts w:cs="Arial"/>
        </w:rPr>
        <w:t>,11,</w:t>
      </w:r>
      <w:r w:rsidR="00D62474" w:rsidRPr="002B1000">
        <w:rPr>
          <w:rFonts w:cs="Arial"/>
        </w:rPr>
        <w:t>1</w:t>
      </w:r>
      <w:r w:rsidR="00C95D2A">
        <w:rPr>
          <w:rFonts w:cs="Arial"/>
        </w:rPr>
        <w:t>5</w:t>
      </w:r>
      <w:proofErr w:type="gramEnd"/>
      <w:r w:rsidR="00412F8C" w:rsidRPr="002B1000">
        <w:rPr>
          <w:rFonts w:cs="Arial"/>
        </w:rPr>
        <w:t>-</w:t>
      </w:r>
      <w:r w:rsidR="00EF1083">
        <w:rPr>
          <w:rFonts w:cs="Arial"/>
        </w:rPr>
        <w:t>30</w:t>
      </w:r>
      <w:r w:rsidR="00963569" w:rsidRPr="002B1000">
        <w:rPr>
          <w:rFonts w:cs="Arial"/>
        </w:rPr>
        <w:t>]</w:t>
      </w:r>
      <w:r w:rsidRPr="002B1000">
        <w:rPr>
          <w:rFonts w:cs="Arial"/>
        </w:rPr>
        <w:t>.</w:t>
      </w:r>
      <w:r w:rsidR="00D3657C" w:rsidRPr="00963569">
        <w:rPr>
          <w:rFonts w:cs="Arial"/>
        </w:rPr>
        <w:t xml:space="preserve"> </w:t>
      </w:r>
    </w:p>
    <w:p w14:paraId="11DD884D" w14:textId="77777777" w:rsidR="00D3657C" w:rsidRDefault="00D3657C" w:rsidP="00A30050">
      <w:pPr>
        <w:spacing w:after="0" w:line="480" w:lineRule="auto"/>
        <w:rPr>
          <w:rFonts w:cs="Arial"/>
        </w:rPr>
      </w:pPr>
    </w:p>
    <w:p w14:paraId="0A2359BE" w14:textId="3D8672FB" w:rsidR="003A0550" w:rsidRDefault="003A0550" w:rsidP="003A0550">
      <w:pPr>
        <w:spacing w:after="0" w:line="480" w:lineRule="auto"/>
        <w:rPr>
          <w:rFonts w:cs="Arial"/>
        </w:rPr>
      </w:pPr>
      <w:r w:rsidRPr="00D3657C">
        <w:rPr>
          <w:rFonts w:cs="Arial"/>
          <w:b/>
        </w:rPr>
        <w:t>Fig 1</w:t>
      </w:r>
      <w:r>
        <w:rPr>
          <w:rFonts w:cs="Arial"/>
          <w:b/>
        </w:rPr>
        <w:t>.</w:t>
      </w:r>
      <w:r w:rsidRPr="00D3657C">
        <w:rPr>
          <w:rFonts w:cs="Arial"/>
          <w:b/>
        </w:rPr>
        <w:t xml:space="preserve"> Flow</w:t>
      </w:r>
      <w:r w:rsidR="00CC0D14">
        <w:rPr>
          <w:rFonts w:cs="Arial"/>
          <w:b/>
        </w:rPr>
        <w:t xml:space="preserve"> diagram</w:t>
      </w:r>
      <w:r w:rsidRPr="00D3657C">
        <w:rPr>
          <w:rFonts w:cs="Arial"/>
          <w:b/>
        </w:rPr>
        <w:t xml:space="preserve"> of publications included and excluded at each stage of the review</w:t>
      </w:r>
    </w:p>
    <w:p w14:paraId="09367F8E" w14:textId="77777777" w:rsidR="003A0550" w:rsidRDefault="003A0550" w:rsidP="003A0550">
      <w:pPr>
        <w:spacing w:after="0" w:line="480" w:lineRule="auto"/>
        <w:rPr>
          <w:rFonts w:cs="Arial"/>
        </w:rPr>
      </w:pPr>
    </w:p>
    <w:p w14:paraId="33D319E8" w14:textId="16899786" w:rsidR="00D542DF" w:rsidRPr="008D179A" w:rsidRDefault="00D542DF" w:rsidP="00A30050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Quality appraisal</w:t>
      </w:r>
    </w:p>
    <w:p w14:paraId="7AC2B9C0" w14:textId="587D03A8" w:rsidR="00D3657C" w:rsidRPr="00F37B43" w:rsidRDefault="00D3657C" w:rsidP="00D3657C">
      <w:pPr>
        <w:spacing w:after="0" w:line="480" w:lineRule="auto"/>
        <w:rPr>
          <w:rFonts w:cs="Arial"/>
        </w:rPr>
      </w:pPr>
      <w:r w:rsidRPr="00F37B43">
        <w:rPr>
          <w:rFonts w:cs="Arial"/>
        </w:rPr>
        <w:lastRenderedPageBreak/>
        <w:t xml:space="preserve">Quality appraisal using the Modified </w:t>
      </w:r>
      <w:r w:rsidRPr="002C16CD">
        <w:rPr>
          <w:rFonts w:cs="Arial"/>
          <w:noProof/>
        </w:rPr>
        <w:t>Newcastle Ottawa</w:t>
      </w:r>
      <w:r w:rsidRPr="00F37B43">
        <w:rPr>
          <w:rFonts w:cs="Arial"/>
        </w:rPr>
        <w:t xml:space="preserve"> Scale Score demonstrated that no studies were of exceptionally high quality (Table 1). All studies assessed ankle OA </w:t>
      </w:r>
      <w:r w:rsidRPr="00D42ED6">
        <w:rPr>
          <w:rFonts w:cs="Arial"/>
          <w:noProof/>
        </w:rPr>
        <w:t>radiographically</w:t>
      </w:r>
      <w:r w:rsidRPr="00F37B43">
        <w:rPr>
          <w:rFonts w:cs="Arial"/>
        </w:rPr>
        <w:t xml:space="preserve"> however, the majority of studies </w:t>
      </w:r>
      <w:r w:rsidRPr="00D42ED6">
        <w:rPr>
          <w:rFonts w:cs="Arial"/>
          <w:noProof/>
        </w:rPr>
        <w:t>were limited</w:t>
      </w:r>
      <w:r w:rsidRPr="00F37B43">
        <w:rPr>
          <w:rFonts w:cs="Arial"/>
        </w:rPr>
        <w:t xml:space="preserve"> by being undertaken in population</w:t>
      </w:r>
      <w:r w:rsidR="00BD4BB0">
        <w:rPr>
          <w:rFonts w:cs="Arial"/>
        </w:rPr>
        <w:t>s</w:t>
      </w:r>
      <w:r w:rsidR="00664C17">
        <w:rPr>
          <w:rFonts w:cs="Arial"/>
        </w:rPr>
        <w:t xml:space="preserve"> </w:t>
      </w:r>
      <w:r w:rsidR="00116778">
        <w:rPr>
          <w:rFonts w:cs="Arial"/>
        </w:rPr>
        <w:t xml:space="preserve">selected </w:t>
      </w:r>
      <w:r w:rsidR="007E0D4C">
        <w:rPr>
          <w:rFonts w:cs="Arial"/>
        </w:rPr>
        <w:t xml:space="preserve">specific </w:t>
      </w:r>
      <w:r w:rsidR="00664C17">
        <w:rPr>
          <w:rFonts w:cs="Arial"/>
        </w:rPr>
        <w:t xml:space="preserve">from sporting </w:t>
      </w:r>
      <w:r w:rsidR="00AD3C59">
        <w:rPr>
          <w:rFonts w:cs="Arial"/>
        </w:rPr>
        <w:t>groups or with a particular medical condition</w:t>
      </w:r>
      <w:r w:rsidR="00BD4BB0">
        <w:rPr>
          <w:rFonts w:cs="Arial"/>
        </w:rPr>
        <w:t xml:space="preserve"> (n=1</w:t>
      </w:r>
      <w:r w:rsidR="00BD4BB0" w:rsidRPr="00530913">
        <w:rPr>
          <w:rFonts w:cs="Arial"/>
        </w:rPr>
        <w:t>5</w:t>
      </w:r>
      <w:r w:rsidR="00BD4BB0">
        <w:rPr>
          <w:rFonts w:cs="Arial"/>
        </w:rPr>
        <w:t>)</w:t>
      </w:r>
      <w:r w:rsidR="00031C31">
        <w:rPr>
          <w:rFonts w:cs="Arial"/>
        </w:rPr>
        <w:t xml:space="preserve"> </w:t>
      </w:r>
      <w:r w:rsidR="00576698">
        <w:rPr>
          <w:rFonts w:cs="Arial"/>
        </w:rPr>
        <w:t>[</w:t>
      </w:r>
      <w:r w:rsidR="00C95D2A">
        <w:rPr>
          <w:rFonts w:cs="Arial"/>
        </w:rPr>
        <w:t>10,11,</w:t>
      </w:r>
      <w:r w:rsidR="00576698">
        <w:rPr>
          <w:rFonts w:cs="Arial"/>
        </w:rPr>
        <w:t>1</w:t>
      </w:r>
      <w:r w:rsidR="00C95D2A">
        <w:rPr>
          <w:rFonts w:cs="Arial"/>
        </w:rPr>
        <w:t>5</w:t>
      </w:r>
      <w:r w:rsidR="00576698">
        <w:rPr>
          <w:rFonts w:cs="Arial"/>
        </w:rPr>
        <w:t>-2</w:t>
      </w:r>
      <w:r w:rsidR="00530913">
        <w:rPr>
          <w:rFonts w:cs="Arial"/>
        </w:rPr>
        <w:t>6</w:t>
      </w:r>
      <w:r w:rsidR="000E7510">
        <w:rPr>
          <w:rFonts w:cs="Arial"/>
        </w:rPr>
        <w:t>,30</w:t>
      </w:r>
      <w:r w:rsidR="00576698">
        <w:rPr>
          <w:rFonts w:cs="Arial"/>
        </w:rPr>
        <w:t>]</w:t>
      </w:r>
      <w:r w:rsidR="00BD4BB0">
        <w:rPr>
          <w:rFonts w:cs="Arial"/>
        </w:rPr>
        <w:t>.</w:t>
      </w:r>
    </w:p>
    <w:p w14:paraId="5925739C" w14:textId="77777777" w:rsidR="00D3657C" w:rsidRDefault="00D3657C" w:rsidP="00A30050">
      <w:pPr>
        <w:spacing w:after="0" w:line="480" w:lineRule="auto"/>
        <w:rPr>
          <w:rFonts w:cs="Arial"/>
        </w:rPr>
      </w:pPr>
    </w:p>
    <w:p w14:paraId="0F25FCB8" w14:textId="4C087F0A" w:rsidR="00D542DF" w:rsidRPr="008D179A" w:rsidRDefault="00D542DF" w:rsidP="00A30050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Study population</w:t>
      </w:r>
    </w:p>
    <w:p w14:paraId="0CD115AC" w14:textId="3FA50E8C" w:rsidR="00D3657C" w:rsidRPr="00963569" w:rsidRDefault="00A63B33" w:rsidP="00D3657C">
      <w:pPr>
        <w:spacing w:after="0" w:line="480" w:lineRule="auto"/>
        <w:rPr>
          <w:rFonts w:cs="Arial"/>
        </w:rPr>
      </w:pPr>
      <w:r>
        <w:rPr>
          <w:rFonts w:cs="Arial"/>
        </w:rPr>
        <w:t xml:space="preserve">Sample sizes were frequently small: nine studies had </w:t>
      </w:r>
      <w:r>
        <w:rPr>
          <w:rFonts w:cstheme="minorHAnsi"/>
        </w:rPr>
        <w:t>≤</w:t>
      </w:r>
      <w:r>
        <w:rPr>
          <w:rFonts w:cs="Arial"/>
        </w:rPr>
        <w:t>50 participants</w:t>
      </w:r>
      <w:r w:rsidR="00031C31">
        <w:rPr>
          <w:rFonts w:cs="Arial"/>
        </w:rPr>
        <w:t xml:space="preserve"> </w:t>
      </w:r>
      <w:r w:rsidR="002B5451">
        <w:rPr>
          <w:rFonts w:cs="Arial"/>
        </w:rPr>
        <w:t>[</w:t>
      </w:r>
      <w:r w:rsidR="00F0739A">
        <w:rPr>
          <w:rFonts w:cs="Arial"/>
        </w:rPr>
        <w:t>10,</w:t>
      </w:r>
      <w:r w:rsidR="002B5451">
        <w:rPr>
          <w:rFonts w:cs="Arial"/>
        </w:rPr>
        <w:t>1</w:t>
      </w:r>
      <w:r w:rsidR="00F0739A">
        <w:rPr>
          <w:rFonts w:cs="Arial"/>
        </w:rPr>
        <w:t>6</w:t>
      </w:r>
      <w:r w:rsidR="00DF4CB7">
        <w:rPr>
          <w:rFonts w:cs="Arial"/>
        </w:rPr>
        <w:t>-</w:t>
      </w:r>
      <w:r w:rsidR="00F0739A">
        <w:rPr>
          <w:rFonts w:cs="Arial"/>
        </w:rPr>
        <w:t>21</w:t>
      </w:r>
      <w:r w:rsidR="002B5451">
        <w:rPr>
          <w:rFonts w:cs="Arial"/>
        </w:rPr>
        <w:t>,2</w:t>
      </w:r>
      <w:r w:rsidR="00F0739A">
        <w:rPr>
          <w:rFonts w:cs="Arial"/>
        </w:rPr>
        <w:t>3</w:t>
      </w:r>
      <w:r w:rsidR="002B5451">
        <w:rPr>
          <w:rFonts w:cs="Arial"/>
        </w:rPr>
        <w:t>,28]</w:t>
      </w:r>
      <w:r>
        <w:rPr>
          <w:rFonts w:cs="Arial"/>
        </w:rPr>
        <w:t xml:space="preserve">, three studies had 51-100 </w:t>
      </w:r>
      <w:r w:rsidR="00DF4CB7">
        <w:rPr>
          <w:rFonts w:cs="Arial"/>
        </w:rPr>
        <w:t>[</w:t>
      </w:r>
      <w:r w:rsidR="00F8672F">
        <w:rPr>
          <w:rFonts w:cs="Arial"/>
        </w:rPr>
        <w:t>2</w:t>
      </w:r>
      <w:r w:rsidR="003D6EEA">
        <w:rPr>
          <w:rFonts w:cs="Arial"/>
        </w:rPr>
        <w:t>2</w:t>
      </w:r>
      <w:r w:rsidR="00F8672F">
        <w:rPr>
          <w:rFonts w:cs="Arial"/>
        </w:rPr>
        <w:t>,</w:t>
      </w:r>
      <w:r w:rsidR="00DF4CB7">
        <w:rPr>
          <w:rFonts w:cs="Arial"/>
        </w:rPr>
        <w:t>2</w:t>
      </w:r>
      <w:r w:rsidR="00542E3A">
        <w:rPr>
          <w:rFonts w:cs="Arial"/>
        </w:rPr>
        <w:t>4</w:t>
      </w:r>
      <w:r w:rsidR="00DF4CB7">
        <w:rPr>
          <w:rFonts w:cs="Arial"/>
        </w:rPr>
        <w:t>,</w:t>
      </w:r>
      <w:r w:rsidR="00F8672F">
        <w:rPr>
          <w:rFonts w:cs="Arial"/>
        </w:rPr>
        <w:t>29]</w:t>
      </w:r>
      <w:r w:rsidR="00031C31">
        <w:rPr>
          <w:rFonts w:cs="Arial"/>
        </w:rPr>
        <w:t xml:space="preserve"> </w:t>
      </w:r>
      <w:r>
        <w:rPr>
          <w:rFonts w:cs="Arial"/>
        </w:rPr>
        <w:t xml:space="preserve">and </w:t>
      </w:r>
      <w:r w:rsidR="00931EB5">
        <w:rPr>
          <w:rFonts w:cs="Arial"/>
        </w:rPr>
        <w:t>six</w:t>
      </w:r>
      <w:r>
        <w:rPr>
          <w:rFonts w:cs="Arial"/>
        </w:rPr>
        <w:t xml:space="preserve"> studies had &gt;</w:t>
      </w:r>
      <w:r w:rsidRPr="00F8672F">
        <w:rPr>
          <w:rFonts w:cs="Arial"/>
        </w:rPr>
        <w:t>100</w:t>
      </w:r>
      <w:r w:rsidR="00031C31" w:rsidRPr="00F8672F">
        <w:rPr>
          <w:rFonts w:cs="Arial"/>
        </w:rPr>
        <w:t xml:space="preserve"> </w:t>
      </w:r>
      <w:r w:rsidR="00DF4CB7" w:rsidRPr="00F8672F">
        <w:rPr>
          <w:rFonts w:cs="Arial"/>
        </w:rPr>
        <w:t>[</w:t>
      </w:r>
      <w:r w:rsidR="008401A1">
        <w:rPr>
          <w:rFonts w:cs="Arial"/>
        </w:rPr>
        <w:t>11,</w:t>
      </w:r>
      <w:r w:rsidR="00DF4CB7" w:rsidRPr="00F8672F">
        <w:rPr>
          <w:rFonts w:cs="Arial"/>
        </w:rPr>
        <w:t>1</w:t>
      </w:r>
      <w:r w:rsidR="003D6EEA">
        <w:rPr>
          <w:rFonts w:cs="Arial"/>
        </w:rPr>
        <w:t>5</w:t>
      </w:r>
      <w:r w:rsidR="00DF4CB7" w:rsidRPr="00F8672F">
        <w:rPr>
          <w:rFonts w:cs="Arial"/>
        </w:rPr>
        <w:t>,</w:t>
      </w:r>
      <w:r w:rsidR="00F8672F" w:rsidRPr="00F8672F">
        <w:rPr>
          <w:rFonts w:cs="Arial"/>
        </w:rPr>
        <w:t>2</w:t>
      </w:r>
      <w:r w:rsidR="003D6EEA">
        <w:rPr>
          <w:rFonts w:cs="Arial"/>
        </w:rPr>
        <w:t>5</w:t>
      </w:r>
      <w:r w:rsidR="00F8672F" w:rsidRPr="00F8672F">
        <w:rPr>
          <w:rFonts w:cs="Arial"/>
        </w:rPr>
        <w:t>-</w:t>
      </w:r>
      <w:r w:rsidR="00DF4CB7" w:rsidRPr="00F8672F">
        <w:rPr>
          <w:rFonts w:cs="Arial"/>
        </w:rPr>
        <w:t>27</w:t>
      </w:r>
      <w:r w:rsidR="00931EB5">
        <w:rPr>
          <w:rFonts w:cs="Arial"/>
        </w:rPr>
        <w:t>,30</w:t>
      </w:r>
      <w:r w:rsidR="00F8672F" w:rsidRPr="00F8672F">
        <w:rPr>
          <w:rFonts w:cs="Arial"/>
        </w:rPr>
        <w:t>]</w:t>
      </w:r>
      <w:r w:rsidRPr="00F8672F">
        <w:rPr>
          <w:rFonts w:cs="Arial"/>
        </w:rPr>
        <w:t>.</w:t>
      </w:r>
      <w:r w:rsidR="00D3657C" w:rsidRPr="00D65AA2">
        <w:rPr>
          <w:rFonts w:cs="Arial"/>
        </w:rPr>
        <w:t xml:space="preserve"> The study populations were frequently specific </w:t>
      </w:r>
      <w:r w:rsidR="00D3657C" w:rsidRPr="00D42ED6">
        <w:rPr>
          <w:rFonts w:cs="Arial"/>
          <w:noProof/>
        </w:rPr>
        <w:t>sub-groups</w:t>
      </w:r>
      <w:r w:rsidR="00D3657C" w:rsidRPr="00D65AA2">
        <w:rPr>
          <w:rFonts w:cs="Arial"/>
        </w:rPr>
        <w:t xml:space="preserve"> within a community setting rather than representing true general populations (Table 1)</w:t>
      </w:r>
      <w:r w:rsidR="00BD4BB0">
        <w:rPr>
          <w:rFonts w:cs="Arial"/>
        </w:rPr>
        <w:t>.</w:t>
      </w:r>
      <w:r w:rsidR="00D3657C" w:rsidRPr="00D65AA2">
        <w:rPr>
          <w:rFonts w:cs="Arial"/>
        </w:rPr>
        <w:t xml:space="preserve"> </w:t>
      </w:r>
      <w:r w:rsidR="00433050">
        <w:rPr>
          <w:rFonts w:cs="Arial"/>
        </w:rPr>
        <w:t>N</w:t>
      </w:r>
      <w:r w:rsidR="00D3657C" w:rsidRPr="00D65AA2">
        <w:rPr>
          <w:rFonts w:cs="Arial"/>
        </w:rPr>
        <w:t xml:space="preserve">o study reported general population prevalence estimates for radiographic ankle OA. </w:t>
      </w:r>
      <w:r w:rsidR="00931EB5">
        <w:rPr>
          <w:rFonts w:cs="Arial"/>
        </w:rPr>
        <w:t>Fifteen</w:t>
      </w:r>
      <w:r w:rsidR="00D3657C" w:rsidRPr="00D65AA2">
        <w:rPr>
          <w:rFonts w:cs="Arial"/>
        </w:rPr>
        <w:t xml:space="preserve"> studies used select sporting populations</w:t>
      </w:r>
      <w:r w:rsidR="00963569">
        <w:rPr>
          <w:rFonts w:cs="Arial"/>
        </w:rPr>
        <w:t xml:space="preserve"> [</w:t>
      </w:r>
      <w:r w:rsidR="008401A1">
        <w:rPr>
          <w:rFonts w:cs="Arial"/>
        </w:rPr>
        <w:t>1</w:t>
      </w:r>
      <w:r w:rsidR="00530913">
        <w:rPr>
          <w:rFonts w:cs="Arial"/>
        </w:rPr>
        <w:t>0,1</w:t>
      </w:r>
      <w:r w:rsidR="008401A1">
        <w:rPr>
          <w:rFonts w:cs="Arial"/>
        </w:rPr>
        <w:t>1,</w:t>
      </w:r>
      <w:r w:rsidR="00412F8C">
        <w:rPr>
          <w:rFonts w:cs="Arial"/>
        </w:rPr>
        <w:t>1</w:t>
      </w:r>
      <w:r w:rsidR="008401A1">
        <w:rPr>
          <w:rFonts w:cs="Arial"/>
        </w:rPr>
        <w:t>5</w:t>
      </w:r>
      <w:r w:rsidR="00D3657C" w:rsidRPr="005909C0">
        <w:rPr>
          <w:rFonts w:cs="Arial"/>
        </w:rPr>
        <w:t>-2</w:t>
      </w:r>
      <w:r w:rsidR="00412F8C">
        <w:rPr>
          <w:rFonts w:cs="Arial"/>
        </w:rPr>
        <w:t>6</w:t>
      </w:r>
      <w:r w:rsidR="00931EB5">
        <w:rPr>
          <w:rFonts w:cs="Arial"/>
        </w:rPr>
        <w:t>,30</w:t>
      </w:r>
      <w:r w:rsidR="00963569">
        <w:rPr>
          <w:rFonts w:cs="Arial"/>
        </w:rPr>
        <w:t>]</w:t>
      </w:r>
      <w:r w:rsidR="00D3657C" w:rsidRPr="00963569">
        <w:rPr>
          <w:rFonts w:cs="Arial"/>
        </w:rPr>
        <w:t>, one used a population with hereditary haemochromatosis</w:t>
      </w:r>
      <w:r w:rsidR="005909C0">
        <w:rPr>
          <w:rFonts w:cs="Arial"/>
        </w:rPr>
        <w:t xml:space="preserve"> [</w:t>
      </w:r>
      <w:r w:rsidR="00412F8C">
        <w:rPr>
          <w:rFonts w:cs="Arial"/>
        </w:rPr>
        <w:t>27</w:t>
      </w:r>
      <w:r w:rsidR="005909C0">
        <w:rPr>
          <w:rFonts w:cs="Arial"/>
        </w:rPr>
        <w:t>]</w:t>
      </w:r>
      <w:r w:rsidR="00D3657C" w:rsidRPr="00963569">
        <w:rPr>
          <w:rFonts w:cs="Arial"/>
        </w:rPr>
        <w:t>, one utilised human cadavers</w:t>
      </w:r>
      <w:r w:rsidR="00963569">
        <w:rPr>
          <w:rFonts w:cs="Arial"/>
        </w:rPr>
        <w:t xml:space="preserve"> [</w:t>
      </w:r>
      <w:r w:rsidR="00412F8C">
        <w:rPr>
          <w:rFonts w:cs="Arial"/>
        </w:rPr>
        <w:t>28</w:t>
      </w:r>
      <w:r w:rsidR="00963569">
        <w:rPr>
          <w:rFonts w:cs="Arial"/>
        </w:rPr>
        <w:t>]</w:t>
      </w:r>
      <w:r w:rsidR="00D3657C" w:rsidRPr="005909C0">
        <w:rPr>
          <w:rFonts w:cs="Arial"/>
        </w:rPr>
        <w:t xml:space="preserve"> </w:t>
      </w:r>
      <w:r w:rsidR="00D3657C" w:rsidRPr="00963569">
        <w:rPr>
          <w:rFonts w:cs="Arial"/>
        </w:rPr>
        <w:t>and one involved a small urban population in Nigeria</w:t>
      </w:r>
      <w:r w:rsidR="005909C0">
        <w:rPr>
          <w:rFonts w:cs="Arial"/>
        </w:rPr>
        <w:t xml:space="preserve"> </w:t>
      </w:r>
      <w:r w:rsidR="009C3CC0">
        <w:rPr>
          <w:rFonts w:cs="Arial"/>
        </w:rPr>
        <w:t xml:space="preserve">who were attending a primary care facility with joint symptoms </w:t>
      </w:r>
      <w:r w:rsidR="005909C0">
        <w:rPr>
          <w:rFonts w:cs="Arial"/>
        </w:rPr>
        <w:t>[</w:t>
      </w:r>
      <w:r w:rsidR="00412F8C">
        <w:rPr>
          <w:rFonts w:cs="Arial"/>
        </w:rPr>
        <w:t>29</w:t>
      </w:r>
      <w:r w:rsidR="005909C0">
        <w:rPr>
          <w:rFonts w:cs="Arial"/>
        </w:rPr>
        <w:t>]</w:t>
      </w:r>
      <w:r w:rsidR="00D3657C" w:rsidRPr="00963569">
        <w:rPr>
          <w:rFonts w:cs="Arial"/>
        </w:rPr>
        <w:t>. All studies included adults</w:t>
      </w:r>
      <w:r w:rsidR="00670577">
        <w:rPr>
          <w:rFonts w:cs="Arial"/>
        </w:rPr>
        <w:t xml:space="preserve"> although these were frequently younger adults: in </w:t>
      </w:r>
      <w:r w:rsidR="00931EB5">
        <w:rPr>
          <w:rFonts w:cs="Arial"/>
        </w:rPr>
        <w:t>two</w:t>
      </w:r>
      <w:r w:rsidR="00670577">
        <w:rPr>
          <w:rFonts w:cs="Arial"/>
        </w:rPr>
        <w:t xml:space="preserve"> stud</w:t>
      </w:r>
      <w:r w:rsidR="00931EB5">
        <w:rPr>
          <w:rFonts w:cs="Arial"/>
        </w:rPr>
        <w:t>ies</w:t>
      </w:r>
      <w:r w:rsidR="00670577">
        <w:rPr>
          <w:rFonts w:cs="Arial"/>
        </w:rPr>
        <w:t xml:space="preserve"> age range was not reported but mean age was 35 years</w:t>
      </w:r>
      <w:r w:rsidR="00412F8C">
        <w:rPr>
          <w:rFonts w:cs="Arial"/>
        </w:rPr>
        <w:t xml:space="preserve"> [1</w:t>
      </w:r>
      <w:r w:rsidR="001A1456">
        <w:rPr>
          <w:rFonts w:cs="Arial"/>
        </w:rPr>
        <w:t>8</w:t>
      </w:r>
      <w:r w:rsidR="006D0681">
        <w:rPr>
          <w:rFonts w:cs="Arial"/>
        </w:rPr>
        <w:t>]</w:t>
      </w:r>
      <w:r w:rsidR="005F10DA">
        <w:rPr>
          <w:rFonts w:cs="Arial"/>
        </w:rPr>
        <w:t xml:space="preserve"> and 50 years [30]</w:t>
      </w:r>
      <w:r w:rsidR="00670577">
        <w:rPr>
          <w:rFonts w:cs="Arial"/>
        </w:rPr>
        <w:t xml:space="preserve">, </w:t>
      </w:r>
      <w:r w:rsidR="001B7935">
        <w:rPr>
          <w:rFonts w:cs="Arial"/>
        </w:rPr>
        <w:t>six</w:t>
      </w:r>
      <w:r w:rsidR="00B6268C">
        <w:rPr>
          <w:rFonts w:cs="Arial"/>
        </w:rPr>
        <w:t xml:space="preserve"> studies </w:t>
      </w:r>
      <w:r w:rsidR="00670577">
        <w:rPr>
          <w:rFonts w:cs="Arial"/>
        </w:rPr>
        <w:t xml:space="preserve">reported </w:t>
      </w:r>
      <w:r w:rsidR="001B7935">
        <w:rPr>
          <w:rFonts w:cs="Arial"/>
        </w:rPr>
        <w:t>age range with an upper limit of 55 years</w:t>
      </w:r>
      <w:r w:rsidR="005C50CF">
        <w:rPr>
          <w:rFonts w:cs="Arial"/>
        </w:rPr>
        <w:t xml:space="preserve"> </w:t>
      </w:r>
      <w:r w:rsidR="00412F8C">
        <w:rPr>
          <w:rFonts w:cs="Arial"/>
        </w:rPr>
        <w:t>[1</w:t>
      </w:r>
      <w:r w:rsidR="009B24E3">
        <w:rPr>
          <w:rFonts w:cs="Arial"/>
        </w:rPr>
        <w:t>1</w:t>
      </w:r>
      <w:r w:rsidR="00412F8C">
        <w:rPr>
          <w:rFonts w:cs="Arial"/>
        </w:rPr>
        <w:t>,1</w:t>
      </w:r>
      <w:r w:rsidR="009B24E3">
        <w:rPr>
          <w:rFonts w:cs="Arial"/>
        </w:rPr>
        <w:t>5</w:t>
      </w:r>
      <w:r w:rsidR="001B7935">
        <w:rPr>
          <w:rFonts w:cs="Arial"/>
        </w:rPr>
        <w:t>,</w:t>
      </w:r>
      <w:r w:rsidR="005C50CF">
        <w:rPr>
          <w:rFonts w:cs="Arial"/>
        </w:rPr>
        <w:t>1</w:t>
      </w:r>
      <w:r w:rsidR="00412F8C">
        <w:rPr>
          <w:rFonts w:cs="Arial"/>
        </w:rPr>
        <w:t>9</w:t>
      </w:r>
      <w:r w:rsidR="005C50CF">
        <w:rPr>
          <w:rFonts w:cs="Arial"/>
        </w:rPr>
        <w:t>,</w:t>
      </w:r>
      <w:r w:rsidR="001B7935">
        <w:rPr>
          <w:rFonts w:cs="Arial"/>
        </w:rPr>
        <w:t>2</w:t>
      </w:r>
      <w:r w:rsidR="007633C9">
        <w:rPr>
          <w:rFonts w:cs="Arial"/>
        </w:rPr>
        <w:t>1</w:t>
      </w:r>
      <w:r w:rsidR="00412F8C">
        <w:rPr>
          <w:rFonts w:cs="Arial"/>
        </w:rPr>
        <w:t>,2</w:t>
      </w:r>
      <w:r w:rsidR="007633C9">
        <w:rPr>
          <w:rFonts w:cs="Arial"/>
        </w:rPr>
        <w:t>4</w:t>
      </w:r>
      <w:r w:rsidR="001B7935">
        <w:rPr>
          <w:rFonts w:cs="Arial"/>
        </w:rPr>
        <w:t>,</w:t>
      </w:r>
      <w:r w:rsidR="00412F8C">
        <w:rPr>
          <w:rFonts w:cs="Arial"/>
        </w:rPr>
        <w:t>26</w:t>
      </w:r>
      <w:r w:rsidR="001B7935">
        <w:rPr>
          <w:rFonts w:cs="Arial"/>
        </w:rPr>
        <w:t>]</w:t>
      </w:r>
      <w:r w:rsidR="00670577">
        <w:rPr>
          <w:rFonts w:cs="Arial"/>
        </w:rPr>
        <w:t xml:space="preserve">, </w:t>
      </w:r>
      <w:r w:rsidR="001B7935">
        <w:rPr>
          <w:rFonts w:cs="Arial"/>
        </w:rPr>
        <w:t xml:space="preserve">ten studies showed an age range </w:t>
      </w:r>
      <w:r w:rsidR="007F2FBC">
        <w:rPr>
          <w:rFonts w:cs="Arial"/>
        </w:rPr>
        <w:t xml:space="preserve">which extended past </w:t>
      </w:r>
      <w:r w:rsidR="001B7935">
        <w:rPr>
          <w:rFonts w:cs="Arial"/>
        </w:rPr>
        <w:t>55 years</w:t>
      </w:r>
      <w:r w:rsidR="00412F8C">
        <w:rPr>
          <w:rFonts w:cs="Arial"/>
        </w:rPr>
        <w:t xml:space="preserve"> [</w:t>
      </w:r>
      <w:r w:rsidR="00ED1C6C">
        <w:rPr>
          <w:rFonts w:cs="Arial"/>
        </w:rPr>
        <w:t>10,</w:t>
      </w:r>
      <w:r w:rsidR="007F2FBC">
        <w:rPr>
          <w:rFonts w:cs="Arial"/>
        </w:rPr>
        <w:t>1</w:t>
      </w:r>
      <w:r w:rsidR="00412F8C">
        <w:rPr>
          <w:rFonts w:cs="Arial"/>
        </w:rPr>
        <w:t>6</w:t>
      </w:r>
      <w:r w:rsidR="007F2FBC">
        <w:rPr>
          <w:rFonts w:cs="Arial"/>
        </w:rPr>
        <w:t>,1</w:t>
      </w:r>
      <w:r w:rsidR="00ED1C6C">
        <w:rPr>
          <w:rFonts w:cs="Arial"/>
        </w:rPr>
        <w:t>7</w:t>
      </w:r>
      <w:r w:rsidR="00412F8C">
        <w:rPr>
          <w:rFonts w:cs="Arial"/>
        </w:rPr>
        <w:t>,2022,2</w:t>
      </w:r>
      <w:r w:rsidR="00ED1C6C">
        <w:rPr>
          <w:rFonts w:cs="Arial"/>
        </w:rPr>
        <w:t>3</w:t>
      </w:r>
      <w:r w:rsidR="00412F8C">
        <w:rPr>
          <w:rFonts w:cs="Arial"/>
        </w:rPr>
        <w:t>,</w:t>
      </w:r>
      <w:r w:rsidR="00ED1C6C">
        <w:rPr>
          <w:rFonts w:cs="Arial"/>
        </w:rPr>
        <w:t>25,</w:t>
      </w:r>
      <w:r w:rsidR="00412F8C">
        <w:rPr>
          <w:rFonts w:cs="Arial"/>
        </w:rPr>
        <w:t>27</w:t>
      </w:r>
      <w:r w:rsidR="005A1FC9">
        <w:rPr>
          <w:rFonts w:cs="Arial"/>
        </w:rPr>
        <w:t>-</w:t>
      </w:r>
      <w:r w:rsidR="00412F8C">
        <w:rPr>
          <w:rFonts w:cs="Arial"/>
        </w:rPr>
        <w:t>29</w:t>
      </w:r>
      <w:r w:rsidR="007F2FBC">
        <w:rPr>
          <w:rFonts w:cs="Arial"/>
        </w:rPr>
        <w:t>]</w:t>
      </w:r>
      <w:r w:rsidR="00670577">
        <w:rPr>
          <w:rFonts w:cs="Arial"/>
        </w:rPr>
        <w:t>.</w:t>
      </w:r>
      <w:r w:rsidR="00D3657C" w:rsidRPr="00963569">
        <w:rPr>
          <w:rFonts w:cs="Arial"/>
        </w:rPr>
        <w:t xml:space="preserve"> </w:t>
      </w:r>
      <w:r w:rsidR="005F10DA">
        <w:rPr>
          <w:rFonts w:cs="Arial"/>
        </w:rPr>
        <w:t>Nine</w:t>
      </w:r>
      <w:r w:rsidR="00D3657C" w:rsidRPr="00963569">
        <w:rPr>
          <w:rFonts w:cs="Arial"/>
        </w:rPr>
        <w:t xml:space="preserve"> studies examined </w:t>
      </w:r>
      <w:r w:rsidR="004D3CC5">
        <w:rPr>
          <w:rFonts w:cs="Arial"/>
        </w:rPr>
        <w:t>exclusively</w:t>
      </w:r>
      <w:r w:rsidR="004D3CC5" w:rsidRPr="00963569">
        <w:rPr>
          <w:rFonts w:cs="Arial"/>
        </w:rPr>
        <w:t xml:space="preserve"> </w:t>
      </w:r>
      <w:r w:rsidR="00D3657C" w:rsidRPr="00963569">
        <w:rPr>
          <w:rFonts w:cs="Arial"/>
        </w:rPr>
        <w:t>male populations</w:t>
      </w:r>
      <w:r w:rsidR="00963569">
        <w:rPr>
          <w:rFonts w:cs="Arial"/>
        </w:rPr>
        <w:t xml:space="preserve"> [</w:t>
      </w:r>
      <w:r w:rsidR="00C13ACD">
        <w:rPr>
          <w:rFonts w:cs="Arial"/>
        </w:rPr>
        <w:t>10</w:t>
      </w:r>
      <w:proofErr w:type="gramStart"/>
      <w:r w:rsidR="00C13ACD">
        <w:rPr>
          <w:rFonts w:cs="Arial"/>
        </w:rPr>
        <w:t>,</w:t>
      </w:r>
      <w:r w:rsidR="00412F8C">
        <w:rPr>
          <w:rFonts w:cs="Arial"/>
        </w:rPr>
        <w:t>1</w:t>
      </w:r>
      <w:r w:rsidR="00C13ACD">
        <w:rPr>
          <w:rFonts w:cs="Arial"/>
        </w:rPr>
        <w:t>5</w:t>
      </w:r>
      <w:proofErr w:type="gramEnd"/>
      <w:r w:rsidR="00412F8C">
        <w:rPr>
          <w:rFonts w:cs="Arial"/>
        </w:rPr>
        <w:t>-1</w:t>
      </w:r>
      <w:r w:rsidR="00C13ACD">
        <w:rPr>
          <w:rFonts w:cs="Arial"/>
        </w:rPr>
        <w:t>8</w:t>
      </w:r>
      <w:r w:rsidR="00412F8C">
        <w:rPr>
          <w:rFonts w:cs="Arial"/>
        </w:rPr>
        <w:t>,</w:t>
      </w:r>
      <w:r w:rsidR="00C13ACD">
        <w:rPr>
          <w:rFonts w:cs="Arial"/>
        </w:rPr>
        <w:t>21</w:t>
      </w:r>
      <w:r w:rsidR="00412F8C">
        <w:rPr>
          <w:rFonts w:cs="Arial"/>
        </w:rPr>
        <w:t>,22,2</w:t>
      </w:r>
      <w:r w:rsidR="00C13ACD">
        <w:rPr>
          <w:rFonts w:cs="Arial"/>
        </w:rPr>
        <w:t>6</w:t>
      </w:r>
      <w:r w:rsidR="005F10DA">
        <w:rPr>
          <w:rFonts w:cs="Arial"/>
        </w:rPr>
        <w:t>,30</w:t>
      </w:r>
      <w:r w:rsidR="00963569">
        <w:rPr>
          <w:rFonts w:cs="Arial"/>
        </w:rPr>
        <w:t>]</w:t>
      </w:r>
      <w:r w:rsidR="00D3657C" w:rsidRPr="00963569">
        <w:rPr>
          <w:rFonts w:cs="Arial"/>
        </w:rPr>
        <w:t xml:space="preserve"> and one </w:t>
      </w:r>
      <w:r w:rsidR="00D3657C" w:rsidRPr="002B1000">
        <w:rPr>
          <w:rFonts w:cs="Arial"/>
        </w:rPr>
        <w:t>study examined an exclusively female population</w:t>
      </w:r>
      <w:r w:rsidR="005909C0" w:rsidRPr="002B1000">
        <w:rPr>
          <w:rFonts w:cs="Arial"/>
        </w:rPr>
        <w:t xml:space="preserve"> [</w:t>
      </w:r>
      <w:r w:rsidR="000128CB">
        <w:rPr>
          <w:rFonts w:cs="Arial"/>
        </w:rPr>
        <w:t>20</w:t>
      </w:r>
      <w:r w:rsidR="005909C0" w:rsidRPr="002B1000">
        <w:rPr>
          <w:rFonts w:cs="Arial"/>
        </w:rPr>
        <w:t>]</w:t>
      </w:r>
      <w:r w:rsidR="00D3657C" w:rsidRPr="002B1000">
        <w:rPr>
          <w:rFonts w:cs="Arial"/>
        </w:rPr>
        <w:t>. One study did not report the gender of their population</w:t>
      </w:r>
      <w:r w:rsidR="00963569" w:rsidRPr="002B1000">
        <w:rPr>
          <w:rFonts w:cs="Arial"/>
        </w:rPr>
        <w:t xml:space="preserve"> [</w:t>
      </w:r>
      <w:r w:rsidR="0063011C" w:rsidRPr="002B1000">
        <w:rPr>
          <w:rFonts w:cs="Arial"/>
        </w:rPr>
        <w:t>2</w:t>
      </w:r>
      <w:r w:rsidR="000128CB">
        <w:rPr>
          <w:rFonts w:cs="Arial"/>
        </w:rPr>
        <w:t>4</w:t>
      </w:r>
      <w:r w:rsidR="00963569" w:rsidRPr="002B1000">
        <w:rPr>
          <w:rFonts w:cs="Arial"/>
        </w:rPr>
        <w:t>]</w:t>
      </w:r>
      <w:r w:rsidR="00D3657C" w:rsidRPr="002B1000">
        <w:rPr>
          <w:rFonts w:cs="Arial"/>
        </w:rPr>
        <w:t>.</w:t>
      </w:r>
      <w:r w:rsidR="00D3657C" w:rsidRPr="00963569">
        <w:rPr>
          <w:rFonts w:cs="Arial"/>
        </w:rPr>
        <w:t xml:space="preserve"> </w:t>
      </w:r>
    </w:p>
    <w:p w14:paraId="181B9F90" w14:textId="77777777" w:rsidR="00D542DF" w:rsidRDefault="00D542DF" w:rsidP="00A30050">
      <w:pPr>
        <w:spacing w:after="0" w:line="480" w:lineRule="auto"/>
        <w:rPr>
          <w:rFonts w:cs="Arial"/>
        </w:rPr>
      </w:pPr>
    </w:p>
    <w:p w14:paraId="314CC7D3" w14:textId="69AA09EA" w:rsidR="006569F1" w:rsidRPr="008D179A" w:rsidRDefault="00234440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Joints examined and radiographic views</w:t>
      </w:r>
    </w:p>
    <w:p w14:paraId="7D80C291" w14:textId="4EF7C00E" w:rsidR="00243F81" w:rsidRDefault="00F872E5">
      <w:pPr>
        <w:spacing w:after="0" w:line="480" w:lineRule="auto"/>
        <w:rPr>
          <w:rFonts w:cs="Arial"/>
        </w:rPr>
      </w:pPr>
      <w:r w:rsidRPr="00963569">
        <w:rPr>
          <w:rFonts w:cs="Arial"/>
        </w:rPr>
        <w:t xml:space="preserve">Most </w:t>
      </w:r>
      <w:r w:rsidR="00277818" w:rsidRPr="00963569">
        <w:rPr>
          <w:rFonts w:cs="Arial"/>
        </w:rPr>
        <w:t>studies</w:t>
      </w:r>
      <w:r w:rsidRPr="00963569">
        <w:rPr>
          <w:rFonts w:cs="Arial"/>
        </w:rPr>
        <w:t xml:space="preserve"> </w:t>
      </w:r>
      <w:r w:rsidR="00277818" w:rsidRPr="00963569">
        <w:rPr>
          <w:rFonts w:cs="Arial"/>
        </w:rPr>
        <w:t>broadly</w:t>
      </w:r>
      <w:r w:rsidRPr="00963569">
        <w:rPr>
          <w:rFonts w:cs="Arial"/>
        </w:rPr>
        <w:t xml:space="preserve"> described studying the </w:t>
      </w:r>
      <w:r w:rsidR="002A5221" w:rsidRPr="00963569">
        <w:rPr>
          <w:rFonts w:cs="Arial"/>
        </w:rPr>
        <w:t>‘</w:t>
      </w:r>
      <w:r w:rsidRPr="00963569">
        <w:rPr>
          <w:rFonts w:cs="Arial"/>
        </w:rPr>
        <w:t>ankle joint</w:t>
      </w:r>
      <w:r w:rsidR="002A5221" w:rsidRPr="00963569">
        <w:rPr>
          <w:rFonts w:cs="Arial"/>
        </w:rPr>
        <w:t>’</w:t>
      </w:r>
      <w:r w:rsidR="00277818" w:rsidRPr="00963569">
        <w:rPr>
          <w:rFonts w:cs="Arial"/>
        </w:rPr>
        <w:t xml:space="preserve"> while f</w:t>
      </w:r>
      <w:r w:rsidR="00E0698E" w:rsidRPr="00963569">
        <w:rPr>
          <w:rFonts w:cs="Arial"/>
        </w:rPr>
        <w:t>ive specifi</w:t>
      </w:r>
      <w:r w:rsidR="00277818" w:rsidRPr="00963569">
        <w:rPr>
          <w:rFonts w:cs="Arial"/>
        </w:rPr>
        <w:t>cally describ</w:t>
      </w:r>
      <w:r w:rsidR="00E0698E" w:rsidRPr="00963569">
        <w:rPr>
          <w:rFonts w:cs="Arial"/>
        </w:rPr>
        <w:t xml:space="preserve">ed the </w:t>
      </w:r>
      <w:r w:rsidRPr="00963569">
        <w:rPr>
          <w:rFonts w:cs="Arial"/>
        </w:rPr>
        <w:t xml:space="preserve">exact </w:t>
      </w:r>
      <w:r w:rsidR="00E0698E" w:rsidRPr="00963569">
        <w:rPr>
          <w:rFonts w:cs="Arial"/>
        </w:rPr>
        <w:t>region</w:t>
      </w:r>
      <w:r w:rsidR="00277818" w:rsidRPr="00963569">
        <w:rPr>
          <w:rFonts w:cs="Arial"/>
        </w:rPr>
        <w:t>s</w:t>
      </w:r>
      <w:r w:rsidR="00E0698E" w:rsidRPr="00963569">
        <w:rPr>
          <w:rFonts w:cs="Arial"/>
        </w:rPr>
        <w:t xml:space="preserve"> of the ank</w:t>
      </w:r>
      <w:r w:rsidR="00E0698E" w:rsidRPr="00F37B43">
        <w:rPr>
          <w:rFonts w:cs="Arial"/>
        </w:rPr>
        <w:t>le that w</w:t>
      </w:r>
      <w:r w:rsidRPr="00F37B43">
        <w:rPr>
          <w:rFonts w:cs="Arial"/>
        </w:rPr>
        <w:t>ere</w:t>
      </w:r>
      <w:r w:rsidR="00E0698E" w:rsidRPr="00F37B43">
        <w:rPr>
          <w:rFonts w:cs="Arial"/>
        </w:rPr>
        <w:t xml:space="preserve"> examined </w:t>
      </w:r>
      <w:r w:rsidR="001E5F76" w:rsidRPr="00F37B43">
        <w:rPr>
          <w:rFonts w:cs="Arial"/>
        </w:rPr>
        <w:t xml:space="preserve">radiographically </w:t>
      </w:r>
      <w:r w:rsidR="00E0698E" w:rsidRPr="00F37B43">
        <w:rPr>
          <w:rFonts w:cs="Arial"/>
        </w:rPr>
        <w:t>for OA</w:t>
      </w:r>
      <w:r w:rsidR="00A750C3" w:rsidRPr="00D65AA2">
        <w:rPr>
          <w:rFonts w:cs="Arial"/>
        </w:rPr>
        <w:t xml:space="preserve"> and variations were present between these studies</w:t>
      </w:r>
      <w:r w:rsidR="0081255E" w:rsidRPr="00D65AA2">
        <w:rPr>
          <w:rFonts w:cs="Arial"/>
        </w:rPr>
        <w:t xml:space="preserve"> </w:t>
      </w:r>
      <w:r w:rsidR="002A5221" w:rsidRPr="00D65AA2">
        <w:rPr>
          <w:rFonts w:cs="Arial"/>
        </w:rPr>
        <w:t>(</w:t>
      </w:r>
      <w:r w:rsidR="006868B6" w:rsidRPr="00D65AA2">
        <w:rPr>
          <w:rFonts w:cs="Arial"/>
        </w:rPr>
        <w:t>Table 1</w:t>
      </w:r>
      <w:r w:rsidR="002A5221" w:rsidRPr="00072B39">
        <w:rPr>
          <w:rFonts w:cs="Arial"/>
        </w:rPr>
        <w:t>)</w:t>
      </w:r>
      <w:r w:rsidR="00963569">
        <w:rPr>
          <w:rFonts w:cs="Arial"/>
        </w:rPr>
        <w:t xml:space="preserve"> [</w:t>
      </w:r>
      <w:r w:rsidR="00A14DA0">
        <w:rPr>
          <w:rFonts w:cs="Arial"/>
        </w:rPr>
        <w:t>11</w:t>
      </w:r>
      <w:proofErr w:type="gramStart"/>
      <w:r w:rsidR="00A14DA0">
        <w:rPr>
          <w:rFonts w:cs="Arial"/>
        </w:rPr>
        <w:t>,</w:t>
      </w:r>
      <w:r w:rsidR="00473675">
        <w:rPr>
          <w:rFonts w:cs="Arial"/>
        </w:rPr>
        <w:t>1</w:t>
      </w:r>
      <w:r w:rsidR="00A14DA0">
        <w:rPr>
          <w:rFonts w:cs="Arial"/>
        </w:rPr>
        <w:t>7</w:t>
      </w:r>
      <w:r w:rsidR="00E0698E" w:rsidRPr="004F3C1F">
        <w:rPr>
          <w:rFonts w:cs="Arial"/>
        </w:rPr>
        <w:t>,2</w:t>
      </w:r>
      <w:r w:rsidR="00473675">
        <w:rPr>
          <w:rFonts w:cs="Arial"/>
        </w:rPr>
        <w:t>4</w:t>
      </w:r>
      <w:r w:rsidR="00E0698E" w:rsidRPr="004F3C1F">
        <w:rPr>
          <w:rFonts w:cs="Arial"/>
        </w:rPr>
        <w:t>,2</w:t>
      </w:r>
      <w:r w:rsidR="00A14DA0">
        <w:rPr>
          <w:rFonts w:cs="Arial"/>
        </w:rPr>
        <w:t>5</w:t>
      </w:r>
      <w:r w:rsidR="00E0698E" w:rsidRPr="004F3C1F">
        <w:rPr>
          <w:rFonts w:cs="Arial"/>
        </w:rPr>
        <w:t>,2</w:t>
      </w:r>
      <w:r w:rsidR="00473675">
        <w:rPr>
          <w:rFonts w:cs="Arial"/>
        </w:rPr>
        <w:t>8</w:t>
      </w:r>
      <w:proofErr w:type="gramEnd"/>
      <w:r w:rsidR="00963569">
        <w:rPr>
          <w:rFonts w:cs="Arial"/>
        </w:rPr>
        <w:t>]</w:t>
      </w:r>
      <w:r w:rsidR="00E0698E" w:rsidRPr="00963569">
        <w:rPr>
          <w:rFonts w:cs="Arial"/>
        </w:rPr>
        <w:t>.</w:t>
      </w:r>
      <w:r w:rsidR="009F6F4D" w:rsidRPr="00963569">
        <w:rPr>
          <w:rFonts w:cs="Arial"/>
        </w:rPr>
        <w:t xml:space="preserve"> </w:t>
      </w:r>
      <w:r w:rsidR="005F10DA">
        <w:rPr>
          <w:rFonts w:cs="Arial"/>
        </w:rPr>
        <w:t>Eight</w:t>
      </w:r>
      <w:r w:rsidR="009F6F4D" w:rsidRPr="00963569">
        <w:rPr>
          <w:rFonts w:cs="Arial"/>
        </w:rPr>
        <w:t xml:space="preserve"> studies failed to provide details of the radiographic </w:t>
      </w:r>
      <w:r w:rsidR="00296E39" w:rsidRPr="00963569">
        <w:rPr>
          <w:rFonts w:cs="Arial"/>
        </w:rPr>
        <w:t xml:space="preserve">views </w:t>
      </w:r>
      <w:r w:rsidR="0081255E" w:rsidRPr="00963569">
        <w:rPr>
          <w:rFonts w:cs="Arial"/>
        </w:rPr>
        <w:t xml:space="preserve">that were </w:t>
      </w:r>
      <w:r w:rsidR="009F6F4D" w:rsidRPr="00963569">
        <w:rPr>
          <w:rFonts w:cs="Arial"/>
        </w:rPr>
        <w:t>used to assess ankle OA</w:t>
      </w:r>
      <w:r w:rsidR="00963569">
        <w:rPr>
          <w:rFonts w:cs="Arial"/>
        </w:rPr>
        <w:t xml:space="preserve"> [</w:t>
      </w:r>
      <w:r w:rsidR="009F6F4D" w:rsidRPr="004F3C1F">
        <w:rPr>
          <w:rFonts w:cs="Arial"/>
        </w:rPr>
        <w:t>1</w:t>
      </w:r>
      <w:r w:rsidR="00195416">
        <w:rPr>
          <w:rFonts w:cs="Arial"/>
        </w:rPr>
        <w:t>1</w:t>
      </w:r>
      <w:proofErr w:type="gramStart"/>
      <w:r w:rsidR="009F6F4D" w:rsidRPr="004F3C1F">
        <w:rPr>
          <w:rFonts w:cs="Arial"/>
        </w:rPr>
        <w:t>,1</w:t>
      </w:r>
      <w:r w:rsidR="00473675">
        <w:rPr>
          <w:rFonts w:cs="Arial"/>
        </w:rPr>
        <w:t>7</w:t>
      </w:r>
      <w:r w:rsidR="009F6F4D" w:rsidRPr="004F3C1F">
        <w:rPr>
          <w:rFonts w:cs="Arial"/>
        </w:rPr>
        <w:t>,1</w:t>
      </w:r>
      <w:r w:rsidR="00536997">
        <w:rPr>
          <w:rFonts w:cs="Arial"/>
        </w:rPr>
        <w:t>9</w:t>
      </w:r>
      <w:r w:rsidR="009F6F4D" w:rsidRPr="004F3C1F">
        <w:rPr>
          <w:rFonts w:cs="Arial"/>
        </w:rPr>
        <w:t>,2</w:t>
      </w:r>
      <w:r w:rsidR="00536997">
        <w:rPr>
          <w:rFonts w:cs="Arial"/>
        </w:rPr>
        <w:t>0</w:t>
      </w:r>
      <w:r w:rsidR="009F6F4D" w:rsidRPr="004F3C1F">
        <w:rPr>
          <w:rFonts w:cs="Arial"/>
        </w:rPr>
        <w:t>,2</w:t>
      </w:r>
      <w:r w:rsidR="00473675">
        <w:rPr>
          <w:rFonts w:cs="Arial"/>
        </w:rPr>
        <w:t>6</w:t>
      </w:r>
      <w:r w:rsidR="009F6F4D" w:rsidRPr="004F3C1F">
        <w:rPr>
          <w:rFonts w:cs="Arial"/>
        </w:rPr>
        <w:t>,2</w:t>
      </w:r>
      <w:r w:rsidR="00473675">
        <w:rPr>
          <w:rFonts w:cs="Arial"/>
        </w:rPr>
        <w:t>8</w:t>
      </w:r>
      <w:proofErr w:type="gramEnd"/>
      <w:r w:rsidR="000E7510">
        <w:rPr>
          <w:rFonts w:cs="Arial"/>
        </w:rPr>
        <w:t>-30</w:t>
      </w:r>
      <w:r w:rsidR="00963569">
        <w:rPr>
          <w:rFonts w:cs="Arial"/>
        </w:rPr>
        <w:t>]</w:t>
      </w:r>
      <w:r w:rsidR="009F6F4D" w:rsidRPr="00963569">
        <w:rPr>
          <w:rFonts w:cs="Arial"/>
        </w:rPr>
        <w:t xml:space="preserve">. </w:t>
      </w:r>
      <w:r w:rsidR="00A60FFC" w:rsidRPr="00963569">
        <w:rPr>
          <w:rFonts w:cs="Arial"/>
        </w:rPr>
        <w:t xml:space="preserve">The remaining ten all included an anterior-posterior view </w:t>
      </w:r>
      <w:r w:rsidR="00A60FFC" w:rsidRPr="00D42ED6">
        <w:rPr>
          <w:rFonts w:cs="Arial"/>
          <w:noProof/>
        </w:rPr>
        <w:t>with</w:t>
      </w:r>
      <w:r w:rsidR="00A60FFC" w:rsidRPr="00963569">
        <w:rPr>
          <w:rFonts w:cs="Arial"/>
        </w:rPr>
        <w:t xml:space="preserve"> </w:t>
      </w:r>
      <w:r w:rsidR="00B53288" w:rsidRPr="00963569">
        <w:rPr>
          <w:rFonts w:cs="Arial"/>
        </w:rPr>
        <w:t>six</w:t>
      </w:r>
      <w:r w:rsidR="00A60FFC" w:rsidRPr="00963569">
        <w:rPr>
          <w:rFonts w:cs="Arial"/>
        </w:rPr>
        <w:t xml:space="preserve"> also obtaining a lateral view</w:t>
      </w:r>
      <w:r w:rsidR="00963569">
        <w:rPr>
          <w:rFonts w:cs="Arial"/>
        </w:rPr>
        <w:t xml:space="preserve"> [</w:t>
      </w:r>
      <w:r w:rsidR="00473675">
        <w:rPr>
          <w:rFonts w:cs="Arial"/>
        </w:rPr>
        <w:t>1</w:t>
      </w:r>
      <w:r w:rsidR="00C62E5A">
        <w:rPr>
          <w:rFonts w:cs="Arial"/>
        </w:rPr>
        <w:t>0</w:t>
      </w:r>
      <w:proofErr w:type="gramStart"/>
      <w:r w:rsidR="00A60FFC" w:rsidRPr="004F3C1F">
        <w:rPr>
          <w:rFonts w:cs="Arial"/>
        </w:rPr>
        <w:t>,</w:t>
      </w:r>
      <w:r w:rsidR="00342CD6" w:rsidRPr="004F3C1F">
        <w:rPr>
          <w:rFonts w:cs="Arial"/>
        </w:rPr>
        <w:t>1</w:t>
      </w:r>
      <w:r w:rsidR="00C62E5A">
        <w:rPr>
          <w:rFonts w:cs="Arial"/>
        </w:rPr>
        <w:t>5</w:t>
      </w:r>
      <w:r w:rsidR="00473675">
        <w:rPr>
          <w:rFonts w:cs="Arial"/>
        </w:rPr>
        <w:t>4</w:t>
      </w:r>
      <w:r w:rsidR="00342CD6" w:rsidRPr="004F3C1F">
        <w:rPr>
          <w:rFonts w:cs="Arial"/>
        </w:rPr>
        <w:t>,</w:t>
      </w:r>
      <w:r w:rsidR="00A60FFC" w:rsidRPr="004F3C1F">
        <w:rPr>
          <w:rFonts w:cs="Arial"/>
        </w:rPr>
        <w:t>1</w:t>
      </w:r>
      <w:r w:rsidR="00473675">
        <w:rPr>
          <w:rFonts w:cs="Arial"/>
        </w:rPr>
        <w:t>6</w:t>
      </w:r>
      <w:r w:rsidR="00A60FFC" w:rsidRPr="004F3C1F">
        <w:rPr>
          <w:rFonts w:cs="Arial"/>
        </w:rPr>
        <w:t>,1</w:t>
      </w:r>
      <w:r w:rsidR="005234B5">
        <w:rPr>
          <w:rFonts w:cs="Arial"/>
        </w:rPr>
        <w:t>8,21</w:t>
      </w:r>
      <w:proofErr w:type="gramEnd"/>
      <w:r w:rsidR="00A60FFC" w:rsidRPr="004F3C1F">
        <w:rPr>
          <w:rFonts w:cs="Arial"/>
        </w:rPr>
        <w:t>-2</w:t>
      </w:r>
      <w:r w:rsidR="005234B5">
        <w:rPr>
          <w:rFonts w:cs="Arial"/>
        </w:rPr>
        <w:t>5</w:t>
      </w:r>
      <w:r w:rsidR="00342CD6" w:rsidRPr="004F3C1F">
        <w:rPr>
          <w:rFonts w:cs="Arial"/>
        </w:rPr>
        <w:t>,2</w:t>
      </w:r>
      <w:r w:rsidR="00473675">
        <w:rPr>
          <w:rFonts w:cs="Arial"/>
        </w:rPr>
        <w:t>7</w:t>
      </w:r>
      <w:r w:rsidR="00963569">
        <w:rPr>
          <w:rFonts w:cs="Arial"/>
        </w:rPr>
        <w:t>]</w:t>
      </w:r>
      <w:r w:rsidR="00342CD6" w:rsidRPr="00963569">
        <w:rPr>
          <w:rFonts w:cs="Arial"/>
        </w:rPr>
        <w:t>.</w:t>
      </w:r>
      <w:r w:rsidR="00A60FFC" w:rsidRPr="00963569">
        <w:rPr>
          <w:rFonts w:cs="Arial"/>
        </w:rPr>
        <w:t xml:space="preserve"> </w:t>
      </w:r>
      <w:r w:rsidR="000E7510">
        <w:rPr>
          <w:rFonts w:cs="Arial"/>
        </w:rPr>
        <w:t>Seven</w:t>
      </w:r>
      <w:r w:rsidR="009F6F4D" w:rsidRPr="00963569">
        <w:rPr>
          <w:rFonts w:cs="Arial"/>
        </w:rPr>
        <w:t xml:space="preserve"> studies provided information regarding </w:t>
      </w:r>
      <w:r w:rsidR="00473675" w:rsidRPr="00963569">
        <w:rPr>
          <w:rFonts w:cs="Arial"/>
        </w:rPr>
        <w:lastRenderedPageBreak/>
        <w:t>whether</w:t>
      </w:r>
      <w:r w:rsidR="009F6F4D" w:rsidRPr="00963569">
        <w:rPr>
          <w:rFonts w:cs="Arial"/>
        </w:rPr>
        <w:t xml:space="preserve"> views were weight-bearing</w:t>
      </w:r>
      <w:r w:rsidR="00963569">
        <w:rPr>
          <w:rFonts w:cs="Arial"/>
        </w:rPr>
        <w:t xml:space="preserve"> [</w:t>
      </w:r>
      <w:r w:rsidR="00473675">
        <w:rPr>
          <w:rFonts w:cs="Arial"/>
        </w:rPr>
        <w:t>1</w:t>
      </w:r>
      <w:r w:rsidR="000702F1">
        <w:rPr>
          <w:rFonts w:cs="Arial"/>
        </w:rPr>
        <w:t>5</w:t>
      </w:r>
      <w:proofErr w:type="gramStart"/>
      <w:r w:rsidR="009F6F4D" w:rsidRPr="004F3C1F">
        <w:rPr>
          <w:rFonts w:cs="Arial"/>
        </w:rPr>
        <w:t>,1</w:t>
      </w:r>
      <w:r w:rsidR="000702F1">
        <w:rPr>
          <w:rFonts w:cs="Arial"/>
        </w:rPr>
        <w:t>8</w:t>
      </w:r>
      <w:r w:rsidR="009F6F4D" w:rsidRPr="004F3C1F">
        <w:rPr>
          <w:rFonts w:cs="Arial"/>
        </w:rPr>
        <w:t>,</w:t>
      </w:r>
      <w:r w:rsidR="00473675">
        <w:rPr>
          <w:rFonts w:cs="Arial"/>
        </w:rPr>
        <w:t>21</w:t>
      </w:r>
      <w:proofErr w:type="gramEnd"/>
      <w:r w:rsidR="000702F1">
        <w:rPr>
          <w:rFonts w:cs="Arial"/>
        </w:rPr>
        <w:t>-</w:t>
      </w:r>
      <w:r w:rsidR="009F6F4D" w:rsidRPr="004F3C1F">
        <w:rPr>
          <w:rFonts w:cs="Arial"/>
        </w:rPr>
        <w:t>2</w:t>
      </w:r>
      <w:r w:rsidR="000702F1">
        <w:rPr>
          <w:rFonts w:cs="Arial"/>
        </w:rPr>
        <w:t>4</w:t>
      </w:r>
      <w:r w:rsidR="007B5A55">
        <w:rPr>
          <w:rFonts w:cs="Arial"/>
        </w:rPr>
        <w:t>,30</w:t>
      </w:r>
      <w:r w:rsidR="00963569">
        <w:rPr>
          <w:rFonts w:cs="Arial"/>
        </w:rPr>
        <w:t>]</w:t>
      </w:r>
      <w:r w:rsidR="00A97767" w:rsidRPr="00963569">
        <w:rPr>
          <w:rFonts w:cs="Arial"/>
        </w:rPr>
        <w:t>.</w:t>
      </w:r>
      <w:r w:rsidR="00AD1767" w:rsidRPr="00963569">
        <w:rPr>
          <w:rFonts w:cs="Arial"/>
        </w:rPr>
        <w:t xml:space="preserve"> </w:t>
      </w:r>
      <w:r w:rsidR="00076733" w:rsidRPr="00963569">
        <w:rPr>
          <w:rFonts w:cs="Arial"/>
        </w:rPr>
        <w:t xml:space="preserve">The radiographic assessment </w:t>
      </w:r>
      <w:r w:rsidR="004D3CC5">
        <w:rPr>
          <w:rFonts w:cs="Arial"/>
        </w:rPr>
        <w:t>technique</w:t>
      </w:r>
      <w:r w:rsidR="00076733" w:rsidRPr="00963569">
        <w:rPr>
          <w:rFonts w:cs="Arial"/>
        </w:rPr>
        <w:t xml:space="preserve"> </w:t>
      </w:r>
      <w:r w:rsidR="00076733" w:rsidRPr="00D42ED6">
        <w:rPr>
          <w:rFonts w:cs="Arial"/>
          <w:noProof/>
        </w:rPr>
        <w:t>was not described</w:t>
      </w:r>
      <w:r w:rsidR="00076733" w:rsidRPr="00963569">
        <w:rPr>
          <w:rFonts w:cs="Arial"/>
        </w:rPr>
        <w:t xml:space="preserve"> in three studies</w:t>
      </w:r>
      <w:r w:rsidR="00963569">
        <w:rPr>
          <w:rFonts w:cs="Arial"/>
        </w:rPr>
        <w:t xml:space="preserve"> [</w:t>
      </w:r>
      <w:r w:rsidR="000702F1">
        <w:rPr>
          <w:rFonts w:cs="Arial"/>
        </w:rPr>
        <w:t>11</w:t>
      </w:r>
      <w:proofErr w:type="gramStart"/>
      <w:r w:rsidR="00076733" w:rsidRPr="004F3C1F">
        <w:rPr>
          <w:rFonts w:cs="Arial"/>
        </w:rPr>
        <w:t>,2</w:t>
      </w:r>
      <w:r w:rsidR="00473675">
        <w:rPr>
          <w:rFonts w:cs="Arial"/>
        </w:rPr>
        <w:t>8</w:t>
      </w:r>
      <w:r w:rsidR="00076733" w:rsidRPr="004F3C1F">
        <w:rPr>
          <w:rFonts w:cs="Arial"/>
        </w:rPr>
        <w:t>,2</w:t>
      </w:r>
      <w:r w:rsidR="00473675">
        <w:rPr>
          <w:rFonts w:cs="Arial"/>
        </w:rPr>
        <w:t>9</w:t>
      </w:r>
      <w:proofErr w:type="gramEnd"/>
      <w:r w:rsidR="00963569">
        <w:rPr>
          <w:rFonts w:cs="Arial"/>
        </w:rPr>
        <w:t>]</w:t>
      </w:r>
      <w:r w:rsidR="00076733" w:rsidRPr="00963569">
        <w:rPr>
          <w:rFonts w:cs="Arial"/>
        </w:rPr>
        <w:t>.</w:t>
      </w:r>
      <w:r w:rsidR="00076733" w:rsidRPr="00C30F3B">
        <w:rPr>
          <w:rFonts w:cs="Arial"/>
        </w:rPr>
        <w:t xml:space="preserve"> </w:t>
      </w:r>
    </w:p>
    <w:p w14:paraId="736B2961" w14:textId="77777777" w:rsidR="00C30F3B" w:rsidRPr="00C30F3B" w:rsidRDefault="00C30F3B">
      <w:pPr>
        <w:spacing w:after="0" w:line="480" w:lineRule="auto"/>
        <w:rPr>
          <w:rFonts w:cs="Arial"/>
        </w:rPr>
      </w:pPr>
    </w:p>
    <w:p w14:paraId="6A9FC698" w14:textId="4F240E79" w:rsidR="001C77F6" w:rsidRPr="00963569" w:rsidRDefault="009F6F4D">
      <w:pPr>
        <w:spacing w:after="0" w:line="480" w:lineRule="auto"/>
        <w:rPr>
          <w:rFonts w:cs="Arial"/>
        </w:rPr>
        <w:sectPr w:rsidR="001C77F6" w:rsidRPr="00963569" w:rsidSect="00A11F58">
          <w:footerReference w:type="default" r:id="rId9"/>
          <w:pgSz w:w="11906" w:h="16838"/>
          <w:pgMar w:top="1134" w:right="1133" w:bottom="1135" w:left="1134" w:header="708" w:footer="708" w:gutter="0"/>
          <w:lnNumType w:countBy="1" w:restart="continuous"/>
          <w:cols w:space="708"/>
          <w:docGrid w:linePitch="360"/>
        </w:sectPr>
      </w:pPr>
      <w:r w:rsidRPr="002B1000">
        <w:rPr>
          <w:rFonts w:cs="Arial"/>
        </w:rPr>
        <w:t xml:space="preserve">Ten studies </w:t>
      </w:r>
      <w:r w:rsidR="00AD1767" w:rsidRPr="002B1000">
        <w:rPr>
          <w:rFonts w:cs="Arial"/>
        </w:rPr>
        <w:t xml:space="preserve">graded </w:t>
      </w:r>
      <w:r w:rsidRPr="002B1000">
        <w:rPr>
          <w:rFonts w:cs="Arial"/>
        </w:rPr>
        <w:t xml:space="preserve">individual radiographic features to </w:t>
      </w:r>
      <w:r w:rsidR="00751856" w:rsidRPr="002B1000">
        <w:rPr>
          <w:rFonts w:cs="Arial"/>
        </w:rPr>
        <w:t xml:space="preserve">assess </w:t>
      </w:r>
      <w:r w:rsidRPr="002B1000">
        <w:rPr>
          <w:rFonts w:cs="Arial"/>
        </w:rPr>
        <w:t>the presence of OA</w:t>
      </w:r>
      <w:r w:rsidR="00963569" w:rsidRPr="002B1000">
        <w:rPr>
          <w:rFonts w:cs="Arial"/>
        </w:rPr>
        <w:t xml:space="preserve"> [</w:t>
      </w:r>
      <w:r w:rsidR="00E12830">
        <w:rPr>
          <w:rFonts w:cs="Arial"/>
        </w:rPr>
        <w:t>10,</w:t>
      </w:r>
      <w:r w:rsidRPr="002B1000">
        <w:rPr>
          <w:rFonts w:cs="Arial"/>
        </w:rPr>
        <w:t>1</w:t>
      </w:r>
      <w:r w:rsidR="00A8162F">
        <w:rPr>
          <w:rFonts w:cs="Arial"/>
        </w:rPr>
        <w:t>5</w:t>
      </w:r>
      <w:r w:rsidR="00473675" w:rsidRPr="002B1000">
        <w:rPr>
          <w:rFonts w:cs="Arial"/>
        </w:rPr>
        <w:t>,1</w:t>
      </w:r>
      <w:r w:rsidR="00A8162F">
        <w:rPr>
          <w:rFonts w:cs="Arial"/>
        </w:rPr>
        <w:t>8</w:t>
      </w:r>
      <w:r w:rsidRPr="002B1000">
        <w:rPr>
          <w:rFonts w:cs="Arial"/>
        </w:rPr>
        <w:t>-</w:t>
      </w:r>
      <w:r w:rsidR="00A8162F">
        <w:rPr>
          <w:rFonts w:cs="Arial"/>
        </w:rPr>
        <w:t>20</w:t>
      </w:r>
      <w:r w:rsidR="00473675" w:rsidRPr="002B1000">
        <w:rPr>
          <w:rFonts w:cs="Arial"/>
        </w:rPr>
        <w:t>,2</w:t>
      </w:r>
      <w:r w:rsidR="00A8162F">
        <w:rPr>
          <w:rFonts w:cs="Arial"/>
        </w:rPr>
        <w:t>2</w:t>
      </w:r>
      <w:r w:rsidRPr="002B1000">
        <w:rPr>
          <w:rFonts w:cs="Arial"/>
        </w:rPr>
        <w:t>-2</w:t>
      </w:r>
      <w:r w:rsidR="00A8162F">
        <w:rPr>
          <w:rFonts w:cs="Arial"/>
        </w:rPr>
        <w:t>6</w:t>
      </w:r>
      <w:r w:rsidR="00963569" w:rsidRPr="002B1000">
        <w:rPr>
          <w:rFonts w:cs="Arial"/>
        </w:rPr>
        <w:t>]</w:t>
      </w:r>
      <w:r w:rsidR="002B3882" w:rsidRPr="00E21015">
        <w:rPr>
          <w:rFonts w:cs="Arial"/>
        </w:rPr>
        <w:t>:</w:t>
      </w:r>
      <w:r w:rsidRPr="002B1000">
        <w:rPr>
          <w:rFonts w:cs="Arial"/>
        </w:rPr>
        <w:t xml:space="preserve"> </w:t>
      </w:r>
      <w:r w:rsidR="00A750C3" w:rsidRPr="002B1000">
        <w:rPr>
          <w:rFonts w:cs="Arial"/>
        </w:rPr>
        <w:t>nine</w:t>
      </w:r>
      <w:r w:rsidRPr="002B1000">
        <w:rPr>
          <w:rFonts w:cs="Arial"/>
        </w:rPr>
        <w:t xml:space="preserve"> of these studies </w:t>
      </w:r>
      <w:r w:rsidR="002B3882" w:rsidRPr="002B1000">
        <w:rPr>
          <w:rFonts w:cs="Arial"/>
        </w:rPr>
        <w:t>graded</w:t>
      </w:r>
      <w:r w:rsidRPr="002B1000">
        <w:rPr>
          <w:rFonts w:cs="Arial"/>
        </w:rPr>
        <w:t xml:space="preserve"> osteophytes</w:t>
      </w:r>
      <w:r w:rsidR="00C84936" w:rsidRPr="00414A50">
        <w:rPr>
          <w:rFonts w:cs="Arial"/>
        </w:rPr>
        <w:t xml:space="preserve"> </w:t>
      </w:r>
      <w:r w:rsidR="00414A50" w:rsidRPr="005F164B">
        <w:rPr>
          <w:rFonts w:cs="Arial"/>
        </w:rPr>
        <w:t>[</w:t>
      </w:r>
      <w:r w:rsidR="00E12830">
        <w:rPr>
          <w:rFonts w:cs="Arial"/>
        </w:rPr>
        <w:t>10,</w:t>
      </w:r>
      <w:r w:rsidR="00414A50" w:rsidRPr="005F164B">
        <w:rPr>
          <w:rFonts w:cs="Arial"/>
        </w:rPr>
        <w:t>1</w:t>
      </w:r>
      <w:r w:rsidR="00E12830">
        <w:rPr>
          <w:rFonts w:cs="Arial"/>
        </w:rPr>
        <w:t>5</w:t>
      </w:r>
      <w:r w:rsidR="00414A50" w:rsidRPr="00A200CB">
        <w:rPr>
          <w:rFonts w:cs="Arial"/>
        </w:rPr>
        <w:t>,1</w:t>
      </w:r>
      <w:r w:rsidR="00414A50" w:rsidRPr="005F164B">
        <w:rPr>
          <w:rFonts w:cs="Arial"/>
        </w:rPr>
        <w:t>8</w:t>
      </w:r>
      <w:r w:rsidR="00E436C2">
        <w:rPr>
          <w:rFonts w:cs="Arial"/>
        </w:rPr>
        <w:t>-20</w:t>
      </w:r>
      <w:r w:rsidR="00E12830">
        <w:rPr>
          <w:rFonts w:cs="Arial"/>
        </w:rPr>
        <w:t>,</w:t>
      </w:r>
      <w:r w:rsidR="00414A50" w:rsidRPr="00A200CB">
        <w:rPr>
          <w:rFonts w:cs="Arial"/>
        </w:rPr>
        <w:t>22</w:t>
      </w:r>
      <w:r w:rsidR="00E436C2">
        <w:rPr>
          <w:rFonts w:cs="Arial"/>
        </w:rPr>
        <w:t>,24</w:t>
      </w:r>
      <w:r w:rsidR="005F164B">
        <w:rPr>
          <w:rFonts w:cs="Arial"/>
        </w:rPr>
        <w:t>-</w:t>
      </w:r>
      <w:r w:rsidR="00414A50" w:rsidRPr="005F164B">
        <w:rPr>
          <w:rFonts w:cs="Arial"/>
        </w:rPr>
        <w:t>2</w:t>
      </w:r>
      <w:r w:rsidR="00E436C2">
        <w:rPr>
          <w:rFonts w:cs="Arial"/>
        </w:rPr>
        <w:t>6</w:t>
      </w:r>
      <w:r w:rsidR="00414A50" w:rsidRPr="005F164B">
        <w:rPr>
          <w:rFonts w:cs="Arial"/>
        </w:rPr>
        <w:t>]</w:t>
      </w:r>
      <w:r w:rsidRPr="005F164B">
        <w:rPr>
          <w:rFonts w:cs="Arial"/>
        </w:rPr>
        <w:t>,</w:t>
      </w:r>
      <w:r w:rsidRPr="002B1000">
        <w:rPr>
          <w:rFonts w:cs="Arial"/>
        </w:rPr>
        <w:t xml:space="preserve"> </w:t>
      </w:r>
      <w:r w:rsidR="00A750C3" w:rsidRPr="00181FD6">
        <w:rPr>
          <w:rFonts w:cs="Arial"/>
        </w:rPr>
        <w:t>seven</w:t>
      </w:r>
      <w:r w:rsidRPr="002B1000">
        <w:rPr>
          <w:rFonts w:cs="Arial"/>
        </w:rPr>
        <w:t xml:space="preserve"> joint space narrowing</w:t>
      </w:r>
      <w:r w:rsidR="00E12830">
        <w:rPr>
          <w:rFonts w:cs="Arial"/>
        </w:rPr>
        <w:t>/width</w:t>
      </w:r>
      <w:r w:rsidRPr="002B1000">
        <w:rPr>
          <w:rFonts w:cs="Arial"/>
        </w:rPr>
        <w:t xml:space="preserve"> </w:t>
      </w:r>
      <w:r w:rsidR="00414A50" w:rsidRPr="006C31D0">
        <w:rPr>
          <w:rFonts w:cs="Arial"/>
        </w:rPr>
        <w:t>[1</w:t>
      </w:r>
      <w:r w:rsidR="00E436C2">
        <w:rPr>
          <w:rFonts w:cs="Arial"/>
        </w:rPr>
        <w:t>5</w:t>
      </w:r>
      <w:r w:rsidR="00414A50" w:rsidRPr="006C31D0">
        <w:rPr>
          <w:rFonts w:cs="Arial"/>
        </w:rPr>
        <w:t>,1</w:t>
      </w:r>
      <w:r w:rsidR="00E436C2">
        <w:rPr>
          <w:rFonts w:cs="Arial"/>
        </w:rPr>
        <w:t>8-</w:t>
      </w:r>
      <w:r w:rsidR="00C14FE4">
        <w:rPr>
          <w:rFonts w:cs="Arial"/>
        </w:rPr>
        <w:t>20</w:t>
      </w:r>
      <w:r w:rsidR="00414A50" w:rsidRPr="001A38A8">
        <w:rPr>
          <w:rFonts w:cs="Arial"/>
        </w:rPr>
        <w:t>,</w:t>
      </w:r>
      <w:r w:rsidR="00414A50" w:rsidRPr="006C31D0">
        <w:rPr>
          <w:rFonts w:cs="Arial"/>
        </w:rPr>
        <w:t>2</w:t>
      </w:r>
      <w:r w:rsidR="00414A50" w:rsidRPr="005F164B">
        <w:rPr>
          <w:rFonts w:cs="Arial"/>
        </w:rPr>
        <w:t>3</w:t>
      </w:r>
      <w:r w:rsidR="00C14FE4">
        <w:rPr>
          <w:rFonts w:cs="Arial"/>
        </w:rPr>
        <w:t>-25</w:t>
      </w:r>
      <w:r w:rsidR="00414A50" w:rsidRPr="007E096A">
        <w:rPr>
          <w:rFonts w:cs="Arial"/>
        </w:rPr>
        <w:t>]</w:t>
      </w:r>
      <w:r w:rsidR="00C84936" w:rsidRPr="002B1000">
        <w:rPr>
          <w:rFonts w:cs="Arial"/>
        </w:rPr>
        <w:t xml:space="preserve"> </w:t>
      </w:r>
      <w:r w:rsidRPr="002B1000">
        <w:rPr>
          <w:rFonts w:cs="Arial"/>
        </w:rPr>
        <w:t xml:space="preserve">and </w:t>
      </w:r>
      <w:r w:rsidR="00A750C3" w:rsidRPr="002B1000">
        <w:rPr>
          <w:rFonts w:cs="Arial"/>
        </w:rPr>
        <w:t>five</w:t>
      </w:r>
      <w:r w:rsidRPr="002B1000">
        <w:rPr>
          <w:rFonts w:cs="Arial"/>
        </w:rPr>
        <w:t xml:space="preserve"> subchondral sclerosis</w:t>
      </w:r>
      <w:r w:rsidR="00C84936" w:rsidRPr="00D664C3">
        <w:rPr>
          <w:rFonts w:cs="Arial"/>
        </w:rPr>
        <w:t xml:space="preserve"> </w:t>
      </w:r>
      <w:r w:rsidR="00414A50" w:rsidRPr="00AB4835">
        <w:rPr>
          <w:rFonts w:cs="Arial"/>
        </w:rPr>
        <w:t>[1</w:t>
      </w:r>
      <w:r w:rsidR="00C14FE4">
        <w:rPr>
          <w:rFonts w:cs="Arial"/>
        </w:rPr>
        <w:t>5</w:t>
      </w:r>
      <w:r w:rsidR="00414A50" w:rsidRPr="00AB4835">
        <w:rPr>
          <w:rFonts w:cs="Arial"/>
        </w:rPr>
        <w:t>,1</w:t>
      </w:r>
      <w:r w:rsidR="00C14FE4">
        <w:rPr>
          <w:rFonts w:cs="Arial"/>
        </w:rPr>
        <w:t>8-20</w:t>
      </w:r>
      <w:r w:rsidR="00414A50" w:rsidRPr="00D664C3">
        <w:rPr>
          <w:rFonts w:cs="Arial"/>
        </w:rPr>
        <w:t>,2</w:t>
      </w:r>
      <w:r w:rsidR="00C14FE4">
        <w:rPr>
          <w:rFonts w:cs="Arial"/>
        </w:rPr>
        <w:t>6</w:t>
      </w:r>
      <w:r w:rsidR="00414A50" w:rsidRPr="00D664C3">
        <w:rPr>
          <w:rFonts w:cs="Arial"/>
        </w:rPr>
        <w:t>]</w:t>
      </w:r>
      <w:r w:rsidRPr="002B1000">
        <w:rPr>
          <w:rFonts w:cs="Arial"/>
        </w:rPr>
        <w:t>.</w:t>
      </w:r>
      <w:r w:rsidR="00104692" w:rsidRPr="002B1000">
        <w:rPr>
          <w:rFonts w:cs="Arial"/>
        </w:rPr>
        <w:t xml:space="preserve"> </w:t>
      </w:r>
      <w:r w:rsidR="00D958E1" w:rsidRPr="002B1000">
        <w:rPr>
          <w:rFonts w:cs="Arial"/>
        </w:rPr>
        <w:t xml:space="preserve">The </w:t>
      </w:r>
      <w:r w:rsidR="007B5A55">
        <w:rPr>
          <w:rFonts w:cs="Arial"/>
        </w:rPr>
        <w:t>six</w:t>
      </w:r>
      <w:r w:rsidR="009F6ACA" w:rsidRPr="00D65AA2">
        <w:rPr>
          <w:rFonts w:cs="Arial"/>
        </w:rPr>
        <w:t xml:space="preserve"> </w:t>
      </w:r>
      <w:r w:rsidR="00D958E1" w:rsidRPr="00072B39">
        <w:rPr>
          <w:rFonts w:cs="Arial"/>
        </w:rPr>
        <w:t xml:space="preserve">remaining </w:t>
      </w:r>
      <w:r w:rsidR="00751856" w:rsidRPr="00072B39">
        <w:rPr>
          <w:rFonts w:cs="Arial"/>
        </w:rPr>
        <w:t>studies used established grading systems</w:t>
      </w:r>
      <w:r w:rsidR="00813E3C" w:rsidRPr="00072B39">
        <w:rPr>
          <w:rFonts w:cs="Arial"/>
        </w:rPr>
        <w:t>:</w:t>
      </w:r>
      <w:r w:rsidR="00C2239F" w:rsidRPr="00072B39">
        <w:rPr>
          <w:rFonts w:cs="Arial"/>
        </w:rPr>
        <w:t xml:space="preserve"> </w:t>
      </w:r>
      <w:r w:rsidR="002B3882">
        <w:rPr>
          <w:rFonts w:cs="Arial"/>
        </w:rPr>
        <w:t xml:space="preserve">the </w:t>
      </w:r>
      <w:proofErr w:type="spellStart"/>
      <w:r w:rsidR="00D958E1" w:rsidRPr="00072B39">
        <w:rPr>
          <w:rFonts w:cs="Arial"/>
        </w:rPr>
        <w:t>K</w:t>
      </w:r>
      <w:r w:rsidR="00751856" w:rsidRPr="00072B39">
        <w:rPr>
          <w:rFonts w:cs="Arial"/>
        </w:rPr>
        <w:t>ellg</w:t>
      </w:r>
      <w:r w:rsidR="00473675">
        <w:rPr>
          <w:rFonts w:cs="Arial"/>
        </w:rPr>
        <w:t>r</w:t>
      </w:r>
      <w:r w:rsidR="00751856" w:rsidRPr="00072B39">
        <w:rPr>
          <w:rFonts w:cs="Arial"/>
        </w:rPr>
        <w:t>en</w:t>
      </w:r>
      <w:proofErr w:type="spellEnd"/>
      <w:r w:rsidR="00751856" w:rsidRPr="00072B39">
        <w:rPr>
          <w:rFonts w:cs="Arial"/>
        </w:rPr>
        <w:t xml:space="preserve"> and Lawrence</w:t>
      </w:r>
      <w:r w:rsidR="0016143D" w:rsidRPr="00072B39">
        <w:rPr>
          <w:rFonts w:cs="Arial"/>
        </w:rPr>
        <w:t xml:space="preserve"> </w:t>
      </w:r>
      <w:r w:rsidR="00C2239F" w:rsidRPr="00072B39">
        <w:rPr>
          <w:rFonts w:cs="Arial"/>
        </w:rPr>
        <w:t xml:space="preserve">scoring system </w:t>
      </w:r>
      <w:r w:rsidR="0016143D" w:rsidRPr="00A63321">
        <w:rPr>
          <w:rFonts w:cs="Arial"/>
        </w:rPr>
        <w:t>(0-4)</w:t>
      </w:r>
      <w:r w:rsidR="009309FB" w:rsidRPr="00A63321">
        <w:rPr>
          <w:rFonts w:cs="Arial"/>
        </w:rPr>
        <w:t xml:space="preserve"> </w:t>
      </w:r>
      <w:r w:rsidR="00963569">
        <w:rPr>
          <w:rFonts w:cs="Arial"/>
        </w:rPr>
        <w:t>[</w:t>
      </w:r>
      <w:r w:rsidR="0007607C">
        <w:rPr>
          <w:rFonts w:cs="Arial"/>
        </w:rPr>
        <w:t>27</w:t>
      </w:r>
      <w:proofErr w:type="gramStart"/>
      <w:r w:rsidR="0007607C">
        <w:rPr>
          <w:rFonts w:cs="Arial"/>
        </w:rPr>
        <w:t>,30,</w:t>
      </w:r>
      <w:r w:rsidR="00955B9C">
        <w:rPr>
          <w:rFonts w:cs="Arial"/>
        </w:rPr>
        <w:t>31</w:t>
      </w:r>
      <w:proofErr w:type="gramEnd"/>
      <w:r w:rsidR="00963569">
        <w:rPr>
          <w:rFonts w:cs="Arial"/>
        </w:rPr>
        <w:t>]</w:t>
      </w:r>
      <w:r w:rsidR="0016143D" w:rsidRPr="00963569">
        <w:rPr>
          <w:rFonts w:cs="Arial"/>
        </w:rPr>
        <w:t xml:space="preserve">, </w:t>
      </w:r>
      <w:r w:rsidR="002B3882">
        <w:rPr>
          <w:rFonts w:cs="Arial"/>
        </w:rPr>
        <w:t xml:space="preserve">the </w:t>
      </w:r>
      <w:r w:rsidR="008D13A0" w:rsidRPr="00963569">
        <w:rPr>
          <w:rFonts w:cs="Arial"/>
        </w:rPr>
        <w:t>Scranton and McDermott Score (I-IV)</w:t>
      </w:r>
      <w:r w:rsidR="00963569">
        <w:rPr>
          <w:rFonts w:cs="Arial"/>
        </w:rPr>
        <w:t xml:space="preserve"> [</w:t>
      </w:r>
      <w:r w:rsidR="0007607C">
        <w:rPr>
          <w:rFonts w:cs="Arial"/>
        </w:rPr>
        <w:t>1</w:t>
      </w:r>
      <w:r w:rsidR="00AD433A">
        <w:rPr>
          <w:rFonts w:cs="Arial"/>
        </w:rPr>
        <w:t>6</w:t>
      </w:r>
      <w:r w:rsidR="0007607C">
        <w:rPr>
          <w:rFonts w:cs="Arial"/>
        </w:rPr>
        <w:t>,1</w:t>
      </w:r>
      <w:r w:rsidR="00AD433A">
        <w:rPr>
          <w:rFonts w:cs="Arial"/>
        </w:rPr>
        <w:t>7</w:t>
      </w:r>
      <w:r w:rsidR="0007607C">
        <w:rPr>
          <w:rFonts w:cs="Arial"/>
        </w:rPr>
        <w:t>,</w:t>
      </w:r>
      <w:r w:rsidR="008D7C4F">
        <w:rPr>
          <w:rFonts w:cs="Arial"/>
        </w:rPr>
        <w:t>32</w:t>
      </w:r>
      <w:r w:rsidR="00963569">
        <w:rPr>
          <w:rFonts w:cs="Arial"/>
        </w:rPr>
        <w:t>]</w:t>
      </w:r>
      <w:r w:rsidR="008D13A0" w:rsidRPr="00963569">
        <w:rPr>
          <w:rFonts w:cs="Arial"/>
        </w:rPr>
        <w:t xml:space="preserve">, </w:t>
      </w:r>
      <w:r w:rsidR="009F6ACA" w:rsidRPr="00963569">
        <w:rPr>
          <w:rFonts w:cs="Arial"/>
        </w:rPr>
        <w:t xml:space="preserve">the </w:t>
      </w:r>
      <w:r w:rsidR="00F64A21" w:rsidRPr="00963569">
        <w:rPr>
          <w:rFonts w:cs="Arial"/>
        </w:rPr>
        <w:t xml:space="preserve">modified </w:t>
      </w:r>
      <w:proofErr w:type="spellStart"/>
      <w:r w:rsidR="009F6ACA" w:rsidRPr="00963569">
        <w:rPr>
          <w:rFonts w:cs="Arial"/>
        </w:rPr>
        <w:t>Hermodsson</w:t>
      </w:r>
      <w:proofErr w:type="spellEnd"/>
      <w:r w:rsidR="009F6ACA" w:rsidRPr="00963569">
        <w:rPr>
          <w:rFonts w:cs="Arial"/>
        </w:rPr>
        <w:t xml:space="preserve"> Scale</w:t>
      </w:r>
      <w:r w:rsidR="009F6ACA" w:rsidRPr="00C30F3B">
        <w:rPr>
          <w:rFonts w:cs="Arial"/>
        </w:rPr>
        <w:t xml:space="preserve"> </w:t>
      </w:r>
      <w:r w:rsidR="00963569">
        <w:rPr>
          <w:rFonts w:cs="Arial"/>
        </w:rPr>
        <w:t>[</w:t>
      </w:r>
      <w:r w:rsidR="00AD433A">
        <w:rPr>
          <w:rFonts w:cs="Arial"/>
        </w:rPr>
        <w:t>20</w:t>
      </w:r>
      <w:r w:rsidR="00963569">
        <w:rPr>
          <w:rFonts w:cs="Arial"/>
        </w:rPr>
        <w:t>]</w:t>
      </w:r>
      <w:r w:rsidR="009F6ACA" w:rsidRPr="00963569">
        <w:rPr>
          <w:rFonts w:cs="Arial"/>
        </w:rPr>
        <w:t xml:space="preserve">, </w:t>
      </w:r>
      <w:r w:rsidR="00813E3C" w:rsidRPr="00963569">
        <w:rPr>
          <w:rFonts w:cs="Arial"/>
        </w:rPr>
        <w:t>and the unmodifi</w:t>
      </w:r>
      <w:r w:rsidR="009F6ACA" w:rsidRPr="00963569">
        <w:rPr>
          <w:rFonts w:cs="Arial"/>
        </w:rPr>
        <w:t>ed</w:t>
      </w:r>
      <w:r w:rsidR="009309FB" w:rsidRPr="00963569">
        <w:rPr>
          <w:rFonts w:cs="Arial"/>
        </w:rPr>
        <w:t xml:space="preserve"> </w:t>
      </w:r>
      <w:r w:rsidR="00963569">
        <w:rPr>
          <w:rFonts w:cs="Arial"/>
        </w:rPr>
        <w:t>[</w:t>
      </w:r>
      <w:r w:rsidR="0007607C">
        <w:rPr>
          <w:rFonts w:cs="Arial"/>
        </w:rPr>
        <w:t>1</w:t>
      </w:r>
      <w:r w:rsidR="00AD433A">
        <w:rPr>
          <w:rFonts w:cs="Arial"/>
        </w:rPr>
        <w:t>6</w:t>
      </w:r>
      <w:r w:rsidR="0007607C">
        <w:rPr>
          <w:rFonts w:cs="Arial"/>
        </w:rPr>
        <w:t>,1</w:t>
      </w:r>
      <w:r w:rsidR="00AD433A">
        <w:rPr>
          <w:rFonts w:cs="Arial"/>
        </w:rPr>
        <w:t>7</w:t>
      </w:r>
      <w:r w:rsidR="0007607C">
        <w:rPr>
          <w:rFonts w:cs="Arial"/>
        </w:rPr>
        <w:t>,</w:t>
      </w:r>
      <w:r w:rsidR="008D7C4F">
        <w:rPr>
          <w:rFonts w:cs="Arial"/>
        </w:rPr>
        <w:t>33</w:t>
      </w:r>
      <w:r w:rsidR="00963569">
        <w:rPr>
          <w:rFonts w:cs="Arial"/>
        </w:rPr>
        <w:t>]</w:t>
      </w:r>
      <w:r w:rsidR="009F6ACA" w:rsidRPr="00C30F3B">
        <w:rPr>
          <w:rFonts w:cs="Arial"/>
        </w:rPr>
        <w:t xml:space="preserve"> </w:t>
      </w:r>
      <w:r w:rsidR="00813E3C" w:rsidRPr="00963569">
        <w:rPr>
          <w:rFonts w:cs="Arial"/>
        </w:rPr>
        <w:t>and modified</w:t>
      </w:r>
      <w:r w:rsidR="009309FB" w:rsidRPr="00963569">
        <w:rPr>
          <w:rFonts w:cs="Arial"/>
        </w:rPr>
        <w:t xml:space="preserve"> </w:t>
      </w:r>
      <w:r w:rsidR="004F3C1F">
        <w:rPr>
          <w:rFonts w:cs="Arial"/>
        </w:rPr>
        <w:t>[</w:t>
      </w:r>
      <w:r w:rsidR="00AD433A">
        <w:rPr>
          <w:rFonts w:cs="Arial"/>
        </w:rPr>
        <w:t>21</w:t>
      </w:r>
      <w:r w:rsidR="004F3C1F">
        <w:rPr>
          <w:rFonts w:cs="Arial"/>
        </w:rPr>
        <w:t>]</w:t>
      </w:r>
      <w:r w:rsidR="009309FB" w:rsidRPr="00C30F3B">
        <w:rPr>
          <w:rFonts w:cs="Arial"/>
        </w:rPr>
        <w:t xml:space="preserve"> </w:t>
      </w:r>
      <w:r w:rsidR="008D13A0" w:rsidRPr="00565E62">
        <w:rPr>
          <w:rFonts w:cs="Arial"/>
          <w:noProof/>
        </w:rPr>
        <w:t>B</w:t>
      </w:r>
      <w:r w:rsidR="0016143D" w:rsidRPr="00565E62">
        <w:rPr>
          <w:rFonts w:cs="Arial"/>
          <w:noProof/>
        </w:rPr>
        <w:t>argon</w:t>
      </w:r>
      <w:r w:rsidR="0016143D" w:rsidRPr="00963569">
        <w:rPr>
          <w:rFonts w:cs="Arial"/>
        </w:rPr>
        <w:t xml:space="preserve"> Arthrosis Score</w:t>
      </w:r>
      <w:r w:rsidR="008D7C4F">
        <w:rPr>
          <w:rFonts w:cs="Arial"/>
        </w:rPr>
        <w:t xml:space="preserve"> (Table 1)</w:t>
      </w:r>
      <w:r w:rsidR="00415A90" w:rsidRPr="00963569">
        <w:rPr>
          <w:rFonts w:cs="Arial"/>
        </w:rPr>
        <w:t>.</w:t>
      </w:r>
      <w:r w:rsidR="0040012C" w:rsidRPr="00963569">
        <w:rPr>
          <w:rFonts w:cs="Arial"/>
        </w:rPr>
        <w:t xml:space="preserve"> </w:t>
      </w:r>
      <w:r w:rsidR="001145E1" w:rsidRPr="00963569">
        <w:rPr>
          <w:rFonts w:cs="Arial"/>
        </w:rPr>
        <w:t xml:space="preserve">None of the studies that assessed radiographic ankle OA </w:t>
      </w:r>
      <w:r w:rsidR="009F6ACA" w:rsidRPr="00963569">
        <w:rPr>
          <w:rFonts w:cs="Arial"/>
        </w:rPr>
        <w:t>includ</w:t>
      </w:r>
      <w:r w:rsidR="001145E1" w:rsidRPr="000A2366">
        <w:rPr>
          <w:rFonts w:cs="Arial"/>
        </w:rPr>
        <w:t>ed symptoms in their definitions of ankle OA.</w:t>
      </w:r>
      <w:r w:rsidR="00076733" w:rsidRPr="000A2366">
        <w:rPr>
          <w:rFonts w:cs="Arial"/>
        </w:rPr>
        <w:t xml:space="preserve"> </w:t>
      </w:r>
      <w:r w:rsidR="001145E1" w:rsidRPr="000A2366">
        <w:rPr>
          <w:rFonts w:cs="Arial"/>
        </w:rPr>
        <w:t>R</w:t>
      </w:r>
      <w:r w:rsidR="00104692" w:rsidRPr="000A2366">
        <w:rPr>
          <w:rFonts w:cs="Arial"/>
        </w:rPr>
        <w:t>eliability of the radiographic assessment of ankle OA</w:t>
      </w:r>
      <w:r w:rsidR="00415A90" w:rsidRPr="000A2366">
        <w:rPr>
          <w:rFonts w:cs="Arial"/>
        </w:rPr>
        <w:t xml:space="preserve"> was assessed </w:t>
      </w:r>
      <w:r w:rsidR="00415A90" w:rsidRPr="00F37B43">
        <w:rPr>
          <w:rFonts w:cs="Arial"/>
        </w:rPr>
        <w:t xml:space="preserve">and reported in </w:t>
      </w:r>
      <w:r w:rsidR="001A0433" w:rsidRPr="00F37B43">
        <w:rPr>
          <w:rFonts w:cs="Arial"/>
        </w:rPr>
        <w:t xml:space="preserve">only </w:t>
      </w:r>
      <w:r w:rsidR="00415A90" w:rsidRPr="00F37B43">
        <w:rPr>
          <w:rFonts w:cs="Arial"/>
        </w:rPr>
        <w:t>two studies</w:t>
      </w:r>
      <w:r w:rsidR="004F3C1F">
        <w:rPr>
          <w:rFonts w:cs="Arial"/>
        </w:rPr>
        <w:t xml:space="preserve"> [</w:t>
      </w:r>
      <w:r w:rsidR="00473675" w:rsidRPr="002B1000">
        <w:rPr>
          <w:rFonts w:cs="Arial"/>
        </w:rPr>
        <w:t>1</w:t>
      </w:r>
      <w:r w:rsidR="005630CE">
        <w:rPr>
          <w:rFonts w:cs="Arial"/>
        </w:rPr>
        <w:t>6</w:t>
      </w:r>
      <w:proofErr w:type="gramStart"/>
      <w:r w:rsidR="00104692" w:rsidRPr="002B1000">
        <w:rPr>
          <w:rFonts w:cs="Arial"/>
        </w:rPr>
        <w:t>,1</w:t>
      </w:r>
      <w:r w:rsidR="005630CE">
        <w:rPr>
          <w:rFonts w:cs="Arial"/>
        </w:rPr>
        <w:t>7</w:t>
      </w:r>
      <w:proofErr w:type="gramEnd"/>
      <w:r w:rsidR="004F3C1F" w:rsidRPr="002B1000">
        <w:rPr>
          <w:rFonts w:cs="Arial"/>
        </w:rPr>
        <w:t>]</w:t>
      </w:r>
      <w:r w:rsidR="00104692" w:rsidRPr="002B1000">
        <w:rPr>
          <w:rFonts w:cs="Arial"/>
        </w:rPr>
        <w:t>.</w:t>
      </w:r>
      <w:r w:rsidR="00E374D4" w:rsidRPr="00963569">
        <w:rPr>
          <w:rFonts w:cs="Arial"/>
        </w:rPr>
        <w:t xml:space="preserve"> </w:t>
      </w:r>
    </w:p>
    <w:tbl>
      <w:tblPr>
        <w:tblStyle w:val="TableGrid"/>
        <w:tblpPr w:leftFromText="180" w:rightFromText="180" w:tblpX="-719" w:tblpY="-636"/>
        <w:tblW w:w="16160" w:type="dxa"/>
        <w:tblLayout w:type="fixed"/>
        <w:tblLook w:val="04A0" w:firstRow="1" w:lastRow="0" w:firstColumn="1" w:lastColumn="0" w:noHBand="0" w:noVBand="1"/>
      </w:tblPr>
      <w:tblGrid>
        <w:gridCol w:w="1157"/>
        <w:gridCol w:w="2529"/>
        <w:gridCol w:w="1134"/>
        <w:gridCol w:w="942"/>
        <w:gridCol w:w="1299"/>
        <w:gridCol w:w="883"/>
        <w:gridCol w:w="1134"/>
        <w:gridCol w:w="1417"/>
        <w:gridCol w:w="1423"/>
        <w:gridCol w:w="1131"/>
        <w:gridCol w:w="1137"/>
        <w:gridCol w:w="1974"/>
      </w:tblGrid>
      <w:tr w:rsidR="0028364F" w:rsidRPr="009F45DA" w14:paraId="0547A61A" w14:textId="77777777" w:rsidTr="00072B39">
        <w:tc>
          <w:tcPr>
            <w:tcW w:w="16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82AA9" w14:textId="77777777" w:rsidR="0028364F" w:rsidRPr="000A10CF" w:rsidRDefault="0028364F" w:rsidP="00C108E8">
            <w:pPr>
              <w:rPr>
                <w:rFonts w:cs="Arial"/>
                <w:b/>
              </w:rPr>
            </w:pPr>
            <w:r w:rsidRPr="000A10CF">
              <w:rPr>
                <w:rFonts w:cs="Arial"/>
                <w:b/>
              </w:rPr>
              <w:lastRenderedPageBreak/>
              <w:t xml:space="preserve">Table 1. Description of the populations and the radiographic assessment </w:t>
            </w:r>
            <w:r w:rsidRPr="00D42ED6">
              <w:rPr>
                <w:rFonts w:cs="Arial"/>
                <w:b/>
                <w:noProof/>
              </w:rPr>
              <w:t>undertaken</w:t>
            </w:r>
            <w:r w:rsidRPr="000A10CF">
              <w:rPr>
                <w:rFonts w:cs="Arial"/>
                <w:b/>
              </w:rPr>
              <w:t xml:space="preserve"> in publications included in the review</w:t>
            </w:r>
          </w:p>
          <w:p w14:paraId="7A540B6F" w14:textId="77777777" w:rsidR="0028364F" w:rsidRPr="009E7F31" w:rsidRDefault="0028364F" w:rsidP="00C108E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8364F" w:rsidRPr="00F37B43" w14:paraId="63949B94" w14:textId="77777777" w:rsidTr="00072B39">
        <w:tc>
          <w:tcPr>
            <w:tcW w:w="1157" w:type="dxa"/>
            <w:tcBorders>
              <w:top w:val="single" w:sz="4" w:space="0" w:color="auto"/>
            </w:tcBorders>
          </w:tcPr>
          <w:p w14:paraId="08F68789" w14:textId="2CC3E2D1" w:rsidR="00770251" w:rsidRPr="009E7F31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9E7F31">
              <w:rPr>
                <w:rFonts w:cs="Arial"/>
                <w:b/>
                <w:sz w:val="20"/>
                <w:szCs w:val="20"/>
              </w:rPr>
              <w:t>Study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14:paraId="74BA590D" w14:textId="21AA9EFB" w:rsidR="00770251" w:rsidRPr="009A3B6F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9E7F31">
              <w:rPr>
                <w:rFonts w:cs="Arial"/>
                <w:b/>
                <w:sz w:val="20"/>
                <w:szCs w:val="20"/>
              </w:rPr>
              <w:t>Population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8AAE58" w14:textId="74A98392" w:rsidR="00770251" w:rsidRPr="009A3B6F" w:rsidRDefault="00792C5E" w:rsidP="00C108E8">
            <w:pPr>
              <w:rPr>
                <w:rFonts w:cs="Arial"/>
                <w:b/>
                <w:sz w:val="20"/>
                <w:szCs w:val="20"/>
              </w:rPr>
            </w:pPr>
            <w:r w:rsidRPr="009A3B6F">
              <w:rPr>
                <w:rFonts w:cs="Arial"/>
                <w:b/>
                <w:sz w:val="20"/>
                <w:szCs w:val="20"/>
              </w:rPr>
              <w:t>Newcastle Ottawa Scale</w:t>
            </w:r>
            <w:r w:rsidR="009B10D6" w:rsidRPr="009A3B6F">
              <w:rPr>
                <w:rFonts w:cs="Arial"/>
                <w:b/>
                <w:sz w:val="20"/>
                <w:szCs w:val="20"/>
              </w:rPr>
              <w:t xml:space="preserve"> score</w:t>
            </w:r>
            <w:r w:rsidR="00265D2E" w:rsidRPr="009A3B6F">
              <w:rPr>
                <w:rFonts w:cs="Arial"/>
                <w:b/>
                <w:sz w:val="20"/>
                <w:szCs w:val="20"/>
              </w:rPr>
              <w:t>†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2BF73019" w14:textId="2BB83309" w:rsidR="00770251" w:rsidRPr="009A3B6F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9A3B6F">
              <w:rPr>
                <w:rFonts w:cs="Arial"/>
                <w:b/>
                <w:sz w:val="20"/>
                <w:szCs w:val="20"/>
              </w:rPr>
              <w:t>Sample size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4FD09F8" w14:textId="39A965E4" w:rsidR="00770251" w:rsidRPr="00F37B43" w:rsidRDefault="00770251" w:rsidP="004E5434">
            <w:pPr>
              <w:rPr>
                <w:rFonts w:cs="Arial"/>
                <w:b/>
                <w:sz w:val="20"/>
                <w:szCs w:val="20"/>
              </w:rPr>
            </w:pPr>
            <w:r w:rsidRPr="009A3B6F">
              <w:rPr>
                <w:rFonts w:cs="Arial"/>
                <w:b/>
                <w:sz w:val="20"/>
                <w:szCs w:val="20"/>
              </w:rPr>
              <w:t xml:space="preserve">Age </w:t>
            </w:r>
            <w:r w:rsidR="000A2366">
              <w:rPr>
                <w:rFonts w:cs="Arial"/>
                <w:b/>
                <w:sz w:val="20"/>
                <w:szCs w:val="20"/>
              </w:rPr>
              <w:t>range</w:t>
            </w:r>
            <w:r w:rsidR="00F37B43">
              <w:rPr>
                <w:rFonts w:cs="Arial"/>
                <w:b/>
                <w:sz w:val="20"/>
                <w:szCs w:val="20"/>
              </w:rPr>
              <w:t xml:space="preserve"> in </w:t>
            </w:r>
            <w:r w:rsidRPr="00F37B43">
              <w:rPr>
                <w:rFonts w:cs="Arial"/>
                <w:b/>
                <w:sz w:val="20"/>
                <w:szCs w:val="20"/>
              </w:rPr>
              <w:t>years</w:t>
            </w:r>
            <w:r w:rsidR="000F21B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A528A" w:rsidRPr="00F37B43">
              <w:rPr>
                <w:rFonts w:cs="Arial"/>
                <w:b/>
                <w:sz w:val="20"/>
                <w:szCs w:val="20"/>
              </w:rPr>
              <w:t>(</w:t>
            </w:r>
            <w:r w:rsidRPr="00F37B43">
              <w:rPr>
                <w:rFonts w:cs="Arial"/>
                <w:b/>
                <w:sz w:val="20"/>
                <w:szCs w:val="20"/>
              </w:rPr>
              <w:t>mean)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3A745599" w14:textId="0B0D9536" w:rsidR="00770251" w:rsidRPr="00F37B43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F37B43">
              <w:rPr>
                <w:rFonts w:cs="Arial"/>
                <w:b/>
                <w:sz w:val="20"/>
                <w:szCs w:val="20"/>
              </w:rPr>
              <w:t>% Female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53229D" w14:textId="24F25FB6" w:rsidR="00770251" w:rsidRPr="00F37B43" w:rsidRDefault="0031313D" w:rsidP="00C108E8">
            <w:pPr>
              <w:rPr>
                <w:rFonts w:cs="Arial"/>
                <w:b/>
                <w:sz w:val="20"/>
                <w:szCs w:val="20"/>
              </w:rPr>
            </w:pPr>
            <w:r w:rsidRPr="00F37B43">
              <w:rPr>
                <w:rFonts w:cs="Arial"/>
                <w:b/>
                <w:sz w:val="20"/>
                <w:szCs w:val="20"/>
              </w:rPr>
              <w:t>J</w:t>
            </w:r>
            <w:r w:rsidR="00770251" w:rsidRPr="00F37B43">
              <w:rPr>
                <w:rFonts w:cs="Arial"/>
                <w:b/>
                <w:sz w:val="20"/>
                <w:szCs w:val="20"/>
              </w:rPr>
              <w:t>oint</w:t>
            </w:r>
            <w:r w:rsidRPr="00F37B43">
              <w:rPr>
                <w:rFonts w:cs="Arial"/>
                <w:b/>
                <w:sz w:val="20"/>
                <w:szCs w:val="20"/>
              </w:rPr>
              <w:t>s examined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5144A5" w14:textId="6A52A632" w:rsidR="00770251" w:rsidRPr="00F37B43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F37B43">
              <w:rPr>
                <w:rFonts w:cs="Arial"/>
                <w:b/>
                <w:sz w:val="20"/>
                <w:szCs w:val="20"/>
              </w:rPr>
              <w:t>Radiographic views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142879BE" w14:textId="5B5208B8" w:rsidR="00770251" w:rsidRPr="00F37B43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F37B43">
              <w:rPr>
                <w:rFonts w:cs="Arial"/>
                <w:b/>
                <w:sz w:val="20"/>
                <w:szCs w:val="20"/>
              </w:rPr>
              <w:t>Radiographic assessment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6265B08F" w14:textId="2076D7BE" w:rsidR="00770251" w:rsidRPr="00F37B43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F37B43">
              <w:rPr>
                <w:rFonts w:cs="Arial"/>
                <w:b/>
                <w:sz w:val="20"/>
                <w:szCs w:val="20"/>
              </w:rPr>
              <w:t xml:space="preserve">Reliability 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1CB5289" w14:textId="0AD2DA43" w:rsidR="00770251" w:rsidRPr="00F37B43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F37B43">
              <w:rPr>
                <w:rFonts w:cs="Arial"/>
                <w:b/>
                <w:sz w:val="20"/>
                <w:szCs w:val="20"/>
              </w:rPr>
              <w:t>Ankle OA definition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02A3042" w14:textId="45AF2589" w:rsidR="00770251" w:rsidRPr="00F37B43" w:rsidRDefault="00770251" w:rsidP="00C108E8">
            <w:pPr>
              <w:rPr>
                <w:rFonts w:cs="Arial"/>
                <w:b/>
                <w:sz w:val="20"/>
                <w:szCs w:val="20"/>
              </w:rPr>
            </w:pPr>
            <w:r w:rsidRPr="00F37B43">
              <w:rPr>
                <w:rFonts w:cs="Arial"/>
                <w:b/>
                <w:sz w:val="20"/>
                <w:szCs w:val="20"/>
              </w:rPr>
              <w:t xml:space="preserve">Prevalence estimate of ankle OA </w:t>
            </w:r>
          </w:p>
        </w:tc>
      </w:tr>
      <w:tr w:rsidR="00BF1734" w:rsidRPr="00F37B43" w14:paraId="415CCF6B" w14:textId="77777777" w:rsidTr="00072B39">
        <w:tc>
          <w:tcPr>
            <w:tcW w:w="1157" w:type="dxa"/>
          </w:tcPr>
          <w:p w14:paraId="515C05CF" w14:textId="77777777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Adams, 1979</w:t>
            </w:r>
          </w:p>
          <w:p w14:paraId="572170AE" w14:textId="165409AC" w:rsidR="002B1573" w:rsidRPr="00F37B43" w:rsidRDefault="002B1573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</w:t>
            </w:r>
            <w:r w:rsidR="005630CE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38EC9CFA" w14:textId="6EE4FD7E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Football club; Leeds, UK</w:t>
            </w:r>
          </w:p>
        </w:tc>
        <w:tc>
          <w:tcPr>
            <w:tcW w:w="1134" w:type="dxa"/>
          </w:tcPr>
          <w:p w14:paraId="67DC6806" w14:textId="172D255A" w:rsidR="00770251" w:rsidRPr="00F37B43" w:rsidRDefault="009B10D6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1/5</w:t>
            </w:r>
          </w:p>
        </w:tc>
        <w:tc>
          <w:tcPr>
            <w:tcW w:w="942" w:type="dxa"/>
          </w:tcPr>
          <w:p w14:paraId="684EED86" w14:textId="674F4A25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1299" w:type="dxa"/>
          </w:tcPr>
          <w:p w14:paraId="36FB0B31" w14:textId="3EAA8E60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15-55 (23)</w:t>
            </w:r>
          </w:p>
        </w:tc>
        <w:tc>
          <w:tcPr>
            <w:tcW w:w="883" w:type="dxa"/>
          </w:tcPr>
          <w:p w14:paraId="57E924A6" w14:textId="115DF504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4" w:type="dxa"/>
          </w:tcPr>
          <w:p w14:paraId="674C4F48" w14:textId="6AEFEBA0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 xml:space="preserve">Tibia and </w:t>
            </w:r>
            <w:proofErr w:type="spellStart"/>
            <w:r w:rsidRPr="00F37B43">
              <w:rPr>
                <w:rFonts w:cs="Arial"/>
                <w:sz w:val="20"/>
                <w:szCs w:val="20"/>
              </w:rPr>
              <w:t>talar</w:t>
            </w:r>
            <w:proofErr w:type="spellEnd"/>
            <w:r w:rsidRPr="00F37B43">
              <w:rPr>
                <w:rFonts w:cs="Arial"/>
                <w:sz w:val="20"/>
                <w:szCs w:val="20"/>
              </w:rPr>
              <w:t xml:space="preserve"> surfaces</w:t>
            </w:r>
          </w:p>
        </w:tc>
        <w:tc>
          <w:tcPr>
            <w:tcW w:w="1417" w:type="dxa"/>
          </w:tcPr>
          <w:p w14:paraId="7FBEBF1A" w14:textId="77777777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NWB,</w:t>
            </w:r>
          </w:p>
          <w:p w14:paraId="53B63AB6" w14:textId="77777777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AP &amp; LAT</w:t>
            </w:r>
          </w:p>
          <w:p w14:paraId="24942A99" w14:textId="77777777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31A8D45" w14:textId="34E3BE1A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 xml:space="preserve">IRF </w:t>
            </w:r>
            <w:r w:rsidRPr="00F37B43">
              <w:rPr>
                <w:rFonts w:cs="Arial"/>
                <w:color w:val="000000"/>
                <w:sz w:val="20"/>
                <w:szCs w:val="20"/>
              </w:rPr>
              <w:t xml:space="preserve">(P/A): </w:t>
            </w:r>
            <w:r w:rsidRPr="00F37B43">
              <w:rPr>
                <w:rFonts w:cs="Arial"/>
                <w:sz w:val="20"/>
                <w:szCs w:val="20"/>
              </w:rPr>
              <w:t>OST, JSN, LB, NBF</w:t>
            </w:r>
          </w:p>
        </w:tc>
        <w:tc>
          <w:tcPr>
            <w:tcW w:w="1131" w:type="dxa"/>
          </w:tcPr>
          <w:p w14:paraId="33D8BC12" w14:textId="4ED79FB9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73352E5C" w14:textId="7F4A98C4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color w:val="000000"/>
                <w:sz w:val="20"/>
                <w:szCs w:val="20"/>
              </w:rPr>
              <w:t>Presence of JSN &amp; NBF</w:t>
            </w:r>
          </w:p>
        </w:tc>
        <w:tc>
          <w:tcPr>
            <w:tcW w:w="1974" w:type="dxa"/>
          </w:tcPr>
          <w:p w14:paraId="5A40658C" w14:textId="34285E9D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color w:val="000000"/>
                <w:sz w:val="20"/>
                <w:szCs w:val="20"/>
              </w:rPr>
              <w:t>1.6%</w:t>
            </w:r>
          </w:p>
        </w:tc>
      </w:tr>
      <w:tr w:rsidR="00BF1734" w:rsidRPr="00F37B43" w14:paraId="63A4B919" w14:textId="77777777" w:rsidTr="00072B39">
        <w:tc>
          <w:tcPr>
            <w:tcW w:w="1157" w:type="dxa"/>
          </w:tcPr>
          <w:p w14:paraId="1DA1F957" w14:textId="77777777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 w:rsidRPr="00F37B43">
              <w:rPr>
                <w:rFonts w:cs="Arial"/>
                <w:sz w:val="20"/>
                <w:szCs w:val="20"/>
              </w:rPr>
              <w:t>Andersson</w:t>
            </w:r>
            <w:proofErr w:type="spellEnd"/>
            <w:r w:rsidRPr="00F37B43">
              <w:rPr>
                <w:rFonts w:cs="Arial"/>
                <w:sz w:val="20"/>
                <w:szCs w:val="20"/>
              </w:rPr>
              <w:t xml:space="preserve"> et al., 1989</w:t>
            </w:r>
          </w:p>
          <w:p w14:paraId="208E1D35" w14:textId="198D183A" w:rsidR="002B1573" w:rsidRPr="00F37B43" w:rsidRDefault="002B1573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</w:t>
            </w:r>
            <w:r w:rsidR="005630CE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07032BDC" w14:textId="15F88306" w:rsidR="00770251" w:rsidRPr="00F37B43" w:rsidRDefault="00703296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Retired ballet dancers</w:t>
            </w:r>
            <w:r w:rsidR="00770251" w:rsidRPr="00F37B43">
              <w:rPr>
                <w:rFonts w:cs="Arial"/>
                <w:sz w:val="20"/>
                <w:szCs w:val="20"/>
              </w:rPr>
              <w:t>; Sweden; Norway; Copenhagen, Denmark</w:t>
            </w:r>
          </w:p>
        </w:tc>
        <w:tc>
          <w:tcPr>
            <w:tcW w:w="1134" w:type="dxa"/>
          </w:tcPr>
          <w:p w14:paraId="57536EA0" w14:textId="73869214" w:rsidR="00770251" w:rsidRPr="00F37B43" w:rsidRDefault="00FE791F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1/5</w:t>
            </w:r>
          </w:p>
        </w:tc>
        <w:tc>
          <w:tcPr>
            <w:tcW w:w="942" w:type="dxa"/>
          </w:tcPr>
          <w:p w14:paraId="1FB653D7" w14:textId="0D8F8E51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1299" w:type="dxa"/>
          </w:tcPr>
          <w:p w14:paraId="30BB2C6F" w14:textId="28A83F6C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44-80 (57)</w:t>
            </w:r>
          </w:p>
        </w:tc>
        <w:tc>
          <w:tcPr>
            <w:tcW w:w="883" w:type="dxa"/>
          </w:tcPr>
          <w:p w14:paraId="17A46330" w14:textId="5995D525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66%</w:t>
            </w:r>
          </w:p>
        </w:tc>
        <w:tc>
          <w:tcPr>
            <w:tcW w:w="1134" w:type="dxa"/>
          </w:tcPr>
          <w:p w14:paraId="5ACA5D2E" w14:textId="014E9F83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 xml:space="preserve">Ankle </w:t>
            </w:r>
          </w:p>
        </w:tc>
        <w:tc>
          <w:tcPr>
            <w:tcW w:w="1417" w:type="dxa"/>
          </w:tcPr>
          <w:p w14:paraId="19B74F81" w14:textId="77777777" w:rsidR="00B71791" w:rsidRPr="00F37B43" w:rsidRDefault="00B7179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NWB,</w:t>
            </w:r>
          </w:p>
          <w:p w14:paraId="32A7E356" w14:textId="764A156A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AP &amp; LAT</w:t>
            </w:r>
          </w:p>
        </w:tc>
        <w:tc>
          <w:tcPr>
            <w:tcW w:w="1423" w:type="dxa"/>
          </w:tcPr>
          <w:p w14:paraId="29A64BEA" w14:textId="5886543A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 xml:space="preserve">IRF </w:t>
            </w:r>
            <w:r w:rsidRPr="00F37B43">
              <w:rPr>
                <w:rFonts w:cs="Arial"/>
                <w:color w:val="000000"/>
                <w:sz w:val="20"/>
                <w:szCs w:val="20"/>
              </w:rPr>
              <w:t>(P/A)</w:t>
            </w:r>
            <w:r w:rsidRPr="00F37B43">
              <w:rPr>
                <w:rFonts w:cs="Arial"/>
                <w:sz w:val="20"/>
                <w:szCs w:val="20"/>
              </w:rPr>
              <w:t xml:space="preserve">: JSN </w:t>
            </w:r>
          </w:p>
        </w:tc>
        <w:tc>
          <w:tcPr>
            <w:tcW w:w="1131" w:type="dxa"/>
          </w:tcPr>
          <w:p w14:paraId="38EE6504" w14:textId="2E8CA6DB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316AABA6" w14:textId="1FC5D1D0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color w:val="000000"/>
                <w:sz w:val="20"/>
                <w:szCs w:val="20"/>
              </w:rPr>
              <w:t xml:space="preserve">Presence of obvious JSN </w:t>
            </w:r>
          </w:p>
        </w:tc>
        <w:tc>
          <w:tcPr>
            <w:tcW w:w="1974" w:type="dxa"/>
          </w:tcPr>
          <w:p w14:paraId="6447BFAB" w14:textId="50092591" w:rsidR="00770251" w:rsidRPr="00F37B43" w:rsidRDefault="004A528A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color w:val="000000"/>
                <w:sz w:val="20"/>
                <w:szCs w:val="20"/>
              </w:rPr>
              <w:t>2.3%</w:t>
            </w:r>
          </w:p>
        </w:tc>
      </w:tr>
      <w:tr w:rsidR="00BF1734" w:rsidRPr="00F37B43" w14:paraId="3C69F5D3" w14:textId="77777777" w:rsidTr="00072B39">
        <w:tc>
          <w:tcPr>
            <w:tcW w:w="1157" w:type="dxa"/>
          </w:tcPr>
          <w:p w14:paraId="6579214C" w14:textId="77777777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 w:rsidRPr="00F37B43">
              <w:rPr>
                <w:rFonts w:cs="Arial"/>
                <w:sz w:val="20"/>
                <w:szCs w:val="20"/>
              </w:rPr>
              <w:t>Armenis</w:t>
            </w:r>
            <w:proofErr w:type="spellEnd"/>
            <w:r w:rsidRPr="00F37B43">
              <w:rPr>
                <w:rFonts w:cs="Arial"/>
                <w:sz w:val="20"/>
                <w:szCs w:val="20"/>
              </w:rPr>
              <w:t xml:space="preserve"> et al, 2011</w:t>
            </w:r>
          </w:p>
          <w:p w14:paraId="415DDC62" w14:textId="42756A90" w:rsidR="002B1573" w:rsidRPr="00F37B43" w:rsidRDefault="002B1573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</w:t>
            </w:r>
            <w:r w:rsidR="005630CE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48DC6F72" w14:textId="3A127226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 xml:space="preserve">Former </w:t>
            </w:r>
            <w:r w:rsidR="00651972" w:rsidRPr="00F37B43">
              <w:rPr>
                <w:rFonts w:cs="Arial"/>
                <w:sz w:val="20"/>
                <w:szCs w:val="20"/>
              </w:rPr>
              <w:t xml:space="preserve">elite </w:t>
            </w:r>
            <w:r w:rsidRPr="00F37B43">
              <w:rPr>
                <w:rFonts w:cs="Arial"/>
                <w:sz w:val="20"/>
                <w:szCs w:val="20"/>
              </w:rPr>
              <w:t xml:space="preserve">football players aged &gt;40 years &amp; </w:t>
            </w:r>
            <w:r w:rsidR="008165F6" w:rsidRPr="00F37B43">
              <w:rPr>
                <w:rFonts w:cs="Arial"/>
                <w:sz w:val="20"/>
                <w:szCs w:val="20"/>
              </w:rPr>
              <w:t xml:space="preserve">gender </w:t>
            </w:r>
            <w:r w:rsidRPr="00F37B43">
              <w:rPr>
                <w:rFonts w:cs="Arial"/>
                <w:sz w:val="20"/>
                <w:szCs w:val="20"/>
              </w:rPr>
              <w:t xml:space="preserve">matched </w:t>
            </w:r>
            <w:r w:rsidR="008165F6" w:rsidRPr="00F37B43">
              <w:rPr>
                <w:rFonts w:cs="Arial"/>
                <w:sz w:val="20"/>
                <w:szCs w:val="20"/>
              </w:rPr>
              <w:t>non-sporting controls</w:t>
            </w:r>
            <w:r w:rsidRPr="00F37B43">
              <w:rPr>
                <w:rFonts w:cs="Arial"/>
                <w:sz w:val="20"/>
                <w:szCs w:val="20"/>
              </w:rPr>
              <w:t>; Athens, Greece</w:t>
            </w:r>
          </w:p>
        </w:tc>
        <w:tc>
          <w:tcPr>
            <w:tcW w:w="1134" w:type="dxa"/>
          </w:tcPr>
          <w:p w14:paraId="29681CBB" w14:textId="0C9EED4C" w:rsidR="00770251" w:rsidRPr="00F37B43" w:rsidRDefault="00FE791F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2/5</w:t>
            </w:r>
          </w:p>
        </w:tc>
        <w:tc>
          <w:tcPr>
            <w:tcW w:w="942" w:type="dxa"/>
          </w:tcPr>
          <w:p w14:paraId="4BAC4C11" w14:textId="36C7C89E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1299" w:type="dxa"/>
          </w:tcPr>
          <w:p w14:paraId="2BEF1858" w14:textId="7E123625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42-55 (50)</w:t>
            </w:r>
          </w:p>
        </w:tc>
        <w:tc>
          <w:tcPr>
            <w:tcW w:w="883" w:type="dxa"/>
          </w:tcPr>
          <w:p w14:paraId="0E85BE97" w14:textId="1BB42141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76D0C70F" w14:textId="2716E1FB" w:rsidR="00770251" w:rsidRPr="00F37B43" w:rsidRDefault="0031313D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13247B06" w14:textId="77777777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WB,</w:t>
            </w:r>
          </w:p>
          <w:p w14:paraId="5AF3FA65" w14:textId="79903DDD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 xml:space="preserve">AP </w:t>
            </w:r>
          </w:p>
        </w:tc>
        <w:tc>
          <w:tcPr>
            <w:tcW w:w="1423" w:type="dxa"/>
          </w:tcPr>
          <w:p w14:paraId="01DA6E34" w14:textId="7D1A9C66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 xml:space="preserve">IRF </w:t>
            </w:r>
            <w:r w:rsidRPr="00F37B43">
              <w:rPr>
                <w:rFonts w:cs="Arial"/>
                <w:color w:val="000000"/>
                <w:sz w:val="20"/>
                <w:szCs w:val="20"/>
              </w:rPr>
              <w:t>(P/A)</w:t>
            </w:r>
            <w:r w:rsidRPr="00F37B43">
              <w:rPr>
                <w:rFonts w:cs="Arial"/>
                <w:sz w:val="20"/>
                <w:szCs w:val="20"/>
              </w:rPr>
              <w:t xml:space="preserve">: OST, JSN, SCL, </w:t>
            </w:r>
            <w:r w:rsidRPr="00F37B43">
              <w:rPr>
                <w:rFonts w:cs="Arial"/>
                <w:color w:val="000000"/>
                <w:sz w:val="20"/>
                <w:szCs w:val="20"/>
              </w:rPr>
              <w:t>CYT</w:t>
            </w:r>
          </w:p>
        </w:tc>
        <w:tc>
          <w:tcPr>
            <w:tcW w:w="1131" w:type="dxa"/>
          </w:tcPr>
          <w:p w14:paraId="7CF3611B" w14:textId="64E9F846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01FF43EE" w14:textId="030ECB11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974" w:type="dxa"/>
          </w:tcPr>
          <w:p w14:paraId="38DDA4D4" w14:textId="4198B930" w:rsidR="00770251" w:rsidRPr="00F37B43" w:rsidRDefault="00770251" w:rsidP="00974426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color w:val="000000"/>
                <w:sz w:val="20"/>
                <w:szCs w:val="20"/>
              </w:rPr>
              <w:t xml:space="preserve">Former football players: 8.8%, </w:t>
            </w:r>
            <w:r w:rsidR="00974426">
              <w:rPr>
                <w:rFonts w:cs="Arial"/>
                <w:color w:val="000000"/>
                <w:sz w:val="20"/>
                <w:szCs w:val="20"/>
              </w:rPr>
              <w:t xml:space="preserve"> Control</w:t>
            </w:r>
            <w:r w:rsidR="00974426" w:rsidRPr="00F37B4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37B43">
              <w:rPr>
                <w:rFonts w:cs="Arial"/>
                <w:color w:val="000000"/>
                <w:sz w:val="20"/>
                <w:szCs w:val="20"/>
              </w:rPr>
              <w:t>population: 3.7%</w:t>
            </w:r>
          </w:p>
        </w:tc>
      </w:tr>
      <w:tr w:rsidR="00BF1734" w:rsidRPr="00072B39" w14:paraId="15A90883" w14:textId="77777777" w:rsidTr="00072B39">
        <w:tc>
          <w:tcPr>
            <w:tcW w:w="1157" w:type="dxa"/>
          </w:tcPr>
          <w:p w14:paraId="1D00FC4C" w14:textId="77777777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 w:rsidRPr="00F37B43">
              <w:rPr>
                <w:rFonts w:cs="Arial"/>
                <w:sz w:val="20"/>
                <w:szCs w:val="20"/>
              </w:rPr>
              <w:t>Brodelius</w:t>
            </w:r>
            <w:proofErr w:type="spellEnd"/>
            <w:r w:rsidRPr="00F37B43">
              <w:rPr>
                <w:rFonts w:cs="Arial"/>
                <w:sz w:val="20"/>
                <w:szCs w:val="20"/>
              </w:rPr>
              <w:t>, 1961</w:t>
            </w:r>
          </w:p>
          <w:p w14:paraId="480860FD" w14:textId="6232F783" w:rsidR="002B1573" w:rsidRPr="00F37B43" w:rsidRDefault="005630CE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[11</w:t>
            </w:r>
            <w:r w:rsidR="002B1573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047DB2BD" w14:textId="6C4108E3" w:rsidR="00770251" w:rsidRPr="00F37B43" w:rsidRDefault="00770251" w:rsidP="00D23119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Football players, ballet dancers &amp; patie</w:t>
            </w:r>
            <w:r w:rsidR="009E7F31">
              <w:rPr>
                <w:rFonts w:cs="Arial"/>
                <w:sz w:val="20"/>
                <w:szCs w:val="20"/>
              </w:rPr>
              <w:t>nts examined with a foot injury</w:t>
            </w:r>
            <w:r w:rsidRPr="00F37B43">
              <w:rPr>
                <w:rFonts w:cs="Arial"/>
                <w:sz w:val="20"/>
                <w:szCs w:val="20"/>
              </w:rPr>
              <w:t>; Malmo, Sweden</w:t>
            </w:r>
          </w:p>
        </w:tc>
        <w:tc>
          <w:tcPr>
            <w:tcW w:w="1134" w:type="dxa"/>
          </w:tcPr>
          <w:p w14:paraId="4D1481C6" w14:textId="480242F8" w:rsidR="00770251" w:rsidRPr="00F37B43" w:rsidRDefault="00FE791F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1/5</w:t>
            </w:r>
          </w:p>
        </w:tc>
        <w:tc>
          <w:tcPr>
            <w:tcW w:w="942" w:type="dxa"/>
          </w:tcPr>
          <w:p w14:paraId="653EB48E" w14:textId="1A2308C7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1299" w:type="dxa"/>
          </w:tcPr>
          <w:p w14:paraId="31A198C2" w14:textId="00C6072A" w:rsidR="00770251" w:rsidRPr="00F37B43" w:rsidRDefault="00770251" w:rsidP="00C108E8">
            <w:pPr>
              <w:rPr>
                <w:rFonts w:cs="Arial"/>
                <w:sz w:val="20"/>
                <w:szCs w:val="20"/>
              </w:rPr>
            </w:pPr>
            <w:r w:rsidRPr="00F37B43">
              <w:rPr>
                <w:rFonts w:cs="Arial"/>
                <w:sz w:val="20"/>
                <w:szCs w:val="20"/>
              </w:rPr>
              <w:t>18-</w:t>
            </w:r>
            <w:r w:rsidR="00B24E5E" w:rsidRPr="00F37B43">
              <w:rPr>
                <w:rFonts w:cs="Arial"/>
                <w:sz w:val="20"/>
                <w:szCs w:val="20"/>
              </w:rPr>
              <w:t>46</w:t>
            </w:r>
            <w:r w:rsidRPr="00F37B43">
              <w:rPr>
                <w:rFonts w:cs="Arial"/>
                <w:sz w:val="20"/>
                <w:szCs w:val="20"/>
              </w:rPr>
              <w:t xml:space="preserve"> (NR)</w:t>
            </w:r>
          </w:p>
        </w:tc>
        <w:tc>
          <w:tcPr>
            <w:tcW w:w="883" w:type="dxa"/>
          </w:tcPr>
          <w:p w14:paraId="1F6E16E8" w14:textId="7AFA849C" w:rsidR="00770251" w:rsidRPr="00072B39" w:rsidRDefault="00B91B58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35</w:t>
            </w:r>
            <w:r w:rsidR="00770251" w:rsidRPr="00072B3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15AADF68" w14:textId="112F4C71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 w:rsidRPr="00072B39">
              <w:rPr>
                <w:rFonts w:cs="Arial"/>
                <w:sz w:val="20"/>
                <w:szCs w:val="20"/>
              </w:rPr>
              <w:t>Talar</w:t>
            </w:r>
            <w:proofErr w:type="spellEnd"/>
            <w:r w:rsidRPr="00072B39">
              <w:rPr>
                <w:rFonts w:cs="Arial"/>
                <w:sz w:val="20"/>
                <w:szCs w:val="20"/>
              </w:rPr>
              <w:t xml:space="preserve"> joints</w:t>
            </w:r>
          </w:p>
        </w:tc>
        <w:tc>
          <w:tcPr>
            <w:tcW w:w="1417" w:type="dxa"/>
          </w:tcPr>
          <w:p w14:paraId="2DA23954" w14:textId="7777777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NR,</w:t>
            </w:r>
          </w:p>
          <w:p w14:paraId="2C33B94D" w14:textId="437E10AD" w:rsidR="00770251" w:rsidRPr="00072B39" w:rsidRDefault="00770251" w:rsidP="00C108E8">
            <w:pPr>
              <w:rPr>
                <w:rFonts w:cs="Arial"/>
                <w:color w:val="000000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468C8519" w14:textId="6C601E68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131" w:type="dxa"/>
          </w:tcPr>
          <w:p w14:paraId="1DC3EBFB" w14:textId="7EE671AA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6C1A24E2" w14:textId="69910EFC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974" w:type="dxa"/>
          </w:tcPr>
          <w:p w14:paraId="4205F4C7" w14:textId="54E7A0E8" w:rsidR="00770251" w:rsidRPr="00072B39" w:rsidRDefault="00770251" w:rsidP="00BC334D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Football players: 97.</w:t>
            </w:r>
            <w:r w:rsidR="002E3514" w:rsidRPr="00072B39">
              <w:rPr>
                <w:rFonts w:cs="Arial"/>
                <w:color w:val="000000"/>
                <w:sz w:val="20"/>
                <w:szCs w:val="20"/>
              </w:rPr>
              <w:t>1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%, Ballet dancers: 87.5%, 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br/>
            </w:r>
            <w:r w:rsidR="00BC334D" w:rsidRPr="00072B39">
              <w:rPr>
                <w:rFonts w:cs="Arial"/>
                <w:color w:val="000000"/>
                <w:sz w:val="20"/>
                <w:szCs w:val="20"/>
              </w:rPr>
              <w:t>Control p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atients: &lt;24 years 3.0% &amp; &gt;45 years 50.0% </w:t>
            </w:r>
          </w:p>
        </w:tc>
      </w:tr>
      <w:tr w:rsidR="00BF1734" w:rsidRPr="00072B39" w14:paraId="66ED549E" w14:textId="77777777" w:rsidTr="00072B39">
        <w:tc>
          <w:tcPr>
            <w:tcW w:w="1157" w:type="dxa"/>
          </w:tcPr>
          <w:p w14:paraId="34154F63" w14:textId="77777777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Carroll et al., 2011</w:t>
            </w:r>
          </w:p>
          <w:p w14:paraId="10B83DF8" w14:textId="30935A1D" w:rsidR="002B1573" w:rsidRPr="00072B39" w:rsidRDefault="002B1573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[27]</w:t>
            </w:r>
          </w:p>
        </w:tc>
        <w:tc>
          <w:tcPr>
            <w:tcW w:w="2529" w:type="dxa"/>
          </w:tcPr>
          <w:p w14:paraId="072E054D" w14:textId="19D9835F" w:rsidR="00770251" w:rsidRPr="00072B39" w:rsidRDefault="007229C4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I</w:t>
            </w:r>
            <w:r w:rsidR="00770251" w:rsidRPr="00072B39">
              <w:rPr>
                <w:rFonts w:cs="Arial"/>
                <w:sz w:val="20"/>
                <w:szCs w:val="20"/>
              </w:rPr>
              <w:t xml:space="preserve">ndividuals from general population </w:t>
            </w:r>
            <w:r w:rsidR="00453F06" w:rsidRPr="00072B39">
              <w:rPr>
                <w:rFonts w:cs="Arial"/>
                <w:sz w:val="20"/>
                <w:szCs w:val="20"/>
              </w:rPr>
              <w:t xml:space="preserve">≥40 years </w:t>
            </w:r>
            <w:r w:rsidR="00770251" w:rsidRPr="00072B39">
              <w:rPr>
                <w:rFonts w:cs="Arial"/>
                <w:sz w:val="20"/>
                <w:szCs w:val="20"/>
              </w:rPr>
              <w:t>with hereditary haemochromatosis; Western Australia</w:t>
            </w:r>
          </w:p>
        </w:tc>
        <w:tc>
          <w:tcPr>
            <w:tcW w:w="1134" w:type="dxa"/>
          </w:tcPr>
          <w:p w14:paraId="32549E5C" w14:textId="19CFED14" w:rsidR="00770251" w:rsidRPr="00072B39" w:rsidRDefault="00FE791F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1/5</w:t>
            </w:r>
          </w:p>
        </w:tc>
        <w:tc>
          <w:tcPr>
            <w:tcW w:w="942" w:type="dxa"/>
          </w:tcPr>
          <w:p w14:paraId="0B8E02EA" w14:textId="26C36DB6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103</w:t>
            </w:r>
          </w:p>
        </w:tc>
        <w:tc>
          <w:tcPr>
            <w:tcW w:w="1299" w:type="dxa"/>
          </w:tcPr>
          <w:p w14:paraId="6212775D" w14:textId="3CF78DDD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41-83 (</w:t>
            </w:r>
            <w:r w:rsidR="00B24E5E" w:rsidRPr="00072B39">
              <w:rPr>
                <w:rFonts w:cs="Arial"/>
                <w:sz w:val="20"/>
                <w:szCs w:val="20"/>
              </w:rPr>
              <w:t>NA</w:t>
            </w:r>
            <w:r w:rsidRPr="00072B3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83" w:type="dxa"/>
          </w:tcPr>
          <w:p w14:paraId="797A1900" w14:textId="3E935313" w:rsidR="00770251" w:rsidRPr="00072B39" w:rsidRDefault="000270AB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58</w:t>
            </w:r>
            <w:r w:rsidR="00770251" w:rsidRPr="00072B3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16138C3" w14:textId="6DD8BF15" w:rsidR="00770251" w:rsidRPr="00072B39" w:rsidRDefault="0031313D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5652896C" w14:textId="7777777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NR,</w:t>
            </w:r>
          </w:p>
          <w:p w14:paraId="7C3EBCFE" w14:textId="376EE680" w:rsidR="00770251" w:rsidRPr="00072B39" w:rsidRDefault="00770251" w:rsidP="00C108E8">
            <w:pPr>
              <w:rPr>
                <w:rFonts w:cs="Arial"/>
                <w:color w:val="000000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AP &amp; LAT</w:t>
            </w:r>
          </w:p>
        </w:tc>
        <w:tc>
          <w:tcPr>
            <w:tcW w:w="1423" w:type="dxa"/>
          </w:tcPr>
          <w:p w14:paraId="444FB447" w14:textId="222AF171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 w:rsidRPr="00072B39">
              <w:rPr>
                <w:rFonts w:cs="Arial"/>
                <w:color w:val="000000"/>
                <w:sz w:val="20"/>
                <w:szCs w:val="20"/>
              </w:rPr>
              <w:t>Kellgren</w:t>
            </w:r>
            <w:proofErr w:type="spellEnd"/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 &amp; Lawrence score</w:t>
            </w:r>
          </w:p>
        </w:tc>
        <w:tc>
          <w:tcPr>
            <w:tcW w:w="1131" w:type="dxa"/>
          </w:tcPr>
          <w:p w14:paraId="4FAAB505" w14:textId="69A37799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5A27499E" w14:textId="49D2B4F8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Grade ≥2</w:t>
            </w:r>
            <w:r w:rsidR="00CD1B1C" w:rsidRPr="00072B39">
              <w:rPr>
                <w:rFonts w:cs="Arial"/>
                <w:color w:val="000000"/>
                <w:sz w:val="20"/>
                <w:szCs w:val="20"/>
              </w:rPr>
              <w:t xml:space="preserve"> in both ankles</w:t>
            </w:r>
          </w:p>
        </w:tc>
        <w:tc>
          <w:tcPr>
            <w:tcW w:w="1974" w:type="dxa"/>
          </w:tcPr>
          <w:p w14:paraId="30401D79" w14:textId="70536190" w:rsidR="00770251" w:rsidRPr="00072B39" w:rsidRDefault="00CD1B1C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1.9%</w:t>
            </w:r>
          </w:p>
        </w:tc>
      </w:tr>
      <w:tr w:rsidR="00BF1734" w:rsidRPr="00072B39" w14:paraId="5BDABEE2" w14:textId="77777777" w:rsidTr="00072B39">
        <w:tc>
          <w:tcPr>
            <w:tcW w:w="1157" w:type="dxa"/>
          </w:tcPr>
          <w:p w14:paraId="1FF4E503" w14:textId="77777777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Gross &amp; Marti, 1999</w:t>
            </w:r>
          </w:p>
          <w:p w14:paraId="39D42F6E" w14:textId="41C2A98E" w:rsidR="002B1573" w:rsidRPr="00072B39" w:rsidRDefault="002B1573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</w:t>
            </w:r>
            <w:r w:rsidR="005630CE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1C2C565F" w14:textId="6E26E4FF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Former league volleyball players</w:t>
            </w:r>
            <w:r w:rsidR="002D1F7D" w:rsidRPr="00072B39">
              <w:rPr>
                <w:rFonts w:cs="Arial"/>
                <w:sz w:val="20"/>
                <w:szCs w:val="20"/>
              </w:rPr>
              <w:t xml:space="preserve"> &amp; normal healthy gender matched controls</w:t>
            </w:r>
            <w:r w:rsidRPr="00072B39">
              <w:rPr>
                <w:rFonts w:cs="Arial"/>
                <w:sz w:val="20"/>
                <w:szCs w:val="20"/>
              </w:rPr>
              <w:t xml:space="preserve">; </w:t>
            </w:r>
            <w:proofErr w:type="spellStart"/>
            <w:r w:rsidRPr="00072B39">
              <w:rPr>
                <w:rFonts w:cs="Arial"/>
                <w:sz w:val="20"/>
                <w:szCs w:val="20"/>
              </w:rPr>
              <w:t>Magglingen</w:t>
            </w:r>
            <w:proofErr w:type="spellEnd"/>
            <w:r w:rsidRPr="00072B39">
              <w:rPr>
                <w:rFonts w:cs="Arial"/>
                <w:sz w:val="20"/>
                <w:szCs w:val="20"/>
              </w:rPr>
              <w:t>, Sweden</w:t>
            </w:r>
          </w:p>
        </w:tc>
        <w:tc>
          <w:tcPr>
            <w:tcW w:w="1134" w:type="dxa"/>
          </w:tcPr>
          <w:p w14:paraId="430CCF0D" w14:textId="58C6C898" w:rsidR="00770251" w:rsidRPr="00072B39" w:rsidRDefault="00FE791F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2/5</w:t>
            </w:r>
          </w:p>
        </w:tc>
        <w:tc>
          <w:tcPr>
            <w:tcW w:w="942" w:type="dxa"/>
          </w:tcPr>
          <w:p w14:paraId="6BFA31F5" w14:textId="734BEE95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299" w:type="dxa"/>
          </w:tcPr>
          <w:p w14:paraId="785B6DBA" w14:textId="562386CF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 (35)</w:t>
            </w:r>
          </w:p>
        </w:tc>
        <w:tc>
          <w:tcPr>
            <w:tcW w:w="883" w:type="dxa"/>
          </w:tcPr>
          <w:p w14:paraId="668D5DCC" w14:textId="260DE83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0B300DBE" w14:textId="18D91AA7" w:rsidR="00770251" w:rsidRPr="00072B39" w:rsidRDefault="0031313D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348D966A" w14:textId="7777777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WB,</w:t>
            </w:r>
          </w:p>
          <w:p w14:paraId="2FD7EB93" w14:textId="36D03926" w:rsidR="00770251" w:rsidRPr="00072B39" w:rsidRDefault="00770251" w:rsidP="00C108E8">
            <w:pPr>
              <w:rPr>
                <w:rFonts w:cs="Arial"/>
                <w:color w:val="000000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 xml:space="preserve">AP </w:t>
            </w:r>
          </w:p>
        </w:tc>
        <w:tc>
          <w:tcPr>
            <w:tcW w:w="1423" w:type="dxa"/>
          </w:tcPr>
          <w:p w14:paraId="35047D6A" w14:textId="0E6965FF" w:rsidR="00770251" w:rsidRPr="00072B39" w:rsidRDefault="00770251" w:rsidP="009A691D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IRF: OST (0-3), JSN (0-3), SCL </w:t>
            </w:r>
            <w:proofErr w:type="spellStart"/>
            <w:r w:rsidRPr="00072B39">
              <w:rPr>
                <w:rFonts w:cs="Arial"/>
                <w:color w:val="000000"/>
                <w:sz w:val="20"/>
                <w:szCs w:val="20"/>
              </w:rPr>
              <w:t>talar</w:t>
            </w:r>
            <w:proofErr w:type="spellEnd"/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72B39">
              <w:rPr>
                <w:rFonts w:cs="Arial"/>
                <w:color w:val="000000"/>
                <w:sz w:val="20"/>
                <w:szCs w:val="20"/>
              </w:rPr>
              <w:t>tibial</w:t>
            </w:r>
            <w:proofErr w:type="spellEnd"/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 (0-3)</w:t>
            </w:r>
          </w:p>
        </w:tc>
        <w:tc>
          <w:tcPr>
            <w:tcW w:w="1131" w:type="dxa"/>
          </w:tcPr>
          <w:p w14:paraId="12C0A73D" w14:textId="3F3017B3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7B72E85C" w14:textId="32477565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Sum score for IRF &gt;2</w:t>
            </w:r>
          </w:p>
        </w:tc>
        <w:tc>
          <w:tcPr>
            <w:tcW w:w="1974" w:type="dxa"/>
          </w:tcPr>
          <w:p w14:paraId="024905B7" w14:textId="756275B5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Volleyball players: 86.4%, 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br/>
              <w:t xml:space="preserve">Untrained males: 22.2% </w:t>
            </w:r>
          </w:p>
        </w:tc>
      </w:tr>
      <w:tr w:rsidR="002343B2" w:rsidRPr="00072B39" w14:paraId="4DEC30C4" w14:textId="77777777" w:rsidTr="00072B39">
        <w:tc>
          <w:tcPr>
            <w:tcW w:w="1157" w:type="dxa"/>
          </w:tcPr>
          <w:p w14:paraId="51B0F47A" w14:textId="124258F1" w:rsidR="002343B2" w:rsidRPr="00072B39" w:rsidRDefault="002343B2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Iosifidis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et al., 2015 [30]</w:t>
            </w:r>
          </w:p>
        </w:tc>
        <w:tc>
          <w:tcPr>
            <w:tcW w:w="2529" w:type="dxa"/>
          </w:tcPr>
          <w:p w14:paraId="0C9FC6FD" w14:textId="374E4C1B" w:rsidR="002343B2" w:rsidRPr="00072B39" w:rsidRDefault="002053FD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Former elite male athletes and controls; Greece</w:t>
            </w:r>
          </w:p>
        </w:tc>
        <w:tc>
          <w:tcPr>
            <w:tcW w:w="1134" w:type="dxa"/>
          </w:tcPr>
          <w:p w14:paraId="68A18324" w14:textId="60107828" w:rsidR="002343B2" w:rsidRPr="00072B39" w:rsidRDefault="002053FD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2/5</w:t>
            </w:r>
          </w:p>
        </w:tc>
        <w:tc>
          <w:tcPr>
            <w:tcW w:w="942" w:type="dxa"/>
          </w:tcPr>
          <w:p w14:paraId="1730F4DE" w14:textId="7D863532" w:rsidR="002343B2" w:rsidRPr="00A84D6E" w:rsidRDefault="002053FD" w:rsidP="00C108E8">
            <w:pPr>
              <w:rPr>
                <w:rFonts w:cs="Arial"/>
                <w:sz w:val="20"/>
                <w:szCs w:val="20"/>
                <w:highlight w:val="yellow"/>
              </w:rPr>
            </w:pPr>
            <w:r w:rsidRPr="002053FD">
              <w:rPr>
                <w:rFonts w:cs="Arial"/>
                <w:sz w:val="20"/>
                <w:szCs w:val="20"/>
              </w:rPr>
              <w:t>335</w:t>
            </w:r>
          </w:p>
        </w:tc>
        <w:tc>
          <w:tcPr>
            <w:tcW w:w="1299" w:type="dxa"/>
          </w:tcPr>
          <w:p w14:paraId="4C2E94A2" w14:textId="165AC6EE" w:rsidR="002343B2" w:rsidRPr="00072B39" w:rsidRDefault="002343B2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 (50)</w:t>
            </w:r>
          </w:p>
        </w:tc>
        <w:tc>
          <w:tcPr>
            <w:tcW w:w="883" w:type="dxa"/>
          </w:tcPr>
          <w:p w14:paraId="3208D63B" w14:textId="518E3F74" w:rsidR="002343B2" w:rsidRPr="00072B39" w:rsidRDefault="00AF27D7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180F64EF" w14:textId="0A5558DD" w:rsidR="002343B2" w:rsidRPr="00072B39" w:rsidRDefault="00AF27D7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073EDAEC" w14:textId="77777777" w:rsidR="002343B2" w:rsidRDefault="00AF27D7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WB,</w:t>
            </w:r>
          </w:p>
          <w:p w14:paraId="219FF3F3" w14:textId="5D8FA6F1" w:rsidR="00AF27D7" w:rsidRPr="00072B39" w:rsidRDefault="00AF27D7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105E83ED" w14:textId="64A714DB" w:rsidR="002343B2" w:rsidRPr="00072B39" w:rsidRDefault="00EA7E43" w:rsidP="009A691D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072B39">
              <w:rPr>
                <w:rFonts w:cs="Arial"/>
                <w:color w:val="000000"/>
                <w:sz w:val="20"/>
                <w:szCs w:val="20"/>
              </w:rPr>
              <w:t>Kellgren</w:t>
            </w:r>
            <w:proofErr w:type="spellEnd"/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 &amp; Lawrence score</w:t>
            </w:r>
          </w:p>
        </w:tc>
        <w:tc>
          <w:tcPr>
            <w:tcW w:w="1131" w:type="dxa"/>
          </w:tcPr>
          <w:p w14:paraId="14F7DBFD" w14:textId="277762C9" w:rsidR="002343B2" w:rsidRPr="00072B39" w:rsidRDefault="00742F53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03BF37EE" w14:textId="596786D3" w:rsidR="002343B2" w:rsidRPr="00072B39" w:rsidRDefault="002053FD" w:rsidP="00C108E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Grade 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974" w:type="dxa"/>
          </w:tcPr>
          <w:p w14:paraId="59D14FB8" w14:textId="72995FA2" w:rsidR="002343B2" w:rsidRPr="00072B39" w:rsidRDefault="002053FD" w:rsidP="00C108E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Former athletes: 7.0%, Controls: 3.7%</w:t>
            </w:r>
          </w:p>
        </w:tc>
      </w:tr>
      <w:tr w:rsidR="00BF1734" w:rsidRPr="00072B39" w14:paraId="048495BB" w14:textId="77777777" w:rsidTr="00072B39">
        <w:tc>
          <w:tcPr>
            <w:tcW w:w="1157" w:type="dxa"/>
          </w:tcPr>
          <w:p w14:paraId="26AD4052" w14:textId="116151E6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 w:rsidRPr="00072B39">
              <w:rPr>
                <w:rFonts w:cs="Arial"/>
                <w:sz w:val="20"/>
                <w:szCs w:val="20"/>
              </w:rPr>
              <w:t>Jenyo</w:t>
            </w:r>
            <w:proofErr w:type="spellEnd"/>
            <w:r w:rsidRPr="00072B39">
              <w:rPr>
                <w:rFonts w:cs="Arial"/>
                <w:sz w:val="20"/>
                <w:szCs w:val="20"/>
              </w:rPr>
              <w:t xml:space="preserve"> et al., 2014</w:t>
            </w:r>
          </w:p>
          <w:p w14:paraId="71D9DA7C" w14:textId="5F895B32" w:rsidR="002B1573" w:rsidRPr="00072B39" w:rsidRDefault="002B1573" w:rsidP="00C10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[29]</w:t>
            </w:r>
          </w:p>
        </w:tc>
        <w:tc>
          <w:tcPr>
            <w:tcW w:w="2529" w:type="dxa"/>
          </w:tcPr>
          <w:p w14:paraId="4D9FC6F3" w14:textId="3CF28B68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Primary care patients with joint symptoms; Osun State, Nigeria</w:t>
            </w:r>
          </w:p>
        </w:tc>
        <w:tc>
          <w:tcPr>
            <w:tcW w:w="1134" w:type="dxa"/>
          </w:tcPr>
          <w:p w14:paraId="2E04F977" w14:textId="5D0A4F20" w:rsidR="00770251" w:rsidRPr="00072B39" w:rsidRDefault="00FE791F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2/5</w:t>
            </w:r>
          </w:p>
        </w:tc>
        <w:tc>
          <w:tcPr>
            <w:tcW w:w="942" w:type="dxa"/>
          </w:tcPr>
          <w:p w14:paraId="05A03485" w14:textId="5D70088D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1299" w:type="dxa"/>
          </w:tcPr>
          <w:p w14:paraId="6E0B766E" w14:textId="4C8580FE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20-60 (NR)</w:t>
            </w:r>
          </w:p>
        </w:tc>
        <w:tc>
          <w:tcPr>
            <w:tcW w:w="883" w:type="dxa"/>
          </w:tcPr>
          <w:p w14:paraId="48CB48EE" w14:textId="38B2816A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60%</w:t>
            </w:r>
          </w:p>
        </w:tc>
        <w:tc>
          <w:tcPr>
            <w:tcW w:w="1134" w:type="dxa"/>
          </w:tcPr>
          <w:p w14:paraId="091E8620" w14:textId="419FFDE6" w:rsidR="00770251" w:rsidRPr="00072B39" w:rsidRDefault="0031313D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6D2D3C12" w14:textId="7777777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NR,</w:t>
            </w:r>
          </w:p>
          <w:p w14:paraId="6E48E912" w14:textId="7B667380" w:rsidR="00770251" w:rsidRPr="00072B39" w:rsidRDefault="00770251" w:rsidP="00C108E8">
            <w:pPr>
              <w:rPr>
                <w:rFonts w:cs="Arial"/>
                <w:color w:val="000000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699E1765" w14:textId="7592F65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131" w:type="dxa"/>
          </w:tcPr>
          <w:p w14:paraId="412CEF1D" w14:textId="330A162E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60EB29AC" w14:textId="37087183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974" w:type="dxa"/>
          </w:tcPr>
          <w:p w14:paraId="38AAA252" w14:textId="399B99C8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</w:tr>
      <w:tr w:rsidR="00BF1734" w:rsidRPr="00072B39" w14:paraId="644348F4" w14:textId="77777777" w:rsidTr="00072B39">
        <w:tc>
          <w:tcPr>
            <w:tcW w:w="1157" w:type="dxa"/>
          </w:tcPr>
          <w:p w14:paraId="337C87B6" w14:textId="77777777" w:rsidR="00770251" w:rsidRDefault="00770251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 w:rsidRPr="00072B39">
              <w:rPr>
                <w:rFonts w:cs="Arial"/>
                <w:sz w:val="20"/>
                <w:szCs w:val="20"/>
              </w:rPr>
              <w:lastRenderedPageBreak/>
              <w:t>Knobloch</w:t>
            </w:r>
            <w:proofErr w:type="spellEnd"/>
            <w:r w:rsidRPr="00072B39">
              <w:rPr>
                <w:rFonts w:cs="Arial"/>
                <w:sz w:val="20"/>
                <w:szCs w:val="20"/>
              </w:rPr>
              <w:t xml:space="preserve"> et al., 1990</w:t>
            </w:r>
          </w:p>
          <w:p w14:paraId="023AAD73" w14:textId="4710E6DD" w:rsidR="002B1573" w:rsidRPr="00072B39" w:rsidRDefault="005630CE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[21</w:t>
            </w:r>
            <w:r w:rsidR="002B1573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201CC7CE" w14:textId="2B17BEA2" w:rsidR="00770251" w:rsidRPr="00072B39" w:rsidRDefault="00770251" w:rsidP="00D23119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 xml:space="preserve">Former national </w:t>
            </w:r>
            <w:r w:rsidR="00E3349A" w:rsidRPr="00072B39">
              <w:rPr>
                <w:rFonts w:cs="Arial"/>
                <w:sz w:val="20"/>
                <w:szCs w:val="20"/>
              </w:rPr>
              <w:t xml:space="preserve">team </w:t>
            </w:r>
            <w:r w:rsidRPr="00072B39">
              <w:rPr>
                <w:rFonts w:cs="Arial"/>
                <w:sz w:val="20"/>
                <w:szCs w:val="20"/>
              </w:rPr>
              <w:t>long distance runn</w:t>
            </w:r>
            <w:r w:rsidR="00156243" w:rsidRPr="00072B39">
              <w:rPr>
                <w:rFonts w:cs="Arial"/>
                <w:sz w:val="20"/>
                <w:szCs w:val="20"/>
              </w:rPr>
              <w:t>ers</w:t>
            </w:r>
            <w:r w:rsidR="00D23119">
              <w:rPr>
                <w:rFonts w:cs="Arial"/>
                <w:sz w:val="20"/>
                <w:szCs w:val="20"/>
              </w:rPr>
              <w:t>,</w:t>
            </w:r>
            <w:r w:rsidR="00156243" w:rsidRPr="00072B39">
              <w:rPr>
                <w:rFonts w:cs="Arial"/>
                <w:sz w:val="20"/>
                <w:szCs w:val="20"/>
              </w:rPr>
              <w:t xml:space="preserve"> </w:t>
            </w:r>
            <w:r w:rsidRPr="00072B39">
              <w:rPr>
                <w:rFonts w:cs="Arial"/>
                <w:sz w:val="20"/>
                <w:szCs w:val="20"/>
              </w:rPr>
              <w:t>orienteer</w:t>
            </w:r>
            <w:r w:rsidR="00156243" w:rsidRPr="00072B39">
              <w:rPr>
                <w:rFonts w:cs="Arial"/>
                <w:sz w:val="20"/>
                <w:szCs w:val="20"/>
              </w:rPr>
              <w:t>s</w:t>
            </w:r>
            <w:r w:rsidR="00D23119">
              <w:rPr>
                <w:rFonts w:cs="Arial"/>
                <w:sz w:val="20"/>
                <w:szCs w:val="20"/>
              </w:rPr>
              <w:t>,</w:t>
            </w:r>
            <w:r w:rsidR="00156243" w:rsidRPr="00072B39">
              <w:rPr>
                <w:rFonts w:cs="Arial"/>
                <w:sz w:val="20"/>
                <w:szCs w:val="20"/>
              </w:rPr>
              <w:t xml:space="preserve"> </w:t>
            </w:r>
            <w:r w:rsidRPr="00072B39">
              <w:rPr>
                <w:rFonts w:cs="Arial"/>
                <w:sz w:val="20"/>
                <w:szCs w:val="20"/>
              </w:rPr>
              <w:t>bobsle</w:t>
            </w:r>
            <w:r w:rsidR="00156243" w:rsidRPr="00072B39">
              <w:rPr>
                <w:rFonts w:cs="Arial"/>
                <w:sz w:val="20"/>
                <w:szCs w:val="20"/>
              </w:rPr>
              <w:t>dders</w:t>
            </w:r>
            <w:r w:rsidRPr="00072B39">
              <w:rPr>
                <w:rFonts w:cs="Arial"/>
                <w:sz w:val="20"/>
                <w:szCs w:val="20"/>
              </w:rPr>
              <w:t xml:space="preserve"> &amp; healthy individuals </w:t>
            </w:r>
            <w:r w:rsidR="00AC5976" w:rsidRPr="00072B39">
              <w:rPr>
                <w:rFonts w:cs="Arial"/>
                <w:sz w:val="20"/>
                <w:szCs w:val="20"/>
              </w:rPr>
              <w:t xml:space="preserve">matched by gender </w:t>
            </w:r>
            <w:r w:rsidRPr="00072B39">
              <w:rPr>
                <w:rFonts w:cs="Arial"/>
                <w:sz w:val="20"/>
                <w:szCs w:val="20"/>
              </w:rPr>
              <w:t>recruited from a previous RCT; Switzerland</w:t>
            </w:r>
          </w:p>
        </w:tc>
        <w:tc>
          <w:tcPr>
            <w:tcW w:w="1134" w:type="dxa"/>
          </w:tcPr>
          <w:p w14:paraId="187B51BF" w14:textId="6F77E05D" w:rsidR="00770251" w:rsidRPr="00072B39" w:rsidRDefault="002328C7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6/9</w:t>
            </w:r>
          </w:p>
        </w:tc>
        <w:tc>
          <w:tcPr>
            <w:tcW w:w="942" w:type="dxa"/>
          </w:tcPr>
          <w:p w14:paraId="0B29F811" w14:textId="0FE327D2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299" w:type="dxa"/>
          </w:tcPr>
          <w:p w14:paraId="641E6091" w14:textId="6EF6B056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33-46 (39)</w:t>
            </w:r>
          </w:p>
        </w:tc>
        <w:tc>
          <w:tcPr>
            <w:tcW w:w="883" w:type="dxa"/>
          </w:tcPr>
          <w:p w14:paraId="7C6B83F2" w14:textId="08D7BBB2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3769F641" w14:textId="688268D1" w:rsidR="00770251" w:rsidRPr="00072B39" w:rsidRDefault="0031313D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2469E42C" w14:textId="7777777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WB,</w:t>
            </w:r>
          </w:p>
          <w:p w14:paraId="0251369B" w14:textId="0D632A67" w:rsidR="00770251" w:rsidRPr="00072B39" w:rsidRDefault="00770251" w:rsidP="00C108E8">
            <w:pPr>
              <w:rPr>
                <w:rFonts w:cs="Arial"/>
                <w:color w:val="000000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 xml:space="preserve">AP </w:t>
            </w:r>
          </w:p>
        </w:tc>
        <w:tc>
          <w:tcPr>
            <w:tcW w:w="1423" w:type="dxa"/>
          </w:tcPr>
          <w:p w14:paraId="6A24DEB0" w14:textId="1B326C51" w:rsidR="00770251" w:rsidRPr="00072B39" w:rsidRDefault="008C43D3" w:rsidP="00C108E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Bargon</w:t>
            </w:r>
            <w:proofErr w:type="spellEnd"/>
            <w:r w:rsidR="00770251" w:rsidRPr="00072B39">
              <w:rPr>
                <w:rFonts w:cs="Arial"/>
                <w:color w:val="000000"/>
                <w:sz w:val="20"/>
                <w:szCs w:val="20"/>
              </w:rPr>
              <w:t xml:space="preserve"> arthrosis score (modified; 0-4)</w:t>
            </w:r>
          </w:p>
        </w:tc>
        <w:tc>
          <w:tcPr>
            <w:tcW w:w="1131" w:type="dxa"/>
          </w:tcPr>
          <w:p w14:paraId="292D5247" w14:textId="2501A89F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17822BF3" w14:textId="7A6F6FF7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Grade ≥3 </w:t>
            </w:r>
          </w:p>
        </w:tc>
        <w:tc>
          <w:tcPr>
            <w:tcW w:w="1974" w:type="dxa"/>
          </w:tcPr>
          <w:p w14:paraId="77DCD879" w14:textId="31482108" w:rsidR="00770251" w:rsidRPr="00072B39" w:rsidRDefault="00770251" w:rsidP="00C108E8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Runners</w:t>
            </w:r>
            <w:r w:rsidR="00156243" w:rsidRPr="00072B39">
              <w:rPr>
                <w:rFonts w:cs="Arial"/>
                <w:color w:val="000000"/>
                <w:sz w:val="20"/>
                <w:szCs w:val="20"/>
              </w:rPr>
              <w:t xml:space="preserve"> &amp; orienteers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t>: 59.3%,</w:t>
            </w:r>
            <w:r w:rsidR="00072B3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t>Bobsle</w:t>
            </w:r>
            <w:r w:rsidR="00256693" w:rsidRPr="00072B39">
              <w:rPr>
                <w:rFonts w:cs="Arial"/>
                <w:color w:val="000000"/>
                <w:sz w:val="20"/>
                <w:szCs w:val="20"/>
              </w:rPr>
              <w:t>dders: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 44.4%,</w:t>
            </w:r>
            <w:r w:rsidRPr="00072B39">
              <w:rPr>
                <w:rFonts w:cs="Arial"/>
                <w:color w:val="000000"/>
                <w:sz w:val="20"/>
                <w:szCs w:val="20"/>
              </w:rPr>
              <w:br/>
              <w:t xml:space="preserve">Healthy individuals: </w:t>
            </w:r>
            <w:r w:rsidR="00FE791F" w:rsidRPr="00072B39">
              <w:rPr>
                <w:rFonts w:cs="Arial"/>
                <w:color w:val="000000"/>
                <w:sz w:val="20"/>
                <w:szCs w:val="20"/>
              </w:rPr>
              <w:t>26.3%</w:t>
            </w:r>
          </w:p>
        </w:tc>
      </w:tr>
      <w:tr w:rsidR="004C3377" w:rsidRPr="00072B39" w14:paraId="2EAE44A0" w14:textId="77777777" w:rsidTr="00072B39">
        <w:tc>
          <w:tcPr>
            <w:tcW w:w="1157" w:type="dxa"/>
          </w:tcPr>
          <w:p w14:paraId="2ED2D9C2" w14:textId="77777777" w:rsidR="008B7395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072B39">
              <w:rPr>
                <w:rFonts w:cs="Arial"/>
                <w:sz w:val="20"/>
                <w:szCs w:val="20"/>
              </w:rPr>
              <w:t>Konradsen</w:t>
            </w:r>
            <w:proofErr w:type="spellEnd"/>
            <w:r w:rsidRPr="00072B39">
              <w:rPr>
                <w:rFonts w:cs="Arial"/>
                <w:sz w:val="20"/>
                <w:szCs w:val="20"/>
              </w:rPr>
              <w:t xml:space="preserve"> et al., 1990</w:t>
            </w:r>
          </w:p>
          <w:p w14:paraId="762A849D" w14:textId="2C7C58C0" w:rsidR="004C3377" w:rsidRPr="00072B39" w:rsidRDefault="008B7395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</w:t>
            </w:r>
            <w:r w:rsidR="005630C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582E66EE" w14:textId="48F919A7" w:rsidR="004C3377" w:rsidRPr="00072B39" w:rsidRDefault="004C3377" w:rsidP="00D23119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National orienteers &amp; non-running patients referred for abdominal radiology exams matched for age, weight, height and physical work load; Denmark</w:t>
            </w:r>
          </w:p>
        </w:tc>
        <w:tc>
          <w:tcPr>
            <w:tcW w:w="1134" w:type="dxa"/>
          </w:tcPr>
          <w:p w14:paraId="5188AA17" w14:textId="7E24C7A0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3/5</w:t>
            </w:r>
          </w:p>
        </w:tc>
        <w:tc>
          <w:tcPr>
            <w:tcW w:w="942" w:type="dxa"/>
          </w:tcPr>
          <w:p w14:paraId="072FA7E2" w14:textId="4DFBD78A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1299" w:type="dxa"/>
          </w:tcPr>
          <w:p w14:paraId="4A484066" w14:textId="3E1EAAEA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50-68 (58)</w:t>
            </w:r>
          </w:p>
        </w:tc>
        <w:tc>
          <w:tcPr>
            <w:tcW w:w="883" w:type="dxa"/>
          </w:tcPr>
          <w:p w14:paraId="50DB64D7" w14:textId="2BF7876C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10B8D568" w14:textId="7BAE53B8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305E70A9" w14:textId="77777777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WB,</w:t>
            </w:r>
          </w:p>
          <w:p w14:paraId="5C2CF985" w14:textId="3214C28F" w:rsidR="004C3377" w:rsidRPr="00072B39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AP &amp; LAT</w:t>
            </w:r>
          </w:p>
        </w:tc>
        <w:tc>
          <w:tcPr>
            <w:tcW w:w="1423" w:type="dxa"/>
          </w:tcPr>
          <w:p w14:paraId="7CE95941" w14:textId="5C4BB219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 xml:space="preserve">IRF (P/A): OST, Cartilage thickness (mm) </w:t>
            </w:r>
          </w:p>
        </w:tc>
        <w:tc>
          <w:tcPr>
            <w:tcW w:w="1131" w:type="dxa"/>
          </w:tcPr>
          <w:p w14:paraId="6743E48E" w14:textId="4BAEA14B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64383758" w14:textId="3F7B2BC0" w:rsidR="004C3377" w:rsidRPr="00072B39" w:rsidRDefault="004C3377" w:rsidP="004C3377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Cartilage thickness ≤3mm</w:t>
            </w:r>
          </w:p>
        </w:tc>
        <w:tc>
          <w:tcPr>
            <w:tcW w:w="1974" w:type="dxa"/>
          </w:tcPr>
          <w:p w14:paraId="5BB00E3F" w14:textId="77B6C3FD" w:rsidR="004C3377" w:rsidRPr="00072B39" w:rsidRDefault="00E554A1" w:rsidP="00E554A1">
            <w:pPr>
              <w:rPr>
                <w:rFonts w:cs="Arial"/>
                <w:sz w:val="20"/>
                <w:szCs w:val="20"/>
              </w:rPr>
            </w:pPr>
            <w:r w:rsidRPr="00072B39">
              <w:rPr>
                <w:rFonts w:cs="Arial"/>
                <w:color w:val="000000"/>
                <w:sz w:val="20"/>
                <w:szCs w:val="20"/>
              </w:rPr>
              <w:t>N</w:t>
            </w:r>
            <w:r w:rsidR="003414FF" w:rsidRPr="00072B39">
              <w:rPr>
                <w:rFonts w:cs="Arial"/>
                <w:color w:val="000000"/>
                <w:sz w:val="20"/>
                <w:szCs w:val="20"/>
              </w:rPr>
              <w:t>R</w:t>
            </w:r>
          </w:p>
        </w:tc>
      </w:tr>
      <w:tr w:rsidR="004C3377" w:rsidRPr="000F21B0" w14:paraId="6DF48D7A" w14:textId="77777777" w:rsidTr="00072B39">
        <w:tc>
          <w:tcPr>
            <w:tcW w:w="1157" w:type="dxa"/>
          </w:tcPr>
          <w:p w14:paraId="06B2B6E3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0F21B0">
              <w:rPr>
                <w:rFonts w:cs="Arial"/>
                <w:sz w:val="20"/>
                <w:szCs w:val="20"/>
              </w:rPr>
              <w:t>Muehleman</w:t>
            </w:r>
            <w:proofErr w:type="spellEnd"/>
            <w:r w:rsidRPr="000F21B0">
              <w:rPr>
                <w:rFonts w:cs="Arial"/>
                <w:sz w:val="20"/>
                <w:szCs w:val="20"/>
              </w:rPr>
              <w:t xml:space="preserve"> et al., 1997</w:t>
            </w:r>
          </w:p>
          <w:p w14:paraId="537C5D26" w14:textId="111ED485" w:rsidR="008B7395" w:rsidRPr="000F21B0" w:rsidRDefault="008B7395" w:rsidP="004C33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[28]</w:t>
            </w:r>
          </w:p>
        </w:tc>
        <w:tc>
          <w:tcPr>
            <w:tcW w:w="2529" w:type="dxa"/>
          </w:tcPr>
          <w:p w14:paraId="650E625B" w14:textId="4D3F4117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Cadavers; Chicago, USA</w:t>
            </w:r>
          </w:p>
        </w:tc>
        <w:tc>
          <w:tcPr>
            <w:tcW w:w="1134" w:type="dxa"/>
          </w:tcPr>
          <w:p w14:paraId="1B56A2FE" w14:textId="4C21FBB0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2/5</w:t>
            </w:r>
          </w:p>
        </w:tc>
        <w:tc>
          <w:tcPr>
            <w:tcW w:w="942" w:type="dxa"/>
          </w:tcPr>
          <w:p w14:paraId="73E017F2" w14:textId="02F20FD9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299" w:type="dxa"/>
          </w:tcPr>
          <w:p w14:paraId="7703856A" w14:textId="34259261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36-94 (76)</w:t>
            </w:r>
          </w:p>
        </w:tc>
        <w:tc>
          <w:tcPr>
            <w:tcW w:w="883" w:type="dxa"/>
          </w:tcPr>
          <w:p w14:paraId="5D221FED" w14:textId="206D6B0E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52%</w:t>
            </w:r>
          </w:p>
        </w:tc>
        <w:tc>
          <w:tcPr>
            <w:tcW w:w="1134" w:type="dxa"/>
          </w:tcPr>
          <w:p w14:paraId="28EF7383" w14:textId="5E945381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0F21B0">
              <w:rPr>
                <w:rFonts w:cs="Arial"/>
                <w:sz w:val="20"/>
                <w:szCs w:val="20"/>
              </w:rPr>
              <w:t>Talocrural</w:t>
            </w:r>
            <w:proofErr w:type="spellEnd"/>
          </w:p>
        </w:tc>
        <w:tc>
          <w:tcPr>
            <w:tcW w:w="1417" w:type="dxa"/>
          </w:tcPr>
          <w:p w14:paraId="6178C682" w14:textId="77777777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NR,</w:t>
            </w:r>
          </w:p>
          <w:p w14:paraId="32226DF2" w14:textId="71644BE8" w:rsidR="004C3377" w:rsidRPr="000F21B0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111E480F" w14:textId="01E76B35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131" w:type="dxa"/>
          </w:tcPr>
          <w:p w14:paraId="5BEAB024" w14:textId="056EA9AB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0ED42285" w14:textId="621388CD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974" w:type="dxa"/>
          </w:tcPr>
          <w:p w14:paraId="7B3D0292" w14:textId="3E165D78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</w:tr>
      <w:tr w:rsidR="004C3377" w:rsidRPr="000F21B0" w14:paraId="321CA84B" w14:textId="77777777" w:rsidTr="00072B39">
        <w:tc>
          <w:tcPr>
            <w:tcW w:w="1157" w:type="dxa"/>
          </w:tcPr>
          <w:p w14:paraId="25E4BD75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Murray-Leslie et al., 1977</w:t>
            </w:r>
          </w:p>
          <w:p w14:paraId="3476EAF5" w14:textId="04A704E2" w:rsidR="008B7395" w:rsidRPr="000F21B0" w:rsidRDefault="008B7395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</w:t>
            </w:r>
            <w:r w:rsidR="005630CE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512092D8" w14:textId="653CE8D8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Ex-military and sport parachutists; Leeds, UK</w:t>
            </w:r>
          </w:p>
        </w:tc>
        <w:tc>
          <w:tcPr>
            <w:tcW w:w="1134" w:type="dxa"/>
          </w:tcPr>
          <w:p w14:paraId="53C38E0A" w14:textId="4EC16C39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1/5</w:t>
            </w:r>
          </w:p>
        </w:tc>
        <w:tc>
          <w:tcPr>
            <w:tcW w:w="942" w:type="dxa"/>
          </w:tcPr>
          <w:p w14:paraId="69AE3A23" w14:textId="65B7B5BA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1299" w:type="dxa"/>
          </w:tcPr>
          <w:p w14:paraId="5BF95077" w14:textId="69214DB4" w:rsidR="004C3377" w:rsidRPr="000F21B0" w:rsidRDefault="004C3377" w:rsidP="00E554A1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23-70 (</w:t>
            </w:r>
            <w:r w:rsidR="003414FF" w:rsidRPr="000F21B0">
              <w:rPr>
                <w:rFonts w:cs="Arial"/>
                <w:sz w:val="20"/>
                <w:szCs w:val="20"/>
              </w:rPr>
              <w:t>38</w:t>
            </w:r>
            <w:r w:rsidRPr="000F21B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83" w:type="dxa"/>
          </w:tcPr>
          <w:p w14:paraId="0690D9D3" w14:textId="1ECF3F8A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14:paraId="7E7F2560" w14:textId="2236DB33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0F21B0">
              <w:rPr>
                <w:rFonts w:cs="Arial"/>
                <w:sz w:val="20"/>
                <w:szCs w:val="20"/>
              </w:rPr>
              <w:t>Talotibial</w:t>
            </w:r>
            <w:proofErr w:type="spellEnd"/>
          </w:p>
        </w:tc>
        <w:tc>
          <w:tcPr>
            <w:tcW w:w="1417" w:type="dxa"/>
          </w:tcPr>
          <w:p w14:paraId="2FC0E597" w14:textId="77777777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NR,</w:t>
            </w:r>
          </w:p>
          <w:p w14:paraId="5CDC094E" w14:textId="16349153" w:rsidR="004C3377" w:rsidRPr="000F21B0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AP</w:t>
            </w:r>
          </w:p>
        </w:tc>
        <w:tc>
          <w:tcPr>
            <w:tcW w:w="1423" w:type="dxa"/>
          </w:tcPr>
          <w:p w14:paraId="2BF46236" w14:textId="2ED7F870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color w:val="000000"/>
                <w:sz w:val="20"/>
                <w:szCs w:val="20"/>
              </w:rPr>
              <w:t>IRF: OST (0-4), JSN (0-4)</w:t>
            </w:r>
          </w:p>
        </w:tc>
        <w:tc>
          <w:tcPr>
            <w:tcW w:w="1131" w:type="dxa"/>
          </w:tcPr>
          <w:p w14:paraId="675526BA" w14:textId="016FBC6C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7988DF7C" w14:textId="331264CC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color w:val="000000"/>
                <w:sz w:val="20"/>
                <w:szCs w:val="20"/>
              </w:rPr>
              <w:t>Grade &gt;2 for OST or JSN</w:t>
            </w:r>
          </w:p>
        </w:tc>
        <w:tc>
          <w:tcPr>
            <w:tcW w:w="1974" w:type="dxa"/>
          </w:tcPr>
          <w:p w14:paraId="12F2A0DE" w14:textId="31C1685B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color w:val="000000"/>
                <w:sz w:val="20"/>
                <w:szCs w:val="20"/>
              </w:rPr>
              <w:t>17.5%</w:t>
            </w:r>
          </w:p>
        </w:tc>
      </w:tr>
      <w:tr w:rsidR="004C3377" w:rsidRPr="00D65AA2" w14:paraId="753A64B6" w14:textId="77777777" w:rsidTr="00072B39">
        <w:tc>
          <w:tcPr>
            <w:tcW w:w="1157" w:type="dxa"/>
          </w:tcPr>
          <w:p w14:paraId="173C09E6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0F21B0">
              <w:rPr>
                <w:rFonts w:cs="Arial"/>
                <w:sz w:val="20"/>
                <w:szCs w:val="20"/>
              </w:rPr>
              <w:t>Panush</w:t>
            </w:r>
            <w:proofErr w:type="spellEnd"/>
            <w:r w:rsidRPr="000F21B0">
              <w:rPr>
                <w:rFonts w:cs="Arial"/>
                <w:sz w:val="20"/>
                <w:szCs w:val="20"/>
              </w:rPr>
              <w:t xml:space="preserve"> et al., 1986</w:t>
            </w:r>
          </w:p>
          <w:p w14:paraId="1E9094AC" w14:textId="706653D7" w:rsidR="008B7395" w:rsidRPr="000F21B0" w:rsidRDefault="005630CE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[10</w:t>
            </w:r>
            <w:r w:rsidR="008B7395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2BA455CA" w14:textId="6AFE5739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Runners aged &gt;50 years weekly distance ≥32km (20 miles) for ≥5 years &amp; non-runners with normal body weight; Florida, USA</w:t>
            </w:r>
          </w:p>
        </w:tc>
        <w:tc>
          <w:tcPr>
            <w:tcW w:w="1134" w:type="dxa"/>
          </w:tcPr>
          <w:p w14:paraId="29168DAC" w14:textId="6D61A603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2/5</w:t>
            </w:r>
          </w:p>
        </w:tc>
        <w:tc>
          <w:tcPr>
            <w:tcW w:w="942" w:type="dxa"/>
          </w:tcPr>
          <w:p w14:paraId="5A7BEEEA" w14:textId="102CFDF0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1299" w:type="dxa"/>
          </w:tcPr>
          <w:p w14:paraId="5F895A40" w14:textId="5B7D035C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50-74 (59)</w:t>
            </w:r>
          </w:p>
        </w:tc>
        <w:tc>
          <w:tcPr>
            <w:tcW w:w="883" w:type="dxa"/>
          </w:tcPr>
          <w:p w14:paraId="335841E3" w14:textId="65F6BEFB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4E196930" w14:textId="3732193C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79B7CADB" w14:textId="77777777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 xml:space="preserve">NR, </w:t>
            </w:r>
          </w:p>
          <w:p w14:paraId="2E820DBD" w14:textId="1AEE2C1F" w:rsidR="004C3377" w:rsidRPr="000F21B0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AP &amp; LAT</w:t>
            </w:r>
          </w:p>
        </w:tc>
        <w:tc>
          <w:tcPr>
            <w:tcW w:w="1423" w:type="dxa"/>
          </w:tcPr>
          <w:p w14:paraId="171A62F3" w14:textId="33C766C8" w:rsidR="004C3377" w:rsidRPr="000F21B0" w:rsidRDefault="004C3377" w:rsidP="000F21B0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color w:val="000000"/>
                <w:sz w:val="20"/>
                <w:szCs w:val="20"/>
              </w:rPr>
              <w:t>IRF (P/A): OST, Cartilage thickness (mm)</w:t>
            </w:r>
          </w:p>
        </w:tc>
        <w:tc>
          <w:tcPr>
            <w:tcW w:w="1131" w:type="dxa"/>
          </w:tcPr>
          <w:p w14:paraId="61D5A44F" w14:textId="369C30A9" w:rsidR="004C3377" w:rsidRPr="000F21B0" w:rsidRDefault="004C3377" w:rsidP="004C3377">
            <w:pPr>
              <w:rPr>
                <w:rFonts w:cs="Arial"/>
                <w:sz w:val="20"/>
                <w:szCs w:val="20"/>
              </w:rPr>
            </w:pPr>
            <w:r w:rsidRPr="000F21B0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7DC9A662" w14:textId="6F21257E" w:rsidR="004C3377" w:rsidRPr="008E339A" w:rsidRDefault="004C3377" w:rsidP="004C3377">
            <w:pPr>
              <w:rPr>
                <w:rFonts w:cs="Arial"/>
                <w:sz w:val="20"/>
                <w:szCs w:val="20"/>
              </w:rPr>
            </w:pPr>
            <w:r w:rsidRPr="008E339A">
              <w:rPr>
                <w:rFonts w:cs="Arial"/>
                <w:color w:val="000000"/>
                <w:sz w:val="20"/>
                <w:szCs w:val="20"/>
              </w:rPr>
              <w:t>Cartilage thickness ≤3mm</w:t>
            </w:r>
          </w:p>
        </w:tc>
        <w:tc>
          <w:tcPr>
            <w:tcW w:w="1974" w:type="dxa"/>
          </w:tcPr>
          <w:p w14:paraId="5FDBDC76" w14:textId="77777777" w:rsidR="004C3377" w:rsidRPr="008E339A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8E339A">
              <w:rPr>
                <w:rFonts w:cs="Arial"/>
                <w:color w:val="000000"/>
                <w:sz w:val="20"/>
                <w:szCs w:val="20"/>
              </w:rPr>
              <w:t>Runners: 0.0%</w:t>
            </w:r>
          </w:p>
          <w:p w14:paraId="3C00FA22" w14:textId="37AEA797" w:rsidR="004C3377" w:rsidRPr="008E339A" w:rsidRDefault="004C3377" w:rsidP="004C3377">
            <w:pPr>
              <w:rPr>
                <w:rFonts w:cs="Arial"/>
                <w:sz w:val="20"/>
                <w:szCs w:val="20"/>
              </w:rPr>
            </w:pPr>
            <w:r w:rsidRPr="008E339A">
              <w:rPr>
                <w:rFonts w:cs="Arial"/>
                <w:color w:val="000000"/>
                <w:sz w:val="20"/>
                <w:szCs w:val="20"/>
              </w:rPr>
              <w:t>Non-runners: 0.0%</w:t>
            </w:r>
          </w:p>
        </w:tc>
      </w:tr>
      <w:tr w:rsidR="004C3377" w:rsidRPr="00D65AA2" w14:paraId="63E16025" w14:textId="77777777" w:rsidTr="00072B39">
        <w:tc>
          <w:tcPr>
            <w:tcW w:w="1157" w:type="dxa"/>
          </w:tcPr>
          <w:p w14:paraId="44D343A3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Schmitt et al., 2003</w:t>
            </w:r>
          </w:p>
          <w:p w14:paraId="3C80ED81" w14:textId="722F7A99" w:rsidR="008B7395" w:rsidRPr="00D65AA2" w:rsidRDefault="008B7395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</w:t>
            </w:r>
            <w:r w:rsidR="005630CE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39243353" w14:textId="3C70C98E" w:rsidR="004C3377" w:rsidRPr="00D65AA2" w:rsidRDefault="004C3377" w:rsidP="00311E6E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 xml:space="preserve">Former </w:t>
            </w:r>
            <w:r w:rsidR="00311E6E" w:rsidRPr="00D65AA2">
              <w:rPr>
                <w:rFonts w:cs="Arial"/>
                <w:sz w:val="20"/>
                <w:szCs w:val="20"/>
              </w:rPr>
              <w:t xml:space="preserve">male </w:t>
            </w:r>
            <w:r w:rsidRPr="00D65AA2">
              <w:rPr>
                <w:rFonts w:cs="Arial"/>
                <w:sz w:val="20"/>
                <w:szCs w:val="20"/>
              </w:rPr>
              <w:t xml:space="preserve">high jump athletes &amp; age &amp; BMI matched </w:t>
            </w:r>
            <w:r w:rsidR="00311E6E" w:rsidRPr="00D65AA2">
              <w:rPr>
                <w:rFonts w:cs="Arial"/>
                <w:sz w:val="20"/>
                <w:szCs w:val="20"/>
              </w:rPr>
              <w:t xml:space="preserve">male </w:t>
            </w:r>
            <w:r w:rsidRPr="00D65AA2">
              <w:rPr>
                <w:rFonts w:cs="Arial"/>
                <w:sz w:val="20"/>
                <w:szCs w:val="20"/>
              </w:rPr>
              <w:t xml:space="preserve">controls; Heidelberg, Germany </w:t>
            </w:r>
          </w:p>
        </w:tc>
        <w:tc>
          <w:tcPr>
            <w:tcW w:w="1134" w:type="dxa"/>
          </w:tcPr>
          <w:p w14:paraId="4B67E819" w14:textId="074B0435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3/5</w:t>
            </w:r>
          </w:p>
        </w:tc>
        <w:tc>
          <w:tcPr>
            <w:tcW w:w="942" w:type="dxa"/>
          </w:tcPr>
          <w:p w14:paraId="3CD1B93D" w14:textId="6145BCC6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1299" w:type="dxa"/>
          </w:tcPr>
          <w:p w14:paraId="54BC3AF1" w14:textId="78E12CEE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32-56 (42)</w:t>
            </w:r>
          </w:p>
        </w:tc>
        <w:tc>
          <w:tcPr>
            <w:tcW w:w="883" w:type="dxa"/>
          </w:tcPr>
          <w:p w14:paraId="542E0AF6" w14:textId="30E5772F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56126A1F" w14:textId="0BBEF06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D65AA2">
              <w:rPr>
                <w:rFonts w:cs="Arial"/>
                <w:sz w:val="20"/>
                <w:szCs w:val="20"/>
              </w:rPr>
              <w:t>Talotibio</w:t>
            </w:r>
            <w:proofErr w:type="spellEnd"/>
            <w:r w:rsidRPr="00D65AA2">
              <w:rPr>
                <w:rFonts w:cs="Arial"/>
                <w:sz w:val="20"/>
                <w:szCs w:val="20"/>
              </w:rPr>
              <w:t xml:space="preserve"> fibular</w:t>
            </w:r>
          </w:p>
        </w:tc>
        <w:tc>
          <w:tcPr>
            <w:tcW w:w="1417" w:type="dxa"/>
          </w:tcPr>
          <w:p w14:paraId="3E1F5EC7" w14:textId="7777777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NR,</w:t>
            </w:r>
          </w:p>
          <w:p w14:paraId="4EC59168" w14:textId="5483D700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06512B65" w14:textId="4C712C66" w:rsidR="004C3377" w:rsidRPr="00D65AA2" w:rsidRDefault="008C43D3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Bargon</w:t>
            </w:r>
            <w:proofErr w:type="spellEnd"/>
            <w:r w:rsidR="004C3377" w:rsidRPr="00D65AA2">
              <w:rPr>
                <w:rFonts w:cs="Arial"/>
                <w:color w:val="000000"/>
                <w:sz w:val="20"/>
                <w:szCs w:val="20"/>
              </w:rPr>
              <w:t xml:space="preserve"> arthrosis score (0-3), Scranton &amp; McDermott score (I-IV)</w:t>
            </w:r>
          </w:p>
        </w:tc>
        <w:tc>
          <w:tcPr>
            <w:tcW w:w="1131" w:type="dxa"/>
          </w:tcPr>
          <w:p w14:paraId="07D2A3A7" w14:textId="35121F78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 xml:space="preserve">Inter-rater: </w:t>
            </w:r>
          </w:p>
          <w:p w14:paraId="1BE76925" w14:textId="17B9BD9A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K=0.57-1.00</w:t>
            </w:r>
          </w:p>
          <w:p w14:paraId="06331AFA" w14:textId="305A098A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Intra-</w:t>
            </w:r>
            <w:proofErr w:type="spellStart"/>
            <w:r w:rsidRPr="00D65AA2">
              <w:rPr>
                <w:rFonts w:cs="Arial"/>
                <w:sz w:val="20"/>
                <w:szCs w:val="20"/>
              </w:rPr>
              <w:t>rater</w:t>
            </w:r>
            <w:proofErr w:type="spellEnd"/>
            <w:r w:rsidRPr="00D65AA2">
              <w:rPr>
                <w:rFonts w:cs="Arial"/>
                <w:sz w:val="20"/>
                <w:szCs w:val="20"/>
              </w:rPr>
              <w:t>: NR</w:t>
            </w:r>
          </w:p>
        </w:tc>
        <w:tc>
          <w:tcPr>
            <w:tcW w:w="1137" w:type="dxa"/>
          </w:tcPr>
          <w:p w14:paraId="25181ED0" w14:textId="3A131678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974" w:type="dxa"/>
          </w:tcPr>
          <w:p w14:paraId="2962E02A" w14:textId="6EB67A2B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</w:tr>
      <w:tr w:rsidR="004C3377" w:rsidRPr="00D65AA2" w14:paraId="742BC880" w14:textId="77777777" w:rsidTr="00072B39">
        <w:tc>
          <w:tcPr>
            <w:tcW w:w="1157" w:type="dxa"/>
          </w:tcPr>
          <w:p w14:paraId="7F019630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Schmitt et al., 2004</w:t>
            </w:r>
          </w:p>
          <w:p w14:paraId="2F6AD775" w14:textId="040A1303" w:rsidR="008B7395" w:rsidRPr="00D65AA2" w:rsidRDefault="008B7395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</w:t>
            </w:r>
            <w:r w:rsidR="005630CE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30D862D2" w14:textId="1759FC7A" w:rsidR="004C3377" w:rsidRPr="00D65AA2" w:rsidRDefault="004C3377" w:rsidP="00D23119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Former long and triple jump athletes; Germany</w:t>
            </w:r>
          </w:p>
        </w:tc>
        <w:tc>
          <w:tcPr>
            <w:tcW w:w="1134" w:type="dxa"/>
          </w:tcPr>
          <w:p w14:paraId="6928F4F7" w14:textId="67C4442A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3/9</w:t>
            </w:r>
          </w:p>
        </w:tc>
        <w:tc>
          <w:tcPr>
            <w:tcW w:w="942" w:type="dxa"/>
          </w:tcPr>
          <w:p w14:paraId="7853D86B" w14:textId="6C3FDDB2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99" w:type="dxa"/>
          </w:tcPr>
          <w:p w14:paraId="43A281AC" w14:textId="7202D38F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36-59 (44)</w:t>
            </w:r>
          </w:p>
        </w:tc>
        <w:tc>
          <w:tcPr>
            <w:tcW w:w="883" w:type="dxa"/>
          </w:tcPr>
          <w:p w14:paraId="4C55869D" w14:textId="717B11ED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4B285DB0" w14:textId="25EF073F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60DC0B9E" w14:textId="7777777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NR,</w:t>
            </w:r>
          </w:p>
          <w:p w14:paraId="0F52E621" w14:textId="423F415B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AP &amp; LAT</w:t>
            </w:r>
          </w:p>
        </w:tc>
        <w:tc>
          <w:tcPr>
            <w:tcW w:w="1423" w:type="dxa"/>
          </w:tcPr>
          <w:p w14:paraId="0F0E918B" w14:textId="07F906CC" w:rsidR="004C3377" w:rsidRPr="00D65AA2" w:rsidRDefault="008C43D3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Bargon</w:t>
            </w:r>
            <w:proofErr w:type="spellEnd"/>
            <w:r w:rsidR="004C3377" w:rsidRPr="00D65AA2">
              <w:rPr>
                <w:rFonts w:cs="Arial"/>
                <w:color w:val="000000"/>
                <w:sz w:val="20"/>
                <w:szCs w:val="20"/>
              </w:rPr>
              <w:t xml:space="preserve"> arthrosis score (0-3), Scranton &amp; McDermott score (I-IV)</w:t>
            </w:r>
          </w:p>
        </w:tc>
        <w:tc>
          <w:tcPr>
            <w:tcW w:w="1131" w:type="dxa"/>
          </w:tcPr>
          <w:p w14:paraId="5990D02C" w14:textId="2E096B9C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Inter-rater: K=0.57</w:t>
            </w:r>
          </w:p>
          <w:p w14:paraId="6EF58939" w14:textId="3A721158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Intra-</w:t>
            </w:r>
            <w:proofErr w:type="spellStart"/>
            <w:r w:rsidRPr="00D65AA2">
              <w:rPr>
                <w:rFonts w:cs="Arial"/>
                <w:sz w:val="20"/>
                <w:szCs w:val="20"/>
              </w:rPr>
              <w:t>rater</w:t>
            </w:r>
            <w:proofErr w:type="spellEnd"/>
            <w:r w:rsidRPr="00D65AA2">
              <w:rPr>
                <w:rFonts w:cs="Arial"/>
                <w:sz w:val="20"/>
                <w:szCs w:val="20"/>
              </w:rPr>
              <w:t>: K=1.00</w:t>
            </w:r>
          </w:p>
        </w:tc>
        <w:tc>
          <w:tcPr>
            <w:tcW w:w="1137" w:type="dxa"/>
          </w:tcPr>
          <w:p w14:paraId="44755C33" w14:textId="7D99C150" w:rsidR="004C3377" w:rsidRPr="00D65AA2" w:rsidRDefault="008C43D3" w:rsidP="004C3377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Bargon</w:t>
            </w:r>
            <w:proofErr w:type="spellEnd"/>
            <w:r w:rsidR="004C3377" w:rsidRPr="00D65AA2">
              <w:rPr>
                <w:rFonts w:cs="Arial"/>
                <w:color w:val="000000"/>
                <w:sz w:val="20"/>
                <w:szCs w:val="20"/>
              </w:rPr>
              <w:t xml:space="preserve"> score ≥1</w:t>
            </w:r>
          </w:p>
          <w:p w14:paraId="655EEF29" w14:textId="77777777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66215F5D" w14:textId="75121DE3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Scranton &amp; McDermott score ≥2</w:t>
            </w:r>
          </w:p>
        </w:tc>
        <w:tc>
          <w:tcPr>
            <w:tcW w:w="1974" w:type="dxa"/>
          </w:tcPr>
          <w:p w14:paraId="26929E02" w14:textId="0E9A2090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D65AA2">
              <w:rPr>
                <w:rFonts w:cs="Arial"/>
                <w:color w:val="000000"/>
                <w:sz w:val="20"/>
                <w:szCs w:val="20"/>
              </w:rPr>
              <w:t>Bargon</w:t>
            </w:r>
            <w:proofErr w:type="spellEnd"/>
            <w:r w:rsidRPr="00D65AA2">
              <w:rPr>
                <w:rFonts w:cs="Arial"/>
                <w:color w:val="000000"/>
                <w:sz w:val="20"/>
                <w:szCs w:val="20"/>
              </w:rPr>
              <w:t xml:space="preserve"> score:</w:t>
            </w:r>
          </w:p>
          <w:p w14:paraId="29545637" w14:textId="7D1F4CE1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Push-off leg = 75.0%,</w:t>
            </w:r>
            <w:r w:rsidRPr="00D65AA2">
              <w:rPr>
                <w:rFonts w:cs="Arial"/>
                <w:color w:val="000000"/>
                <w:sz w:val="20"/>
                <w:szCs w:val="20"/>
              </w:rPr>
              <w:br/>
              <w:t>Swing leg = 67.9%;</w:t>
            </w:r>
            <w:r w:rsidRPr="00D65AA2">
              <w:rPr>
                <w:rFonts w:cs="Arial"/>
                <w:color w:val="000000"/>
                <w:sz w:val="20"/>
                <w:szCs w:val="20"/>
              </w:rPr>
              <w:br/>
              <w:t>Scranton &amp; McDermott score:</w:t>
            </w:r>
            <w:r w:rsidRPr="00D65AA2">
              <w:rPr>
                <w:rFonts w:cs="Arial"/>
                <w:color w:val="000000"/>
                <w:sz w:val="20"/>
                <w:szCs w:val="20"/>
              </w:rPr>
              <w:br/>
              <w:t>Push-off leg = 39.3%,</w:t>
            </w:r>
            <w:r w:rsidRPr="00D65AA2">
              <w:rPr>
                <w:rFonts w:cs="Arial"/>
                <w:color w:val="000000"/>
                <w:sz w:val="20"/>
                <w:szCs w:val="20"/>
              </w:rPr>
              <w:br/>
              <w:t>Swing leg = 39.3%</w:t>
            </w:r>
          </w:p>
        </w:tc>
      </w:tr>
      <w:tr w:rsidR="004C3377" w:rsidRPr="00D65AA2" w14:paraId="65BDE324" w14:textId="77777777" w:rsidTr="00072B39">
        <w:tc>
          <w:tcPr>
            <w:tcW w:w="1157" w:type="dxa"/>
          </w:tcPr>
          <w:p w14:paraId="3BDE196F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D65AA2">
              <w:rPr>
                <w:rFonts w:cs="Arial"/>
                <w:sz w:val="20"/>
                <w:szCs w:val="20"/>
              </w:rPr>
              <w:lastRenderedPageBreak/>
              <w:t>Teitz</w:t>
            </w:r>
            <w:proofErr w:type="spellEnd"/>
            <w:r w:rsidRPr="00D65AA2">
              <w:rPr>
                <w:rFonts w:cs="Arial"/>
                <w:sz w:val="20"/>
                <w:szCs w:val="20"/>
              </w:rPr>
              <w:t xml:space="preserve"> &amp; </w:t>
            </w:r>
            <w:proofErr w:type="spellStart"/>
            <w:r w:rsidRPr="00D65AA2">
              <w:rPr>
                <w:rFonts w:cs="Arial"/>
                <w:sz w:val="20"/>
                <w:szCs w:val="20"/>
              </w:rPr>
              <w:t>Kilcoyne</w:t>
            </w:r>
            <w:proofErr w:type="spellEnd"/>
            <w:r w:rsidRPr="00D65AA2">
              <w:rPr>
                <w:rFonts w:cs="Arial"/>
                <w:sz w:val="20"/>
                <w:szCs w:val="20"/>
              </w:rPr>
              <w:t>, 1998</w:t>
            </w:r>
          </w:p>
          <w:p w14:paraId="3DCA0821" w14:textId="542CD8EB" w:rsidR="008B7395" w:rsidRPr="00D65AA2" w:rsidRDefault="008B7395" w:rsidP="005630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[1</w:t>
            </w:r>
            <w:r w:rsidR="005630CE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0AA6AF69" w14:textId="1954E3B4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Former professional dancers for &gt;10 years &amp; age matched non-dancers with lower limb injuries or pain; Washington, USA</w:t>
            </w:r>
          </w:p>
        </w:tc>
        <w:tc>
          <w:tcPr>
            <w:tcW w:w="1134" w:type="dxa"/>
          </w:tcPr>
          <w:p w14:paraId="3FDA675D" w14:textId="158A4F2F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2/5</w:t>
            </w:r>
          </w:p>
        </w:tc>
        <w:tc>
          <w:tcPr>
            <w:tcW w:w="942" w:type="dxa"/>
          </w:tcPr>
          <w:p w14:paraId="37A40552" w14:textId="634A98F2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299" w:type="dxa"/>
          </w:tcPr>
          <w:p w14:paraId="2A6CDAC8" w14:textId="41F0613B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27-46 (35)</w:t>
            </w:r>
          </w:p>
        </w:tc>
        <w:tc>
          <w:tcPr>
            <w:tcW w:w="883" w:type="dxa"/>
          </w:tcPr>
          <w:p w14:paraId="2D11E2C7" w14:textId="289DCB5E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64%</w:t>
            </w:r>
          </w:p>
        </w:tc>
        <w:tc>
          <w:tcPr>
            <w:tcW w:w="1134" w:type="dxa"/>
          </w:tcPr>
          <w:p w14:paraId="7CDE621A" w14:textId="3A20BD3C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19514372" w14:textId="7777777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NR,</w:t>
            </w:r>
          </w:p>
          <w:p w14:paraId="65ECE243" w14:textId="5D953984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35486AB6" w14:textId="0CE3F44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IRF (P/A): OST, JSN, SCL, CYT</w:t>
            </w:r>
          </w:p>
        </w:tc>
        <w:tc>
          <w:tcPr>
            <w:tcW w:w="1131" w:type="dxa"/>
          </w:tcPr>
          <w:p w14:paraId="4077EEE0" w14:textId="17A9FDE0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27928ED6" w14:textId="1F970420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974" w:type="dxa"/>
          </w:tcPr>
          <w:p w14:paraId="3C7E7F55" w14:textId="47F6E059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Professional dancers: 50.0%, Non-dancers: 0.0%</w:t>
            </w:r>
          </w:p>
        </w:tc>
      </w:tr>
      <w:tr w:rsidR="004C3377" w:rsidRPr="00D65AA2" w14:paraId="50E5F9F5" w14:textId="77777777" w:rsidTr="00072B39">
        <w:tc>
          <w:tcPr>
            <w:tcW w:w="1157" w:type="dxa"/>
          </w:tcPr>
          <w:p w14:paraId="7424DFA7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 xml:space="preserve">Van </w:t>
            </w:r>
            <w:proofErr w:type="spellStart"/>
            <w:r w:rsidRPr="00D65AA2">
              <w:rPr>
                <w:rFonts w:cs="Arial"/>
                <w:sz w:val="20"/>
                <w:szCs w:val="20"/>
              </w:rPr>
              <w:t>Dijk</w:t>
            </w:r>
            <w:proofErr w:type="spellEnd"/>
            <w:r w:rsidRPr="00D65AA2">
              <w:rPr>
                <w:rFonts w:cs="Arial"/>
                <w:sz w:val="20"/>
                <w:szCs w:val="20"/>
              </w:rPr>
              <w:t xml:space="preserve"> et al., 1995</w:t>
            </w:r>
          </w:p>
          <w:p w14:paraId="250277AF" w14:textId="37C68706" w:rsidR="008B7395" w:rsidRPr="00D65AA2" w:rsidRDefault="005630CE" w:rsidP="002165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[20</w:t>
            </w:r>
            <w:r w:rsidR="008B7395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6AB629C5" w14:textId="50FCE0A3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Former professional dancers aged 50-70 years &amp; gender, age, height &amp; weight matched outpatients with no lower limb complaints; Amsterdam, Netherlands</w:t>
            </w:r>
          </w:p>
        </w:tc>
        <w:tc>
          <w:tcPr>
            <w:tcW w:w="1134" w:type="dxa"/>
          </w:tcPr>
          <w:p w14:paraId="243392B8" w14:textId="760C767E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3/5</w:t>
            </w:r>
          </w:p>
        </w:tc>
        <w:tc>
          <w:tcPr>
            <w:tcW w:w="942" w:type="dxa"/>
          </w:tcPr>
          <w:p w14:paraId="696D696B" w14:textId="38BC2065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299" w:type="dxa"/>
          </w:tcPr>
          <w:p w14:paraId="25721B91" w14:textId="1C23D559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50-66 (59)</w:t>
            </w:r>
          </w:p>
        </w:tc>
        <w:tc>
          <w:tcPr>
            <w:tcW w:w="883" w:type="dxa"/>
          </w:tcPr>
          <w:p w14:paraId="25986085" w14:textId="25BC6EC9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14:paraId="45EEBB13" w14:textId="02EB1700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40CC5345" w14:textId="7777777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NR,</w:t>
            </w:r>
          </w:p>
          <w:p w14:paraId="61EB672C" w14:textId="79A3617E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50B83773" w14:textId="411A7353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 xml:space="preserve">IRF (P/A): OST, SCL, CYT, BD, JSW (mm), </w:t>
            </w:r>
            <w:proofErr w:type="spellStart"/>
            <w:r w:rsidRPr="00D65AA2">
              <w:rPr>
                <w:rFonts w:cs="Arial"/>
                <w:color w:val="000000"/>
                <w:sz w:val="20"/>
                <w:szCs w:val="20"/>
              </w:rPr>
              <w:t>Hermodsson</w:t>
            </w:r>
            <w:proofErr w:type="spellEnd"/>
            <w:r w:rsidRPr="00D65AA2">
              <w:rPr>
                <w:rFonts w:cs="Arial"/>
                <w:color w:val="000000"/>
                <w:sz w:val="20"/>
                <w:szCs w:val="20"/>
              </w:rPr>
              <w:t xml:space="preserve"> scale (modified, 0-3)</w:t>
            </w:r>
          </w:p>
        </w:tc>
        <w:tc>
          <w:tcPr>
            <w:tcW w:w="1131" w:type="dxa"/>
          </w:tcPr>
          <w:p w14:paraId="18357DDB" w14:textId="72309831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51C5C511" w14:textId="7F85F8CB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974" w:type="dxa"/>
          </w:tcPr>
          <w:p w14:paraId="2B2602B5" w14:textId="24C257E1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NR</w:t>
            </w:r>
          </w:p>
        </w:tc>
      </w:tr>
      <w:tr w:rsidR="004C3377" w:rsidRPr="00D65AA2" w14:paraId="077642F3" w14:textId="77777777" w:rsidTr="00072B39">
        <w:tc>
          <w:tcPr>
            <w:tcW w:w="1157" w:type="dxa"/>
          </w:tcPr>
          <w:p w14:paraId="560A41DE" w14:textId="77777777" w:rsidR="004C3377" w:rsidRDefault="004C3377" w:rsidP="004C33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D65AA2">
              <w:rPr>
                <w:rFonts w:cs="Arial"/>
                <w:sz w:val="20"/>
                <w:szCs w:val="20"/>
              </w:rPr>
              <w:t>Vincelette</w:t>
            </w:r>
            <w:proofErr w:type="spellEnd"/>
            <w:r w:rsidRPr="00D65AA2">
              <w:rPr>
                <w:rFonts w:cs="Arial"/>
                <w:sz w:val="20"/>
                <w:szCs w:val="20"/>
              </w:rPr>
              <w:t xml:space="preserve"> et al., 1972</w:t>
            </w:r>
          </w:p>
          <w:p w14:paraId="471A16F1" w14:textId="78B4D396" w:rsidR="008B7395" w:rsidRPr="00D65AA2" w:rsidRDefault="008B7395" w:rsidP="002165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[2</w:t>
            </w:r>
            <w:r w:rsidR="005630CE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2529" w:type="dxa"/>
          </w:tcPr>
          <w:p w14:paraId="4EEF03ED" w14:textId="29124193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Football players &amp; unspecified gender matched control population; Montreal, Canada</w:t>
            </w:r>
          </w:p>
        </w:tc>
        <w:tc>
          <w:tcPr>
            <w:tcW w:w="1134" w:type="dxa"/>
          </w:tcPr>
          <w:p w14:paraId="605AABFA" w14:textId="572AB75C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3/5</w:t>
            </w:r>
          </w:p>
        </w:tc>
        <w:tc>
          <w:tcPr>
            <w:tcW w:w="942" w:type="dxa"/>
          </w:tcPr>
          <w:p w14:paraId="427675E9" w14:textId="69905004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1299" w:type="dxa"/>
          </w:tcPr>
          <w:p w14:paraId="55964B2D" w14:textId="3444A73E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19-30 (23)</w:t>
            </w:r>
          </w:p>
        </w:tc>
        <w:tc>
          <w:tcPr>
            <w:tcW w:w="883" w:type="dxa"/>
          </w:tcPr>
          <w:p w14:paraId="01CEEDE5" w14:textId="48D0BCA1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14:paraId="705E97FD" w14:textId="575F332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Ankle</w:t>
            </w:r>
          </w:p>
        </w:tc>
        <w:tc>
          <w:tcPr>
            <w:tcW w:w="1417" w:type="dxa"/>
          </w:tcPr>
          <w:p w14:paraId="0BE02067" w14:textId="77777777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NR,</w:t>
            </w:r>
          </w:p>
          <w:p w14:paraId="5C0383C0" w14:textId="3047CC30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423" w:type="dxa"/>
          </w:tcPr>
          <w:p w14:paraId="576B43B0" w14:textId="5323F54E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IRF (P/A): OST, SCL, Irregular joint line</w:t>
            </w:r>
          </w:p>
        </w:tc>
        <w:tc>
          <w:tcPr>
            <w:tcW w:w="1131" w:type="dxa"/>
          </w:tcPr>
          <w:p w14:paraId="0032EEB6" w14:textId="4D4B80CB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sz w:val="20"/>
                <w:szCs w:val="20"/>
              </w:rPr>
              <w:t>NR</w:t>
            </w:r>
          </w:p>
        </w:tc>
        <w:tc>
          <w:tcPr>
            <w:tcW w:w="1137" w:type="dxa"/>
          </w:tcPr>
          <w:p w14:paraId="2D86CE20" w14:textId="77777777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 xml:space="preserve">Mild OA = </w:t>
            </w:r>
          </w:p>
          <w:p w14:paraId="51A6744A" w14:textId="1B053F28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1 IRF</w:t>
            </w:r>
            <w:r w:rsidR="00D90AEB">
              <w:rPr>
                <w:rFonts w:cs="Arial"/>
                <w:color w:val="000000"/>
                <w:sz w:val="20"/>
                <w:szCs w:val="20"/>
              </w:rPr>
              <w:t>,</w:t>
            </w:r>
          </w:p>
          <w:p w14:paraId="7B37F40D" w14:textId="36F4CD71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Severe OA = 2-3 IRFs</w:t>
            </w:r>
          </w:p>
        </w:tc>
        <w:tc>
          <w:tcPr>
            <w:tcW w:w="1974" w:type="dxa"/>
          </w:tcPr>
          <w:p w14:paraId="0F7E8785" w14:textId="77777777" w:rsid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 xml:space="preserve">Football players: </w:t>
            </w:r>
          </w:p>
          <w:p w14:paraId="1E896FE8" w14:textId="77777777" w:rsid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 xml:space="preserve">mild = 30.0%, </w:t>
            </w:r>
          </w:p>
          <w:p w14:paraId="272F75E3" w14:textId="1996DE2B" w:rsidR="004C3377" w:rsidRP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severe = 63.0%;</w:t>
            </w:r>
          </w:p>
          <w:p w14:paraId="4DBBD08A" w14:textId="77777777" w:rsid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 xml:space="preserve">Controls: </w:t>
            </w:r>
          </w:p>
          <w:p w14:paraId="509EA692" w14:textId="77777777" w:rsidR="00D65AA2" w:rsidRDefault="004C3377" w:rsidP="004C3377">
            <w:pPr>
              <w:rPr>
                <w:rFonts w:cs="Arial"/>
                <w:color w:val="000000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mild = 6.0%,</w:t>
            </w:r>
          </w:p>
          <w:p w14:paraId="2C9A8DEF" w14:textId="77CBA61E" w:rsidR="004C3377" w:rsidRPr="00D65AA2" w:rsidRDefault="004C3377" w:rsidP="004C3377">
            <w:pPr>
              <w:rPr>
                <w:rFonts w:cs="Arial"/>
                <w:sz w:val="20"/>
                <w:szCs w:val="20"/>
              </w:rPr>
            </w:pPr>
            <w:r w:rsidRPr="00D65AA2">
              <w:rPr>
                <w:rFonts w:cs="Arial"/>
                <w:color w:val="000000"/>
                <w:sz w:val="20"/>
                <w:szCs w:val="20"/>
              </w:rPr>
              <w:t>severe = 0.0%</w:t>
            </w:r>
          </w:p>
        </w:tc>
      </w:tr>
    </w:tbl>
    <w:p w14:paraId="4EB1C325" w14:textId="5EB222F4" w:rsidR="0064341E" w:rsidRPr="004A3A53" w:rsidRDefault="00265D2E" w:rsidP="00C108E8">
      <w:pPr>
        <w:tabs>
          <w:tab w:val="left" w:pos="1356"/>
        </w:tabs>
        <w:spacing w:after="0" w:line="240" w:lineRule="auto"/>
        <w:ind w:left="-567" w:right="-881"/>
        <w:rPr>
          <w:rFonts w:cs="Arial"/>
          <w:sz w:val="20"/>
          <w:szCs w:val="20"/>
        </w:rPr>
      </w:pPr>
      <w:r w:rsidRPr="004A3A53">
        <w:rPr>
          <w:rFonts w:cs="Arial"/>
          <w:i/>
          <w:sz w:val="20"/>
          <w:szCs w:val="20"/>
        </w:rPr>
        <w:t xml:space="preserve">† </w:t>
      </w:r>
      <w:r w:rsidR="0043535D" w:rsidRPr="004A3A53">
        <w:rPr>
          <w:rFonts w:cs="Arial"/>
          <w:i/>
          <w:sz w:val="20"/>
          <w:szCs w:val="20"/>
        </w:rPr>
        <w:t xml:space="preserve">The Newcastle-Ottawa </w:t>
      </w:r>
      <w:r w:rsidR="00495E17" w:rsidRPr="004A3A53">
        <w:rPr>
          <w:rFonts w:cs="Arial"/>
          <w:i/>
          <w:sz w:val="20"/>
          <w:szCs w:val="20"/>
        </w:rPr>
        <w:t>quality assessment scale</w:t>
      </w:r>
      <w:r w:rsidR="0043535D" w:rsidRPr="004A3A53">
        <w:rPr>
          <w:rFonts w:cs="Arial"/>
          <w:i/>
          <w:sz w:val="20"/>
          <w:szCs w:val="20"/>
        </w:rPr>
        <w:t xml:space="preserve"> was </w:t>
      </w:r>
      <w:r w:rsidR="00495E17" w:rsidRPr="004A3A53">
        <w:rPr>
          <w:rFonts w:cs="Arial"/>
          <w:i/>
          <w:sz w:val="20"/>
          <w:szCs w:val="20"/>
        </w:rPr>
        <w:t xml:space="preserve">marked out of </w:t>
      </w:r>
      <w:r w:rsidR="00495E17" w:rsidRPr="00D42ED6">
        <w:rPr>
          <w:rFonts w:cs="Arial"/>
          <w:i/>
          <w:noProof/>
          <w:sz w:val="20"/>
          <w:szCs w:val="20"/>
        </w:rPr>
        <w:t>nine</w:t>
      </w:r>
      <w:r w:rsidR="00495E17" w:rsidRPr="004A3A53">
        <w:rPr>
          <w:rFonts w:cs="Arial"/>
          <w:i/>
          <w:sz w:val="20"/>
          <w:szCs w:val="20"/>
        </w:rPr>
        <w:t xml:space="preserve"> for cohort studies</w:t>
      </w:r>
      <w:r w:rsidR="0070725D">
        <w:rPr>
          <w:rFonts w:cs="Arial"/>
          <w:i/>
          <w:sz w:val="20"/>
          <w:szCs w:val="20"/>
        </w:rPr>
        <w:t xml:space="preserve"> (with 1 item contributing 2 points)</w:t>
      </w:r>
      <w:r w:rsidR="00495E17" w:rsidRPr="004A3A53">
        <w:rPr>
          <w:rFonts w:cs="Arial"/>
          <w:i/>
          <w:sz w:val="20"/>
          <w:szCs w:val="20"/>
        </w:rPr>
        <w:t xml:space="preserve"> and </w:t>
      </w:r>
      <w:r w:rsidR="0043535D" w:rsidRPr="004A3A53">
        <w:rPr>
          <w:rFonts w:cs="Arial"/>
          <w:i/>
          <w:sz w:val="20"/>
          <w:szCs w:val="20"/>
        </w:rPr>
        <w:t xml:space="preserve">modified </w:t>
      </w:r>
      <w:r w:rsidR="00495E17" w:rsidRPr="004A3A53">
        <w:rPr>
          <w:rFonts w:cs="Arial"/>
          <w:i/>
          <w:sz w:val="20"/>
          <w:szCs w:val="20"/>
        </w:rPr>
        <w:t xml:space="preserve">and </w:t>
      </w:r>
      <w:r w:rsidR="0043535D" w:rsidRPr="004A3A53">
        <w:rPr>
          <w:rFonts w:cs="Arial"/>
          <w:i/>
          <w:sz w:val="20"/>
          <w:szCs w:val="20"/>
        </w:rPr>
        <w:t>marked out of five for c</w:t>
      </w:r>
      <w:r w:rsidRPr="004A3A53">
        <w:rPr>
          <w:rFonts w:cs="Arial"/>
          <w:i/>
          <w:sz w:val="20"/>
          <w:szCs w:val="20"/>
        </w:rPr>
        <w:t>ross-</w:t>
      </w:r>
      <w:r w:rsidR="0043535D" w:rsidRPr="004A3A53">
        <w:rPr>
          <w:rFonts w:cs="Arial"/>
          <w:i/>
          <w:sz w:val="20"/>
          <w:szCs w:val="20"/>
        </w:rPr>
        <w:t>sectional</w:t>
      </w:r>
      <w:r w:rsidRPr="004A3A53">
        <w:rPr>
          <w:rFonts w:cs="Arial"/>
          <w:i/>
          <w:sz w:val="20"/>
          <w:szCs w:val="20"/>
        </w:rPr>
        <w:t xml:space="preserve"> </w:t>
      </w:r>
      <w:r w:rsidR="0043535D" w:rsidRPr="004A3A53">
        <w:rPr>
          <w:rFonts w:cs="Arial"/>
          <w:i/>
          <w:sz w:val="20"/>
          <w:szCs w:val="20"/>
        </w:rPr>
        <w:t>studies</w:t>
      </w:r>
      <w:r w:rsidR="00B51DD4">
        <w:rPr>
          <w:rFonts w:cs="Arial"/>
          <w:i/>
          <w:sz w:val="20"/>
          <w:szCs w:val="20"/>
        </w:rPr>
        <w:t xml:space="preserve"> with higher scores indicating </w:t>
      </w:r>
      <w:r w:rsidR="004A3901">
        <w:rPr>
          <w:rFonts w:cs="Arial"/>
          <w:i/>
          <w:sz w:val="20"/>
          <w:szCs w:val="20"/>
        </w:rPr>
        <w:t>more rigorous methodological design</w:t>
      </w:r>
      <w:r w:rsidR="0043535D" w:rsidRPr="004A3A53">
        <w:rPr>
          <w:rFonts w:cs="Arial"/>
          <w:i/>
          <w:sz w:val="20"/>
          <w:szCs w:val="20"/>
        </w:rPr>
        <w:t xml:space="preserve">. </w:t>
      </w:r>
      <w:r w:rsidR="00F71FB9" w:rsidRPr="00D42ED6">
        <w:rPr>
          <w:rFonts w:cs="Arial"/>
          <w:i/>
          <w:noProof/>
          <w:sz w:val="20"/>
          <w:szCs w:val="20"/>
        </w:rPr>
        <w:t xml:space="preserve">OA: Osteoarthritis; </w:t>
      </w:r>
      <w:r w:rsidR="00ED164D" w:rsidRPr="00033AF0">
        <w:rPr>
          <w:rFonts w:cs="Arial"/>
          <w:i/>
          <w:noProof/>
          <w:sz w:val="20"/>
          <w:szCs w:val="20"/>
        </w:rPr>
        <w:t>NR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ED164D" w:rsidRPr="00D42ED6">
        <w:rPr>
          <w:rFonts w:cs="Arial"/>
          <w:i/>
          <w:noProof/>
          <w:sz w:val="20"/>
          <w:szCs w:val="20"/>
        </w:rPr>
        <w:t xml:space="preserve"> Not reported; </w:t>
      </w:r>
      <w:r w:rsidR="00B24E5E" w:rsidRPr="00D42ED6">
        <w:rPr>
          <w:rFonts w:cs="Arial"/>
          <w:i/>
          <w:noProof/>
          <w:sz w:val="20"/>
          <w:szCs w:val="20"/>
        </w:rPr>
        <w:t>NA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B24E5E" w:rsidRPr="00D42ED6">
        <w:rPr>
          <w:rFonts w:cs="Arial"/>
          <w:i/>
          <w:noProof/>
          <w:sz w:val="20"/>
          <w:szCs w:val="20"/>
        </w:rPr>
        <w:t xml:space="preserve"> Not applicable; </w:t>
      </w:r>
      <w:r w:rsidR="00E16678" w:rsidRPr="00D42ED6">
        <w:rPr>
          <w:rFonts w:cs="Arial"/>
          <w:i/>
          <w:noProof/>
          <w:sz w:val="20"/>
          <w:szCs w:val="20"/>
        </w:rPr>
        <w:t>WB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</w:t>
      </w:r>
      <w:r w:rsidR="00E16678" w:rsidRPr="00D42ED6">
        <w:rPr>
          <w:rFonts w:cs="Arial"/>
          <w:i/>
          <w:noProof/>
          <w:sz w:val="20"/>
          <w:szCs w:val="20"/>
        </w:rPr>
        <w:t>Weight-bearing</w:t>
      </w:r>
      <w:r w:rsidR="00563D6E" w:rsidRPr="00D42ED6">
        <w:rPr>
          <w:rFonts w:cs="Arial"/>
          <w:i/>
          <w:noProof/>
          <w:sz w:val="20"/>
          <w:szCs w:val="20"/>
        </w:rPr>
        <w:t>;</w:t>
      </w:r>
      <w:r w:rsidR="00E16678" w:rsidRPr="00D42ED6">
        <w:rPr>
          <w:rFonts w:cs="Arial"/>
          <w:i/>
          <w:noProof/>
          <w:sz w:val="20"/>
          <w:szCs w:val="20"/>
        </w:rPr>
        <w:t xml:space="preserve"> NWB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</w:t>
      </w:r>
      <w:r w:rsidR="00E16678" w:rsidRPr="00D42ED6">
        <w:rPr>
          <w:rFonts w:cs="Arial"/>
          <w:i/>
          <w:noProof/>
          <w:sz w:val="20"/>
          <w:szCs w:val="20"/>
        </w:rPr>
        <w:t>Non weight-bearing</w:t>
      </w:r>
      <w:r w:rsidR="00563D6E" w:rsidRPr="00D42ED6">
        <w:rPr>
          <w:rFonts w:cs="Arial"/>
          <w:i/>
          <w:noProof/>
          <w:sz w:val="20"/>
          <w:szCs w:val="20"/>
        </w:rPr>
        <w:t xml:space="preserve">; </w:t>
      </w:r>
      <w:r w:rsidR="00E16678" w:rsidRPr="00D42ED6">
        <w:rPr>
          <w:rFonts w:cs="Arial"/>
          <w:i/>
          <w:noProof/>
          <w:sz w:val="20"/>
          <w:szCs w:val="20"/>
        </w:rPr>
        <w:t>AP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</w:t>
      </w:r>
      <w:r w:rsidR="00E16678" w:rsidRPr="00D42ED6">
        <w:rPr>
          <w:rFonts w:cs="Arial"/>
          <w:i/>
          <w:noProof/>
          <w:sz w:val="20"/>
          <w:szCs w:val="20"/>
        </w:rPr>
        <w:t>Anterior-Posterior View</w:t>
      </w:r>
      <w:r w:rsidR="00563D6E" w:rsidRPr="00D42ED6">
        <w:rPr>
          <w:rFonts w:cs="Arial"/>
          <w:i/>
          <w:noProof/>
          <w:sz w:val="20"/>
          <w:szCs w:val="20"/>
        </w:rPr>
        <w:t xml:space="preserve">; </w:t>
      </w:r>
      <w:r w:rsidR="00E16678" w:rsidRPr="00D42ED6">
        <w:rPr>
          <w:rFonts w:cs="Arial"/>
          <w:i/>
          <w:noProof/>
          <w:sz w:val="20"/>
          <w:szCs w:val="20"/>
        </w:rPr>
        <w:t>LAT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</w:t>
      </w:r>
      <w:r w:rsidR="00E16678" w:rsidRPr="00D42ED6">
        <w:rPr>
          <w:rFonts w:cs="Arial"/>
          <w:i/>
          <w:noProof/>
          <w:sz w:val="20"/>
          <w:szCs w:val="20"/>
        </w:rPr>
        <w:t>Lateral View</w:t>
      </w:r>
      <w:r w:rsidR="00563D6E" w:rsidRPr="00D42ED6">
        <w:rPr>
          <w:rFonts w:cs="Arial"/>
          <w:i/>
          <w:noProof/>
          <w:sz w:val="20"/>
          <w:szCs w:val="20"/>
        </w:rPr>
        <w:t>; IRF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Individual Radiographic Features; </w:t>
      </w:r>
      <w:r w:rsidR="002A459E" w:rsidRPr="00D42ED6">
        <w:rPr>
          <w:rFonts w:cs="Arial"/>
          <w:i/>
          <w:noProof/>
          <w:color w:val="000000"/>
          <w:sz w:val="20"/>
          <w:szCs w:val="20"/>
        </w:rPr>
        <w:t>P/A</w:t>
      </w:r>
      <w:r w:rsidR="0084510A" w:rsidRPr="00D42ED6">
        <w:rPr>
          <w:rFonts w:cs="Arial"/>
          <w:i/>
          <w:noProof/>
          <w:color w:val="000000"/>
          <w:sz w:val="20"/>
          <w:szCs w:val="20"/>
        </w:rPr>
        <w:t>:</w:t>
      </w:r>
      <w:r w:rsidR="002A459E" w:rsidRPr="00D42ED6">
        <w:rPr>
          <w:rFonts w:cs="Arial"/>
          <w:i/>
          <w:noProof/>
          <w:color w:val="000000"/>
          <w:sz w:val="20"/>
          <w:szCs w:val="20"/>
        </w:rPr>
        <w:t xml:space="preserve"> Presence/absence; </w:t>
      </w:r>
      <w:r w:rsidR="00563D6E" w:rsidRPr="00D42ED6">
        <w:rPr>
          <w:rFonts w:cs="Arial"/>
          <w:i/>
          <w:noProof/>
          <w:sz w:val="20"/>
          <w:szCs w:val="20"/>
        </w:rPr>
        <w:t>OST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Osteophytes; JSN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Joint Space Narrowing; LB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Loose Bodies; NBF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63D6E" w:rsidRPr="00D42ED6">
        <w:rPr>
          <w:rFonts w:cs="Arial"/>
          <w:i/>
          <w:noProof/>
          <w:sz w:val="20"/>
          <w:szCs w:val="20"/>
        </w:rPr>
        <w:t xml:space="preserve"> New Bone Formation; S</w:t>
      </w:r>
      <w:r w:rsidR="002A459E" w:rsidRPr="00D42ED6">
        <w:rPr>
          <w:rFonts w:cs="Arial"/>
          <w:i/>
          <w:noProof/>
          <w:sz w:val="20"/>
          <w:szCs w:val="20"/>
        </w:rPr>
        <w:t>CL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2A459E" w:rsidRPr="00D42ED6">
        <w:rPr>
          <w:rFonts w:cs="Arial"/>
          <w:i/>
          <w:noProof/>
          <w:sz w:val="20"/>
          <w:szCs w:val="20"/>
        </w:rPr>
        <w:t xml:space="preserve"> </w:t>
      </w:r>
      <w:r w:rsidR="00563D6E" w:rsidRPr="00D42ED6">
        <w:rPr>
          <w:rFonts w:cs="Arial"/>
          <w:i/>
          <w:noProof/>
          <w:sz w:val="20"/>
          <w:szCs w:val="20"/>
        </w:rPr>
        <w:t>Sclerosis</w:t>
      </w:r>
      <w:r w:rsidR="002A459E" w:rsidRPr="00D42ED6">
        <w:rPr>
          <w:rFonts w:cs="Arial"/>
          <w:i/>
          <w:noProof/>
          <w:sz w:val="20"/>
          <w:szCs w:val="20"/>
        </w:rPr>
        <w:t>; CYT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2A459E" w:rsidRPr="00D42ED6">
        <w:rPr>
          <w:rFonts w:cs="Arial"/>
          <w:i/>
          <w:noProof/>
          <w:sz w:val="20"/>
          <w:szCs w:val="20"/>
        </w:rPr>
        <w:t xml:space="preserve"> Cysts; </w:t>
      </w:r>
      <w:r w:rsidR="00590E45" w:rsidRPr="00D42ED6">
        <w:rPr>
          <w:rFonts w:cs="Arial"/>
          <w:i/>
          <w:noProof/>
          <w:sz w:val="20"/>
          <w:szCs w:val="20"/>
        </w:rPr>
        <w:t>JSW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590E45" w:rsidRPr="00D42ED6">
        <w:rPr>
          <w:rFonts w:cs="Arial"/>
          <w:i/>
          <w:noProof/>
          <w:sz w:val="20"/>
          <w:szCs w:val="20"/>
        </w:rPr>
        <w:t xml:space="preserve"> Joint Space Width; </w:t>
      </w:r>
      <w:r w:rsidR="00E8107B" w:rsidRPr="00D42ED6">
        <w:rPr>
          <w:rFonts w:cs="Arial"/>
          <w:i/>
          <w:noProof/>
          <w:sz w:val="20"/>
          <w:szCs w:val="20"/>
        </w:rPr>
        <w:t>BD</w:t>
      </w:r>
      <w:r w:rsidR="0084510A" w:rsidRPr="00D42ED6">
        <w:rPr>
          <w:rFonts w:cs="Arial"/>
          <w:i/>
          <w:noProof/>
          <w:sz w:val="20"/>
          <w:szCs w:val="20"/>
        </w:rPr>
        <w:t>:</w:t>
      </w:r>
      <w:r w:rsidR="00E8107B" w:rsidRPr="00D42ED6">
        <w:rPr>
          <w:rFonts w:cs="Arial"/>
          <w:i/>
          <w:noProof/>
          <w:sz w:val="20"/>
          <w:szCs w:val="20"/>
        </w:rPr>
        <w:t xml:space="preserve"> Bone Destruction; </w:t>
      </w:r>
      <w:r w:rsidR="00E16678" w:rsidRPr="00D42ED6">
        <w:rPr>
          <w:rFonts w:cs="Arial"/>
          <w:i/>
          <w:noProof/>
          <w:color w:val="000000"/>
          <w:sz w:val="20"/>
          <w:szCs w:val="20"/>
        </w:rPr>
        <w:t>K</w:t>
      </w:r>
      <w:r w:rsidR="0084510A" w:rsidRPr="00D42ED6">
        <w:rPr>
          <w:rFonts w:cs="Arial"/>
          <w:i/>
          <w:noProof/>
          <w:color w:val="000000"/>
          <w:sz w:val="20"/>
          <w:szCs w:val="20"/>
        </w:rPr>
        <w:t>:</w:t>
      </w:r>
      <w:r w:rsidR="002A459E" w:rsidRPr="00D42ED6">
        <w:rPr>
          <w:rFonts w:cs="Arial"/>
          <w:i/>
          <w:noProof/>
          <w:color w:val="000000"/>
          <w:sz w:val="20"/>
          <w:szCs w:val="20"/>
        </w:rPr>
        <w:t xml:space="preserve"> </w:t>
      </w:r>
      <w:r w:rsidR="00E16678" w:rsidRPr="00D42ED6">
        <w:rPr>
          <w:rFonts w:cs="Arial"/>
          <w:i/>
          <w:noProof/>
          <w:color w:val="000000"/>
          <w:sz w:val="20"/>
          <w:szCs w:val="20"/>
        </w:rPr>
        <w:t>Kappa</w:t>
      </w:r>
      <w:r w:rsidR="00617350" w:rsidRPr="00D42ED6">
        <w:rPr>
          <w:rFonts w:cs="Arial"/>
          <w:i/>
          <w:noProof/>
          <w:color w:val="000000"/>
          <w:sz w:val="20"/>
          <w:szCs w:val="20"/>
        </w:rPr>
        <w:t>.</w:t>
      </w:r>
    </w:p>
    <w:p w14:paraId="0DCB11F4" w14:textId="77777777" w:rsidR="0064341E" w:rsidRPr="00D3657C" w:rsidRDefault="0064341E">
      <w:pPr>
        <w:spacing w:after="0" w:line="480" w:lineRule="auto"/>
        <w:rPr>
          <w:rFonts w:cs="Arial"/>
        </w:rPr>
        <w:sectPr w:rsidR="0064341E" w:rsidRPr="00D3657C" w:rsidSect="001C77F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262B08E" w14:textId="7B096D94" w:rsidR="002B6786" w:rsidRPr="008D179A" w:rsidRDefault="002B6786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lastRenderedPageBreak/>
        <w:t>Prevalence estimates</w:t>
      </w:r>
      <w:r w:rsidR="00234440" w:rsidRPr="008D179A">
        <w:rPr>
          <w:rFonts w:cs="Arial"/>
          <w:b/>
          <w:sz w:val="32"/>
          <w:szCs w:val="32"/>
        </w:rPr>
        <w:t xml:space="preserve"> of radiographic ankle OA</w:t>
      </w:r>
    </w:p>
    <w:p w14:paraId="35138C3E" w14:textId="78411A5D" w:rsidR="003B7967" w:rsidRPr="009F45DA" w:rsidRDefault="007955D3">
      <w:pPr>
        <w:spacing w:after="0" w:line="480" w:lineRule="auto"/>
        <w:rPr>
          <w:rFonts w:cs="Arial"/>
        </w:rPr>
      </w:pPr>
      <w:r>
        <w:rPr>
          <w:rFonts w:cs="Arial"/>
          <w:noProof/>
        </w:rPr>
        <w:t>Thirteen</w:t>
      </w:r>
      <w:r w:rsidR="00944CFF" w:rsidRPr="00D42ED6">
        <w:rPr>
          <w:rFonts w:cs="Arial"/>
          <w:noProof/>
        </w:rPr>
        <w:t xml:space="preserve"> </w:t>
      </w:r>
      <w:r w:rsidR="00104692" w:rsidRPr="00D42ED6">
        <w:rPr>
          <w:rFonts w:cs="Arial"/>
          <w:noProof/>
        </w:rPr>
        <w:t xml:space="preserve">publications reported prevalence estimates </w:t>
      </w:r>
      <w:r w:rsidR="00172365" w:rsidRPr="00D42ED6">
        <w:rPr>
          <w:rFonts w:cs="Arial"/>
          <w:noProof/>
        </w:rPr>
        <w:t xml:space="preserve">for radiographic ankle OA </w:t>
      </w:r>
      <w:r w:rsidR="00F80592" w:rsidRPr="00D42ED6">
        <w:rPr>
          <w:rFonts w:cs="Arial"/>
          <w:noProof/>
        </w:rPr>
        <w:t xml:space="preserve">ranging from 0.0% </w:t>
      </w:r>
      <w:r w:rsidR="00AD1C4C" w:rsidRPr="00D42ED6">
        <w:rPr>
          <w:rFonts w:cs="Arial"/>
          <w:noProof/>
        </w:rPr>
        <w:t>populations of runners, non-</w:t>
      </w:r>
      <w:r w:rsidR="009E7F31" w:rsidRPr="00D42ED6">
        <w:rPr>
          <w:rFonts w:cs="Arial"/>
          <w:noProof/>
        </w:rPr>
        <w:t xml:space="preserve">runners and </w:t>
      </w:r>
      <w:r w:rsidR="00AD1C4C" w:rsidRPr="00D42ED6">
        <w:rPr>
          <w:rFonts w:cs="Arial"/>
          <w:noProof/>
        </w:rPr>
        <w:t xml:space="preserve">those </w:t>
      </w:r>
      <w:r w:rsidR="002D1F85" w:rsidRPr="00D42ED6">
        <w:rPr>
          <w:rFonts w:cs="Arial"/>
          <w:noProof/>
        </w:rPr>
        <w:t xml:space="preserve">with reported lower limb injuries or pain </w:t>
      </w:r>
      <w:r w:rsidR="00473675" w:rsidRPr="00D42ED6">
        <w:rPr>
          <w:rFonts w:cs="Arial"/>
          <w:noProof/>
        </w:rPr>
        <w:t>[1</w:t>
      </w:r>
      <w:r w:rsidR="00216558">
        <w:rPr>
          <w:rFonts w:cs="Arial"/>
          <w:noProof/>
        </w:rPr>
        <w:t>9</w:t>
      </w:r>
      <w:r w:rsidR="00AD1C4C" w:rsidRPr="00D42ED6">
        <w:rPr>
          <w:rFonts w:cs="Arial"/>
          <w:noProof/>
        </w:rPr>
        <w:t>,</w:t>
      </w:r>
      <w:r w:rsidR="00216558">
        <w:rPr>
          <w:rFonts w:cs="Arial"/>
          <w:noProof/>
        </w:rPr>
        <w:t>10</w:t>
      </w:r>
      <w:r w:rsidR="0035163A" w:rsidRPr="00D42ED6">
        <w:rPr>
          <w:rFonts w:cs="Arial"/>
          <w:noProof/>
        </w:rPr>
        <w:t xml:space="preserve">] </w:t>
      </w:r>
      <w:r w:rsidR="002D1F85" w:rsidRPr="00D42ED6">
        <w:rPr>
          <w:rFonts w:cs="Arial"/>
          <w:noProof/>
        </w:rPr>
        <w:t>to 97.1</w:t>
      </w:r>
      <w:r w:rsidR="00F80592" w:rsidRPr="00D42ED6">
        <w:rPr>
          <w:rFonts w:cs="Arial"/>
          <w:noProof/>
        </w:rPr>
        <w:t xml:space="preserve">% </w:t>
      </w:r>
      <w:r w:rsidR="00584A94" w:rsidRPr="00D42ED6">
        <w:rPr>
          <w:rFonts w:cs="Arial"/>
          <w:noProof/>
        </w:rPr>
        <w:t>in</w:t>
      </w:r>
      <w:r w:rsidR="0052125E" w:rsidRPr="00D42ED6">
        <w:rPr>
          <w:rFonts w:cs="Arial"/>
          <w:noProof/>
        </w:rPr>
        <w:t xml:space="preserve"> a population of</w:t>
      </w:r>
      <w:r w:rsidR="002D1F85" w:rsidRPr="00D42ED6">
        <w:rPr>
          <w:rFonts w:cs="Arial"/>
          <w:noProof/>
        </w:rPr>
        <w:t xml:space="preserve"> football players </w:t>
      </w:r>
      <w:r w:rsidR="00473675" w:rsidRPr="00D42ED6">
        <w:rPr>
          <w:rFonts w:cs="Arial"/>
          <w:noProof/>
        </w:rPr>
        <w:t>[</w:t>
      </w:r>
      <w:r w:rsidR="00216558">
        <w:rPr>
          <w:rFonts w:cs="Arial"/>
          <w:noProof/>
        </w:rPr>
        <w:t>11</w:t>
      </w:r>
      <w:r w:rsidR="0035163A" w:rsidRPr="00D42ED6">
        <w:rPr>
          <w:rFonts w:cs="Arial"/>
          <w:noProof/>
        </w:rPr>
        <w:t xml:space="preserve">] </w:t>
      </w:r>
      <w:r w:rsidR="00104692" w:rsidRPr="00D42ED6">
        <w:rPr>
          <w:rFonts w:cs="Arial"/>
          <w:noProof/>
        </w:rPr>
        <w:t>however</w:t>
      </w:r>
      <w:r w:rsidR="00BE15FA" w:rsidRPr="00D42ED6">
        <w:rPr>
          <w:rFonts w:cs="Arial"/>
          <w:noProof/>
        </w:rPr>
        <w:t>,</w:t>
      </w:r>
      <w:r w:rsidR="00104692" w:rsidRPr="00D42ED6">
        <w:rPr>
          <w:rFonts w:cs="Arial"/>
          <w:noProof/>
        </w:rPr>
        <w:t xml:space="preserve"> none of the</w:t>
      </w:r>
      <w:r w:rsidR="001A0433" w:rsidRPr="00D42ED6">
        <w:rPr>
          <w:rFonts w:cs="Arial"/>
          <w:noProof/>
        </w:rPr>
        <w:t>se</w:t>
      </w:r>
      <w:r w:rsidR="00104692" w:rsidRPr="00D42ED6">
        <w:rPr>
          <w:rFonts w:cs="Arial"/>
          <w:noProof/>
        </w:rPr>
        <w:t xml:space="preserve"> were representative of </w:t>
      </w:r>
      <w:r w:rsidR="00EC3E08" w:rsidRPr="00D42ED6">
        <w:rPr>
          <w:rFonts w:cs="Arial"/>
          <w:noProof/>
        </w:rPr>
        <w:t xml:space="preserve">a </w:t>
      </w:r>
      <w:r w:rsidR="00104692" w:rsidRPr="00D42ED6">
        <w:rPr>
          <w:rFonts w:cs="Arial"/>
          <w:noProof/>
        </w:rPr>
        <w:t>general population</w:t>
      </w:r>
      <w:r w:rsidR="00BD4A0E" w:rsidRPr="00D42ED6">
        <w:rPr>
          <w:rFonts w:cs="Arial"/>
          <w:noProof/>
        </w:rPr>
        <w:t xml:space="preserve"> (Table 1)</w:t>
      </w:r>
      <w:r w:rsidR="002D1F85" w:rsidRPr="00D42ED6">
        <w:rPr>
          <w:rFonts w:cs="Arial"/>
          <w:noProof/>
        </w:rPr>
        <w:t xml:space="preserve"> [</w:t>
      </w:r>
      <w:r w:rsidR="00D1572E">
        <w:rPr>
          <w:rFonts w:cs="Arial"/>
          <w:noProof/>
        </w:rPr>
        <w:t>10,11,</w:t>
      </w:r>
      <w:r w:rsidR="00473675" w:rsidRPr="00D42ED6">
        <w:rPr>
          <w:rFonts w:cs="Arial"/>
          <w:noProof/>
        </w:rPr>
        <w:t>1</w:t>
      </w:r>
      <w:r w:rsidR="00526D76">
        <w:rPr>
          <w:rFonts w:cs="Arial"/>
          <w:noProof/>
        </w:rPr>
        <w:t>5</w:t>
      </w:r>
      <w:r w:rsidR="00473675" w:rsidRPr="00D42ED6">
        <w:rPr>
          <w:rFonts w:cs="Arial"/>
          <w:noProof/>
        </w:rPr>
        <w:t>,1</w:t>
      </w:r>
      <w:r w:rsidR="00526D76">
        <w:rPr>
          <w:rFonts w:cs="Arial"/>
          <w:noProof/>
        </w:rPr>
        <w:t>6</w:t>
      </w:r>
      <w:r w:rsidR="002D1F85" w:rsidRPr="00D42ED6">
        <w:rPr>
          <w:rFonts w:cs="Arial"/>
          <w:noProof/>
        </w:rPr>
        <w:t>,1</w:t>
      </w:r>
      <w:r w:rsidR="00526D76">
        <w:rPr>
          <w:rFonts w:cs="Arial"/>
          <w:noProof/>
        </w:rPr>
        <w:t>8</w:t>
      </w:r>
      <w:r w:rsidR="00473675" w:rsidRPr="00D42ED6">
        <w:rPr>
          <w:rFonts w:cs="Arial"/>
          <w:noProof/>
        </w:rPr>
        <w:t>,1</w:t>
      </w:r>
      <w:r w:rsidR="00526D76">
        <w:rPr>
          <w:rFonts w:cs="Arial"/>
          <w:noProof/>
        </w:rPr>
        <w:t>9</w:t>
      </w:r>
      <w:r w:rsidR="00473675" w:rsidRPr="00D42ED6">
        <w:rPr>
          <w:rFonts w:cs="Arial"/>
          <w:noProof/>
        </w:rPr>
        <w:t>,</w:t>
      </w:r>
      <w:r w:rsidR="00526D76">
        <w:rPr>
          <w:rFonts w:cs="Arial"/>
          <w:noProof/>
        </w:rPr>
        <w:t>21</w:t>
      </w:r>
      <w:r w:rsidR="00473675" w:rsidRPr="00D42ED6">
        <w:rPr>
          <w:rFonts w:cs="Arial"/>
          <w:noProof/>
        </w:rPr>
        <w:t>,2</w:t>
      </w:r>
      <w:r w:rsidR="00D1572E">
        <w:rPr>
          <w:rFonts w:cs="Arial"/>
          <w:noProof/>
        </w:rPr>
        <w:t>3</w:t>
      </w:r>
      <w:r w:rsidR="00473675" w:rsidRPr="00D42ED6">
        <w:rPr>
          <w:rFonts w:cs="Arial"/>
          <w:noProof/>
        </w:rPr>
        <w:t>-27</w:t>
      </w:r>
      <w:r>
        <w:rPr>
          <w:rFonts w:cs="Arial"/>
          <w:noProof/>
        </w:rPr>
        <w:t>,30</w:t>
      </w:r>
      <w:r w:rsidR="002D1F85" w:rsidRPr="00D42ED6">
        <w:rPr>
          <w:rFonts w:cs="Arial"/>
          <w:noProof/>
        </w:rPr>
        <w:t>]</w:t>
      </w:r>
      <w:r w:rsidR="00104692" w:rsidRPr="00D42ED6">
        <w:rPr>
          <w:rFonts w:cs="Arial"/>
          <w:noProof/>
        </w:rPr>
        <w:t>.</w:t>
      </w:r>
      <w:r w:rsidR="00104692" w:rsidRPr="009F45DA">
        <w:rPr>
          <w:rFonts w:cs="Arial"/>
        </w:rPr>
        <w:t xml:space="preserve"> </w:t>
      </w:r>
      <w:r>
        <w:rPr>
          <w:rFonts w:cs="Arial"/>
        </w:rPr>
        <w:t>Eight</w:t>
      </w:r>
      <w:r w:rsidR="003D55AA" w:rsidRPr="009F45DA">
        <w:rPr>
          <w:rFonts w:cs="Arial"/>
        </w:rPr>
        <w:t xml:space="preserve"> publications presented comparison estimates between select population</w:t>
      </w:r>
      <w:r w:rsidR="00172365" w:rsidRPr="00D23119">
        <w:rPr>
          <w:rFonts w:cs="Arial"/>
        </w:rPr>
        <w:t>s</w:t>
      </w:r>
      <w:r w:rsidR="003D55AA" w:rsidRPr="00D23119">
        <w:rPr>
          <w:rFonts w:cs="Arial"/>
        </w:rPr>
        <w:t xml:space="preserve"> and a control group</w:t>
      </w:r>
      <w:r w:rsidR="00405A62" w:rsidRPr="00D23119">
        <w:rPr>
          <w:rFonts w:cs="Arial"/>
        </w:rPr>
        <w:t xml:space="preserve">, with </w:t>
      </w:r>
      <w:r w:rsidR="004D3CC5">
        <w:rPr>
          <w:rFonts w:cs="Arial"/>
        </w:rPr>
        <w:t xml:space="preserve">higher </w:t>
      </w:r>
      <w:r w:rsidR="00405A62" w:rsidRPr="00D23119">
        <w:rPr>
          <w:rFonts w:cs="Arial"/>
        </w:rPr>
        <w:t>estimates</w:t>
      </w:r>
      <w:r w:rsidR="0035163A">
        <w:rPr>
          <w:rFonts w:cs="Arial"/>
        </w:rPr>
        <w:t xml:space="preserve"> </w:t>
      </w:r>
      <w:r w:rsidR="00405A62" w:rsidRPr="00D23119">
        <w:rPr>
          <w:rFonts w:cs="Arial"/>
        </w:rPr>
        <w:t xml:space="preserve">for the selected population </w:t>
      </w:r>
      <w:r w:rsidR="004D3CC5">
        <w:rPr>
          <w:rFonts w:cs="Arial"/>
        </w:rPr>
        <w:t>compared to</w:t>
      </w:r>
      <w:r w:rsidR="004D3CC5" w:rsidRPr="00D23119">
        <w:rPr>
          <w:rFonts w:cs="Arial"/>
        </w:rPr>
        <w:t xml:space="preserve"> </w:t>
      </w:r>
      <w:r w:rsidR="00405A62" w:rsidRPr="00D23119">
        <w:rPr>
          <w:rFonts w:cs="Arial"/>
        </w:rPr>
        <w:t>the control group</w:t>
      </w:r>
      <w:r w:rsidR="00584A94">
        <w:rPr>
          <w:rFonts w:cs="Arial"/>
        </w:rPr>
        <w:t xml:space="preserve"> in each study</w:t>
      </w:r>
      <w:r w:rsidR="003C1619">
        <w:rPr>
          <w:rFonts w:cs="Arial"/>
        </w:rPr>
        <w:t xml:space="preserve"> [</w:t>
      </w:r>
      <w:r w:rsidR="00651173">
        <w:rPr>
          <w:rFonts w:cs="Arial"/>
        </w:rPr>
        <w:t>10</w:t>
      </w:r>
      <w:proofErr w:type="gramStart"/>
      <w:r w:rsidR="00651173">
        <w:rPr>
          <w:rFonts w:cs="Arial"/>
        </w:rPr>
        <w:t>,11,</w:t>
      </w:r>
      <w:r w:rsidR="00F221C2" w:rsidRPr="003C1619">
        <w:rPr>
          <w:rFonts w:cs="Arial"/>
        </w:rPr>
        <w:t>1</w:t>
      </w:r>
      <w:r w:rsidR="00651173">
        <w:rPr>
          <w:rFonts w:cs="Arial"/>
        </w:rPr>
        <w:t>5</w:t>
      </w:r>
      <w:r w:rsidR="00405A62" w:rsidRPr="003C1619">
        <w:rPr>
          <w:rFonts w:cs="Arial"/>
        </w:rPr>
        <w:t>,1</w:t>
      </w:r>
      <w:r w:rsidR="00651173">
        <w:rPr>
          <w:rFonts w:cs="Arial"/>
        </w:rPr>
        <w:t>8</w:t>
      </w:r>
      <w:proofErr w:type="gramEnd"/>
      <w:r w:rsidR="00F221C2" w:rsidRPr="003C1619">
        <w:rPr>
          <w:rFonts w:cs="Arial"/>
        </w:rPr>
        <w:t>,,1</w:t>
      </w:r>
      <w:r w:rsidR="00473675">
        <w:rPr>
          <w:rFonts w:cs="Arial"/>
        </w:rPr>
        <w:t>9</w:t>
      </w:r>
      <w:r w:rsidR="00F221C2" w:rsidRPr="003C1619">
        <w:rPr>
          <w:rFonts w:cs="Arial"/>
        </w:rPr>
        <w:t>,2</w:t>
      </w:r>
      <w:r w:rsidR="00651173">
        <w:rPr>
          <w:rFonts w:cs="Arial"/>
        </w:rPr>
        <w:t>1</w:t>
      </w:r>
      <w:r w:rsidR="00F221C2" w:rsidRPr="003C1619">
        <w:rPr>
          <w:rFonts w:cs="Arial"/>
        </w:rPr>
        <w:t>,2</w:t>
      </w:r>
      <w:r w:rsidR="00473675">
        <w:rPr>
          <w:rFonts w:cs="Arial"/>
        </w:rPr>
        <w:t>5</w:t>
      </w:r>
      <w:r w:rsidR="00F221C2" w:rsidRPr="003C1619">
        <w:rPr>
          <w:rFonts w:cs="Arial"/>
        </w:rPr>
        <w:t>,</w:t>
      </w:r>
      <w:r>
        <w:rPr>
          <w:rFonts w:cs="Arial"/>
        </w:rPr>
        <w:t>30</w:t>
      </w:r>
      <w:r w:rsidR="003C1619">
        <w:rPr>
          <w:rFonts w:cs="Arial"/>
        </w:rPr>
        <w:t>]</w:t>
      </w:r>
      <w:r w:rsidR="00F221C2" w:rsidRPr="003C1619">
        <w:rPr>
          <w:rFonts w:cs="Arial"/>
        </w:rPr>
        <w:t>.</w:t>
      </w:r>
      <w:r w:rsidR="003D55AA" w:rsidRPr="003C1619">
        <w:rPr>
          <w:rFonts w:cs="Arial"/>
        </w:rPr>
        <w:t xml:space="preserve"> </w:t>
      </w:r>
      <w:r w:rsidR="00B965E9" w:rsidRPr="003C1619">
        <w:rPr>
          <w:rFonts w:cs="Arial"/>
        </w:rPr>
        <w:t>I</w:t>
      </w:r>
      <w:r w:rsidR="00172365" w:rsidRPr="003C1619">
        <w:rPr>
          <w:rFonts w:cs="Arial"/>
        </w:rPr>
        <w:t xml:space="preserve">n </w:t>
      </w:r>
      <w:r w:rsidR="00B965E9" w:rsidRPr="003C1619">
        <w:rPr>
          <w:rFonts w:cs="Arial"/>
        </w:rPr>
        <w:t xml:space="preserve">only </w:t>
      </w:r>
      <w:r w:rsidR="00104692" w:rsidRPr="003C1619">
        <w:rPr>
          <w:rFonts w:cs="Arial"/>
        </w:rPr>
        <w:t xml:space="preserve">one study </w:t>
      </w:r>
      <w:r w:rsidR="00172365" w:rsidRPr="003C1619">
        <w:rPr>
          <w:rFonts w:cs="Arial"/>
        </w:rPr>
        <w:t xml:space="preserve">were the prevalence estimates for radiographic ankle OA </w:t>
      </w:r>
      <w:r w:rsidR="00104692" w:rsidRPr="003C1619">
        <w:rPr>
          <w:rFonts w:cs="Arial"/>
        </w:rPr>
        <w:t xml:space="preserve">stratified </w:t>
      </w:r>
      <w:r w:rsidR="00F22631" w:rsidRPr="003C1619">
        <w:rPr>
          <w:rFonts w:cs="Arial"/>
        </w:rPr>
        <w:t>by</w:t>
      </w:r>
      <w:r w:rsidR="00104692" w:rsidRPr="003C1619">
        <w:rPr>
          <w:rFonts w:cs="Arial"/>
        </w:rPr>
        <w:t xml:space="preserve"> age</w:t>
      </w:r>
      <w:r w:rsidR="003C1619">
        <w:rPr>
          <w:rFonts w:cs="Arial"/>
        </w:rPr>
        <w:t xml:space="preserve"> </w:t>
      </w:r>
      <w:r w:rsidR="003D2FE1">
        <w:rPr>
          <w:rFonts w:cs="Arial"/>
        </w:rPr>
        <w:t xml:space="preserve">and then only for the control group </w:t>
      </w:r>
      <w:r w:rsidR="003C1619">
        <w:rPr>
          <w:rFonts w:cs="Arial"/>
        </w:rPr>
        <w:t>[</w:t>
      </w:r>
      <w:r w:rsidR="003D2FE1">
        <w:rPr>
          <w:rFonts w:cs="Arial"/>
        </w:rPr>
        <w:t>11</w:t>
      </w:r>
      <w:r w:rsidR="003C1619" w:rsidRPr="002B1000">
        <w:rPr>
          <w:rFonts w:cs="Arial"/>
        </w:rPr>
        <w:t>]</w:t>
      </w:r>
      <w:r w:rsidR="00104692" w:rsidRPr="002B1000">
        <w:rPr>
          <w:rFonts w:cs="Arial"/>
        </w:rPr>
        <w:t xml:space="preserve">. As a result of this, it was not possible to </w:t>
      </w:r>
      <w:r w:rsidR="00B965E9" w:rsidRPr="002B1000">
        <w:rPr>
          <w:rFonts w:cs="Arial"/>
        </w:rPr>
        <w:t xml:space="preserve">undertake a meta-analysis to calculate a </w:t>
      </w:r>
      <w:r w:rsidR="00104692" w:rsidRPr="002B1000">
        <w:rPr>
          <w:rFonts w:cs="Arial"/>
        </w:rPr>
        <w:t>pool</w:t>
      </w:r>
      <w:r w:rsidR="00B965E9" w:rsidRPr="002B1000">
        <w:rPr>
          <w:rFonts w:cs="Arial"/>
        </w:rPr>
        <w:t>ed</w:t>
      </w:r>
      <w:r w:rsidR="00104692" w:rsidRPr="002B1000">
        <w:rPr>
          <w:rFonts w:cs="Arial"/>
        </w:rPr>
        <w:t xml:space="preserve"> prevalence estimate</w:t>
      </w:r>
      <w:r w:rsidR="001B2568" w:rsidRPr="009F45DA">
        <w:rPr>
          <w:rFonts w:cs="Arial"/>
        </w:rPr>
        <w:t>.</w:t>
      </w:r>
    </w:p>
    <w:p w14:paraId="7853D427" w14:textId="77777777" w:rsidR="006176B1" w:rsidRPr="003D2D21" w:rsidRDefault="006176B1">
      <w:pPr>
        <w:spacing w:after="0" w:line="480" w:lineRule="auto"/>
        <w:rPr>
          <w:rFonts w:cs="Arial"/>
        </w:rPr>
      </w:pPr>
    </w:p>
    <w:p w14:paraId="07016062" w14:textId="5DDE9692" w:rsidR="002B1C9A" w:rsidRPr="007F71B4" w:rsidRDefault="00243308">
      <w:pPr>
        <w:spacing w:after="0" w:line="480" w:lineRule="auto"/>
        <w:rPr>
          <w:rFonts w:cs="Arial"/>
          <w:b/>
          <w:sz w:val="36"/>
          <w:szCs w:val="36"/>
        </w:rPr>
      </w:pPr>
      <w:r w:rsidRPr="007F71B4">
        <w:rPr>
          <w:rFonts w:cs="Arial"/>
          <w:b/>
          <w:sz w:val="36"/>
          <w:szCs w:val="36"/>
        </w:rPr>
        <w:t>M</w:t>
      </w:r>
      <w:r w:rsidR="0062311E" w:rsidRPr="007F71B4">
        <w:rPr>
          <w:rFonts w:cs="Arial"/>
          <w:b/>
          <w:sz w:val="36"/>
          <w:szCs w:val="36"/>
        </w:rPr>
        <w:t>aterials and Methods</w:t>
      </w:r>
      <w:r w:rsidRPr="007F71B4">
        <w:rPr>
          <w:rFonts w:cs="Arial"/>
          <w:b/>
          <w:sz w:val="36"/>
          <w:szCs w:val="36"/>
        </w:rPr>
        <w:t>:</w:t>
      </w:r>
      <w:r w:rsidR="0062311E" w:rsidRPr="007F71B4">
        <w:rPr>
          <w:rFonts w:cs="Arial"/>
          <w:b/>
          <w:sz w:val="36"/>
          <w:szCs w:val="36"/>
        </w:rPr>
        <w:t xml:space="preserve"> Prevalence Study</w:t>
      </w:r>
    </w:p>
    <w:p w14:paraId="2164A992" w14:textId="5ADB488C" w:rsidR="00403606" w:rsidRPr="008D179A" w:rsidRDefault="00403606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Study design</w:t>
      </w:r>
      <w:r w:rsidR="004426E2" w:rsidRPr="008D179A">
        <w:rPr>
          <w:rFonts w:cs="Arial"/>
          <w:b/>
          <w:sz w:val="32"/>
          <w:szCs w:val="32"/>
        </w:rPr>
        <w:t xml:space="preserve"> and data collection</w:t>
      </w:r>
    </w:p>
    <w:p w14:paraId="7A396276" w14:textId="2D2F7E42" w:rsidR="00403606" w:rsidRPr="003C1619" w:rsidRDefault="00B924D9">
      <w:pPr>
        <w:spacing w:after="0" w:line="480" w:lineRule="auto"/>
        <w:rPr>
          <w:rFonts w:cs="Arial"/>
        </w:rPr>
      </w:pPr>
      <w:r w:rsidRPr="00D65AA2">
        <w:rPr>
          <w:rFonts w:cs="Arial"/>
        </w:rPr>
        <w:t>This study used baseline cross-sectional data collected from a prospective population-based cohort study</w:t>
      </w:r>
      <w:r w:rsidR="006706CF" w:rsidRPr="00D65AA2">
        <w:rPr>
          <w:rFonts w:cs="Arial"/>
        </w:rPr>
        <w:t>,</w:t>
      </w:r>
      <w:r w:rsidRPr="00072B39">
        <w:rPr>
          <w:rFonts w:cs="Arial"/>
        </w:rPr>
        <w:t xml:space="preserve"> </w:t>
      </w:r>
      <w:r w:rsidR="006706CF" w:rsidRPr="00F71FB9">
        <w:rPr>
          <w:rFonts w:cs="Arial"/>
        </w:rPr>
        <w:t>t</w:t>
      </w:r>
      <w:r w:rsidRPr="00F71FB9">
        <w:rPr>
          <w:rFonts w:cs="Arial"/>
        </w:rPr>
        <w:t>he Clinical Assessment Study of the Foot (CASF)</w:t>
      </w:r>
      <w:r w:rsidR="004D3CC5">
        <w:rPr>
          <w:rFonts w:cs="Arial"/>
        </w:rPr>
        <w:t xml:space="preserve"> </w:t>
      </w:r>
      <w:r w:rsidR="003C1619">
        <w:rPr>
          <w:rFonts w:cs="Arial"/>
        </w:rPr>
        <w:t>[</w:t>
      </w:r>
      <w:r w:rsidR="0022409C">
        <w:rPr>
          <w:rFonts w:cs="Arial"/>
        </w:rPr>
        <w:t>34</w:t>
      </w:r>
      <w:proofErr w:type="gramStart"/>
      <w:r w:rsidR="0022409C">
        <w:rPr>
          <w:rFonts w:cs="Arial"/>
        </w:rPr>
        <w:t>,35</w:t>
      </w:r>
      <w:proofErr w:type="gramEnd"/>
      <w:r w:rsidR="003C1619">
        <w:rPr>
          <w:rFonts w:cs="Arial"/>
        </w:rPr>
        <w:t>]</w:t>
      </w:r>
      <w:r w:rsidRPr="003C1619">
        <w:rPr>
          <w:rFonts w:cs="Arial"/>
        </w:rPr>
        <w:t xml:space="preserve">. </w:t>
      </w:r>
      <w:r w:rsidRPr="00D42ED6">
        <w:rPr>
          <w:rFonts w:cs="Arial"/>
          <w:noProof/>
        </w:rPr>
        <w:t>A</w:t>
      </w:r>
      <w:r w:rsidR="009672CA" w:rsidRPr="00D42ED6">
        <w:rPr>
          <w:rFonts w:cs="Arial"/>
          <w:noProof/>
        </w:rPr>
        <w:t xml:space="preserve"> total of 9194 a</w:t>
      </w:r>
      <w:r w:rsidRPr="00D42ED6">
        <w:rPr>
          <w:rFonts w:cs="Arial"/>
          <w:noProof/>
        </w:rPr>
        <w:t>dults aged 50 years and over registered with four general practices in North Staffordshire</w:t>
      </w:r>
      <w:r w:rsidR="009672CA" w:rsidRPr="00D42ED6">
        <w:rPr>
          <w:rFonts w:cs="Arial"/>
          <w:noProof/>
        </w:rPr>
        <w:t xml:space="preserve">, </w:t>
      </w:r>
      <w:r w:rsidR="006706CF" w:rsidRPr="00D42ED6">
        <w:rPr>
          <w:rFonts w:cs="Arial"/>
          <w:noProof/>
        </w:rPr>
        <w:t xml:space="preserve">UK, </w:t>
      </w:r>
      <w:r w:rsidR="009672CA" w:rsidRPr="00D42ED6">
        <w:rPr>
          <w:rFonts w:cs="Arial"/>
          <w:noProof/>
        </w:rPr>
        <w:t xml:space="preserve">irrespective of consultation for foot </w:t>
      </w:r>
      <w:r w:rsidR="006706CF" w:rsidRPr="00D42ED6">
        <w:rPr>
          <w:rFonts w:cs="Arial"/>
          <w:noProof/>
        </w:rPr>
        <w:t>or</w:t>
      </w:r>
      <w:r w:rsidR="009672CA" w:rsidRPr="00D42ED6">
        <w:rPr>
          <w:rFonts w:cs="Arial"/>
          <w:noProof/>
        </w:rPr>
        <w:t xml:space="preserve"> ankle problems,</w:t>
      </w:r>
      <w:r w:rsidRPr="00D42ED6">
        <w:rPr>
          <w:rFonts w:cs="Arial"/>
          <w:noProof/>
        </w:rPr>
        <w:t xml:space="preserve"> were </w:t>
      </w:r>
      <w:r w:rsidR="00403606" w:rsidRPr="00D42ED6">
        <w:rPr>
          <w:rFonts w:cs="Arial"/>
          <w:noProof/>
        </w:rPr>
        <w:t xml:space="preserve">mailed a baseline health survey questionnaire which collected the following information: demographic, socioeconomic, general health, anthropometric measurements, Short Form </w:t>
      </w:r>
      <w:r w:rsidR="009F5889" w:rsidRPr="00D42ED6">
        <w:rPr>
          <w:rFonts w:cs="Arial"/>
          <w:noProof/>
        </w:rPr>
        <w:t>12</w:t>
      </w:r>
      <w:r w:rsidR="00403606" w:rsidRPr="00D42ED6">
        <w:rPr>
          <w:rFonts w:cs="Arial"/>
          <w:noProof/>
        </w:rPr>
        <w:t xml:space="preserve"> (SF-12)</w:t>
      </w:r>
      <w:r w:rsidR="003C1619" w:rsidRPr="00D42ED6">
        <w:rPr>
          <w:rFonts w:cs="Arial"/>
          <w:noProof/>
        </w:rPr>
        <w:t xml:space="preserve"> [</w:t>
      </w:r>
      <w:r w:rsidR="0022409C">
        <w:rPr>
          <w:rFonts w:cs="Arial"/>
          <w:noProof/>
        </w:rPr>
        <w:t>36</w:t>
      </w:r>
      <w:r w:rsidR="003C1619" w:rsidRPr="00D42ED6">
        <w:rPr>
          <w:rFonts w:cs="Arial"/>
          <w:noProof/>
        </w:rPr>
        <w:t>]</w:t>
      </w:r>
      <w:r w:rsidR="00403606" w:rsidRPr="00D42ED6">
        <w:rPr>
          <w:rFonts w:cs="Arial"/>
          <w:noProof/>
        </w:rPr>
        <w:t>, Hospital Anxiety and Depression Scale (HADS)</w:t>
      </w:r>
      <w:r w:rsidR="003C1619" w:rsidRPr="00D42ED6">
        <w:rPr>
          <w:rFonts w:cs="Arial"/>
          <w:noProof/>
        </w:rPr>
        <w:t xml:space="preserve"> [</w:t>
      </w:r>
      <w:r w:rsidR="0022409C">
        <w:rPr>
          <w:rFonts w:cs="Arial"/>
          <w:noProof/>
        </w:rPr>
        <w:t>37</w:t>
      </w:r>
      <w:r w:rsidR="003C1619" w:rsidRPr="00D42ED6">
        <w:rPr>
          <w:rFonts w:cs="Arial"/>
          <w:noProof/>
        </w:rPr>
        <w:t>]</w:t>
      </w:r>
      <w:r w:rsidR="00403606" w:rsidRPr="00D42ED6">
        <w:rPr>
          <w:rFonts w:cs="Arial"/>
          <w:noProof/>
        </w:rPr>
        <w:t>, details of foot and ankle pain including duration of foot pain in the last one year, the Manchester Foot Pain and Disability Index</w:t>
      </w:r>
      <w:r w:rsidR="00F4231C" w:rsidRPr="00D42ED6">
        <w:rPr>
          <w:rFonts w:cs="Arial"/>
          <w:noProof/>
        </w:rPr>
        <w:t xml:space="preserve"> (MFPDI)</w:t>
      </w:r>
      <w:r w:rsidR="003C1619" w:rsidRPr="00D42ED6">
        <w:rPr>
          <w:rFonts w:cs="Arial"/>
          <w:noProof/>
        </w:rPr>
        <w:t xml:space="preserve"> </w:t>
      </w:r>
      <w:r w:rsidR="00BF29C6">
        <w:rPr>
          <w:rFonts w:cs="Arial"/>
          <w:noProof/>
        </w:rPr>
        <w:t xml:space="preserve">pain and functional limitation subscales </w:t>
      </w:r>
      <w:r w:rsidR="003C1619" w:rsidRPr="00D42ED6">
        <w:rPr>
          <w:rFonts w:cs="Arial"/>
          <w:noProof/>
        </w:rPr>
        <w:t>[</w:t>
      </w:r>
      <w:r w:rsidR="0022409C">
        <w:rPr>
          <w:rFonts w:cs="Arial"/>
          <w:noProof/>
        </w:rPr>
        <w:t>38</w:t>
      </w:r>
      <w:r w:rsidR="003C1619" w:rsidRPr="00D42ED6">
        <w:rPr>
          <w:rFonts w:cs="Arial"/>
          <w:noProof/>
        </w:rPr>
        <w:t>]</w:t>
      </w:r>
      <w:r w:rsidR="00403606" w:rsidRPr="00D42ED6">
        <w:rPr>
          <w:rFonts w:cs="Arial"/>
          <w:noProof/>
        </w:rPr>
        <w:t xml:space="preserve"> and a foot pain manikin asking areas of pain in the past one month to be shaded</w:t>
      </w:r>
      <w:r w:rsidR="00080E18" w:rsidRPr="00D42ED6">
        <w:rPr>
          <w:rFonts w:cs="Arial"/>
          <w:noProof/>
        </w:rPr>
        <w:t xml:space="preserve"> (©The University of Manchester 2000)</w:t>
      </w:r>
      <w:r w:rsidR="003C1619" w:rsidRPr="00D42ED6">
        <w:rPr>
          <w:rFonts w:cs="Arial"/>
          <w:noProof/>
        </w:rPr>
        <w:t xml:space="preserve"> [</w:t>
      </w:r>
      <w:r w:rsidR="0022409C">
        <w:rPr>
          <w:rFonts w:cs="Arial"/>
          <w:noProof/>
        </w:rPr>
        <w:t>39</w:t>
      </w:r>
      <w:r w:rsidR="003C1619" w:rsidRPr="00D42ED6">
        <w:rPr>
          <w:rFonts w:cs="Arial"/>
          <w:noProof/>
        </w:rPr>
        <w:t>]</w:t>
      </w:r>
      <w:r w:rsidR="00820F4C" w:rsidRPr="00D42ED6">
        <w:rPr>
          <w:rFonts w:cs="Arial"/>
          <w:noProof/>
        </w:rPr>
        <w:t>.</w:t>
      </w:r>
      <w:r w:rsidR="00820F4C" w:rsidRPr="003C1619">
        <w:rPr>
          <w:rFonts w:cs="Arial"/>
        </w:rPr>
        <w:t xml:space="preserve"> </w:t>
      </w:r>
      <w:r w:rsidR="00286775" w:rsidRPr="00286775">
        <w:rPr>
          <w:rFonts w:cs="Arial"/>
        </w:rPr>
        <w:t xml:space="preserve">All participants provided written informed </w:t>
      </w:r>
      <w:r w:rsidR="00286775" w:rsidRPr="00D42ED6">
        <w:rPr>
          <w:rFonts w:cs="Arial"/>
          <w:noProof/>
        </w:rPr>
        <w:t>consent</w:t>
      </w:r>
      <w:r w:rsidR="00286775" w:rsidRPr="00286775">
        <w:rPr>
          <w:rFonts w:cs="Arial"/>
        </w:rPr>
        <w:t xml:space="preserve"> and eth</w:t>
      </w:r>
      <w:r w:rsidR="00286775">
        <w:rPr>
          <w:rFonts w:cs="Arial"/>
        </w:rPr>
        <w:t xml:space="preserve">ical approval </w:t>
      </w:r>
      <w:r w:rsidR="00286775" w:rsidRPr="00D42ED6">
        <w:rPr>
          <w:rFonts w:cs="Arial"/>
          <w:noProof/>
        </w:rPr>
        <w:t>was obtained</w:t>
      </w:r>
      <w:r w:rsidR="00286775">
        <w:rPr>
          <w:rFonts w:cs="Arial"/>
        </w:rPr>
        <w:t xml:space="preserve"> from the Coventry R</w:t>
      </w:r>
      <w:r w:rsidR="00286775" w:rsidRPr="00286775">
        <w:rPr>
          <w:rFonts w:cs="Arial"/>
        </w:rPr>
        <w:t>esearch Ethics Committee</w:t>
      </w:r>
      <w:r w:rsidR="00EF43B3">
        <w:rPr>
          <w:rFonts w:cs="Arial"/>
        </w:rPr>
        <w:t>, UK</w:t>
      </w:r>
      <w:r w:rsidR="00286775" w:rsidRPr="00286775">
        <w:rPr>
          <w:rFonts w:cs="Arial"/>
        </w:rPr>
        <w:t xml:space="preserve"> (REC reference number: 10/H1210/5).</w:t>
      </w:r>
    </w:p>
    <w:p w14:paraId="068334C5" w14:textId="77777777" w:rsidR="004F27BF" w:rsidRPr="009F45DA" w:rsidRDefault="004F27BF">
      <w:pPr>
        <w:spacing w:after="0" w:line="480" w:lineRule="auto"/>
        <w:rPr>
          <w:rFonts w:cs="Arial"/>
        </w:rPr>
      </w:pPr>
    </w:p>
    <w:p w14:paraId="1903C5D8" w14:textId="6127C042" w:rsidR="00100565" w:rsidRPr="003C1619" w:rsidRDefault="00820F4C">
      <w:pPr>
        <w:spacing w:after="0" w:line="480" w:lineRule="auto"/>
        <w:rPr>
          <w:rFonts w:cs="Arial"/>
        </w:rPr>
      </w:pPr>
      <w:r w:rsidRPr="009F45DA">
        <w:rPr>
          <w:rFonts w:cs="Arial"/>
        </w:rPr>
        <w:lastRenderedPageBreak/>
        <w:t xml:space="preserve">Participants who reported experiencing pain in or around the foot within the last 12 months </w:t>
      </w:r>
      <w:r w:rsidR="00FB7276" w:rsidRPr="009F45DA">
        <w:rPr>
          <w:rFonts w:cs="Arial"/>
        </w:rPr>
        <w:t xml:space="preserve">and who consented </w:t>
      </w:r>
      <w:r w:rsidR="00FB7276" w:rsidRPr="00D42ED6">
        <w:rPr>
          <w:rFonts w:cs="Arial"/>
          <w:noProof/>
        </w:rPr>
        <w:t>to further contact</w:t>
      </w:r>
      <w:r w:rsidR="00FB7276" w:rsidRPr="009F45DA">
        <w:rPr>
          <w:rFonts w:cs="Arial"/>
        </w:rPr>
        <w:t xml:space="preserve"> </w:t>
      </w:r>
      <w:r w:rsidRPr="009F45DA">
        <w:rPr>
          <w:rFonts w:cs="Arial"/>
        </w:rPr>
        <w:t xml:space="preserve">were invited to attend </w:t>
      </w:r>
      <w:r w:rsidR="003D0C3B" w:rsidRPr="009F45DA">
        <w:rPr>
          <w:rFonts w:cs="Arial"/>
        </w:rPr>
        <w:t xml:space="preserve">a </w:t>
      </w:r>
      <w:r w:rsidRPr="009F45DA">
        <w:rPr>
          <w:rFonts w:cs="Arial"/>
        </w:rPr>
        <w:t>research clinic for further clinical assessment and radiographic imaging</w:t>
      </w:r>
      <w:r w:rsidR="003C1619">
        <w:rPr>
          <w:rFonts w:cs="Arial"/>
        </w:rPr>
        <w:t xml:space="preserve"> [</w:t>
      </w:r>
      <w:r w:rsidR="0022409C">
        <w:rPr>
          <w:rFonts w:cs="Arial"/>
        </w:rPr>
        <w:t>34</w:t>
      </w:r>
      <w:r w:rsidR="003C1619">
        <w:rPr>
          <w:rFonts w:cs="Arial"/>
        </w:rPr>
        <w:t>]</w:t>
      </w:r>
      <w:r w:rsidRPr="003C1619">
        <w:rPr>
          <w:rFonts w:cs="Arial"/>
        </w:rPr>
        <w:t xml:space="preserve">. </w:t>
      </w:r>
      <w:r w:rsidR="00FB7276" w:rsidRPr="003C1619">
        <w:rPr>
          <w:rFonts w:cs="Arial"/>
        </w:rPr>
        <w:t>At the research clinic</w:t>
      </w:r>
      <w:r w:rsidR="003D0C3B" w:rsidRPr="003C1619">
        <w:rPr>
          <w:rFonts w:cs="Arial"/>
        </w:rPr>
        <w:t>,</w:t>
      </w:r>
      <w:r w:rsidR="00FB7276" w:rsidRPr="003C1619">
        <w:rPr>
          <w:rFonts w:cs="Arial"/>
        </w:rPr>
        <w:t xml:space="preserve"> weight-bearing, </w:t>
      </w:r>
      <w:r w:rsidR="00FB7276" w:rsidRPr="00D42ED6">
        <w:rPr>
          <w:rFonts w:cs="Arial"/>
          <w:noProof/>
        </w:rPr>
        <w:t>antero-posterior</w:t>
      </w:r>
      <w:r w:rsidR="00FB7276" w:rsidRPr="003C1619">
        <w:rPr>
          <w:rFonts w:cs="Arial"/>
        </w:rPr>
        <w:t xml:space="preserve"> </w:t>
      </w:r>
      <w:r w:rsidR="0035163A">
        <w:rPr>
          <w:rFonts w:cs="Arial"/>
        </w:rPr>
        <w:t xml:space="preserve">radiographs of both ankle joints and lateral views of both feet </w:t>
      </w:r>
      <w:r w:rsidR="006B64A9" w:rsidRPr="00D42ED6">
        <w:rPr>
          <w:rFonts w:cs="Arial"/>
          <w:noProof/>
        </w:rPr>
        <w:t>were obtained</w:t>
      </w:r>
      <w:r w:rsidR="006B64A9" w:rsidRPr="003C1619">
        <w:rPr>
          <w:rFonts w:cs="Arial"/>
        </w:rPr>
        <w:t xml:space="preserve"> </w:t>
      </w:r>
      <w:r w:rsidR="00FB7276" w:rsidRPr="003C1619">
        <w:rPr>
          <w:rFonts w:cs="Arial"/>
        </w:rPr>
        <w:t xml:space="preserve">according to </w:t>
      </w:r>
      <w:r w:rsidR="00194A33" w:rsidRPr="003C1619">
        <w:rPr>
          <w:rFonts w:cs="Arial"/>
        </w:rPr>
        <w:t>a</w:t>
      </w:r>
      <w:r w:rsidR="00FB7276" w:rsidRPr="003C1619">
        <w:rPr>
          <w:rFonts w:cs="Arial"/>
        </w:rPr>
        <w:t xml:space="preserve"> standardised protocol</w:t>
      </w:r>
      <w:r w:rsidR="003C1619">
        <w:rPr>
          <w:rFonts w:cs="Arial"/>
        </w:rPr>
        <w:t xml:space="preserve"> [</w:t>
      </w:r>
      <w:r w:rsidR="0022409C">
        <w:rPr>
          <w:rFonts w:cs="Arial"/>
        </w:rPr>
        <w:t>34</w:t>
      </w:r>
      <w:r w:rsidR="003C1619">
        <w:rPr>
          <w:rFonts w:cs="Arial"/>
        </w:rPr>
        <w:t>]</w:t>
      </w:r>
      <w:r w:rsidR="00FB7276" w:rsidRPr="003C1619">
        <w:rPr>
          <w:rFonts w:cs="Arial"/>
        </w:rPr>
        <w:t xml:space="preserve">. </w:t>
      </w:r>
    </w:p>
    <w:p w14:paraId="12858F33" w14:textId="77777777" w:rsidR="00100565" w:rsidRPr="009F45DA" w:rsidRDefault="00100565">
      <w:pPr>
        <w:spacing w:after="0" w:line="480" w:lineRule="auto"/>
        <w:rPr>
          <w:rFonts w:cs="Arial"/>
        </w:rPr>
      </w:pPr>
    </w:p>
    <w:p w14:paraId="23AD09D2" w14:textId="4D0782C3" w:rsidR="00FF74DB" w:rsidRPr="00A63321" w:rsidRDefault="00FB7276">
      <w:pPr>
        <w:spacing w:after="0" w:line="480" w:lineRule="auto"/>
        <w:rPr>
          <w:rFonts w:cs="Arial"/>
        </w:rPr>
      </w:pPr>
      <w:r w:rsidRPr="009F45DA">
        <w:rPr>
          <w:rFonts w:cs="Arial"/>
        </w:rPr>
        <w:t xml:space="preserve">Radiographic grading of ankle OA </w:t>
      </w:r>
      <w:r w:rsidR="00100565" w:rsidRPr="009F45DA">
        <w:rPr>
          <w:rFonts w:cs="Arial"/>
        </w:rPr>
        <w:t xml:space="preserve">assessed </w:t>
      </w:r>
      <w:r w:rsidRPr="009F45DA">
        <w:rPr>
          <w:rFonts w:cs="Arial"/>
        </w:rPr>
        <w:t xml:space="preserve">the articulation between the talus, tibia and fibula. </w:t>
      </w:r>
      <w:r w:rsidRPr="00D42ED6">
        <w:rPr>
          <w:rFonts w:cs="Arial"/>
          <w:noProof/>
        </w:rPr>
        <w:t xml:space="preserve">A single </w:t>
      </w:r>
      <w:r w:rsidR="00817414" w:rsidRPr="00D42ED6">
        <w:rPr>
          <w:rFonts w:cs="Arial"/>
          <w:noProof/>
        </w:rPr>
        <w:t xml:space="preserve">blind </w:t>
      </w:r>
      <w:r w:rsidRPr="00D42ED6">
        <w:rPr>
          <w:rFonts w:cs="Arial"/>
          <w:noProof/>
        </w:rPr>
        <w:t xml:space="preserve">assessor used a standardised atlas </w:t>
      </w:r>
      <w:r w:rsidR="004B1631" w:rsidRPr="00D42ED6">
        <w:rPr>
          <w:rFonts w:cs="Arial"/>
          <w:noProof/>
        </w:rPr>
        <w:t xml:space="preserve">(developed as </w:t>
      </w:r>
      <w:r w:rsidR="00B1598E" w:rsidRPr="00D42ED6">
        <w:rPr>
          <w:rFonts w:cs="Arial"/>
          <w:noProof/>
        </w:rPr>
        <w:t>an extension of one recently developed for the foot</w:t>
      </w:r>
      <w:r w:rsidR="004B1631" w:rsidRPr="00D42ED6">
        <w:rPr>
          <w:rFonts w:cs="Arial"/>
          <w:noProof/>
        </w:rPr>
        <w:t>,</w:t>
      </w:r>
      <w:r w:rsidR="00BA505F" w:rsidRPr="00D42ED6">
        <w:rPr>
          <w:rFonts w:cs="Arial"/>
          <w:noProof/>
        </w:rPr>
        <w:t xml:space="preserve"> due to </w:t>
      </w:r>
      <w:r w:rsidR="004B1631" w:rsidRPr="00D42ED6">
        <w:rPr>
          <w:rFonts w:cs="Arial"/>
          <w:noProof/>
        </w:rPr>
        <w:t>the</w:t>
      </w:r>
      <w:r w:rsidR="00BA505F" w:rsidRPr="00D42ED6">
        <w:rPr>
          <w:rFonts w:cs="Arial"/>
          <w:noProof/>
        </w:rPr>
        <w:t xml:space="preserve"> lack of </w:t>
      </w:r>
      <w:r w:rsidR="004B1631" w:rsidRPr="00D42ED6">
        <w:rPr>
          <w:rFonts w:cs="Arial"/>
          <w:noProof/>
        </w:rPr>
        <w:t xml:space="preserve">an </w:t>
      </w:r>
      <w:r w:rsidR="00BA505F" w:rsidRPr="00D42ED6">
        <w:rPr>
          <w:rFonts w:cs="Arial"/>
          <w:noProof/>
        </w:rPr>
        <w:t>appropriate scoring system for assessing individual radiographic features in ankle OA at the time</w:t>
      </w:r>
      <w:r w:rsidR="004B1631" w:rsidRPr="00D42ED6">
        <w:rPr>
          <w:rFonts w:cs="Arial"/>
          <w:noProof/>
        </w:rPr>
        <w:t>)</w:t>
      </w:r>
      <w:r w:rsidR="003C1619" w:rsidRPr="00D42ED6">
        <w:rPr>
          <w:rFonts w:cs="Arial"/>
          <w:noProof/>
        </w:rPr>
        <w:t xml:space="preserve"> [</w:t>
      </w:r>
      <w:r w:rsidR="0022409C">
        <w:rPr>
          <w:rFonts w:cs="Arial"/>
          <w:noProof/>
        </w:rPr>
        <w:t>40</w:t>
      </w:r>
      <w:r w:rsidR="003C1619" w:rsidRPr="00D42ED6">
        <w:rPr>
          <w:rFonts w:cs="Arial"/>
          <w:noProof/>
        </w:rPr>
        <w:t>]</w:t>
      </w:r>
      <w:r w:rsidR="007258A1" w:rsidRPr="00D42ED6">
        <w:rPr>
          <w:rFonts w:cs="Arial"/>
          <w:noProof/>
        </w:rPr>
        <w:t xml:space="preserve">, where </w:t>
      </w:r>
      <w:r w:rsidR="00100565" w:rsidRPr="00D42ED6">
        <w:rPr>
          <w:rFonts w:cs="Arial"/>
          <w:noProof/>
        </w:rPr>
        <w:t xml:space="preserve">the presence of </w:t>
      </w:r>
      <w:r w:rsidRPr="00D42ED6">
        <w:rPr>
          <w:rFonts w:cs="Arial"/>
          <w:noProof/>
        </w:rPr>
        <w:t xml:space="preserve">osteophytes and joint space narrowing </w:t>
      </w:r>
      <w:r w:rsidR="007258A1" w:rsidRPr="00D42ED6">
        <w:rPr>
          <w:rFonts w:cs="Arial"/>
          <w:noProof/>
        </w:rPr>
        <w:t xml:space="preserve">were graded </w:t>
      </w:r>
      <w:r w:rsidRPr="00D42ED6">
        <w:rPr>
          <w:rFonts w:cs="Arial"/>
          <w:noProof/>
        </w:rPr>
        <w:t>on a scale of 0-3</w:t>
      </w:r>
      <w:r w:rsidR="00AA6E49" w:rsidRPr="00D42ED6">
        <w:rPr>
          <w:rFonts w:cs="Arial"/>
          <w:noProof/>
        </w:rPr>
        <w:t xml:space="preserve"> in both views</w:t>
      </w:r>
      <w:r w:rsidRPr="00D42ED6">
        <w:rPr>
          <w:rFonts w:cs="Arial"/>
          <w:noProof/>
        </w:rPr>
        <w:t>.</w:t>
      </w:r>
      <w:r w:rsidR="00934ED9" w:rsidRPr="002B1000">
        <w:rPr>
          <w:rFonts w:cs="Arial"/>
        </w:rPr>
        <w:t xml:space="preserve"> </w:t>
      </w:r>
      <w:r w:rsidR="004B1631" w:rsidRPr="002B1000">
        <w:t>The presence of osteophytes at the ankle joint was graded as absent (score = 0), small (score = 1), moderate (score</w:t>
      </w:r>
      <w:r w:rsidR="004B1631" w:rsidRPr="009F45DA">
        <w:t xml:space="preserve"> = 2) or severe (score = 3), and presence of joint space narrowing was graded as none (score = 0), definite (score = 1), severe (score = 2), or joint fusion at one point or more (score = 3). </w:t>
      </w:r>
      <w:r w:rsidR="00FF74DB" w:rsidRPr="009F45DA">
        <w:t>Radiographic</w:t>
      </w:r>
      <w:r w:rsidR="00FF74DB" w:rsidRPr="003C1619">
        <w:t xml:space="preserve"> images </w:t>
      </w:r>
      <w:r w:rsidR="007258A1" w:rsidRPr="003C1619">
        <w:t xml:space="preserve">for the standardised </w:t>
      </w:r>
      <w:r w:rsidR="00BF061C">
        <w:t xml:space="preserve">classification </w:t>
      </w:r>
      <w:r w:rsidR="007258A1" w:rsidRPr="003C1619">
        <w:t xml:space="preserve">atlas </w:t>
      </w:r>
      <w:r w:rsidR="00FF74DB" w:rsidRPr="003C1619">
        <w:t>were</w:t>
      </w:r>
      <w:r w:rsidR="007258A1" w:rsidRPr="003C1619">
        <w:t xml:space="preserve"> </w:t>
      </w:r>
      <w:r w:rsidR="00FF74DB" w:rsidRPr="003C1619">
        <w:t xml:space="preserve">assessed by </w:t>
      </w:r>
      <w:r w:rsidR="0023084D" w:rsidRPr="003C1619">
        <w:t>three of the authors (</w:t>
      </w:r>
      <w:r w:rsidR="00930811">
        <w:t xml:space="preserve">radiographer </w:t>
      </w:r>
      <w:r w:rsidR="00FF74DB" w:rsidRPr="003C1619">
        <w:t>MM</w:t>
      </w:r>
      <w:r w:rsidR="0023084D" w:rsidRPr="003C1619">
        <w:t xml:space="preserve">, </w:t>
      </w:r>
      <w:r w:rsidR="00930811">
        <w:t>rheumatologist</w:t>
      </w:r>
      <w:r w:rsidR="00930811" w:rsidRPr="003C1619">
        <w:t xml:space="preserve"> </w:t>
      </w:r>
      <w:r w:rsidR="0023084D" w:rsidRPr="003C1619">
        <w:t>E</w:t>
      </w:r>
      <w:r w:rsidR="00FF74DB" w:rsidRPr="003C1619">
        <w:t>R</w:t>
      </w:r>
      <w:r w:rsidR="00065F15" w:rsidRPr="00C613E3">
        <w:t xml:space="preserve"> </w:t>
      </w:r>
      <w:r w:rsidR="004D3CC5">
        <w:t>and</w:t>
      </w:r>
      <w:r w:rsidR="004D3CC5" w:rsidRPr="00614420">
        <w:t xml:space="preserve"> </w:t>
      </w:r>
      <w:r w:rsidR="00930811">
        <w:t xml:space="preserve">podiatrist </w:t>
      </w:r>
      <w:r w:rsidR="0023084D" w:rsidRPr="00614420">
        <w:t xml:space="preserve">HBM) </w:t>
      </w:r>
      <w:r w:rsidR="00FF74DB" w:rsidRPr="009F45DA">
        <w:t>for possible representativeness</w:t>
      </w:r>
      <w:r w:rsidR="00065F15" w:rsidRPr="009F45DA">
        <w:t xml:space="preserve"> of</w:t>
      </w:r>
      <w:r w:rsidR="00FF74DB" w:rsidRPr="009F45DA">
        <w:t xml:space="preserve"> each grade (0-3) for osteophytes and joint space narrowing</w:t>
      </w:r>
      <w:r w:rsidR="0023084D" w:rsidRPr="009F45DA">
        <w:t xml:space="preserve"> from which a provisional atlas </w:t>
      </w:r>
      <w:r w:rsidR="0023084D" w:rsidRPr="00D42ED6">
        <w:rPr>
          <w:noProof/>
        </w:rPr>
        <w:t>was compiled</w:t>
      </w:r>
      <w:r w:rsidR="0023084D" w:rsidRPr="009F45DA">
        <w:t xml:space="preserve">. </w:t>
      </w:r>
      <w:r w:rsidR="0023084D" w:rsidRPr="00D42ED6">
        <w:rPr>
          <w:noProof/>
        </w:rPr>
        <w:t>This provisional atlas was re</w:t>
      </w:r>
      <w:r w:rsidR="00FF74DB" w:rsidRPr="00D42ED6">
        <w:rPr>
          <w:noProof/>
        </w:rPr>
        <w:t xml:space="preserve">viewed by </w:t>
      </w:r>
      <w:r w:rsidR="0023084D" w:rsidRPr="00D42ED6">
        <w:rPr>
          <w:noProof/>
        </w:rPr>
        <w:t>the</w:t>
      </w:r>
      <w:r w:rsidR="00FF74DB" w:rsidRPr="00D42ED6">
        <w:rPr>
          <w:noProof/>
        </w:rPr>
        <w:t xml:space="preserve"> </w:t>
      </w:r>
      <w:r w:rsidR="0023084D" w:rsidRPr="00D42ED6">
        <w:rPr>
          <w:noProof/>
        </w:rPr>
        <w:t xml:space="preserve">development </w:t>
      </w:r>
      <w:r w:rsidR="00FF74DB" w:rsidRPr="00D42ED6">
        <w:rPr>
          <w:noProof/>
        </w:rPr>
        <w:t>team</w:t>
      </w:r>
      <w:r w:rsidR="00FF74DB" w:rsidRPr="00D23119">
        <w:t xml:space="preserve"> </w:t>
      </w:r>
      <w:r w:rsidR="00BE0834" w:rsidRPr="003D2D21">
        <w:t xml:space="preserve">(MM, ER </w:t>
      </w:r>
      <w:r w:rsidR="004D3CC5">
        <w:t>and</w:t>
      </w:r>
      <w:r w:rsidR="004D3CC5" w:rsidRPr="003D2D21">
        <w:t xml:space="preserve"> </w:t>
      </w:r>
      <w:r w:rsidR="00BE0834" w:rsidRPr="003D2D21">
        <w:t>HBM)</w:t>
      </w:r>
      <w:r w:rsidR="0023084D" w:rsidRPr="00F37B43">
        <w:t xml:space="preserve"> and w</w:t>
      </w:r>
      <w:r w:rsidR="00FF74DB" w:rsidRPr="00F37B43">
        <w:t xml:space="preserve">here an image </w:t>
      </w:r>
      <w:r w:rsidR="0023084D" w:rsidRPr="00F37B43">
        <w:t>was deemed un</w:t>
      </w:r>
      <w:r w:rsidR="00FF74DB" w:rsidRPr="00D65AA2">
        <w:t>suitable</w:t>
      </w:r>
      <w:r w:rsidR="00765F46">
        <w:t xml:space="preserve"> due to </w:t>
      </w:r>
      <w:r w:rsidR="00E01DD7">
        <w:t xml:space="preserve">the </w:t>
      </w:r>
      <w:r w:rsidR="00765F46">
        <w:t>presence of other OA features</w:t>
      </w:r>
      <w:r w:rsidR="00E01DD7">
        <w:t xml:space="preserve"> or imprecis</w:t>
      </w:r>
      <w:r w:rsidR="007B5914">
        <w:t>e</w:t>
      </w:r>
      <w:r w:rsidR="00E01DD7">
        <w:t xml:space="preserve"> patient positioning</w:t>
      </w:r>
      <w:r w:rsidR="00FF74DB" w:rsidRPr="00D65AA2">
        <w:t xml:space="preserve">, </w:t>
      </w:r>
      <w:r w:rsidR="0023084D" w:rsidRPr="00D65AA2">
        <w:t>it</w:t>
      </w:r>
      <w:r w:rsidR="00FF74DB" w:rsidRPr="00D65AA2">
        <w:t xml:space="preserve"> </w:t>
      </w:r>
      <w:r w:rsidR="00FF74DB" w:rsidRPr="00D42ED6">
        <w:rPr>
          <w:noProof/>
        </w:rPr>
        <w:t>was replaced</w:t>
      </w:r>
      <w:r w:rsidR="00FF74DB" w:rsidRPr="00D65AA2">
        <w:t xml:space="preserve"> with another that was considered to be a better representation. This process </w:t>
      </w:r>
      <w:r w:rsidR="00FF74DB" w:rsidRPr="00D42ED6">
        <w:rPr>
          <w:noProof/>
        </w:rPr>
        <w:t>was repeated</w:t>
      </w:r>
      <w:r w:rsidR="00FF74DB" w:rsidRPr="00D65AA2">
        <w:t xml:space="preserve"> until there was </w:t>
      </w:r>
      <w:r w:rsidR="00FF74DB" w:rsidRPr="00D42ED6">
        <w:rPr>
          <w:noProof/>
        </w:rPr>
        <w:t>consensus</w:t>
      </w:r>
      <w:r w:rsidR="00FF74DB" w:rsidRPr="00D65AA2">
        <w:t xml:space="preserve"> amongst the team for every image representing each of the grades (0-3) for both of the OA</w:t>
      </w:r>
      <w:r w:rsidR="00FF74DB" w:rsidRPr="00F71FB9">
        <w:t xml:space="preserve"> features.</w:t>
      </w:r>
      <w:r w:rsidR="00BB7A5F" w:rsidRPr="00F71FB9">
        <w:t xml:space="preserve"> </w:t>
      </w:r>
      <w:r w:rsidR="00BB7A5F" w:rsidRPr="00D42ED6">
        <w:rPr>
          <w:noProof/>
        </w:rPr>
        <w:t>In order to</w:t>
      </w:r>
      <w:r w:rsidR="00BB7A5F" w:rsidRPr="00F71FB9">
        <w:t xml:space="preserve"> confirm quality and clinical relevance</w:t>
      </w:r>
      <w:r w:rsidR="00DB0A8E">
        <w:t>,</w:t>
      </w:r>
      <w:r w:rsidR="00BB7A5F" w:rsidRPr="00F71FB9">
        <w:t xml:space="preserve"> the collection of images </w:t>
      </w:r>
      <w:r w:rsidR="00FF74DB" w:rsidRPr="00A63321">
        <w:t xml:space="preserve">for inclusion in the ankle atlas were then reviewed by a specialist </w:t>
      </w:r>
      <w:r w:rsidR="00DA60F6">
        <w:t xml:space="preserve">consultant </w:t>
      </w:r>
      <w:r w:rsidR="00FF74DB" w:rsidRPr="00A63321">
        <w:t xml:space="preserve">musculoskeletal radiologist (Dr J </w:t>
      </w:r>
      <w:proofErr w:type="spellStart"/>
      <w:r w:rsidR="00FF74DB" w:rsidRPr="00A63321">
        <w:t>Saklatavala</w:t>
      </w:r>
      <w:proofErr w:type="spellEnd"/>
      <w:r w:rsidR="00FF74DB" w:rsidRPr="00A63321">
        <w:t>)</w:t>
      </w:r>
      <w:r w:rsidR="002A4CBD">
        <w:t xml:space="preserve"> before </w:t>
      </w:r>
      <w:r w:rsidR="00F63EAA">
        <w:t xml:space="preserve">the </w:t>
      </w:r>
      <w:r w:rsidR="002A4CBD">
        <w:t>Radiographic</w:t>
      </w:r>
      <w:r w:rsidR="00F63EAA">
        <w:t xml:space="preserve"> </w:t>
      </w:r>
      <w:r w:rsidR="002A4CBD">
        <w:t>Classification</w:t>
      </w:r>
      <w:r w:rsidR="00F63EAA">
        <w:t xml:space="preserve"> </w:t>
      </w:r>
      <w:r w:rsidR="002A4CBD">
        <w:t>A</w:t>
      </w:r>
      <w:r w:rsidR="00F63EAA">
        <w:t xml:space="preserve">tlas of </w:t>
      </w:r>
      <w:r w:rsidR="002A4CBD">
        <w:t>A</w:t>
      </w:r>
      <w:r w:rsidR="00F63EAA">
        <w:t>nkle</w:t>
      </w:r>
      <w:r w:rsidR="002A4CBD">
        <w:t xml:space="preserve"> Osteoarthritis </w:t>
      </w:r>
      <w:r w:rsidR="00BB2641">
        <w:t xml:space="preserve">was finalised </w:t>
      </w:r>
      <w:r w:rsidR="002A4CBD">
        <w:t>(S</w:t>
      </w:r>
      <w:r w:rsidR="001669C6">
        <w:t xml:space="preserve">1 </w:t>
      </w:r>
      <w:r w:rsidR="002A4CBD">
        <w:t>Fi</w:t>
      </w:r>
      <w:r w:rsidR="006062FB">
        <w:t>le</w:t>
      </w:r>
      <w:r w:rsidR="002A4CBD">
        <w:t>).</w:t>
      </w:r>
      <w:r w:rsidR="00FF74DB" w:rsidRPr="00A63321">
        <w:t xml:space="preserve"> </w:t>
      </w:r>
    </w:p>
    <w:p w14:paraId="4CCAB8D5" w14:textId="77777777" w:rsidR="000232CD" w:rsidRPr="009A3B6F" w:rsidRDefault="000232CD">
      <w:pPr>
        <w:spacing w:after="0" w:line="480" w:lineRule="auto"/>
        <w:rPr>
          <w:rFonts w:cs="Arial"/>
        </w:rPr>
      </w:pPr>
    </w:p>
    <w:p w14:paraId="768F90D3" w14:textId="3BEBB8EE" w:rsidR="00CF7548" w:rsidRPr="0028667C" w:rsidRDefault="00934ED9">
      <w:pPr>
        <w:spacing w:after="0" w:line="480" w:lineRule="auto"/>
        <w:rPr>
          <w:rFonts w:cs="Arial"/>
        </w:rPr>
      </w:pPr>
      <w:r w:rsidRPr="009C3CC0">
        <w:rPr>
          <w:rFonts w:cs="Arial"/>
        </w:rPr>
        <w:t xml:space="preserve">Radiographic ankle OA was defined as </w:t>
      </w:r>
      <w:r w:rsidR="000C4BCA" w:rsidRPr="00DB30C8">
        <w:rPr>
          <w:rFonts w:cs="Arial"/>
        </w:rPr>
        <w:t xml:space="preserve">a </w:t>
      </w:r>
      <w:r w:rsidRPr="00DB30C8">
        <w:rPr>
          <w:rFonts w:cs="Arial"/>
        </w:rPr>
        <w:t xml:space="preserve">grade </w:t>
      </w:r>
      <w:r w:rsidR="003C78EC" w:rsidRPr="00072CB0">
        <w:rPr>
          <w:rFonts w:cs="Arial"/>
        </w:rPr>
        <w:t>≥</w:t>
      </w:r>
      <w:r w:rsidRPr="00072CB0">
        <w:rPr>
          <w:rFonts w:cs="Arial"/>
        </w:rPr>
        <w:t xml:space="preserve">2 for either osteophyte or joint space narrowing on either view. </w:t>
      </w:r>
      <w:r w:rsidR="003C78EC" w:rsidRPr="00B51535">
        <w:rPr>
          <w:rFonts w:cs="Arial"/>
        </w:rPr>
        <w:t>Intra-</w:t>
      </w:r>
      <w:proofErr w:type="spellStart"/>
      <w:r w:rsidR="003C78EC" w:rsidRPr="00B51535">
        <w:rPr>
          <w:rFonts w:cs="Arial"/>
        </w:rPr>
        <w:t>rater</w:t>
      </w:r>
      <w:proofErr w:type="spellEnd"/>
      <w:r w:rsidR="003C78EC" w:rsidRPr="00B51535">
        <w:rPr>
          <w:rFonts w:cs="Arial"/>
        </w:rPr>
        <w:t xml:space="preserve"> r</w:t>
      </w:r>
      <w:r w:rsidRPr="00B51535">
        <w:rPr>
          <w:rFonts w:cs="Arial"/>
        </w:rPr>
        <w:t xml:space="preserve">eliability of the presence of ankle OA </w:t>
      </w:r>
      <w:r w:rsidRPr="00D42ED6">
        <w:rPr>
          <w:rFonts w:cs="Arial"/>
          <w:noProof/>
        </w:rPr>
        <w:t xml:space="preserve">was </w:t>
      </w:r>
      <w:r w:rsidR="002C0A72" w:rsidRPr="00D42ED6">
        <w:rPr>
          <w:rFonts w:cs="Arial"/>
          <w:noProof/>
        </w:rPr>
        <w:t>examined</w:t>
      </w:r>
      <w:r w:rsidR="002C0A72">
        <w:rPr>
          <w:rFonts w:cs="Arial"/>
        </w:rPr>
        <w:t xml:space="preserve"> by </w:t>
      </w:r>
      <w:r w:rsidR="003C78EC" w:rsidRPr="00B51535">
        <w:rPr>
          <w:rFonts w:cs="Arial"/>
        </w:rPr>
        <w:t xml:space="preserve">the assessor </w:t>
      </w:r>
      <w:r w:rsidR="007878E9" w:rsidRPr="00FB5CA5">
        <w:rPr>
          <w:rFonts w:cs="Arial"/>
        </w:rPr>
        <w:t xml:space="preserve">(MM) </w:t>
      </w:r>
      <w:r w:rsidR="003C78EC" w:rsidRPr="00FB5CA5">
        <w:rPr>
          <w:rFonts w:cs="Arial"/>
        </w:rPr>
        <w:t xml:space="preserve">rescoring </w:t>
      </w:r>
      <w:r w:rsidRPr="00DA60F6">
        <w:rPr>
          <w:rFonts w:cs="Arial"/>
        </w:rPr>
        <w:t xml:space="preserve">60 randomly selected radiographs </w:t>
      </w:r>
      <w:r w:rsidR="003C78EC" w:rsidRPr="00DA60F6">
        <w:rPr>
          <w:rFonts w:cs="Arial"/>
        </w:rPr>
        <w:t xml:space="preserve">after a period of at least </w:t>
      </w:r>
      <w:r w:rsidR="003C78EC" w:rsidRPr="00D42ED6">
        <w:rPr>
          <w:rFonts w:cs="Arial"/>
          <w:noProof/>
        </w:rPr>
        <w:t>8</w:t>
      </w:r>
      <w:r w:rsidR="003C78EC" w:rsidRPr="00DA60F6">
        <w:rPr>
          <w:rFonts w:cs="Arial"/>
        </w:rPr>
        <w:t xml:space="preserve"> weeks</w:t>
      </w:r>
      <w:r w:rsidRPr="00DA60F6">
        <w:rPr>
          <w:rFonts w:cs="Arial"/>
        </w:rPr>
        <w:t xml:space="preserve">. </w:t>
      </w:r>
      <w:r w:rsidR="002A46D8" w:rsidRPr="00DA60F6">
        <w:rPr>
          <w:rFonts w:cs="Arial"/>
        </w:rPr>
        <w:t xml:space="preserve">Inter-rater </w:t>
      </w:r>
      <w:r w:rsidR="0009116E" w:rsidRPr="00DA60F6">
        <w:rPr>
          <w:rFonts w:cs="Arial"/>
        </w:rPr>
        <w:t>reliability</w:t>
      </w:r>
      <w:r w:rsidR="002A46D8" w:rsidRPr="00DA60F6">
        <w:rPr>
          <w:rFonts w:cs="Arial"/>
        </w:rPr>
        <w:t xml:space="preserve"> </w:t>
      </w:r>
      <w:r w:rsidR="002A46D8" w:rsidRPr="00D42ED6">
        <w:rPr>
          <w:rFonts w:cs="Arial"/>
          <w:noProof/>
        </w:rPr>
        <w:t xml:space="preserve">was </w:t>
      </w:r>
      <w:r w:rsidR="002C0A72" w:rsidRPr="00D42ED6">
        <w:rPr>
          <w:rFonts w:cs="Arial"/>
          <w:noProof/>
        </w:rPr>
        <w:t>examined</w:t>
      </w:r>
      <w:r w:rsidR="002A46D8" w:rsidRPr="00DA60F6">
        <w:rPr>
          <w:rFonts w:cs="Arial"/>
        </w:rPr>
        <w:t xml:space="preserve"> by a second </w:t>
      </w:r>
      <w:r w:rsidR="00817414" w:rsidRPr="00E01B53">
        <w:rPr>
          <w:rFonts w:cs="Arial"/>
        </w:rPr>
        <w:t xml:space="preserve">blind </w:t>
      </w:r>
      <w:r w:rsidR="002A46D8" w:rsidRPr="00E01B53">
        <w:rPr>
          <w:rFonts w:cs="Arial"/>
        </w:rPr>
        <w:t xml:space="preserve">assessor </w:t>
      </w:r>
      <w:r w:rsidR="007878E9" w:rsidRPr="00A11F58">
        <w:rPr>
          <w:rFonts w:cs="Arial"/>
        </w:rPr>
        <w:t xml:space="preserve">(HBM) </w:t>
      </w:r>
      <w:r w:rsidR="002A46D8" w:rsidRPr="00A11F58">
        <w:rPr>
          <w:rFonts w:cs="Arial"/>
        </w:rPr>
        <w:t xml:space="preserve">scoring the </w:t>
      </w:r>
      <w:r w:rsidR="00817414" w:rsidRPr="00A11F58">
        <w:rPr>
          <w:rFonts w:cs="Arial"/>
        </w:rPr>
        <w:t xml:space="preserve">same </w:t>
      </w:r>
      <w:r w:rsidR="002A46D8" w:rsidRPr="00F73A4D">
        <w:rPr>
          <w:rFonts w:cs="Arial"/>
        </w:rPr>
        <w:t xml:space="preserve">60 randomly selected radiographs. </w:t>
      </w:r>
      <w:r w:rsidR="00F5099D" w:rsidRPr="00243308">
        <w:rPr>
          <w:rFonts w:cs="Arial"/>
        </w:rPr>
        <w:t>Intra-</w:t>
      </w:r>
      <w:proofErr w:type="spellStart"/>
      <w:r w:rsidR="002A46D8" w:rsidRPr="00243308">
        <w:rPr>
          <w:rFonts w:cs="Arial"/>
        </w:rPr>
        <w:t>rater</w:t>
      </w:r>
      <w:proofErr w:type="spellEnd"/>
      <w:r w:rsidR="002A46D8" w:rsidRPr="00243308">
        <w:rPr>
          <w:rFonts w:cs="Arial"/>
        </w:rPr>
        <w:t xml:space="preserve"> </w:t>
      </w:r>
      <w:r w:rsidR="00F5099D" w:rsidRPr="00243308">
        <w:rPr>
          <w:rFonts w:cs="Arial"/>
        </w:rPr>
        <w:t xml:space="preserve">reliability for </w:t>
      </w:r>
      <w:r w:rsidR="00F5099D" w:rsidRPr="00243308">
        <w:rPr>
          <w:rFonts w:cs="Arial"/>
        </w:rPr>
        <w:lastRenderedPageBreak/>
        <w:t xml:space="preserve">the </w:t>
      </w:r>
      <w:r w:rsidR="002A46D8" w:rsidRPr="00874CAB">
        <w:rPr>
          <w:rFonts w:cs="Arial"/>
        </w:rPr>
        <w:t xml:space="preserve">presence </w:t>
      </w:r>
      <w:r w:rsidR="00F5099D" w:rsidRPr="00874CAB">
        <w:rPr>
          <w:rFonts w:cs="Arial"/>
        </w:rPr>
        <w:t xml:space="preserve">of ankle OA was shown to be excellent </w:t>
      </w:r>
      <w:r w:rsidRPr="00234440">
        <w:rPr>
          <w:rFonts w:cs="Arial"/>
        </w:rPr>
        <w:t xml:space="preserve">(kappa </w:t>
      </w:r>
      <w:r w:rsidR="002A46D8" w:rsidRPr="00234440">
        <w:rPr>
          <w:rFonts w:cs="Arial"/>
        </w:rPr>
        <w:t xml:space="preserve">= </w:t>
      </w:r>
      <w:r w:rsidRPr="00234440">
        <w:rPr>
          <w:rFonts w:cs="Arial"/>
        </w:rPr>
        <w:t xml:space="preserve">0.87, 95% exact agreement) </w:t>
      </w:r>
      <w:r w:rsidR="00F5099D" w:rsidRPr="00234440">
        <w:rPr>
          <w:rFonts w:cs="Arial"/>
        </w:rPr>
        <w:t>and inter-</w:t>
      </w:r>
      <w:r w:rsidR="002A46D8" w:rsidRPr="00234440">
        <w:rPr>
          <w:rFonts w:cs="Arial"/>
        </w:rPr>
        <w:t xml:space="preserve">rater </w:t>
      </w:r>
      <w:r w:rsidR="00F5099D" w:rsidRPr="0062311E">
        <w:rPr>
          <w:rFonts w:cs="Arial"/>
        </w:rPr>
        <w:t xml:space="preserve">reliability was </w:t>
      </w:r>
      <w:r w:rsidR="00666783" w:rsidRPr="0062311E">
        <w:rPr>
          <w:rFonts w:cs="Arial"/>
        </w:rPr>
        <w:t xml:space="preserve">found </w:t>
      </w:r>
      <w:r w:rsidR="00F5099D" w:rsidRPr="0062311E">
        <w:rPr>
          <w:rFonts w:cs="Arial"/>
        </w:rPr>
        <w:t xml:space="preserve">to be fair </w:t>
      </w:r>
      <w:r w:rsidRPr="0062311E">
        <w:rPr>
          <w:rFonts w:cs="Arial"/>
        </w:rPr>
        <w:t xml:space="preserve">(kappa </w:t>
      </w:r>
      <w:r w:rsidR="00666783" w:rsidRPr="0062311E">
        <w:rPr>
          <w:rFonts w:cs="Arial"/>
        </w:rPr>
        <w:t xml:space="preserve">= </w:t>
      </w:r>
      <w:r w:rsidRPr="0062311E">
        <w:rPr>
          <w:rFonts w:cs="Arial"/>
        </w:rPr>
        <w:t>0.30, 65% exact agreement)</w:t>
      </w:r>
      <w:r w:rsidR="00F5099D" w:rsidRPr="0062311E">
        <w:rPr>
          <w:rFonts w:cs="Arial"/>
        </w:rPr>
        <w:t>.</w:t>
      </w:r>
      <w:r w:rsidR="00351513" w:rsidRPr="0062311E">
        <w:rPr>
          <w:rFonts w:cs="Arial"/>
        </w:rPr>
        <w:t xml:space="preserve"> A</w:t>
      </w:r>
      <w:r w:rsidR="003268FB">
        <w:rPr>
          <w:rFonts w:cs="Arial"/>
        </w:rPr>
        <w:t>n</w:t>
      </w:r>
      <w:r w:rsidR="00351513" w:rsidRPr="003268FB">
        <w:rPr>
          <w:rFonts w:cs="Arial"/>
        </w:rPr>
        <w:t xml:space="preserve"> </w:t>
      </w:r>
      <w:r w:rsidR="003268FB">
        <w:rPr>
          <w:rFonts w:cs="Arial"/>
        </w:rPr>
        <w:t xml:space="preserve">independent </w:t>
      </w:r>
      <w:r w:rsidR="00351513" w:rsidRPr="003268FB">
        <w:rPr>
          <w:rFonts w:cs="Arial"/>
        </w:rPr>
        <w:t>third blind assessor (CB) was subsequently asked to score the radiograp</w:t>
      </w:r>
      <w:r w:rsidR="003A7BEA">
        <w:rPr>
          <w:rFonts w:cs="Arial"/>
        </w:rPr>
        <w:t>hs</w:t>
      </w:r>
      <w:r w:rsidR="002C0A72">
        <w:rPr>
          <w:rFonts w:cs="Arial"/>
        </w:rPr>
        <w:t xml:space="preserve"> </w:t>
      </w:r>
      <w:r w:rsidR="00E12F02">
        <w:rPr>
          <w:rFonts w:cs="Arial"/>
        </w:rPr>
        <w:t>and inter-rater reliability remained low with both MM (kappa = 0.18, 60% exact agreement) and HBM (kappa = 0.30, 65% exact agreement).</w:t>
      </w:r>
    </w:p>
    <w:p w14:paraId="22DC44E8" w14:textId="77777777" w:rsidR="0062311E" w:rsidRDefault="0062311E" w:rsidP="00351513">
      <w:pPr>
        <w:rPr>
          <w:rFonts w:cs="Arial"/>
        </w:rPr>
      </w:pPr>
    </w:p>
    <w:p w14:paraId="4317E9CF" w14:textId="77777777" w:rsidR="00934ED9" w:rsidRPr="008D179A" w:rsidRDefault="00934ED9" w:rsidP="0062311E">
      <w:pPr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Case definitions</w:t>
      </w:r>
      <w:r w:rsidR="004426E2" w:rsidRPr="008D179A">
        <w:rPr>
          <w:rFonts w:cs="Arial"/>
          <w:b/>
          <w:sz w:val="32"/>
          <w:szCs w:val="32"/>
        </w:rPr>
        <w:t xml:space="preserve"> and exclusions</w:t>
      </w:r>
    </w:p>
    <w:p w14:paraId="077179DA" w14:textId="3AAFEFC2" w:rsidR="00820F4C" w:rsidRPr="009F45DA" w:rsidRDefault="00CB4D99">
      <w:pPr>
        <w:spacing w:after="0" w:line="480" w:lineRule="auto"/>
        <w:rPr>
          <w:rFonts w:cs="Arial"/>
        </w:rPr>
      </w:pPr>
      <w:r w:rsidRPr="00874CAB">
        <w:rPr>
          <w:rFonts w:cs="Arial"/>
        </w:rPr>
        <w:t>A</w:t>
      </w:r>
      <w:r w:rsidR="00820F4C" w:rsidRPr="00874CAB">
        <w:rPr>
          <w:rFonts w:cs="Arial"/>
        </w:rPr>
        <w:t xml:space="preserve">nkle pain </w:t>
      </w:r>
      <w:r w:rsidR="00820F4C" w:rsidRPr="00033AF0">
        <w:rPr>
          <w:rFonts w:cs="Arial"/>
          <w:noProof/>
        </w:rPr>
        <w:t>was defined</w:t>
      </w:r>
      <w:r w:rsidR="00820F4C" w:rsidRPr="00874CAB">
        <w:rPr>
          <w:rFonts w:cs="Arial"/>
        </w:rPr>
        <w:t xml:space="preserve"> as pain in the past month</w:t>
      </w:r>
      <w:r w:rsidR="00BE17BD" w:rsidRPr="00874CAB">
        <w:rPr>
          <w:rFonts w:cs="Arial"/>
        </w:rPr>
        <w:t xml:space="preserve"> indicated by </w:t>
      </w:r>
      <w:r w:rsidR="00820F4C" w:rsidRPr="00874CAB">
        <w:rPr>
          <w:rFonts w:cs="Arial"/>
        </w:rPr>
        <w:t xml:space="preserve">shading of </w:t>
      </w:r>
      <w:r w:rsidR="00BE17BD" w:rsidRPr="00874CAB">
        <w:rPr>
          <w:rFonts w:cs="Arial"/>
        </w:rPr>
        <w:t xml:space="preserve">the ankle </w:t>
      </w:r>
      <w:r w:rsidR="00820F4C" w:rsidRPr="00874CAB">
        <w:rPr>
          <w:rFonts w:cs="Arial"/>
        </w:rPr>
        <w:t xml:space="preserve">area on the dorsal view of </w:t>
      </w:r>
      <w:r w:rsidR="006677FF" w:rsidRPr="00234440">
        <w:rPr>
          <w:rFonts w:cs="Arial"/>
        </w:rPr>
        <w:t xml:space="preserve">a </w:t>
      </w:r>
      <w:r w:rsidR="00820F4C" w:rsidRPr="00234440">
        <w:rPr>
          <w:rFonts w:cs="Arial"/>
        </w:rPr>
        <w:t>foot pain manikin</w:t>
      </w:r>
      <w:r w:rsidR="00C613E3">
        <w:rPr>
          <w:rFonts w:cs="Arial"/>
        </w:rPr>
        <w:t xml:space="preserve"> [</w:t>
      </w:r>
      <w:r w:rsidR="0022409C">
        <w:rPr>
          <w:rFonts w:cs="Arial"/>
        </w:rPr>
        <w:t>39</w:t>
      </w:r>
      <w:r w:rsidR="00C613E3">
        <w:rPr>
          <w:rFonts w:cs="Arial"/>
        </w:rPr>
        <w:t>]</w:t>
      </w:r>
      <w:r w:rsidR="00820F4C" w:rsidRPr="003C1619">
        <w:rPr>
          <w:rFonts w:cs="Arial"/>
        </w:rPr>
        <w:t xml:space="preserve">. </w:t>
      </w:r>
      <w:r w:rsidR="00934ED9" w:rsidRPr="003C1619">
        <w:rPr>
          <w:rFonts w:cs="Arial"/>
        </w:rPr>
        <w:t>S</w:t>
      </w:r>
      <w:r w:rsidR="00F5099D" w:rsidRPr="003C1619">
        <w:rPr>
          <w:rFonts w:cs="Arial"/>
        </w:rPr>
        <w:t>ymptomatic radiographic ankle OA was defined as the presence of ankle pain and radiographic ankle OA</w:t>
      </w:r>
      <w:r w:rsidR="006677FF" w:rsidRPr="009F45DA">
        <w:rPr>
          <w:rFonts w:cs="Arial"/>
        </w:rPr>
        <w:t xml:space="preserve"> (grade≥2 for either osteophytes or joint space narrowing on either view) in the same ankle</w:t>
      </w:r>
      <w:r w:rsidR="00F5099D" w:rsidRPr="009F45DA">
        <w:rPr>
          <w:rFonts w:cs="Arial"/>
        </w:rPr>
        <w:t xml:space="preserve">. </w:t>
      </w:r>
    </w:p>
    <w:p w14:paraId="275C56E5" w14:textId="77777777" w:rsidR="004426E2" w:rsidRPr="009F45DA" w:rsidRDefault="004426E2">
      <w:pPr>
        <w:spacing w:after="0" w:line="480" w:lineRule="auto"/>
        <w:rPr>
          <w:rFonts w:cs="Arial"/>
        </w:rPr>
      </w:pPr>
    </w:p>
    <w:p w14:paraId="1C7E5999" w14:textId="7E92144A" w:rsidR="004426E2" w:rsidRPr="005909C0" w:rsidRDefault="003D68BD">
      <w:pPr>
        <w:spacing w:after="0" w:line="480" w:lineRule="auto"/>
        <w:rPr>
          <w:rFonts w:cs="Arial"/>
        </w:rPr>
      </w:pPr>
      <w:r w:rsidRPr="00D23119">
        <w:rPr>
          <w:rFonts w:cs="Arial"/>
        </w:rPr>
        <w:t>P</w:t>
      </w:r>
      <w:r w:rsidR="004426E2" w:rsidRPr="003D2D21">
        <w:rPr>
          <w:rFonts w:cs="Arial"/>
        </w:rPr>
        <w:t xml:space="preserve">articipants </w:t>
      </w:r>
      <w:r w:rsidRPr="000A2366">
        <w:rPr>
          <w:rFonts w:cs="Arial"/>
        </w:rPr>
        <w:t>with</w:t>
      </w:r>
      <w:r w:rsidR="004426E2" w:rsidRPr="00F37B43">
        <w:rPr>
          <w:rFonts w:cs="Arial"/>
        </w:rPr>
        <w:t xml:space="preserve"> a history of inflammatory arthritis </w:t>
      </w:r>
      <w:r w:rsidR="004E2D89" w:rsidRPr="00F37B43">
        <w:rPr>
          <w:rFonts w:cs="Arial"/>
        </w:rPr>
        <w:t>(rheumatoid arthritis, psoriatic arthritis or non-specific inflammatory arthritis)</w:t>
      </w:r>
      <w:r w:rsidR="00764E31" w:rsidRPr="00D65AA2">
        <w:rPr>
          <w:rFonts w:cs="Arial"/>
        </w:rPr>
        <w:t xml:space="preserve"> identified in</w:t>
      </w:r>
      <w:r w:rsidR="00642CEA" w:rsidRPr="00D65AA2">
        <w:rPr>
          <w:rFonts w:cs="Arial"/>
        </w:rPr>
        <w:t xml:space="preserve"> </w:t>
      </w:r>
      <w:r w:rsidR="00764E31" w:rsidRPr="00072B39">
        <w:rPr>
          <w:rFonts w:cs="Arial"/>
        </w:rPr>
        <w:t xml:space="preserve">their </w:t>
      </w:r>
      <w:r w:rsidR="004426E2" w:rsidRPr="00072B39">
        <w:rPr>
          <w:rFonts w:cs="Arial"/>
        </w:rPr>
        <w:t xml:space="preserve">medical records </w:t>
      </w:r>
      <w:r w:rsidRPr="00AA2132">
        <w:rPr>
          <w:rFonts w:cs="Arial"/>
        </w:rPr>
        <w:t xml:space="preserve">(primary care or local hospital) </w:t>
      </w:r>
      <w:r w:rsidR="004426E2" w:rsidRPr="00033AF0">
        <w:rPr>
          <w:rFonts w:cs="Arial"/>
          <w:noProof/>
        </w:rPr>
        <w:t xml:space="preserve">or </w:t>
      </w:r>
      <w:r w:rsidR="00764E31" w:rsidRPr="00033AF0">
        <w:rPr>
          <w:rFonts w:cs="Arial"/>
          <w:noProof/>
        </w:rPr>
        <w:t>in</w:t>
      </w:r>
      <w:r w:rsidR="00764E31" w:rsidRPr="00AA2132">
        <w:rPr>
          <w:rFonts w:cs="Arial"/>
        </w:rPr>
        <w:t xml:space="preserve"> the </w:t>
      </w:r>
      <w:r w:rsidRPr="00AA2132">
        <w:rPr>
          <w:rFonts w:cs="Arial"/>
        </w:rPr>
        <w:t xml:space="preserve">clinical </w:t>
      </w:r>
      <w:r w:rsidR="00812A44" w:rsidRPr="00AA2132">
        <w:rPr>
          <w:rFonts w:cs="Arial"/>
        </w:rPr>
        <w:t>x-ray</w:t>
      </w:r>
      <w:r w:rsidR="00642CEA" w:rsidRPr="00AA2132">
        <w:rPr>
          <w:rFonts w:cs="Arial"/>
        </w:rPr>
        <w:t xml:space="preserve"> </w:t>
      </w:r>
      <w:r w:rsidR="004426E2" w:rsidRPr="00AA2132">
        <w:rPr>
          <w:rFonts w:cs="Arial"/>
        </w:rPr>
        <w:t xml:space="preserve">report </w:t>
      </w:r>
      <w:r w:rsidR="002D0D28" w:rsidRPr="00F71FB9">
        <w:rPr>
          <w:rFonts w:cs="Arial"/>
        </w:rPr>
        <w:t xml:space="preserve">by a consultant musculoskeletal radiologist </w:t>
      </w:r>
      <w:r w:rsidR="004426E2" w:rsidRPr="00033AF0">
        <w:rPr>
          <w:rFonts w:cs="Arial"/>
          <w:noProof/>
        </w:rPr>
        <w:t>were excluded</w:t>
      </w:r>
      <w:r w:rsidR="004426E2" w:rsidRPr="00F71FB9">
        <w:rPr>
          <w:rFonts w:cs="Arial"/>
        </w:rPr>
        <w:t xml:space="preserve"> from the analys</w:t>
      </w:r>
      <w:r w:rsidR="00BE17BD" w:rsidRPr="000C4A6C">
        <w:rPr>
          <w:rFonts w:cs="Arial"/>
        </w:rPr>
        <w:t>e</w:t>
      </w:r>
      <w:r w:rsidR="004426E2" w:rsidRPr="005909C0">
        <w:rPr>
          <w:rFonts w:cs="Arial"/>
        </w:rPr>
        <w:t xml:space="preserve">s. </w:t>
      </w:r>
    </w:p>
    <w:p w14:paraId="36400438" w14:textId="77777777" w:rsidR="004F27BF" w:rsidRPr="00A63321" w:rsidRDefault="004F27BF">
      <w:pPr>
        <w:spacing w:after="0" w:line="480" w:lineRule="auto"/>
        <w:rPr>
          <w:rFonts w:cs="Arial"/>
        </w:rPr>
      </w:pPr>
    </w:p>
    <w:p w14:paraId="50EEB6AE" w14:textId="77777777" w:rsidR="00934ED9" w:rsidRPr="008D179A" w:rsidRDefault="00736D95">
      <w:pPr>
        <w:spacing w:after="0" w:line="480" w:lineRule="auto"/>
        <w:rPr>
          <w:rFonts w:cs="Arial"/>
          <w:b/>
          <w:sz w:val="32"/>
          <w:szCs w:val="32"/>
        </w:rPr>
      </w:pPr>
      <w:r w:rsidRPr="008D179A">
        <w:rPr>
          <w:rFonts w:cs="Arial"/>
          <w:b/>
          <w:sz w:val="32"/>
          <w:szCs w:val="32"/>
        </w:rPr>
        <w:t>Statistical analysis</w:t>
      </w:r>
    </w:p>
    <w:p w14:paraId="14816D99" w14:textId="28F16978" w:rsidR="00726D08" w:rsidRPr="009F45DA" w:rsidRDefault="009A5D25">
      <w:pPr>
        <w:spacing w:after="0" w:line="480" w:lineRule="auto"/>
        <w:rPr>
          <w:rFonts w:cs="Arial"/>
        </w:rPr>
      </w:pPr>
      <w:r w:rsidRPr="00033AF0">
        <w:rPr>
          <w:rFonts w:cs="Arial"/>
          <w:noProof/>
        </w:rPr>
        <w:t>To estimate the prevalence of ankle pain and symptomatic radiographic ankle OA</w:t>
      </w:r>
      <w:r>
        <w:rPr>
          <w:rFonts w:cs="Arial"/>
        </w:rPr>
        <w:t xml:space="preserve">, multiple </w:t>
      </w:r>
      <w:r w:rsidRPr="00033AF0">
        <w:rPr>
          <w:rFonts w:cs="Arial"/>
          <w:noProof/>
        </w:rPr>
        <w:t>imputation</w:t>
      </w:r>
      <w:r>
        <w:rPr>
          <w:rFonts w:cs="Arial"/>
        </w:rPr>
        <w:t xml:space="preserve"> combined with weighted logistic regression modelling </w:t>
      </w:r>
      <w:r w:rsidRPr="00033AF0">
        <w:rPr>
          <w:rFonts w:cs="Arial"/>
          <w:noProof/>
        </w:rPr>
        <w:t>w</w:t>
      </w:r>
      <w:r w:rsidR="00033AF0">
        <w:rPr>
          <w:rFonts w:cs="Arial"/>
          <w:noProof/>
        </w:rPr>
        <w:t>as</w:t>
      </w:r>
      <w:r w:rsidRPr="00033AF0">
        <w:rPr>
          <w:rFonts w:cs="Arial"/>
          <w:noProof/>
        </w:rPr>
        <w:t xml:space="preserve"> used</w:t>
      </w:r>
      <w:r>
        <w:rPr>
          <w:rFonts w:cs="Arial"/>
        </w:rPr>
        <w:t xml:space="preserve">. </w:t>
      </w:r>
      <w:r w:rsidR="005D6BB7" w:rsidRPr="009A3B6F">
        <w:rPr>
          <w:rFonts w:cs="Arial"/>
        </w:rPr>
        <w:t xml:space="preserve">Analysis of the CASF study has previously shown that </w:t>
      </w:r>
      <w:r w:rsidR="00080E18" w:rsidRPr="00F87780">
        <w:rPr>
          <w:rFonts w:cs="Arial"/>
        </w:rPr>
        <w:t>while responders</w:t>
      </w:r>
      <w:r w:rsidR="005D6BB7" w:rsidRPr="009C3CC0">
        <w:rPr>
          <w:rFonts w:cs="Arial"/>
        </w:rPr>
        <w:t xml:space="preserve"> to the </w:t>
      </w:r>
      <w:r w:rsidR="0018240B" w:rsidRPr="00072CB0">
        <w:rPr>
          <w:rFonts w:cs="Arial"/>
        </w:rPr>
        <w:t>ba</w:t>
      </w:r>
      <w:r w:rsidR="0018240B" w:rsidRPr="00B51535">
        <w:rPr>
          <w:rFonts w:cs="Arial"/>
        </w:rPr>
        <w:t xml:space="preserve">seline health survey questionnaire were broadly </w:t>
      </w:r>
      <w:r w:rsidR="00290CD3" w:rsidRPr="00B51535">
        <w:rPr>
          <w:rFonts w:cs="Arial"/>
        </w:rPr>
        <w:t>representative</w:t>
      </w:r>
      <w:r w:rsidR="0018240B" w:rsidRPr="00B51535">
        <w:rPr>
          <w:rFonts w:cs="Arial"/>
        </w:rPr>
        <w:t xml:space="preserve"> of the baseline </w:t>
      </w:r>
      <w:r w:rsidR="00290CD3" w:rsidRPr="00FB5CA5">
        <w:rPr>
          <w:rFonts w:cs="Arial"/>
        </w:rPr>
        <w:t>eligible</w:t>
      </w:r>
      <w:r w:rsidR="0018240B" w:rsidRPr="00FB5CA5">
        <w:rPr>
          <w:rFonts w:cs="Arial"/>
        </w:rPr>
        <w:t xml:space="preserve"> </w:t>
      </w:r>
      <w:r w:rsidR="00290CD3" w:rsidRPr="00DA60F6">
        <w:rPr>
          <w:rFonts w:cs="Arial"/>
        </w:rPr>
        <w:t>population, th</w:t>
      </w:r>
      <w:r w:rsidR="00BC7D17" w:rsidRPr="00DA60F6">
        <w:rPr>
          <w:rFonts w:cs="Arial"/>
        </w:rPr>
        <w:t xml:space="preserve">ere was </w:t>
      </w:r>
      <w:r w:rsidR="00427540" w:rsidRPr="00DA60F6">
        <w:rPr>
          <w:rFonts w:cs="Arial"/>
        </w:rPr>
        <w:t>selective non-partici</w:t>
      </w:r>
      <w:r w:rsidR="00F54EFE" w:rsidRPr="00DA60F6">
        <w:rPr>
          <w:rFonts w:cs="Arial"/>
        </w:rPr>
        <w:t>pati</w:t>
      </w:r>
      <w:r w:rsidR="00427540" w:rsidRPr="00DA60F6">
        <w:rPr>
          <w:rFonts w:cs="Arial"/>
        </w:rPr>
        <w:t xml:space="preserve">on in the </w:t>
      </w:r>
      <w:r w:rsidR="00F54EFE" w:rsidRPr="00E01B53">
        <w:rPr>
          <w:rFonts w:cs="Arial"/>
        </w:rPr>
        <w:t>research</w:t>
      </w:r>
      <w:r w:rsidR="00427540" w:rsidRPr="00E01B53">
        <w:rPr>
          <w:rFonts w:cs="Arial"/>
        </w:rPr>
        <w:t xml:space="preserve"> </w:t>
      </w:r>
      <w:r w:rsidR="00F54EFE" w:rsidRPr="00A11F58">
        <w:rPr>
          <w:rFonts w:cs="Arial"/>
        </w:rPr>
        <w:t>clinics</w:t>
      </w:r>
      <w:r w:rsidR="00C613E3">
        <w:rPr>
          <w:rFonts w:cs="Arial"/>
        </w:rPr>
        <w:t xml:space="preserve"> [</w:t>
      </w:r>
      <w:r w:rsidR="00995517">
        <w:rPr>
          <w:rFonts w:cs="Arial"/>
        </w:rPr>
        <w:t>35</w:t>
      </w:r>
      <w:r w:rsidR="00C613E3">
        <w:rPr>
          <w:rFonts w:cs="Arial"/>
        </w:rPr>
        <w:t>]</w:t>
      </w:r>
      <w:r w:rsidR="00427540" w:rsidRPr="003C1619">
        <w:rPr>
          <w:rFonts w:cs="Arial"/>
        </w:rPr>
        <w:t>. O</w:t>
      </w:r>
      <w:r w:rsidR="00BC7D17" w:rsidRPr="003C1619">
        <w:rPr>
          <w:rFonts w:cs="Arial"/>
        </w:rPr>
        <w:t>lder women (aged 75 years and over)</w:t>
      </w:r>
      <w:r w:rsidR="00427540" w:rsidRPr="00C613E3">
        <w:rPr>
          <w:rFonts w:cs="Arial"/>
        </w:rPr>
        <w:t xml:space="preserve"> were </w:t>
      </w:r>
      <w:r w:rsidR="00F54EFE" w:rsidRPr="00C613E3">
        <w:rPr>
          <w:rFonts w:cs="Arial"/>
        </w:rPr>
        <w:t>under</w:t>
      </w:r>
      <w:r w:rsidR="00DF12AD">
        <w:rPr>
          <w:rFonts w:cs="Arial"/>
        </w:rPr>
        <w:t>-</w:t>
      </w:r>
      <w:r w:rsidR="00427540" w:rsidRPr="00C613E3">
        <w:rPr>
          <w:rFonts w:cs="Arial"/>
        </w:rPr>
        <w:t>r</w:t>
      </w:r>
      <w:r w:rsidR="00F54EFE" w:rsidRPr="00C613E3">
        <w:rPr>
          <w:rFonts w:cs="Arial"/>
        </w:rPr>
        <w:t>e</w:t>
      </w:r>
      <w:r w:rsidR="00427540" w:rsidRPr="00C613E3">
        <w:rPr>
          <w:rFonts w:cs="Arial"/>
        </w:rPr>
        <w:t>p</w:t>
      </w:r>
      <w:r w:rsidR="00F54EFE" w:rsidRPr="00C613E3">
        <w:rPr>
          <w:rFonts w:cs="Arial"/>
        </w:rPr>
        <w:t>r</w:t>
      </w:r>
      <w:r w:rsidR="00427540" w:rsidRPr="00C613E3">
        <w:rPr>
          <w:rFonts w:cs="Arial"/>
        </w:rPr>
        <w:t xml:space="preserve">esented </w:t>
      </w:r>
      <w:r w:rsidR="00DF12AD" w:rsidRPr="00033AF0">
        <w:rPr>
          <w:rFonts w:cs="Arial"/>
          <w:noProof/>
        </w:rPr>
        <w:t>whilst</w:t>
      </w:r>
      <w:r w:rsidR="00427540" w:rsidRPr="00C613E3">
        <w:rPr>
          <w:rFonts w:cs="Arial"/>
        </w:rPr>
        <w:t xml:space="preserve"> those </w:t>
      </w:r>
      <w:r w:rsidR="00812A44" w:rsidRPr="00C613E3">
        <w:rPr>
          <w:rFonts w:cs="Arial"/>
        </w:rPr>
        <w:t>who</w:t>
      </w:r>
      <w:r w:rsidR="00BC7D17" w:rsidRPr="00C613E3">
        <w:rPr>
          <w:rFonts w:cs="Arial"/>
        </w:rPr>
        <w:t xml:space="preserve"> </w:t>
      </w:r>
      <w:r w:rsidR="00854677" w:rsidRPr="00C613E3">
        <w:rPr>
          <w:rFonts w:cs="Arial"/>
        </w:rPr>
        <w:t>attended</w:t>
      </w:r>
      <w:r w:rsidR="00BC7D17" w:rsidRPr="00C613E3">
        <w:rPr>
          <w:rFonts w:cs="Arial"/>
        </w:rPr>
        <w:t xml:space="preserve"> higher </w:t>
      </w:r>
      <w:r w:rsidR="00854677" w:rsidRPr="00033AF0">
        <w:rPr>
          <w:rFonts w:cs="Arial"/>
          <w:noProof/>
        </w:rPr>
        <w:t>education</w:t>
      </w:r>
      <w:r w:rsidR="00BC7D17" w:rsidRPr="00033AF0">
        <w:rPr>
          <w:rFonts w:cs="Arial"/>
          <w:noProof/>
        </w:rPr>
        <w:t>,</w:t>
      </w:r>
      <w:r w:rsidR="00854677" w:rsidRPr="00C613E3">
        <w:rPr>
          <w:rFonts w:cs="Arial"/>
        </w:rPr>
        <w:t xml:space="preserve"> </w:t>
      </w:r>
      <w:r w:rsidR="00427540" w:rsidRPr="00C613E3">
        <w:rPr>
          <w:rFonts w:cs="Arial"/>
        </w:rPr>
        <w:t xml:space="preserve">were of a professional or managerial </w:t>
      </w:r>
      <w:r w:rsidR="00812A44" w:rsidRPr="00C613E3">
        <w:rPr>
          <w:rFonts w:cs="Arial"/>
        </w:rPr>
        <w:t xml:space="preserve">occupational </w:t>
      </w:r>
      <w:r w:rsidR="00427540" w:rsidRPr="00C613E3">
        <w:rPr>
          <w:rFonts w:cs="Arial"/>
        </w:rPr>
        <w:t xml:space="preserve">class, </w:t>
      </w:r>
      <w:r w:rsidR="00F54EFE" w:rsidRPr="00C613E3">
        <w:rPr>
          <w:rFonts w:cs="Arial"/>
        </w:rPr>
        <w:t>had a higher number of days with foot pain and greater functional impairment on the MFPDI were more likely to attend the research clinics.</w:t>
      </w:r>
      <w:r w:rsidR="007E3337" w:rsidRPr="009F45DA">
        <w:rPr>
          <w:rFonts w:cs="Arial"/>
        </w:rPr>
        <w:t xml:space="preserve"> </w:t>
      </w:r>
      <w:r w:rsidR="006349A2">
        <w:rPr>
          <w:rFonts w:cs="Arial"/>
        </w:rPr>
        <w:t xml:space="preserve">Multiple </w:t>
      </w:r>
      <w:r w:rsidR="006349A2" w:rsidRPr="00033AF0">
        <w:rPr>
          <w:rFonts w:cs="Arial"/>
          <w:noProof/>
        </w:rPr>
        <w:t>imputation</w:t>
      </w:r>
      <w:r w:rsidR="006349A2">
        <w:rPr>
          <w:rFonts w:cs="Arial"/>
        </w:rPr>
        <w:t xml:space="preserve"> was used to impute missing data that arose from non-completion of individual items or questionnaire non-response. </w:t>
      </w:r>
      <w:r w:rsidR="00816310">
        <w:rPr>
          <w:rFonts w:cs="Arial"/>
        </w:rPr>
        <w:t xml:space="preserve">Missing data </w:t>
      </w:r>
      <w:r w:rsidR="002651C4" w:rsidRPr="00033AF0">
        <w:rPr>
          <w:rFonts w:cs="Arial"/>
          <w:noProof/>
        </w:rPr>
        <w:t>were</w:t>
      </w:r>
      <w:r w:rsidR="002651C4">
        <w:rPr>
          <w:rFonts w:cs="Arial"/>
        </w:rPr>
        <w:t xml:space="preserve"> </w:t>
      </w:r>
      <w:r w:rsidR="00816310">
        <w:rPr>
          <w:rFonts w:cs="Arial"/>
        </w:rPr>
        <w:t xml:space="preserve">associated with </w:t>
      </w:r>
      <w:r w:rsidR="00816310" w:rsidRPr="00033AF0">
        <w:rPr>
          <w:rFonts w:cs="Arial"/>
          <w:noProof/>
        </w:rPr>
        <w:t>a number of</w:t>
      </w:r>
      <w:r w:rsidR="00816310">
        <w:rPr>
          <w:rFonts w:cs="Arial"/>
        </w:rPr>
        <w:t xml:space="preserve"> variables and therefore </w:t>
      </w:r>
      <w:r w:rsidR="0098756A">
        <w:rPr>
          <w:rFonts w:cs="Arial"/>
        </w:rPr>
        <w:t xml:space="preserve">data </w:t>
      </w:r>
      <w:r w:rsidR="002651C4" w:rsidRPr="00033AF0">
        <w:rPr>
          <w:rFonts w:cs="Arial"/>
          <w:noProof/>
        </w:rPr>
        <w:t>were</w:t>
      </w:r>
      <w:r w:rsidR="0098756A">
        <w:rPr>
          <w:rFonts w:cs="Arial"/>
        </w:rPr>
        <w:t xml:space="preserve"> assumed to be</w:t>
      </w:r>
      <w:r w:rsidR="00495FFC" w:rsidRPr="00F37B43">
        <w:rPr>
          <w:rFonts w:cs="Arial"/>
        </w:rPr>
        <w:t xml:space="preserve"> missing at random. </w:t>
      </w:r>
      <w:r w:rsidR="00726D08" w:rsidRPr="00033AF0">
        <w:rPr>
          <w:rFonts w:cs="Arial"/>
          <w:noProof/>
        </w:rPr>
        <w:t>The imputation model included</w:t>
      </w:r>
      <w:r w:rsidR="00F7236E" w:rsidRPr="00033AF0">
        <w:rPr>
          <w:rFonts w:cs="Arial"/>
          <w:noProof/>
        </w:rPr>
        <w:t xml:space="preserve"> </w:t>
      </w:r>
      <w:r w:rsidR="00726D08" w:rsidRPr="00033AF0">
        <w:rPr>
          <w:rFonts w:cs="Arial"/>
          <w:noProof/>
        </w:rPr>
        <w:t xml:space="preserve">the </w:t>
      </w:r>
      <w:r w:rsidR="00F7236E" w:rsidRPr="00033AF0">
        <w:rPr>
          <w:rFonts w:cs="Arial"/>
          <w:noProof/>
        </w:rPr>
        <w:t>following</w:t>
      </w:r>
      <w:r w:rsidR="00726D08" w:rsidRPr="00033AF0">
        <w:rPr>
          <w:rFonts w:cs="Arial"/>
          <w:noProof/>
        </w:rPr>
        <w:t xml:space="preserve"> </w:t>
      </w:r>
      <w:r w:rsidR="00F7236E" w:rsidRPr="00033AF0">
        <w:rPr>
          <w:rFonts w:cs="Arial"/>
          <w:noProof/>
        </w:rPr>
        <w:t>variables</w:t>
      </w:r>
      <w:r w:rsidR="003812FE" w:rsidRPr="0052768F">
        <w:rPr>
          <w:rFonts w:cs="Arial"/>
          <w:noProof/>
        </w:rPr>
        <w:t xml:space="preserve">, which </w:t>
      </w:r>
      <w:r w:rsidR="003812FE" w:rsidRPr="0052768F">
        <w:rPr>
          <w:rFonts w:cs="Arial"/>
          <w:noProof/>
        </w:rPr>
        <w:lastRenderedPageBreak/>
        <w:t>included those associated with missing data</w:t>
      </w:r>
      <w:r w:rsidR="00726D08" w:rsidRPr="00033AF0">
        <w:rPr>
          <w:rFonts w:cs="Arial"/>
          <w:noProof/>
        </w:rPr>
        <w:t>: age,</w:t>
      </w:r>
      <w:r w:rsidR="00F7236E" w:rsidRPr="00033AF0">
        <w:rPr>
          <w:rFonts w:cs="Arial"/>
          <w:noProof/>
        </w:rPr>
        <w:t xml:space="preserve"> </w:t>
      </w:r>
      <w:r w:rsidR="00726D08" w:rsidRPr="00033AF0">
        <w:rPr>
          <w:rFonts w:cs="Arial"/>
          <w:noProof/>
        </w:rPr>
        <w:t xml:space="preserve">gender, GP </w:t>
      </w:r>
      <w:r w:rsidR="00F7236E" w:rsidRPr="00033AF0">
        <w:rPr>
          <w:rFonts w:cs="Arial"/>
          <w:noProof/>
        </w:rPr>
        <w:t xml:space="preserve">practice, </w:t>
      </w:r>
      <w:r w:rsidR="005C0796" w:rsidRPr="00033AF0">
        <w:rPr>
          <w:rFonts w:cs="Arial"/>
          <w:noProof/>
        </w:rPr>
        <w:t>marital</w:t>
      </w:r>
      <w:r w:rsidR="00726D08" w:rsidRPr="00033AF0">
        <w:rPr>
          <w:rFonts w:cs="Arial"/>
          <w:noProof/>
        </w:rPr>
        <w:t xml:space="preserve"> status, higher </w:t>
      </w:r>
      <w:r w:rsidR="00F7236E" w:rsidRPr="00033AF0">
        <w:rPr>
          <w:rFonts w:cs="Arial"/>
          <w:noProof/>
        </w:rPr>
        <w:t>education</w:t>
      </w:r>
      <w:r w:rsidR="00726D08" w:rsidRPr="00033AF0">
        <w:rPr>
          <w:rFonts w:cs="Arial"/>
          <w:noProof/>
        </w:rPr>
        <w:t>, employment status,</w:t>
      </w:r>
      <w:r w:rsidR="00F7236E" w:rsidRPr="00033AF0">
        <w:rPr>
          <w:rFonts w:cs="Arial"/>
          <w:noProof/>
        </w:rPr>
        <w:t xml:space="preserve"> </w:t>
      </w:r>
      <w:r w:rsidR="00726D08" w:rsidRPr="00033AF0">
        <w:rPr>
          <w:rFonts w:cs="Arial"/>
          <w:noProof/>
        </w:rPr>
        <w:t>socioecon</w:t>
      </w:r>
      <w:r w:rsidR="00F7236E" w:rsidRPr="00033AF0">
        <w:rPr>
          <w:rFonts w:cs="Arial"/>
          <w:noProof/>
        </w:rPr>
        <w:t>omic</w:t>
      </w:r>
      <w:r w:rsidR="00726D08" w:rsidRPr="00033AF0">
        <w:rPr>
          <w:rFonts w:cs="Arial"/>
          <w:noProof/>
        </w:rPr>
        <w:t xml:space="preserve"> </w:t>
      </w:r>
      <w:r w:rsidR="00F7236E" w:rsidRPr="00033AF0">
        <w:rPr>
          <w:rFonts w:cs="Arial"/>
          <w:noProof/>
        </w:rPr>
        <w:t>class</w:t>
      </w:r>
      <w:r w:rsidR="00726D08" w:rsidRPr="00033AF0">
        <w:rPr>
          <w:rFonts w:cs="Arial"/>
          <w:noProof/>
        </w:rPr>
        <w:t>, SF</w:t>
      </w:r>
      <w:r w:rsidR="00F7236E" w:rsidRPr="00033AF0">
        <w:rPr>
          <w:rFonts w:cs="Arial"/>
          <w:noProof/>
        </w:rPr>
        <w:t>-1</w:t>
      </w:r>
      <w:r w:rsidR="00726D08" w:rsidRPr="00033AF0">
        <w:rPr>
          <w:rFonts w:cs="Arial"/>
          <w:noProof/>
        </w:rPr>
        <w:t>2</w:t>
      </w:r>
      <w:r w:rsidR="00F7236E" w:rsidRPr="00033AF0">
        <w:rPr>
          <w:rFonts w:cs="Arial"/>
          <w:noProof/>
        </w:rPr>
        <w:t xml:space="preserve"> score, HADS score, reported foot pain in last month, </w:t>
      </w:r>
      <w:r w:rsidR="009F5889" w:rsidRPr="00033AF0">
        <w:rPr>
          <w:rFonts w:cs="Arial"/>
          <w:noProof/>
        </w:rPr>
        <w:t>duration</w:t>
      </w:r>
      <w:r w:rsidR="00F7236E" w:rsidRPr="00033AF0">
        <w:rPr>
          <w:rFonts w:cs="Arial"/>
          <w:noProof/>
        </w:rPr>
        <w:t xml:space="preserve"> of foot pain in last 12 months and </w:t>
      </w:r>
      <w:r w:rsidR="003F262F" w:rsidRPr="00033AF0">
        <w:rPr>
          <w:rFonts w:cs="Arial"/>
          <w:noProof/>
        </w:rPr>
        <w:t>R</w:t>
      </w:r>
      <w:r w:rsidR="00F7236E" w:rsidRPr="00033AF0">
        <w:rPr>
          <w:rFonts w:cs="Arial"/>
          <w:noProof/>
        </w:rPr>
        <w:t>asch</w:t>
      </w:r>
      <w:r w:rsidR="003F262F" w:rsidRPr="00033AF0">
        <w:rPr>
          <w:rFonts w:cs="Arial"/>
          <w:noProof/>
        </w:rPr>
        <w:t>-transform</w:t>
      </w:r>
      <w:r w:rsidR="00F7236E" w:rsidRPr="00033AF0">
        <w:rPr>
          <w:rFonts w:cs="Arial"/>
          <w:noProof/>
        </w:rPr>
        <w:t xml:space="preserve">ed MFPDI </w:t>
      </w:r>
      <w:r w:rsidR="003F262F" w:rsidRPr="00033AF0">
        <w:rPr>
          <w:rFonts w:cs="Arial"/>
          <w:noProof/>
        </w:rPr>
        <w:t xml:space="preserve">pain and function </w:t>
      </w:r>
      <w:r w:rsidR="00F7236E" w:rsidRPr="00033AF0">
        <w:rPr>
          <w:rFonts w:cs="Arial"/>
          <w:noProof/>
        </w:rPr>
        <w:t>scores.</w:t>
      </w:r>
      <w:r w:rsidR="00F7236E" w:rsidRPr="00816310">
        <w:rPr>
          <w:rFonts w:cs="Arial"/>
        </w:rPr>
        <w:t xml:space="preserve"> </w:t>
      </w:r>
      <w:r w:rsidR="009F5889" w:rsidRPr="00816310">
        <w:rPr>
          <w:rFonts w:cs="Arial"/>
        </w:rPr>
        <w:t xml:space="preserve">The MFPDI has previously been shown to fit the </w:t>
      </w:r>
      <w:proofErr w:type="spellStart"/>
      <w:r w:rsidR="009F5889" w:rsidRPr="00816310">
        <w:rPr>
          <w:rFonts w:cs="Arial"/>
        </w:rPr>
        <w:t>Rasch</w:t>
      </w:r>
      <w:proofErr w:type="spellEnd"/>
      <w:r w:rsidR="009F5889" w:rsidRPr="00816310">
        <w:rPr>
          <w:rFonts w:cs="Arial"/>
        </w:rPr>
        <w:t xml:space="preserve"> model</w:t>
      </w:r>
      <w:r w:rsidR="00115789">
        <w:rPr>
          <w:rFonts w:cs="Arial"/>
        </w:rPr>
        <w:t xml:space="preserve">, allowing </w:t>
      </w:r>
      <w:r w:rsidR="00A93ACD" w:rsidRPr="00565E62">
        <w:rPr>
          <w:rFonts w:cs="Arial"/>
          <w:noProof/>
        </w:rPr>
        <w:t>interval-level</w:t>
      </w:r>
      <w:r w:rsidR="00A93ACD">
        <w:rPr>
          <w:rFonts w:cs="Arial"/>
        </w:rPr>
        <w:t xml:space="preserve"> score</w:t>
      </w:r>
      <w:r w:rsidR="00FB7EF1">
        <w:rPr>
          <w:rFonts w:cs="Arial"/>
        </w:rPr>
        <w:t>s</w:t>
      </w:r>
      <w:r w:rsidR="00A93ACD">
        <w:rPr>
          <w:rFonts w:cs="Arial"/>
        </w:rPr>
        <w:t xml:space="preserve"> to </w:t>
      </w:r>
      <w:r w:rsidR="00A93ACD" w:rsidRPr="00033AF0">
        <w:rPr>
          <w:rFonts w:cs="Arial"/>
          <w:noProof/>
        </w:rPr>
        <w:t>be generated</w:t>
      </w:r>
      <w:r w:rsidR="00A93ACD">
        <w:rPr>
          <w:rFonts w:cs="Arial"/>
        </w:rPr>
        <w:t xml:space="preserve"> for </w:t>
      </w:r>
      <w:r w:rsidR="009274AE">
        <w:rPr>
          <w:rFonts w:cs="Arial"/>
        </w:rPr>
        <w:t>the</w:t>
      </w:r>
      <w:r w:rsidR="001275EC">
        <w:rPr>
          <w:rFonts w:cs="Arial"/>
        </w:rPr>
        <w:t xml:space="preserve"> </w:t>
      </w:r>
      <w:r w:rsidR="009274AE">
        <w:rPr>
          <w:rFonts w:cs="Arial"/>
        </w:rPr>
        <w:t>pain</w:t>
      </w:r>
      <w:r w:rsidR="00BB37C1">
        <w:rPr>
          <w:rFonts w:cs="Arial"/>
        </w:rPr>
        <w:t xml:space="preserve"> </w:t>
      </w:r>
      <w:r w:rsidR="008D7C26">
        <w:rPr>
          <w:rFonts w:cs="Arial"/>
        </w:rPr>
        <w:t xml:space="preserve">and </w:t>
      </w:r>
      <w:r w:rsidR="00987072">
        <w:rPr>
          <w:rFonts w:cs="Arial"/>
        </w:rPr>
        <w:t>function</w:t>
      </w:r>
      <w:r w:rsidR="009274AE">
        <w:rPr>
          <w:rFonts w:cs="Arial"/>
        </w:rPr>
        <w:t xml:space="preserve"> subscales</w:t>
      </w:r>
      <w:r w:rsidR="00A93ACD">
        <w:rPr>
          <w:rFonts w:cs="Arial"/>
        </w:rPr>
        <w:t xml:space="preserve"> from </w:t>
      </w:r>
      <w:r w:rsidR="00115789">
        <w:rPr>
          <w:rFonts w:cs="Arial"/>
        </w:rPr>
        <w:t xml:space="preserve">the instrument </w:t>
      </w:r>
      <w:r w:rsidR="00907741">
        <w:rPr>
          <w:rFonts w:cs="Arial"/>
        </w:rPr>
        <w:t>that has</w:t>
      </w:r>
      <w:r w:rsidR="00115789">
        <w:rPr>
          <w:rFonts w:cs="Arial"/>
        </w:rPr>
        <w:t xml:space="preserve"> ordinal responses</w:t>
      </w:r>
      <w:r w:rsidR="005260C4">
        <w:rPr>
          <w:rFonts w:cs="Arial"/>
        </w:rPr>
        <w:t>,</w:t>
      </w:r>
      <w:r w:rsidR="00115789">
        <w:rPr>
          <w:rFonts w:cs="Arial"/>
        </w:rPr>
        <w:t xml:space="preserve"> </w:t>
      </w:r>
      <w:r w:rsidR="00A93ACD">
        <w:rPr>
          <w:rFonts w:cs="Arial"/>
        </w:rPr>
        <w:t>so that severity of pain and disability can be more precisely described</w:t>
      </w:r>
      <w:r w:rsidR="00C613E3">
        <w:rPr>
          <w:rFonts w:cs="Arial"/>
        </w:rPr>
        <w:t xml:space="preserve"> [</w:t>
      </w:r>
      <w:r w:rsidR="00995517">
        <w:rPr>
          <w:rFonts w:cs="Arial"/>
        </w:rPr>
        <w:t>41</w:t>
      </w:r>
      <w:r w:rsidR="00C613E3">
        <w:rPr>
          <w:rFonts w:cs="Arial"/>
        </w:rPr>
        <w:t>]</w:t>
      </w:r>
      <w:r w:rsidR="00C65375" w:rsidRPr="003C1619">
        <w:rPr>
          <w:rFonts w:cs="Arial"/>
        </w:rPr>
        <w:t>. The number of imput</w:t>
      </w:r>
      <w:r w:rsidR="00B572C6" w:rsidRPr="003C1619">
        <w:rPr>
          <w:rFonts w:cs="Arial"/>
        </w:rPr>
        <w:t>at</w:t>
      </w:r>
      <w:r w:rsidR="00C65375" w:rsidRPr="003C1619">
        <w:rPr>
          <w:rFonts w:cs="Arial"/>
        </w:rPr>
        <w:t>ion</w:t>
      </w:r>
      <w:r w:rsidR="00B572C6" w:rsidRPr="00C613E3">
        <w:rPr>
          <w:rFonts w:cs="Arial"/>
        </w:rPr>
        <w:t>s</w:t>
      </w:r>
      <w:r w:rsidR="00C65375" w:rsidRPr="00C613E3">
        <w:rPr>
          <w:rFonts w:cs="Arial"/>
        </w:rPr>
        <w:t xml:space="preserve"> </w:t>
      </w:r>
      <w:r w:rsidR="00C65375" w:rsidRPr="00033AF0">
        <w:rPr>
          <w:rFonts w:cs="Arial"/>
          <w:noProof/>
        </w:rPr>
        <w:t>was set</w:t>
      </w:r>
      <w:r w:rsidR="00C65375" w:rsidRPr="00C613E3">
        <w:rPr>
          <w:rFonts w:cs="Arial"/>
        </w:rPr>
        <w:t xml:space="preserve"> at </w:t>
      </w:r>
      <w:r w:rsidR="007B6817" w:rsidRPr="00033AF0">
        <w:rPr>
          <w:rFonts w:cs="Arial"/>
          <w:noProof/>
        </w:rPr>
        <w:t>15</w:t>
      </w:r>
      <w:r w:rsidR="007B6817" w:rsidRPr="00C613E3">
        <w:rPr>
          <w:rFonts w:cs="Arial"/>
        </w:rPr>
        <w:t xml:space="preserve"> and the im</w:t>
      </w:r>
      <w:r w:rsidR="00B572C6" w:rsidRPr="00C613E3">
        <w:rPr>
          <w:rFonts w:cs="Arial"/>
        </w:rPr>
        <w:t>p</w:t>
      </w:r>
      <w:r w:rsidR="007B6817" w:rsidRPr="00C613E3">
        <w:rPr>
          <w:rFonts w:cs="Arial"/>
        </w:rPr>
        <w:t>uted dataset</w:t>
      </w:r>
      <w:r w:rsidR="002459C5" w:rsidRPr="00C613E3">
        <w:rPr>
          <w:rFonts w:cs="Arial"/>
        </w:rPr>
        <w:t>s</w:t>
      </w:r>
      <w:r w:rsidR="007B6817" w:rsidRPr="00C613E3">
        <w:rPr>
          <w:rFonts w:cs="Arial"/>
        </w:rPr>
        <w:t xml:space="preserve"> were combined using Rubin</w:t>
      </w:r>
      <w:r w:rsidR="00B572C6" w:rsidRPr="00C613E3">
        <w:rPr>
          <w:rFonts w:cs="Arial"/>
        </w:rPr>
        <w:t>’</w:t>
      </w:r>
      <w:r w:rsidR="007B6817" w:rsidRPr="00C613E3">
        <w:rPr>
          <w:rFonts w:cs="Arial"/>
        </w:rPr>
        <w:t>s rules</w:t>
      </w:r>
      <w:r w:rsidR="00C613E3">
        <w:rPr>
          <w:rFonts w:cs="Arial"/>
        </w:rPr>
        <w:t xml:space="preserve"> [</w:t>
      </w:r>
      <w:r w:rsidR="00995517">
        <w:rPr>
          <w:rFonts w:cs="Arial"/>
        </w:rPr>
        <w:t>42</w:t>
      </w:r>
      <w:r w:rsidR="00C613E3">
        <w:rPr>
          <w:rFonts w:cs="Arial"/>
        </w:rPr>
        <w:t>]</w:t>
      </w:r>
      <w:r w:rsidR="00067E18" w:rsidRPr="003C1619">
        <w:rPr>
          <w:rFonts w:cs="Arial"/>
        </w:rPr>
        <w:t>.</w:t>
      </w:r>
      <w:r w:rsidR="002459C5" w:rsidRPr="003C1619">
        <w:rPr>
          <w:rFonts w:cs="Arial"/>
        </w:rPr>
        <w:t xml:space="preserve"> Th</w:t>
      </w:r>
      <w:r w:rsidR="00684CE9" w:rsidRPr="003C1619">
        <w:rPr>
          <w:rFonts w:cs="Arial"/>
        </w:rPr>
        <w:t>e</w:t>
      </w:r>
      <w:r w:rsidR="002459C5" w:rsidRPr="00C613E3">
        <w:rPr>
          <w:rFonts w:cs="Arial"/>
        </w:rPr>
        <w:t xml:space="preserve"> </w:t>
      </w:r>
      <w:r w:rsidR="002459C5" w:rsidRPr="00033AF0">
        <w:rPr>
          <w:rFonts w:cs="Arial"/>
          <w:noProof/>
        </w:rPr>
        <w:t>mim:proportion</w:t>
      </w:r>
      <w:r w:rsidR="002459C5" w:rsidRPr="00C613E3">
        <w:rPr>
          <w:rFonts w:cs="Arial"/>
        </w:rPr>
        <w:t xml:space="preserve"> command was used to determine the prevalence estimates and 95% confidence intervals for </w:t>
      </w:r>
      <w:r w:rsidR="00644D87" w:rsidRPr="009F45DA">
        <w:rPr>
          <w:rFonts w:cs="Arial"/>
        </w:rPr>
        <w:t>all responders to the baseline health survey questionnaire</w:t>
      </w:r>
      <w:r w:rsidR="002459C5" w:rsidRPr="009F45DA">
        <w:rPr>
          <w:rFonts w:cs="Arial"/>
        </w:rPr>
        <w:t xml:space="preserve">. </w:t>
      </w:r>
    </w:p>
    <w:p w14:paraId="3C9C1080" w14:textId="77777777" w:rsidR="00726D08" w:rsidRPr="009F45DA" w:rsidRDefault="00726D08">
      <w:pPr>
        <w:spacing w:after="0" w:line="480" w:lineRule="auto"/>
        <w:rPr>
          <w:rFonts w:cs="Arial"/>
        </w:rPr>
      </w:pPr>
    </w:p>
    <w:p w14:paraId="3CAB3AC2" w14:textId="11E7DFA7" w:rsidR="007918FF" w:rsidRPr="00377D78" w:rsidRDefault="00837CB7">
      <w:pPr>
        <w:spacing w:after="0" w:line="480" w:lineRule="auto"/>
        <w:rPr>
          <w:rFonts w:cs="Arial"/>
        </w:rPr>
      </w:pPr>
      <w:r w:rsidRPr="009F45DA">
        <w:rPr>
          <w:rFonts w:cs="Arial"/>
        </w:rPr>
        <w:t>Prevalence</w:t>
      </w:r>
      <w:r w:rsidR="00AE3C94" w:rsidRPr="009F45DA">
        <w:rPr>
          <w:rFonts w:cs="Arial"/>
        </w:rPr>
        <w:t xml:space="preserve"> </w:t>
      </w:r>
      <w:r w:rsidRPr="009F45DA">
        <w:rPr>
          <w:rFonts w:cs="Arial"/>
        </w:rPr>
        <w:t>estimates</w:t>
      </w:r>
      <w:r w:rsidR="00AE3C94" w:rsidRPr="00D23119">
        <w:rPr>
          <w:rFonts w:cs="Arial"/>
        </w:rPr>
        <w:t xml:space="preserve"> were </w:t>
      </w:r>
      <w:r w:rsidR="00AE05D0" w:rsidRPr="003D2D21">
        <w:rPr>
          <w:rFonts w:cs="Arial"/>
        </w:rPr>
        <w:t xml:space="preserve">then </w:t>
      </w:r>
      <w:r w:rsidR="00766A27" w:rsidRPr="000A2366">
        <w:rPr>
          <w:rFonts w:cs="Arial"/>
        </w:rPr>
        <w:t xml:space="preserve">weighted </w:t>
      </w:r>
      <w:r w:rsidR="002A1C3B">
        <w:rPr>
          <w:rFonts w:cs="Arial"/>
        </w:rPr>
        <w:t xml:space="preserve">to account for any differences in age, gender and GP practice between responders and non-responders to the questionnaire. Logistic regression </w:t>
      </w:r>
      <w:r w:rsidR="002A1C3B" w:rsidRPr="00033AF0">
        <w:rPr>
          <w:rFonts w:cs="Arial"/>
          <w:noProof/>
        </w:rPr>
        <w:t>modelled</w:t>
      </w:r>
      <w:r w:rsidR="002A1C3B">
        <w:rPr>
          <w:rFonts w:cs="Arial"/>
        </w:rPr>
        <w:t xml:space="preserve"> for each person the probability of completing the questionnaire based on their age, gender and general practice. The inverse of the probability was used to obtain weighted prevalence estimates </w:t>
      </w:r>
      <w:r w:rsidR="00F535BA" w:rsidRPr="00072CB0">
        <w:rPr>
          <w:rFonts w:cs="Arial"/>
        </w:rPr>
        <w:t>(and 95</w:t>
      </w:r>
      <w:r w:rsidR="00E323CC" w:rsidRPr="00072CB0">
        <w:rPr>
          <w:rFonts w:cs="Arial"/>
        </w:rPr>
        <w:t>%</w:t>
      </w:r>
      <w:r w:rsidR="00E323CC">
        <w:rPr>
          <w:rFonts w:cs="Arial"/>
        </w:rPr>
        <w:t xml:space="preserve"> </w:t>
      </w:r>
      <w:r w:rsidR="00E323CC" w:rsidRPr="00377D78">
        <w:rPr>
          <w:rFonts w:cs="Arial"/>
        </w:rPr>
        <w:t>confidence</w:t>
      </w:r>
      <w:r w:rsidR="00377D78">
        <w:rPr>
          <w:rFonts w:cs="Arial"/>
        </w:rPr>
        <w:t xml:space="preserve"> intervals</w:t>
      </w:r>
      <w:r w:rsidR="00F535BA" w:rsidRPr="00072CB0">
        <w:rPr>
          <w:rFonts w:cs="Arial"/>
        </w:rPr>
        <w:t>) in the total baseline eligible mailed population</w:t>
      </w:r>
      <w:r w:rsidR="00982C45" w:rsidRPr="00B51535">
        <w:rPr>
          <w:rFonts w:cs="Arial"/>
        </w:rPr>
        <w:t xml:space="preserve"> from North Staffordshire</w:t>
      </w:r>
      <w:r w:rsidR="00F535BA" w:rsidRPr="00DA60F6">
        <w:rPr>
          <w:rFonts w:cs="Arial"/>
        </w:rPr>
        <w:t xml:space="preserve">. </w:t>
      </w:r>
      <w:r w:rsidR="00982C45" w:rsidRPr="00DA60F6">
        <w:rPr>
          <w:rFonts w:cs="Arial"/>
        </w:rPr>
        <w:t>Population</w:t>
      </w:r>
      <w:r w:rsidR="007918FF" w:rsidRPr="00DA60F6">
        <w:rPr>
          <w:rFonts w:cs="Arial"/>
        </w:rPr>
        <w:t xml:space="preserve"> prevalence estimates </w:t>
      </w:r>
      <w:r w:rsidR="00982C45" w:rsidRPr="00E73B11">
        <w:rPr>
          <w:rFonts w:cs="Arial"/>
        </w:rPr>
        <w:t xml:space="preserve">for ankle pain and symptomatic radiographic foot OA </w:t>
      </w:r>
      <w:r w:rsidR="007918FF" w:rsidRPr="00033AF0">
        <w:rPr>
          <w:rFonts w:cs="Arial"/>
          <w:noProof/>
        </w:rPr>
        <w:t>were stratified</w:t>
      </w:r>
      <w:r w:rsidR="007918FF" w:rsidRPr="00E73B11">
        <w:rPr>
          <w:rFonts w:cs="Arial"/>
        </w:rPr>
        <w:t xml:space="preserve"> for age, gender and</w:t>
      </w:r>
      <w:r w:rsidR="007918FF" w:rsidRPr="00377D78">
        <w:rPr>
          <w:rFonts w:cs="Arial"/>
        </w:rPr>
        <w:t xml:space="preserve"> socioeconomic status.</w:t>
      </w:r>
      <w:r w:rsidR="00D316FB" w:rsidRPr="00377D78">
        <w:rPr>
          <w:rFonts w:cs="Arial"/>
        </w:rPr>
        <w:t xml:space="preserve"> </w:t>
      </w:r>
      <w:r w:rsidR="00BA6FA4">
        <w:rPr>
          <w:rFonts w:cs="Arial"/>
        </w:rPr>
        <w:t>Sensitivity analysis using different severity thresholds of radiographic OA</w:t>
      </w:r>
      <w:r w:rsidR="005A1ADD">
        <w:rPr>
          <w:rFonts w:cs="Arial"/>
        </w:rPr>
        <w:t xml:space="preserve"> that</w:t>
      </w:r>
      <w:r w:rsidR="00BA6FA4">
        <w:rPr>
          <w:rFonts w:cs="Arial"/>
        </w:rPr>
        <w:t xml:space="preserve"> includ</w:t>
      </w:r>
      <w:r w:rsidR="005A1ADD">
        <w:rPr>
          <w:rFonts w:cs="Arial"/>
        </w:rPr>
        <w:t>ed</w:t>
      </w:r>
      <w:r w:rsidR="00BA6FA4">
        <w:rPr>
          <w:rFonts w:cs="Arial"/>
        </w:rPr>
        <w:t xml:space="preserve"> grade≥1 and grade=3 were also examined</w:t>
      </w:r>
      <w:r w:rsidR="005A1ADD">
        <w:rPr>
          <w:rFonts w:cs="Arial"/>
        </w:rPr>
        <w:t xml:space="preserve"> using the same processes of multiple </w:t>
      </w:r>
      <w:r w:rsidR="005A1ADD" w:rsidRPr="00033AF0">
        <w:rPr>
          <w:rFonts w:cs="Arial"/>
          <w:noProof/>
        </w:rPr>
        <w:t>imputation</w:t>
      </w:r>
      <w:r w:rsidR="005A1ADD">
        <w:rPr>
          <w:rFonts w:cs="Arial"/>
        </w:rPr>
        <w:t xml:space="preserve"> and weighted logistic regression. </w:t>
      </w:r>
      <w:r w:rsidR="00D316FB" w:rsidRPr="00377D78">
        <w:rPr>
          <w:rFonts w:cs="Arial"/>
        </w:rPr>
        <w:t xml:space="preserve">All analyses were undertaken using STATA version 12.0 (Stata Corporation, Texas, </w:t>
      </w:r>
      <w:proofErr w:type="gramStart"/>
      <w:r w:rsidR="00D316FB" w:rsidRPr="00377D78">
        <w:rPr>
          <w:rFonts w:cs="Arial"/>
        </w:rPr>
        <w:t>USA</w:t>
      </w:r>
      <w:proofErr w:type="gramEnd"/>
      <w:r w:rsidR="00D316FB" w:rsidRPr="00377D78">
        <w:rPr>
          <w:rFonts w:cs="Arial"/>
        </w:rPr>
        <w:t>).</w:t>
      </w:r>
    </w:p>
    <w:p w14:paraId="0FFA0A15" w14:textId="77777777" w:rsidR="004F27BF" w:rsidRPr="00E01B53" w:rsidRDefault="004F27BF">
      <w:pPr>
        <w:spacing w:after="0" w:line="480" w:lineRule="auto"/>
        <w:rPr>
          <w:rFonts w:cs="Arial"/>
        </w:rPr>
      </w:pPr>
    </w:p>
    <w:p w14:paraId="066186CC" w14:textId="1C324941" w:rsidR="00F5099D" w:rsidRPr="007F71B4" w:rsidRDefault="00243308">
      <w:pPr>
        <w:keepNext/>
        <w:spacing w:after="0" w:line="480" w:lineRule="auto"/>
        <w:rPr>
          <w:rFonts w:cs="Arial"/>
          <w:b/>
          <w:sz w:val="36"/>
          <w:szCs w:val="36"/>
        </w:rPr>
      </w:pPr>
      <w:r w:rsidRPr="007F71B4">
        <w:rPr>
          <w:rFonts w:cs="Arial"/>
          <w:b/>
          <w:sz w:val="36"/>
          <w:szCs w:val="36"/>
        </w:rPr>
        <w:t>R</w:t>
      </w:r>
      <w:r w:rsidR="008C1EF0" w:rsidRPr="007F71B4">
        <w:rPr>
          <w:rFonts w:cs="Arial"/>
          <w:b/>
          <w:sz w:val="36"/>
          <w:szCs w:val="36"/>
        </w:rPr>
        <w:t>esults: Prevalence Study</w:t>
      </w:r>
    </w:p>
    <w:p w14:paraId="5D27CECF" w14:textId="3DA76EC7" w:rsidR="0063582D" w:rsidRPr="001669C6" w:rsidRDefault="0063582D">
      <w:pPr>
        <w:keepNext/>
        <w:spacing w:after="0" w:line="480" w:lineRule="auto"/>
        <w:rPr>
          <w:rFonts w:cs="Arial"/>
          <w:b/>
          <w:sz w:val="32"/>
          <w:szCs w:val="32"/>
        </w:rPr>
      </w:pPr>
      <w:r w:rsidRPr="001669C6">
        <w:rPr>
          <w:rFonts w:cs="Arial"/>
          <w:b/>
          <w:sz w:val="32"/>
          <w:szCs w:val="32"/>
        </w:rPr>
        <w:t xml:space="preserve">Study </w:t>
      </w:r>
      <w:r w:rsidR="00874CAB" w:rsidRPr="001669C6">
        <w:rPr>
          <w:rFonts w:cs="Arial"/>
          <w:b/>
          <w:sz w:val="32"/>
          <w:szCs w:val="32"/>
        </w:rPr>
        <w:t>population</w:t>
      </w:r>
    </w:p>
    <w:p w14:paraId="667CF84E" w14:textId="6272E65F" w:rsidR="00C21FD1" w:rsidRPr="003C1619" w:rsidRDefault="00687B42">
      <w:pPr>
        <w:keepNext/>
        <w:spacing w:after="0" w:line="480" w:lineRule="auto"/>
        <w:rPr>
          <w:rFonts w:cs="Arial"/>
        </w:rPr>
      </w:pPr>
      <w:r w:rsidRPr="0063582D">
        <w:rPr>
          <w:rFonts w:cs="Arial"/>
        </w:rPr>
        <w:t>The CASF study identified a total of 9403 adults aged 50 years and over within four GP practices in North Staffords</w:t>
      </w:r>
      <w:r w:rsidRPr="00234440">
        <w:rPr>
          <w:rFonts w:cs="Arial"/>
        </w:rPr>
        <w:t xml:space="preserve">hire however, following exclusions </w:t>
      </w:r>
      <w:r w:rsidRPr="00033AF0">
        <w:rPr>
          <w:rFonts w:cs="Arial"/>
          <w:noProof/>
        </w:rPr>
        <w:t>prior to</w:t>
      </w:r>
      <w:r w:rsidRPr="00234440">
        <w:rPr>
          <w:rFonts w:cs="Arial"/>
        </w:rPr>
        <w:t xml:space="preserve"> and during mailing</w:t>
      </w:r>
      <w:r w:rsidR="00585170">
        <w:rPr>
          <w:rFonts w:cs="Arial"/>
        </w:rPr>
        <w:t>,</w:t>
      </w:r>
      <w:r w:rsidRPr="00234440">
        <w:rPr>
          <w:rFonts w:cs="Arial"/>
        </w:rPr>
        <w:t xml:space="preserve"> a total of 9194 mailed participants were </w:t>
      </w:r>
      <w:r w:rsidR="0082626A">
        <w:rPr>
          <w:rFonts w:cs="Arial"/>
        </w:rPr>
        <w:t xml:space="preserve">determined to be </w:t>
      </w:r>
      <w:r w:rsidRPr="0082626A">
        <w:rPr>
          <w:rFonts w:cs="Arial"/>
        </w:rPr>
        <w:t>eligible. In total</w:t>
      </w:r>
      <w:r w:rsidR="00497AD9" w:rsidRPr="0082626A">
        <w:rPr>
          <w:rFonts w:cs="Arial"/>
        </w:rPr>
        <w:t>,</w:t>
      </w:r>
      <w:r w:rsidRPr="0082626A">
        <w:rPr>
          <w:rFonts w:cs="Arial"/>
        </w:rPr>
        <w:t xml:space="preserve"> </w:t>
      </w:r>
      <w:r w:rsidR="00F8754A">
        <w:rPr>
          <w:rFonts w:cs="Arial"/>
        </w:rPr>
        <w:t xml:space="preserve">there were </w:t>
      </w:r>
      <w:r w:rsidRPr="0082626A">
        <w:rPr>
          <w:rFonts w:cs="Arial"/>
        </w:rPr>
        <w:t xml:space="preserve">5109 </w:t>
      </w:r>
      <w:r w:rsidR="00F8754A">
        <w:rPr>
          <w:rFonts w:cs="Arial"/>
        </w:rPr>
        <w:t xml:space="preserve">responders to the </w:t>
      </w:r>
      <w:r w:rsidRPr="0082626A">
        <w:rPr>
          <w:rFonts w:cs="Arial"/>
        </w:rPr>
        <w:t xml:space="preserve">baseline health survey </w:t>
      </w:r>
      <w:r w:rsidRPr="0082626A">
        <w:rPr>
          <w:rFonts w:cs="Arial"/>
        </w:rPr>
        <w:lastRenderedPageBreak/>
        <w:t>questionnaires (adjusted response 56%), with 2086 of these (41%) reporting pain in or around the foot in the last 12 months</w:t>
      </w:r>
      <w:r w:rsidR="00684B5A">
        <w:rPr>
          <w:rFonts w:cs="Arial"/>
        </w:rPr>
        <w:t xml:space="preserve"> (Fig 2)</w:t>
      </w:r>
      <w:r w:rsidR="00235DBC" w:rsidRPr="0082626A">
        <w:rPr>
          <w:rFonts w:cs="Arial"/>
        </w:rPr>
        <w:t>.</w:t>
      </w:r>
      <w:r w:rsidR="00585170">
        <w:rPr>
          <w:rFonts w:cs="Arial"/>
        </w:rPr>
        <w:t xml:space="preserve"> </w:t>
      </w:r>
      <w:r w:rsidR="00726CD0" w:rsidRPr="0082626A">
        <w:rPr>
          <w:rFonts w:cs="Arial"/>
        </w:rPr>
        <w:t xml:space="preserve">1634 </w:t>
      </w:r>
      <w:r w:rsidR="001468DC" w:rsidRPr="0082626A">
        <w:rPr>
          <w:rFonts w:cs="Arial"/>
        </w:rPr>
        <w:t xml:space="preserve">of these provided </w:t>
      </w:r>
      <w:r w:rsidR="002B4FAB" w:rsidRPr="0082626A">
        <w:rPr>
          <w:rFonts w:cs="Arial"/>
        </w:rPr>
        <w:t xml:space="preserve">consent </w:t>
      </w:r>
      <w:r w:rsidR="002B4FAB" w:rsidRPr="00033AF0">
        <w:rPr>
          <w:rFonts w:cs="Arial"/>
          <w:noProof/>
        </w:rPr>
        <w:t>to further contact</w:t>
      </w:r>
      <w:r w:rsidR="002B4FAB" w:rsidRPr="0082626A">
        <w:rPr>
          <w:rFonts w:cs="Arial"/>
        </w:rPr>
        <w:t xml:space="preserve"> and </w:t>
      </w:r>
      <w:r w:rsidR="00D71FE9" w:rsidRPr="0082626A">
        <w:rPr>
          <w:rFonts w:cs="Arial"/>
        </w:rPr>
        <w:t>were</w:t>
      </w:r>
      <w:r w:rsidR="00726CD0" w:rsidRPr="0082626A">
        <w:rPr>
          <w:rFonts w:cs="Arial"/>
        </w:rPr>
        <w:t xml:space="preserve"> invite</w:t>
      </w:r>
      <w:r w:rsidR="00D71FE9" w:rsidRPr="0082626A">
        <w:rPr>
          <w:rFonts w:cs="Arial"/>
        </w:rPr>
        <w:t>d</w:t>
      </w:r>
      <w:r w:rsidR="00726CD0" w:rsidRPr="00F8754A">
        <w:rPr>
          <w:rFonts w:cs="Arial"/>
        </w:rPr>
        <w:t xml:space="preserve"> to </w:t>
      </w:r>
      <w:r w:rsidR="00D71FE9" w:rsidRPr="00F8754A">
        <w:rPr>
          <w:rFonts w:cs="Arial"/>
        </w:rPr>
        <w:t xml:space="preserve">attend a </w:t>
      </w:r>
      <w:r w:rsidR="00726CD0" w:rsidRPr="00F8754A">
        <w:rPr>
          <w:rFonts w:cs="Arial"/>
        </w:rPr>
        <w:t>research clinic</w:t>
      </w:r>
      <w:r w:rsidRPr="00F8754A">
        <w:rPr>
          <w:rFonts w:cs="Arial"/>
        </w:rPr>
        <w:t>.</w:t>
      </w:r>
      <w:r w:rsidR="00726CD0" w:rsidRPr="00F8754A">
        <w:rPr>
          <w:rFonts w:cs="Arial"/>
        </w:rPr>
        <w:t xml:space="preserve"> A total of 560 participants attended the research clinics (adjusted response rate 34%). Participants with inflammatory arthritis </w:t>
      </w:r>
      <w:r w:rsidR="00726CD0" w:rsidRPr="00033AF0">
        <w:rPr>
          <w:rFonts w:cs="Arial"/>
          <w:noProof/>
        </w:rPr>
        <w:t>were excluded</w:t>
      </w:r>
      <w:r w:rsidR="00D71FE9" w:rsidRPr="00F8754A">
        <w:rPr>
          <w:rFonts w:cs="Arial"/>
        </w:rPr>
        <w:t xml:space="preserve"> </w:t>
      </w:r>
      <w:r w:rsidR="00585170">
        <w:rPr>
          <w:rFonts w:cs="Arial"/>
        </w:rPr>
        <w:t xml:space="preserve">from this analysis </w:t>
      </w:r>
      <w:r w:rsidR="00D71FE9" w:rsidRPr="00F8754A">
        <w:rPr>
          <w:rFonts w:cs="Arial"/>
        </w:rPr>
        <w:t>(n=24)</w:t>
      </w:r>
      <w:r w:rsidR="007C5A4C" w:rsidRPr="00F8754A">
        <w:rPr>
          <w:rFonts w:cs="Arial"/>
        </w:rPr>
        <w:t xml:space="preserve">. </w:t>
      </w:r>
      <w:r w:rsidR="00367A09" w:rsidRPr="009F45DA">
        <w:rPr>
          <w:rFonts w:cs="Arial"/>
        </w:rPr>
        <w:t>Of the 53</w:t>
      </w:r>
      <w:r w:rsidR="00367A09">
        <w:rPr>
          <w:rFonts w:cs="Arial"/>
        </w:rPr>
        <w:t>6</w:t>
      </w:r>
      <w:r w:rsidR="00367A09" w:rsidRPr="009F45DA">
        <w:rPr>
          <w:rFonts w:cs="Arial"/>
        </w:rPr>
        <w:t xml:space="preserve"> eligible individuals without inflammatory arthritis who attended the research clinic, eight had incomplete ankle pain </w:t>
      </w:r>
      <w:r w:rsidR="00367A09" w:rsidRPr="00033AF0">
        <w:rPr>
          <w:rFonts w:cs="Arial"/>
          <w:noProof/>
        </w:rPr>
        <w:t>data</w:t>
      </w:r>
      <w:r w:rsidR="00367A09" w:rsidRPr="009F45DA">
        <w:rPr>
          <w:rFonts w:cs="Arial"/>
        </w:rPr>
        <w:t xml:space="preserve"> and four had incomplete radiographic data. </w:t>
      </w:r>
      <w:r w:rsidR="00B53C9C" w:rsidRPr="00F8754A">
        <w:rPr>
          <w:rFonts w:cs="Arial"/>
        </w:rPr>
        <w:t xml:space="preserve">Full details of the </w:t>
      </w:r>
      <w:r w:rsidR="00B85072" w:rsidRPr="00F8754A">
        <w:rPr>
          <w:rFonts w:cs="Arial"/>
        </w:rPr>
        <w:t>reasons for exclusion and refusals to take part have been detailed elsewhere</w:t>
      </w:r>
      <w:r w:rsidR="00C613E3">
        <w:rPr>
          <w:rFonts w:cs="Arial"/>
        </w:rPr>
        <w:t xml:space="preserve"> [</w:t>
      </w:r>
      <w:r w:rsidR="00995517">
        <w:rPr>
          <w:rFonts w:cs="Arial"/>
        </w:rPr>
        <w:t>35</w:t>
      </w:r>
      <w:r w:rsidR="00C613E3">
        <w:rPr>
          <w:rFonts w:cs="Arial"/>
        </w:rPr>
        <w:t>]</w:t>
      </w:r>
      <w:r w:rsidR="00B85072" w:rsidRPr="003C1619">
        <w:rPr>
          <w:rFonts w:cs="Arial"/>
        </w:rPr>
        <w:t>.</w:t>
      </w:r>
      <w:r w:rsidR="00642CEA" w:rsidRPr="003C1619">
        <w:rPr>
          <w:rFonts w:cs="Arial"/>
        </w:rPr>
        <w:t xml:space="preserve"> </w:t>
      </w:r>
      <w:r w:rsidR="00642CEA" w:rsidRPr="002B1000">
        <w:rPr>
          <w:rFonts w:cs="Arial"/>
        </w:rPr>
        <w:t>Demographic characteristics of responders and selective non-participation have also been discussed previous</w:t>
      </w:r>
      <w:r w:rsidR="009924AF" w:rsidRPr="002B1000">
        <w:rPr>
          <w:rFonts w:cs="Arial"/>
        </w:rPr>
        <w:t>ly</w:t>
      </w:r>
      <w:r w:rsidR="00C613E3" w:rsidRPr="002B1000">
        <w:rPr>
          <w:rFonts w:cs="Arial"/>
        </w:rPr>
        <w:t xml:space="preserve"> [</w:t>
      </w:r>
      <w:r w:rsidR="00995517">
        <w:rPr>
          <w:rFonts w:cs="Arial"/>
        </w:rPr>
        <w:t>35</w:t>
      </w:r>
      <w:r w:rsidR="00C613E3" w:rsidRPr="002B1000">
        <w:rPr>
          <w:rFonts w:cs="Arial"/>
        </w:rPr>
        <w:t>]</w:t>
      </w:r>
      <w:r w:rsidR="00642CEA" w:rsidRPr="002B1000">
        <w:rPr>
          <w:rFonts w:cs="Arial"/>
        </w:rPr>
        <w:t>.</w:t>
      </w:r>
    </w:p>
    <w:p w14:paraId="1154EA4F" w14:textId="5A6DBA2B" w:rsidR="00687B42" w:rsidRDefault="00687B42">
      <w:pPr>
        <w:spacing w:after="0" w:line="480" w:lineRule="auto"/>
        <w:rPr>
          <w:rFonts w:cs="Arial"/>
        </w:rPr>
      </w:pPr>
    </w:p>
    <w:p w14:paraId="72B9EE54" w14:textId="3447C480" w:rsidR="000F1EF3" w:rsidRDefault="000F1EF3">
      <w:pPr>
        <w:spacing w:after="0" w:line="480" w:lineRule="auto"/>
        <w:rPr>
          <w:rFonts w:cs="Arial"/>
        </w:rPr>
      </w:pPr>
      <w:r>
        <w:rPr>
          <w:rFonts w:cs="Arial"/>
          <w:b/>
        </w:rPr>
        <w:t xml:space="preserve">Fig </w:t>
      </w:r>
      <w:r w:rsidRPr="006C7AF3">
        <w:rPr>
          <w:rFonts w:cs="Arial"/>
          <w:b/>
        </w:rPr>
        <w:t xml:space="preserve">2. </w:t>
      </w:r>
      <w:r w:rsidR="006C7AF3" w:rsidRPr="006C7AF3">
        <w:rPr>
          <w:rFonts w:cs="Arial"/>
          <w:b/>
        </w:rPr>
        <w:t>Flow diagram showing CASF study recruitment</w:t>
      </w:r>
    </w:p>
    <w:p w14:paraId="2505A75C" w14:textId="77777777" w:rsidR="006C7AF3" w:rsidRPr="006C7AF3" w:rsidRDefault="006C7AF3">
      <w:pPr>
        <w:spacing w:after="0" w:line="480" w:lineRule="auto"/>
        <w:rPr>
          <w:rFonts w:cs="Arial"/>
          <w:b/>
        </w:rPr>
      </w:pPr>
    </w:p>
    <w:p w14:paraId="76415BB8" w14:textId="3A59FFA4" w:rsidR="0024204C" w:rsidRPr="001669C6" w:rsidRDefault="001A294E" w:rsidP="00C108E8">
      <w:pPr>
        <w:spacing w:after="0" w:line="480" w:lineRule="auto"/>
        <w:rPr>
          <w:rFonts w:cs="Arial"/>
          <w:b/>
          <w:sz w:val="32"/>
          <w:szCs w:val="32"/>
        </w:rPr>
      </w:pPr>
      <w:r w:rsidRPr="001669C6">
        <w:rPr>
          <w:rFonts w:cs="Arial"/>
          <w:b/>
          <w:sz w:val="32"/>
          <w:szCs w:val="32"/>
        </w:rPr>
        <w:t>P</w:t>
      </w:r>
      <w:r w:rsidR="0024204C" w:rsidRPr="001669C6">
        <w:rPr>
          <w:rFonts w:cs="Arial"/>
          <w:b/>
          <w:sz w:val="32"/>
          <w:szCs w:val="32"/>
        </w:rPr>
        <w:t xml:space="preserve">revalence </w:t>
      </w:r>
      <w:r w:rsidR="00611CE9" w:rsidRPr="001669C6">
        <w:rPr>
          <w:rFonts w:cs="Arial"/>
          <w:b/>
          <w:sz w:val="32"/>
          <w:szCs w:val="32"/>
        </w:rPr>
        <w:t xml:space="preserve">of </w:t>
      </w:r>
      <w:r w:rsidR="0063582D" w:rsidRPr="001669C6">
        <w:rPr>
          <w:rFonts w:cs="Arial"/>
          <w:b/>
          <w:sz w:val="32"/>
          <w:szCs w:val="32"/>
        </w:rPr>
        <w:t>symptomatic</w:t>
      </w:r>
      <w:r w:rsidR="00BB7D90" w:rsidRPr="001669C6">
        <w:rPr>
          <w:rFonts w:cs="Arial"/>
          <w:b/>
          <w:sz w:val="32"/>
          <w:szCs w:val="32"/>
        </w:rPr>
        <w:t xml:space="preserve"> </w:t>
      </w:r>
      <w:r w:rsidR="0063582D" w:rsidRPr="001669C6">
        <w:rPr>
          <w:rFonts w:cs="Arial"/>
          <w:b/>
          <w:sz w:val="32"/>
          <w:szCs w:val="32"/>
        </w:rPr>
        <w:t>radiographic</w:t>
      </w:r>
      <w:r w:rsidR="00BB7D90" w:rsidRPr="001669C6">
        <w:rPr>
          <w:rFonts w:cs="Arial"/>
          <w:b/>
          <w:sz w:val="32"/>
          <w:szCs w:val="32"/>
        </w:rPr>
        <w:t xml:space="preserve"> ankle OA</w:t>
      </w:r>
    </w:p>
    <w:p w14:paraId="7F03C7BE" w14:textId="681D4652" w:rsidR="0024204C" w:rsidRPr="00F37B43" w:rsidRDefault="008B0585">
      <w:pPr>
        <w:spacing w:after="0" w:line="480" w:lineRule="auto"/>
        <w:rPr>
          <w:rFonts w:cs="Arial"/>
        </w:rPr>
      </w:pPr>
      <w:r>
        <w:rPr>
          <w:rFonts w:cs="Arial"/>
        </w:rPr>
        <w:t xml:space="preserve">In the </w:t>
      </w:r>
      <w:r w:rsidR="00B0743C" w:rsidRPr="00AA1FEC">
        <w:rPr>
          <w:rFonts w:cs="Arial"/>
        </w:rPr>
        <w:t>clinic</w:t>
      </w:r>
      <w:r w:rsidR="00B0743C" w:rsidRPr="00BB7D90">
        <w:rPr>
          <w:rFonts w:cs="Arial"/>
        </w:rPr>
        <w:t xml:space="preserve"> </w:t>
      </w:r>
      <w:r w:rsidR="00B0743C" w:rsidRPr="00033AF0">
        <w:rPr>
          <w:rFonts w:cs="Arial"/>
          <w:noProof/>
        </w:rPr>
        <w:t>attenders</w:t>
      </w:r>
      <w:r w:rsidR="007F34D0">
        <w:rPr>
          <w:rFonts w:cs="Arial"/>
        </w:rPr>
        <w:t>,</w:t>
      </w:r>
      <w:r w:rsidR="00B0743C" w:rsidRPr="00BB7D90">
        <w:rPr>
          <w:rFonts w:cs="Arial"/>
        </w:rPr>
        <w:t xml:space="preserve"> </w:t>
      </w:r>
      <w:r>
        <w:rPr>
          <w:rFonts w:cs="Arial"/>
        </w:rPr>
        <w:t>31.9</w:t>
      </w:r>
      <w:r w:rsidRPr="00AA1FEC">
        <w:rPr>
          <w:rFonts w:cs="Arial"/>
        </w:rPr>
        <w:t>% (n=</w:t>
      </w:r>
      <w:r w:rsidRPr="0063582D">
        <w:rPr>
          <w:rFonts w:cs="Arial"/>
        </w:rPr>
        <w:t>16</w:t>
      </w:r>
      <w:r>
        <w:rPr>
          <w:rFonts w:cs="Arial"/>
        </w:rPr>
        <w:t>7</w:t>
      </w:r>
      <w:r w:rsidRPr="00AA1FEC">
        <w:rPr>
          <w:rFonts w:cs="Arial"/>
        </w:rPr>
        <w:t xml:space="preserve">) </w:t>
      </w:r>
      <w:r w:rsidR="00B0743C" w:rsidRPr="00BB7D90">
        <w:rPr>
          <w:rFonts w:cs="Arial"/>
        </w:rPr>
        <w:t xml:space="preserve">had </w:t>
      </w:r>
      <w:r w:rsidR="005F1B80" w:rsidRPr="0063582D">
        <w:rPr>
          <w:rFonts w:cs="Arial"/>
        </w:rPr>
        <w:t xml:space="preserve">ankle </w:t>
      </w:r>
      <w:r w:rsidR="005F1B80" w:rsidRPr="00033AF0">
        <w:rPr>
          <w:rFonts w:cs="Arial"/>
          <w:noProof/>
        </w:rPr>
        <w:t>pain</w:t>
      </w:r>
      <w:r w:rsidR="005F1B80" w:rsidRPr="0063582D">
        <w:rPr>
          <w:rFonts w:cs="Arial"/>
        </w:rPr>
        <w:t xml:space="preserve"> and </w:t>
      </w:r>
      <w:r w:rsidR="00884CF5" w:rsidRPr="0063582D">
        <w:rPr>
          <w:rFonts w:cs="Arial"/>
        </w:rPr>
        <w:t>7.</w:t>
      </w:r>
      <w:r w:rsidR="00BB7D90">
        <w:rPr>
          <w:rFonts w:cs="Arial"/>
        </w:rPr>
        <w:t>4</w:t>
      </w:r>
      <w:r w:rsidR="005B1341" w:rsidRPr="0063582D">
        <w:rPr>
          <w:rFonts w:cs="Arial"/>
        </w:rPr>
        <w:t>% (n=</w:t>
      </w:r>
      <w:r w:rsidR="00BB7D90">
        <w:rPr>
          <w:rFonts w:cs="Arial"/>
        </w:rPr>
        <w:t>39</w:t>
      </w:r>
      <w:r w:rsidR="005B1341" w:rsidRPr="0063582D">
        <w:rPr>
          <w:rFonts w:cs="Arial"/>
        </w:rPr>
        <w:t xml:space="preserve">) had </w:t>
      </w:r>
      <w:r w:rsidR="00B0743C" w:rsidRPr="00AA1FEC">
        <w:rPr>
          <w:rFonts w:cs="Arial"/>
        </w:rPr>
        <w:t xml:space="preserve">symptomatic </w:t>
      </w:r>
      <w:r w:rsidR="00B0743C" w:rsidRPr="00BB7D90">
        <w:rPr>
          <w:rFonts w:cs="Arial"/>
        </w:rPr>
        <w:t>radiographic ankle OA</w:t>
      </w:r>
      <w:r w:rsidR="005F1B80" w:rsidRPr="00BB7D90">
        <w:rPr>
          <w:rFonts w:cs="Arial"/>
        </w:rPr>
        <w:t>.</w:t>
      </w:r>
      <w:r w:rsidR="00367A09">
        <w:rPr>
          <w:rFonts w:cs="Arial"/>
        </w:rPr>
        <w:t xml:space="preserve"> </w:t>
      </w:r>
      <w:r w:rsidR="0024204C" w:rsidRPr="009F45DA">
        <w:rPr>
          <w:rFonts w:cs="Arial"/>
        </w:rPr>
        <w:t xml:space="preserve">Using multiple </w:t>
      </w:r>
      <w:r w:rsidR="0024204C" w:rsidRPr="00033AF0">
        <w:rPr>
          <w:rFonts w:cs="Arial"/>
          <w:noProof/>
        </w:rPr>
        <w:t>imputation</w:t>
      </w:r>
      <w:r w:rsidR="0024204C" w:rsidRPr="009F45DA">
        <w:rPr>
          <w:rFonts w:cs="Arial"/>
        </w:rPr>
        <w:t xml:space="preserve"> in </w:t>
      </w:r>
      <w:r w:rsidR="00367A09">
        <w:rPr>
          <w:rFonts w:cs="Arial"/>
        </w:rPr>
        <w:t xml:space="preserve">these individuals </w:t>
      </w:r>
      <w:r w:rsidR="0024204C" w:rsidRPr="003D2D21">
        <w:rPr>
          <w:rFonts w:cs="Arial"/>
        </w:rPr>
        <w:t xml:space="preserve">allowed the frequency of ankle pain and symptomatic radiographic ankle OA to </w:t>
      </w:r>
      <w:r w:rsidR="0024204C" w:rsidRPr="00033AF0">
        <w:rPr>
          <w:rFonts w:cs="Arial"/>
          <w:noProof/>
        </w:rPr>
        <w:t>be determined</w:t>
      </w:r>
      <w:r w:rsidR="0024204C" w:rsidRPr="003D2D21">
        <w:rPr>
          <w:rFonts w:cs="Arial"/>
        </w:rPr>
        <w:t xml:space="preserve"> for the responder population.</w:t>
      </w:r>
      <w:r w:rsidR="00E444E1" w:rsidRPr="00F37B43">
        <w:rPr>
          <w:rFonts w:cs="Arial"/>
        </w:rPr>
        <w:t xml:space="preserve"> </w:t>
      </w:r>
      <w:r w:rsidR="00E444E1" w:rsidRPr="00033AF0">
        <w:rPr>
          <w:rFonts w:cs="Arial"/>
          <w:noProof/>
        </w:rPr>
        <w:t>This</w:t>
      </w:r>
      <w:r w:rsidR="00E444E1" w:rsidRPr="00F37B43">
        <w:rPr>
          <w:rFonts w:cs="Arial"/>
        </w:rPr>
        <w:t xml:space="preserve"> showed </w:t>
      </w:r>
      <w:r w:rsidR="007F34D0">
        <w:rPr>
          <w:rFonts w:cs="Arial"/>
        </w:rPr>
        <w:t xml:space="preserve">the </w:t>
      </w:r>
      <w:proofErr w:type="spellStart"/>
      <w:r w:rsidR="007F34D0">
        <w:rPr>
          <w:rFonts w:cs="Arial"/>
        </w:rPr>
        <w:t>prevalences</w:t>
      </w:r>
      <w:proofErr w:type="spellEnd"/>
      <w:r w:rsidR="007F34D0">
        <w:rPr>
          <w:rFonts w:cs="Arial"/>
        </w:rPr>
        <w:t xml:space="preserve"> of </w:t>
      </w:r>
      <w:r w:rsidR="00E444E1" w:rsidRPr="00F37B43">
        <w:rPr>
          <w:rFonts w:cs="Arial"/>
        </w:rPr>
        <w:t>ankle pain</w:t>
      </w:r>
      <w:r w:rsidR="00473675">
        <w:rPr>
          <w:rFonts w:cs="Arial"/>
        </w:rPr>
        <w:t xml:space="preserve"> </w:t>
      </w:r>
      <w:r w:rsidR="00E444E1" w:rsidRPr="00F37B43">
        <w:rPr>
          <w:rFonts w:cs="Arial"/>
        </w:rPr>
        <w:t>to be 11.6% (</w:t>
      </w:r>
      <w:r w:rsidR="004C31B3">
        <w:rPr>
          <w:rFonts w:cs="Arial"/>
        </w:rPr>
        <w:t xml:space="preserve">95%CI </w:t>
      </w:r>
      <w:r w:rsidR="00E444E1" w:rsidRPr="00F37B43">
        <w:rPr>
          <w:rFonts w:cs="Arial"/>
        </w:rPr>
        <w:t>1</w:t>
      </w:r>
      <w:r w:rsidR="00D94C76">
        <w:rPr>
          <w:rFonts w:cs="Arial"/>
        </w:rPr>
        <w:t xml:space="preserve">0.8, </w:t>
      </w:r>
      <w:r w:rsidR="00E444E1" w:rsidRPr="00F37B43">
        <w:rPr>
          <w:rFonts w:cs="Arial"/>
        </w:rPr>
        <w:t>12.5) and symptomatic radiog</w:t>
      </w:r>
      <w:r w:rsidR="00D94C76">
        <w:rPr>
          <w:rFonts w:cs="Arial"/>
        </w:rPr>
        <w:t xml:space="preserve">raphic ankle OA to be 3.3% (2.4, </w:t>
      </w:r>
      <w:r w:rsidR="00E444E1" w:rsidRPr="00F37B43">
        <w:rPr>
          <w:rFonts w:cs="Arial"/>
        </w:rPr>
        <w:t>4.3).</w:t>
      </w:r>
    </w:p>
    <w:p w14:paraId="4F12C653" w14:textId="77777777" w:rsidR="0020396B" w:rsidRPr="00D65AA2" w:rsidRDefault="0020396B">
      <w:pPr>
        <w:spacing w:after="0" w:line="480" w:lineRule="auto"/>
        <w:rPr>
          <w:rFonts w:cs="Arial"/>
        </w:rPr>
      </w:pPr>
    </w:p>
    <w:p w14:paraId="1E4F3333" w14:textId="3713D602" w:rsidR="00E444E1" w:rsidRPr="003C1619" w:rsidRDefault="00E444E1">
      <w:pPr>
        <w:spacing w:after="0" w:line="480" w:lineRule="auto"/>
        <w:rPr>
          <w:rFonts w:cs="Arial"/>
        </w:rPr>
      </w:pPr>
      <w:r w:rsidRPr="00033AF0">
        <w:rPr>
          <w:rFonts w:cs="Arial"/>
          <w:noProof/>
        </w:rPr>
        <w:t>To extrapolate these results to the total eligible baseline population of community</w:t>
      </w:r>
      <w:r w:rsidR="00565E62" w:rsidRPr="00033AF0">
        <w:rPr>
          <w:rFonts w:cs="Arial"/>
          <w:noProof/>
        </w:rPr>
        <w:t>-</w:t>
      </w:r>
      <w:r w:rsidRPr="00033AF0">
        <w:rPr>
          <w:rFonts w:cs="Arial"/>
          <w:noProof/>
        </w:rPr>
        <w:t>dwelling adults aged 50 years and over in North Staffordshire</w:t>
      </w:r>
      <w:r w:rsidRPr="00F71FB9">
        <w:rPr>
          <w:rFonts w:cs="Arial"/>
        </w:rPr>
        <w:t>, weighted logistic regression was performed using the variable</w:t>
      </w:r>
      <w:r w:rsidR="007F34D0">
        <w:rPr>
          <w:rFonts w:cs="Arial"/>
        </w:rPr>
        <w:t>s</w:t>
      </w:r>
      <w:r w:rsidRPr="00F71FB9">
        <w:rPr>
          <w:rFonts w:cs="Arial"/>
        </w:rPr>
        <w:t xml:space="preserve"> age, gender and general practice which were known for all individuals. The prevalenc</w:t>
      </w:r>
      <w:r w:rsidR="00D94C76">
        <w:rPr>
          <w:rFonts w:cs="Arial"/>
        </w:rPr>
        <w:t xml:space="preserve">e of ankle pain was 11.7% (10.8, </w:t>
      </w:r>
      <w:r w:rsidRPr="00F71FB9">
        <w:rPr>
          <w:rFonts w:cs="Arial"/>
        </w:rPr>
        <w:t>12.6) and symptomatic radiographic ankle OA</w:t>
      </w:r>
      <w:r w:rsidR="00611CE9">
        <w:rPr>
          <w:rFonts w:cs="Arial"/>
        </w:rPr>
        <w:t>,</w:t>
      </w:r>
      <w:r w:rsidR="00D94C76">
        <w:rPr>
          <w:rFonts w:cs="Arial"/>
        </w:rPr>
        <w:t xml:space="preserve"> 3.4% (2.</w:t>
      </w:r>
      <w:r w:rsidR="004F52A7">
        <w:rPr>
          <w:rFonts w:cs="Arial"/>
        </w:rPr>
        <w:t>3</w:t>
      </w:r>
      <w:r w:rsidR="00D94C76">
        <w:rPr>
          <w:rFonts w:cs="Arial"/>
        </w:rPr>
        <w:t xml:space="preserve">, </w:t>
      </w:r>
      <w:r w:rsidRPr="00F71FB9">
        <w:rPr>
          <w:rFonts w:cs="Arial"/>
        </w:rPr>
        <w:t>4.</w:t>
      </w:r>
      <w:r w:rsidR="004F52A7">
        <w:rPr>
          <w:rFonts w:cs="Arial"/>
        </w:rPr>
        <w:t>5</w:t>
      </w:r>
      <w:r w:rsidRPr="00F71FB9">
        <w:rPr>
          <w:rFonts w:cs="Arial"/>
        </w:rPr>
        <w:t>).</w:t>
      </w:r>
    </w:p>
    <w:p w14:paraId="5F6BE538" w14:textId="77777777" w:rsidR="0020396B" w:rsidRPr="00E33351" w:rsidRDefault="0020396B">
      <w:pPr>
        <w:spacing w:after="0" w:line="480" w:lineRule="auto"/>
        <w:rPr>
          <w:rFonts w:cs="Arial"/>
        </w:rPr>
      </w:pPr>
    </w:p>
    <w:p w14:paraId="4945904D" w14:textId="77777777" w:rsidR="00E444E1" w:rsidRPr="001669C6" w:rsidRDefault="00E444E1">
      <w:pPr>
        <w:spacing w:after="0" w:line="480" w:lineRule="auto"/>
        <w:rPr>
          <w:rFonts w:cs="Arial"/>
          <w:b/>
          <w:sz w:val="32"/>
          <w:szCs w:val="32"/>
        </w:rPr>
      </w:pPr>
      <w:r w:rsidRPr="001669C6">
        <w:rPr>
          <w:rFonts w:cs="Arial"/>
          <w:b/>
          <w:sz w:val="32"/>
          <w:szCs w:val="32"/>
        </w:rPr>
        <w:t>Stratification of prevalence estimates</w:t>
      </w:r>
    </w:p>
    <w:p w14:paraId="0CBDB696" w14:textId="7766EC87" w:rsidR="00E444E1" w:rsidRDefault="00A92B1A">
      <w:pPr>
        <w:spacing w:after="0" w:line="480" w:lineRule="auto"/>
        <w:rPr>
          <w:rFonts w:cs="Arial"/>
        </w:rPr>
      </w:pPr>
      <w:r w:rsidRPr="00033AF0">
        <w:rPr>
          <w:rFonts w:cs="Arial"/>
          <w:noProof/>
        </w:rPr>
        <w:t>B</w:t>
      </w:r>
      <w:r w:rsidR="00E444E1" w:rsidRPr="00033AF0">
        <w:rPr>
          <w:rFonts w:cs="Arial"/>
          <w:noProof/>
        </w:rPr>
        <w:t xml:space="preserve">oth ankle pain and symptomatic radiographic ankle OA were more </w:t>
      </w:r>
      <w:r w:rsidR="002B2AFE" w:rsidRPr="00033AF0">
        <w:rPr>
          <w:rFonts w:cs="Arial"/>
          <w:noProof/>
        </w:rPr>
        <w:t>prevalent</w:t>
      </w:r>
      <w:r w:rsidR="00E444E1" w:rsidRPr="00033AF0">
        <w:rPr>
          <w:rFonts w:cs="Arial"/>
          <w:noProof/>
        </w:rPr>
        <w:t xml:space="preserve"> in females</w:t>
      </w:r>
      <w:r w:rsidR="00EA3D3B" w:rsidRPr="0052768F">
        <w:rPr>
          <w:rFonts w:cs="Arial"/>
          <w:noProof/>
        </w:rPr>
        <w:t xml:space="preserve"> </w:t>
      </w:r>
      <w:r w:rsidRPr="00033AF0">
        <w:rPr>
          <w:rFonts w:cs="Arial"/>
          <w:noProof/>
        </w:rPr>
        <w:t xml:space="preserve">and in </w:t>
      </w:r>
      <w:r w:rsidR="00E444E1" w:rsidRPr="00033AF0">
        <w:rPr>
          <w:rFonts w:cs="Arial"/>
          <w:noProof/>
        </w:rPr>
        <w:t xml:space="preserve">younger individuals aged 50-64 years </w:t>
      </w:r>
      <w:r w:rsidR="003E790B" w:rsidRPr="00033AF0">
        <w:rPr>
          <w:rFonts w:cs="Arial"/>
          <w:noProof/>
        </w:rPr>
        <w:t xml:space="preserve">(Table </w:t>
      </w:r>
      <w:r w:rsidR="001A1EB3" w:rsidRPr="00033AF0">
        <w:rPr>
          <w:rFonts w:cs="Arial"/>
          <w:noProof/>
        </w:rPr>
        <w:t>2</w:t>
      </w:r>
      <w:r w:rsidR="003E790B" w:rsidRPr="00033AF0">
        <w:rPr>
          <w:rFonts w:cs="Arial"/>
          <w:noProof/>
        </w:rPr>
        <w:t>)</w:t>
      </w:r>
      <w:r w:rsidRPr="00033AF0">
        <w:rPr>
          <w:rFonts w:cs="Arial"/>
          <w:noProof/>
        </w:rPr>
        <w:t>.</w:t>
      </w:r>
      <w:r w:rsidR="00E444E1" w:rsidRPr="00F37B43">
        <w:rPr>
          <w:rFonts w:cs="Arial"/>
        </w:rPr>
        <w:t xml:space="preserve"> </w:t>
      </w:r>
      <w:r>
        <w:rPr>
          <w:rFonts w:cs="Arial"/>
        </w:rPr>
        <w:t>H</w:t>
      </w:r>
      <w:r w:rsidR="00E444E1" w:rsidRPr="00F37B43">
        <w:rPr>
          <w:rFonts w:cs="Arial"/>
        </w:rPr>
        <w:t>owever</w:t>
      </w:r>
      <w:r>
        <w:rPr>
          <w:rFonts w:cs="Arial"/>
        </w:rPr>
        <w:t>,</w:t>
      </w:r>
      <w:r w:rsidR="00E444E1" w:rsidRPr="00F37B43">
        <w:rPr>
          <w:rFonts w:cs="Arial"/>
        </w:rPr>
        <w:t xml:space="preserve"> there was considerable overlap of </w:t>
      </w:r>
      <w:r>
        <w:rPr>
          <w:rFonts w:cs="Arial"/>
        </w:rPr>
        <w:t xml:space="preserve">the </w:t>
      </w:r>
      <w:r w:rsidR="00E444E1" w:rsidRPr="00F37B43">
        <w:rPr>
          <w:rFonts w:cs="Arial"/>
        </w:rPr>
        <w:t>confidence intervals</w:t>
      </w:r>
      <w:r>
        <w:rPr>
          <w:rFonts w:cs="Arial"/>
        </w:rPr>
        <w:t xml:space="preserve"> f</w:t>
      </w:r>
      <w:r w:rsidR="003E1503">
        <w:rPr>
          <w:rFonts w:cs="Arial"/>
        </w:rPr>
        <w:t>or the prevalence estimates for</w:t>
      </w:r>
      <w:r w:rsidR="00E444E1" w:rsidRPr="00D65AA2">
        <w:rPr>
          <w:rFonts w:cs="Arial"/>
        </w:rPr>
        <w:t xml:space="preserve"> the</w:t>
      </w:r>
      <w:r>
        <w:rPr>
          <w:rFonts w:cs="Arial"/>
        </w:rPr>
        <w:t xml:space="preserve"> different</w:t>
      </w:r>
      <w:r w:rsidR="00E444E1" w:rsidRPr="00D65AA2">
        <w:rPr>
          <w:rFonts w:cs="Arial"/>
        </w:rPr>
        <w:t xml:space="preserve"> age groups</w:t>
      </w:r>
      <w:r w:rsidR="0087243A">
        <w:rPr>
          <w:rFonts w:cs="Arial"/>
        </w:rPr>
        <w:t xml:space="preserve"> and genders</w:t>
      </w:r>
      <w:r w:rsidR="00E444E1" w:rsidRPr="00D65AA2">
        <w:rPr>
          <w:rFonts w:cs="Arial"/>
        </w:rPr>
        <w:t xml:space="preserve">. Individuals identified as </w:t>
      </w:r>
      <w:r w:rsidR="003E790B">
        <w:rPr>
          <w:rFonts w:cs="Arial"/>
        </w:rPr>
        <w:t>having</w:t>
      </w:r>
      <w:r w:rsidR="00E444E1" w:rsidRPr="00D65AA2">
        <w:rPr>
          <w:rFonts w:cs="Arial"/>
        </w:rPr>
        <w:t xml:space="preserve"> </w:t>
      </w:r>
      <w:r w:rsidR="00E444E1" w:rsidRPr="00033AF0">
        <w:rPr>
          <w:rFonts w:cs="Arial"/>
          <w:noProof/>
        </w:rPr>
        <w:lastRenderedPageBreak/>
        <w:t>routine</w:t>
      </w:r>
      <w:r w:rsidR="00E444E1" w:rsidRPr="00D65AA2">
        <w:rPr>
          <w:rFonts w:cs="Arial"/>
        </w:rPr>
        <w:t xml:space="preserve"> or manual occupation</w:t>
      </w:r>
      <w:r w:rsidR="003E790B">
        <w:rPr>
          <w:rFonts w:cs="Arial"/>
        </w:rPr>
        <w:t>s</w:t>
      </w:r>
      <w:r w:rsidR="00E444E1" w:rsidRPr="00D65AA2">
        <w:rPr>
          <w:rFonts w:cs="Arial"/>
        </w:rPr>
        <w:t xml:space="preserve"> demonstrated higher prevalence estimates of both ankle pain and symptomatic radiographic ankle OA, which remained the</w:t>
      </w:r>
      <w:r w:rsidR="00E444E1" w:rsidRPr="00F71FB9">
        <w:rPr>
          <w:rFonts w:cs="Arial"/>
        </w:rPr>
        <w:t xml:space="preserve"> case after further sub</w:t>
      </w:r>
      <w:r w:rsidR="00383A7C">
        <w:rPr>
          <w:rFonts w:cs="Arial"/>
        </w:rPr>
        <w:t>-</w:t>
      </w:r>
      <w:r w:rsidR="00E444E1" w:rsidRPr="00F71FB9">
        <w:rPr>
          <w:rFonts w:cs="Arial"/>
        </w:rPr>
        <w:t>stratification by age and gender</w:t>
      </w:r>
      <w:r w:rsidR="006A2689" w:rsidRPr="00A63321">
        <w:rPr>
          <w:rFonts w:cs="Arial"/>
        </w:rPr>
        <w:t xml:space="preserve"> (</w:t>
      </w:r>
      <w:r w:rsidR="00EA3D3B" w:rsidRPr="00A63321">
        <w:rPr>
          <w:rFonts w:cs="Arial"/>
        </w:rPr>
        <w:t>T</w:t>
      </w:r>
      <w:r w:rsidR="00E444E1" w:rsidRPr="00DD4A2C">
        <w:rPr>
          <w:rFonts w:cs="Arial"/>
        </w:rPr>
        <w:t>able</w:t>
      </w:r>
      <w:r w:rsidR="006A2689" w:rsidRPr="009A3B6F">
        <w:rPr>
          <w:rFonts w:cs="Arial"/>
        </w:rPr>
        <w:t xml:space="preserve"> </w:t>
      </w:r>
      <w:r w:rsidR="001A1EB3">
        <w:rPr>
          <w:rFonts w:cs="Arial"/>
        </w:rPr>
        <w:t>3</w:t>
      </w:r>
      <w:r w:rsidR="006A2689" w:rsidRPr="00B51535">
        <w:rPr>
          <w:rFonts w:cs="Arial"/>
        </w:rPr>
        <w:t>)</w:t>
      </w:r>
      <w:r w:rsidR="00E444E1" w:rsidRPr="00E62F0D">
        <w:rPr>
          <w:rFonts w:cs="Arial"/>
        </w:rPr>
        <w:t xml:space="preserve">. </w:t>
      </w:r>
    </w:p>
    <w:p w14:paraId="10B84CF5" w14:textId="77777777" w:rsidR="00822451" w:rsidRDefault="00822451">
      <w:pPr>
        <w:spacing w:after="0" w:line="480" w:lineRule="auto"/>
        <w:rPr>
          <w:rFonts w:cs="Arial"/>
        </w:rPr>
      </w:pPr>
    </w:p>
    <w:p w14:paraId="55E6F673" w14:textId="7980889C" w:rsidR="00822451" w:rsidRPr="001669C6" w:rsidRDefault="00822451">
      <w:pPr>
        <w:spacing w:after="0" w:line="480" w:lineRule="auto"/>
        <w:rPr>
          <w:rFonts w:cs="Arial"/>
          <w:b/>
          <w:sz w:val="32"/>
          <w:szCs w:val="32"/>
        </w:rPr>
      </w:pPr>
      <w:r w:rsidRPr="001669C6">
        <w:rPr>
          <w:rFonts w:cs="Arial"/>
          <w:b/>
          <w:sz w:val="32"/>
          <w:szCs w:val="32"/>
        </w:rPr>
        <w:t>Sensitivity analysis</w:t>
      </w:r>
      <w:r w:rsidR="004077EE" w:rsidRPr="001669C6">
        <w:rPr>
          <w:rFonts w:cs="Arial"/>
          <w:b/>
          <w:sz w:val="32"/>
          <w:szCs w:val="32"/>
        </w:rPr>
        <w:t xml:space="preserve"> of different thresholds of radiographic severity</w:t>
      </w:r>
    </w:p>
    <w:p w14:paraId="53B94A80" w14:textId="77777777" w:rsidR="00F43064" w:rsidRDefault="00B12CC2">
      <w:pPr>
        <w:spacing w:after="0" w:line="480" w:lineRule="auto"/>
        <w:rPr>
          <w:rFonts w:cs="Arial"/>
        </w:rPr>
      </w:pPr>
      <w:r>
        <w:rPr>
          <w:rFonts w:cs="Arial"/>
        </w:rPr>
        <w:t xml:space="preserve">Using a lower threshold of radiographic severity of grade≥1 </w:t>
      </w:r>
      <w:r w:rsidRPr="009F45DA">
        <w:rPr>
          <w:rFonts w:cs="Arial"/>
        </w:rPr>
        <w:t>for either osteophytes or joint space narrowing on either view</w:t>
      </w:r>
      <w:r>
        <w:rPr>
          <w:rFonts w:cs="Arial"/>
        </w:rPr>
        <w:t xml:space="preserve"> t</w:t>
      </w:r>
      <w:r w:rsidR="00D5007B">
        <w:rPr>
          <w:rFonts w:cs="Arial"/>
        </w:rPr>
        <w:t>he</w:t>
      </w:r>
      <w:r w:rsidR="0050765F">
        <w:rPr>
          <w:rFonts w:cs="Arial"/>
        </w:rPr>
        <w:t xml:space="preserve"> prevalence of symptomatic radiographic ankle OA </w:t>
      </w:r>
      <w:r>
        <w:rPr>
          <w:rFonts w:cs="Arial"/>
        </w:rPr>
        <w:t>to be</w:t>
      </w:r>
      <w:r w:rsidR="0050765F">
        <w:rPr>
          <w:rFonts w:cs="Arial"/>
        </w:rPr>
        <w:t xml:space="preserve"> 8.8</w:t>
      </w:r>
      <w:r w:rsidR="00405D35">
        <w:rPr>
          <w:rFonts w:cs="Arial"/>
        </w:rPr>
        <w:t>%</w:t>
      </w:r>
      <w:r w:rsidR="0050765F">
        <w:rPr>
          <w:rFonts w:cs="Arial"/>
        </w:rPr>
        <w:t xml:space="preserve"> (7.9, 9.8). </w:t>
      </w:r>
      <w:r w:rsidR="00D5007B">
        <w:rPr>
          <w:rFonts w:cs="Arial"/>
        </w:rPr>
        <w:t xml:space="preserve">Whereas </w:t>
      </w:r>
      <w:r>
        <w:rPr>
          <w:rFonts w:cs="Arial"/>
        </w:rPr>
        <w:t xml:space="preserve">using </w:t>
      </w:r>
      <w:r w:rsidR="00BC2807">
        <w:rPr>
          <w:rFonts w:cs="Arial"/>
        </w:rPr>
        <w:t xml:space="preserve">a higher threshold of grade=3 </w:t>
      </w:r>
      <w:r w:rsidR="00BC2807" w:rsidRPr="009F45DA">
        <w:rPr>
          <w:rFonts w:cs="Arial"/>
        </w:rPr>
        <w:t>for either osteophytes or joint space narrowing on either view</w:t>
      </w:r>
      <w:r w:rsidR="00BC2807">
        <w:rPr>
          <w:rFonts w:cs="Arial"/>
        </w:rPr>
        <w:t xml:space="preserve"> </w:t>
      </w:r>
      <w:r w:rsidR="00D5007B">
        <w:rPr>
          <w:rFonts w:cs="Arial"/>
        </w:rPr>
        <w:t>resulted in a prevalence estimate of 1.9</w:t>
      </w:r>
      <w:r>
        <w:rPr>
          <w:rFonts w:cs="Arial"/>
        </w:rPr>
        <w:t>%</w:t>
      </w:r>
      <w:r w:rsidR="00D5007B">
        <w:rPr>
          <w:rFonts w:cs="Arial"/>
        </w:rPr>
        <w:t xml:space="preserve"> (1.0, 2.7). </w:t>
      </w:r>
      <w:r w:rsidR="00357A36">
        <w:rPr>
          <w:rFonts w:cs="Arial"/>
          <w:noProof/>
        </w:rPr>
        <w:t>Irrespective of the threshold used to define radiographic OA, s</w:t>
      </w:r>
      <w:r w:rsidR="004077EE" w:rsidRPr="00565E62">
        <w:rPr>
          <w:rFonts w:cs="Arial"/>
          <w:noProof/>
        </w:rPr>
        <w:t>ymptomatic radiographic ankle OA w</w:t>
      </w:r>
      <w:r w:rsidR="004077EE">
        <w:rPr>
          <w:rFonts w:cs="Arial"/>
          <w:noProof/>
        </w:rPr>
        <w:t xml:space="preserve">as still </w:t>
      </w:r>
      <w:r w:rsidR="004077EE" w:rsidRPr="00565E62">
        <w:rPr>
          <w:rFonts w:cs="Arial"/>
          <w:noProof/>
        </w:rPr>
        <w:t>more prevalent in females</w:t>
      </w:r>
      <w:r w:rsidR="004077EE">
        <w:rPr>
          <w:rFonts w:cs="Arial"/>
          <w:noProof/>
        </w:rPr>
        <w:t xml:space="preserve">, </w:t>
      </w:r>
      <w:r w:rsidR="004077EE" w:rsidRPr="00565E62">
        <w:rPr>
          <w:rFonts w:cs="Arial"/>
          <w:noProof/>
        </w:rPr>
        <w:t>in younger individuals aged 50-64 years</w:t>
      </w:r>
      <w:r w:rsidR="004077EE">
        <w:rPr>
          <w:rFonts w:cs="Arial"/>
          <w:noProof/>
        </w:rPr>
        <w:t xml:space="preserve"> and </w:t>
      </w:r>
      <w:r w:rsidR="00357A36">
        <w:rPr>
          <w:rFonts w:cs="Arial"/>
          <w:noProof/>
        </w:rPr>
        <w:t>in individuals</w:t>
      </w:r>
      <w:r w:rsidR="004077EE" w:rsidRPr="00D65AA2">
        <w:rPr>
          <w:rFonts w:cs="Arial"/>
        </w:rPr>
        <w:t xml:space="preserve"> identified as </w:t>
      </w:r>
      <w:r w:rsidR="004077EE">
        <w:rPr>
          <w:rFonts w:cs="Arial"/>
        </w:rPr>
        <w:t>having</w:t>
      </w:r>
      <w:r w:rsidR="004077EE" w:rsidRPr="00D65AA2">
        <w:rPr>
          <w:rFonts w:cs="Arial"/>
        </w:rPr>
        <w:t xml:space="preserve"> </w:t>
      </w:r>
      <w:r w:rsidR="004077EE" w:rsidRPr="00D47850">
        <w:rPr>
          <w:rFonts w:cs="Arial"/>
          <w:noProof/>
        </w:rPr>
        <w:t>routine</w:t>
      </w:r>
      <w:r w:rsidR="004077EE" w:rsidRPr="00D65AA2">
        <w:rPr>
          <w:rFonts w:cs="Arial"/>
        </w:rPr>
        <w:t xml:space="preserve"> or manual occupation</w:t>
      </w:r>
      <w:r w:rsidR="004077EE">
        <w:rPr>
          <w:rFonts w:cs="Arial"/>
        </w:rPr>
        <w:t>s</w:t>
      </w:r>
      <w:r w:rsidR="004077EE" w:rsidRPr="00D65AA2">
        <w:rPr>
          <w:rFonts w:cs="Arial"/>
        </w:rPr>
        <w:t xml:space="preserve"> </w:t>
      </w:r>
      <w:r w:rsidR="00357A36" w:rsidRPr="00565E62">
        <w:rPr>
          <w:rFonts w:cs="Arial"/>
          <w:noProof/>
        </w:rPr>
        <w:t xml:space="preserve">(Table </w:t>
      </w:r>
      <w:r w:rsidR="00357A36">
        <w:rPr>
          <w:rFonts w:cs="Arial"/>
          <w:noProof/>
        </w:rPr>
        <w:t>4</w:t>
      </w:r>
      <w:r w:rsidR="00357A36" w:rsidRPr="00565E62">
        <w:rPr>
          <w:rFonts w:cs="Arial"/>
          <w:noProof/>
        </w:rPr>
        <w:t>).</w:t>
      </w:r>
      <w:r w:rsidR="00357A36" w:rsidRPr="00F37B43">
        <w:rPr>
          <w:rFonts w:cs="Arial"/>
        </w:rPr>
        <w:t xml:space="preserve"> </w:t>
      </w:r>
    </w:p>
    <w:p w14:paraId="739DE454" w14:textId="77777777" w:rsidR="00DA1B3D" w:rsidRDefault="00DA1B3D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CE49925" w14:textId="57D07824" w:rsidR="0024204C" w:rsidRPr="00D3657C" w:rsidRDefault="006A2689" w:rsidP="00E054CD">
      <w:pPr>
        <w:spacing w:after="0" w:line="240" w:lineRule="auto"/>
        <w:rPr>
          <w:rFonts w:cs="Arial"/>
          <w:b/>
        </w:rPr>
      </w:pPr>
      <w:r w:rsidRPr="00D3657C">
        <w:rPr>
          <w:rFonts w:cs="Arial"/>
          <w:b/>
        </w:rPr>
        <w:lastRenderedPageBreak/>
        <w:t>Table</w:t>
      </w:r>
      <w:r w:rsidR="00D72C0E" w:rsidRPr="00D3657C">
        <w:rPr>
          <w:rFonts w:cs="Arial"/>
          <w:b/>
        </w:rPr>
        <w:t xml:space="preserve"> </w:t>
      </w:r>
      <w:r w:rsidR="001A1EB3">
        <w:rPr>
          <w:rFonts w:cs="Arial"/>
          <w:b/>
        </w:rPr>
        <w:t>2</w:t>
      </w:r>
      <w:r w:rsidR="00B76ADE">
        <w:rPr>
          <w:rFonts w:cs="Arial"/>
          <w:b/>
        </w:rPr>
        <w:t>.</w:t>
      </w:r>
      <w:r w:rsidRPr="00D3657C">
        <w:rPr>
          <w:rFonts w:cs="Arial"/>
          <w:b/>
        </w:rPr>
        <w:t xml:space="preserve"> Population prevalence estimates of ankle pain and symptomatic radiographic ankle OA</w:t>
      </w:r>
      <w:r w:rsidR="00F25DC7" w:rsidRPr="00D3657C">
        <w:rPr>
          <w:rFonts w:cs="Arial"/>
          <w:b/>
        </w:rPr>
        <w:t>,</w:t>
      </w:r>
      <w:r w:rsidRPr="00D3657C">
        <w:rPr>
          <w:rFonts w:cs="Arial"/>
          <w:b/>
        </w:rPr>
        <w:t xml:space="preserve"> </w:t>
      </w:r>
      <w:r w:rsidR="00295D8D">
        <w:rPr>
          <w:rFonts w:cs="Arial"/>
          <w:b/>
        </w:rPr>
        <w:t xml:space="preserve">overall and </w:t>
      </w:r>
      <w:r w:rsidRPr="00D3657C">
        <w:rPr>
          <w:rFonts w:cs="Arial"/>
          <w:b/>
        </w:rPr>
        <w:t>stratified by age and gender.</w:t>
      </w:r>
    </w:p>
    <w:p w14:paraId="0618BFF3" w14:textId="77777777" w:rsidR="00F25DC7" w:rsidRPr="00D3657C" w:rsidRDefault="00F25DC7" w:rsidP="00C108E8">
      <w:pPr>
        <w:spacing w:after="0" w:line="240" w:lineRule="auto"/>
        <w:rPr>
          <w:rFonts w:cs="Arial"/>
          <w:b/>
        </w:rPr>
      </w:pPr>
    </w:p>
    <w:tbl>
      <w:tblPr>
        <w:tblStyle w:val="TableGrid"/>
        <w:tblW w:w="7776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</w:tblGrid>
      <w:tr w:rsidR="000A5BCC" w:rsidRPr="00D3657C" w14:paraId="01825D47" w14:textId="77777777" w:rsidTr="000A5BCC">
        <w:trPr>
          <w:trHeight w:val="288"/>
        </w:trPr>
        <w:tc>
          <w:tcPr>
            <w:tcW w:w="2592" w:type="dxa"/>
          </w:tcPr>
          <w:p w14:paraId="38D3D62A" w14:textId="77777777" w:rsidR="000A5BCC" w:rsidRPr="00D3657C" w:rsidRDefault="000A5BCC" w:rsidP="00C108E8">
            <w:pPr>
              <w:rPr>
                <w:rFonts w:cs="Arial"/>
                <w:b/>
              </w:rPr>
            </w:pPr>
          </w:p>
        </w:tc>
        <w:tc>
          <w:tcPr>
            <w:tcW w:w="2592" w:type="dxa"/>
          </w:tcPr>
          <w:p w14:paraId="31CBEC2A" w14:textId="77777777" w:rsidR="000A5BCC" w:rsidRPr="00D3657C" w:rsidRDefault="000A5BCC" w:rsidP="00C108E8">
            <w:pPr>
              <w:jc w:val="center"/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Proportion estimate for ankle pain: % (95% CI)</w:t>
            </w:r>
          </w:p>
        </w:tc>
        <w:tc>
          <w:tcPr>
            <w:tcW w:w="2592" w:type="dxa"/>
          </w:tcPr>
          <w:p w14:paraId="772FD81A" w14:textId="77777777" w:rsidR="000A5BCC" w:rsidRPr="00D3657C" w:rsidRDefault="000A5BCC" w:rsidP="00C108E8">
            <w:pPr>
              <w:jc w:val="center"/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Proportion estimate for SR ankle OA: % (95% CI)</w:t>
            </w:r>
          </w:p>
        </w:tc>
      </w:tr>
      <w:tr w:rsidR="000A5BCC" w:rsidRPr="00D3657C" w14:paraId="4E5E1DF7" w14:textId="77777777" w:rsidTr="008B475A">
        <w:trPr>
          <w:trHeight w:val="530"/>
        </w:trPr>
        <w:tc>
          <w:tcPr>
            <w:tcW w:w="2592" w:type="dxa"/>
            <w:vAlign w:val="center"/>
          </w:tcPr>
          <w:p w14:paraId="01411BC7" w14:textId="77777777" w:rsidR="000A5BCC" w:rsidRPr="00D3657C" w:rsidRDefault="000A5BCC" w:rsidP="00C108E8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Overall</w:t>
            </w:r>
          </w:p>
        </w:tc>
        <w:tc>
          <w:tcPr>
            <w:tcW w:w="2592" w:type="dxa"/>
            <w:vAlign w:val="center"/>
          </w:tcPr>
          <w:p w14:paraId="39D35080" w14:textId="77777777" w:rsidR="000A5BCC" w:rsidRPr="00D3657C" w:rsidRDefault="000A5BCC" w:rsidP="00C108E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11.7 (10.8, 12.6)</w:t>
            </w:r>
          </w:p>
        </w:tc>
        <w:tc>
          <w:tcPr>
            <w:tcW w:w="2592" w:type="dxa"/>
            <w:vAlign w:val="center"/>
          </w:tcPr>
          <w:p w14:paraId="7AC40E1B" w14:textId="70F316C6" w:rsidR="000A5BCC" w:rsidRPr="00D3657C" w:rsidRDefault="000A5BCC" w:rsidP="004F52A7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3.4 (2.</w:t>
            </w:r>
            <w:r w:rsidR="004F52A7">
              <w:rPr>
                <w:rFonts w:cs="Arial"/>
              </w:rPr>
              <w:t>3</w:t>
            </w:r>
            <w:r w:rsidRPr="00D3657C">
              <w:rPr>
                <w:rFonts w:cs="Arial"/>
              </w:rPr>
              <w:t>, 4.</w:t>
            </w:r>
            <w:r w:rsidR="004F52A7">
              <w:rPr>
                <w:rFonts w:cs="Arial"/>
              </w:rPr>
              <w:t>5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221C2A6D" w14:textId="77777777" w:rsidTr="000A5BCC">
        <w:trPr>
          <w:trHeight w:val="288"/>
        </w:trPr>
        <w:tc>
          <w:tcPr>
            <w:tcW w:w="2592" w:type="dxa"/>
          </w:tcPr>
          <w:p w14:paraId="0BB065D3" w14:textId="023DDF7E" w:rsidR="000A5BCC" w:rsidRPr="00D3657C" w:rsidRDefault="000A5BCC" w:rsidP="00C108E8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Gender</w:t>
            </w:r>
            <w:r w:rsidR="008B475A" w:rsidRPr="00D3657C">
              <w:rPr>
                <w:rFonts w:cs="Arial"/>
                <w:b/>
              </w:rPr>
              <w:t>:</w:t>
            </w:r>
          </w:p>
        </w:tc>
        <w:tc>
          <w:tcPr>
            <w:tcW w:w="2592" w:type="dxa"/>
          </w:tcPr>
          <w:p w14:paraId="093F0202" w14:textId="77777777" w:rsidR="000A5BCC" w:rsidRPr="00D3657C" w:rsidRDefault="000A5BCC" w:rsidP="00C108E8">
            <w:pPr>
              <w:jc w:val="center"/>
              <w:rPr>
                <w:rFonts w:cs="Arial"/>
              </w:rPr>
            </w:pPr>
          </w:p>
        </w:tc>
        <w:tc>
          <w:tcPr>
            <w:tcW w:w="2592" w:type="dxa"/>
          </w:tcPr>
          <w:p w14:paraId="513CBC99" w14:textId="77777777" w:rsidR="000A5BCC" w:rsidRPr="00D3657C" w:rsidRDefault="000A5BCC" w:rsidP="00C108E8">
            <w:pPr>
              <w:jc w:val="center"/>
              <w:rPr>
                <w:rFonts w:cs="Arial"/>
              </w:rPr>
            </w:pPr>
          </w:p>
        </w:tc>
      </w:tr>
      <w:tr w:rsidR="000A5BCC" w:rsidRPr="00D3657C" w14:paraId="7B72E426" w14:textId="77777777" w:rsidTr="000A5BCC">
        <w:trPr>
          <w:trHeight w:val="288"/>
        </w:trPr>
        <w:tc>
          <w:tcPr>
            <w:tcW w:w="2592" w:type="dxa"/>
          </w:tcPr>
          <w:p w14:paraId="2D946034" w14:textId="77777777" w:rsidR="000A5BCC" w:rsidRPr="00D3657C" w:rsidRDefault="000A5BCC" w:rsidP="00C108E8">
            <w:pPr>
              <w:rPr>
                <w:rFonts w:cs="Arial"/>
              </w:rPr>
            </w:pPr>
            <w:r w:rsidRPr="00D3657C">
              <w:rPr>
                <w:rFonts w:cs="Arial"/>
              </w:rPr>
              <w:t>Males</w:t>
            </w:r>
          </w:p>
        </w:tc>
        <w:tc>
          <w:tcPr>
            <w:tcW w:w="2592" w:type="dxa"/>
          </w:tcPr>
          <w:p w14:paraId="303B851B" w14:textId="77777777" w:rsidR="000A5BCC" w:rsidRPr="00D3657C" w:rsidRDefault="000A5BCC" w:rsidP="00C108E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9.2 (8.0, 10.4)</w:t>
            </w:r>
          </w:p>
        </w:tc>
        <w:tc>
          <w:tcPr>
            <w:tcW w:w="2592" w:type="dxa"/>
          </w:tcPr>
          <w:p w14:paraId="766E2AF5" w14:textId="38BDABA2" w:rsidR="000A5BCC" w:rsidRPr="00D3657C" w:rsidRDefault="000A5BCC" w:rsidP="004F52A7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 xml:space="preserve">2.9 (1.9, </w:t>
            </w:r>
            <w:r w:rsidR="004F52A7">
              <w:rPr>
                <w:rFonts w:cs="Arial"/>
              </w:rPr>
              <w:t>3.9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12E8C515" w14:textId="77777777" w:rsidTr="000A5BCC">
        <w:trPr>
          <w:trHeight w:val="288"/>
        </w:trPr>
        <w:tc>
          <w:tcPr>
            <w:tcW w:w="2592" w:type="dxa"/>
          </w:tcPr>
          <w:p w14:paraId="01A77C6C" w14:textId="77777777" w:rsidR="000A5BCC" w:rsidRPr="00D3657C" w:rsidRDefault="000A5BCC" w:rsidP="00C108E8">
            <w:pPr>
              <w:rPr>
                <w:rFonts w:cs="Arial"/>
              </w:rPr>
            </w:pPr>
            <w:r w:rsidRPr="00D3657C">
              <w:rPr>
                <w:rFonts w:cs="Arial"/>
              </w:rPr>
              <w:t>Females</w:t>
            </w:r>
          </w:p>
        </w:tc>
        <w:tc>
          <w:tcPr>
            <w:tcW w:w="2592" w:type="dxa"/>
          </w:tcPr>
          <w:p w14:paraId="115CDD08" w14:textId="5F6E2983" w:rsidR="000A5BCC" w:rsidRPr="00D3657C" w:rsidRDefault="000A5BCC" w:rsidP="005C6B4F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14.</w:t>
            </w:r>
            <w:r w:rsidR="005C6B4F">
              <w:rPr>
                <w:rFonts w:cs="Arial"/>
              </w:rPr>
              <w:t>1</w:t>
            </w:r>
            <w:r w:rsidRPr="00D3657C">
              <w:rPr>
                <w:rFonts w:cs="Arial"/>
              </w:rPr>
              <w:t xml:space="preserve"> (12.8, 15.5)</w:t>
            </w:r>
          </w:p>
        </w:tc>
        <w:tc>
          <w:tcPr>
            <w:tcW w:w="2592" w:type="dxa"/>
          </w:tcPr>
          <w:p w14:paraId="32982C50" w14:textId="4FBD060A" w:rsidR="000A5BCC" w:rsidRPr="00D3657C" w:rsidRDefault="000A5BCC" w:rsidP="00D00087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</w:t>
            </w:r>
            <w:r w:rsidR="00D00087">
              <w:rPr>
                <w:rFonts w:cs="Arial"/>
              </w:rPr>
              <w:t>9</w:t>
            </w:r>
            <w:r w:rsidRPr="00D3657C">
              <w:rPr>
                <w:rFonts w:cs="Arial"/>
              </w:rPr>
              <w:t xml:space="preserve"> (2.</w:t>
            </w:r>
            <w:r w:rsidR="00D00087">
              <w:rPr>
                <w:rFonts w:cs="Arial"/>
              </w:rPr>
              <w:t>3</w:t>
            </w:r>
            <w:r w:rsidRPr="00D3657C">
              <w:rPr>
                <w:rFonts w:cs="Arial"/>
              </w:rPr>
              <w:t>, 5.</w:t>
            </w:r>
            <w:r w:rsidR="00D00087">
              <w:rPr>
                <w:rFonts w:cs="Arial"/>
              </w:rPr>
              <w:t>4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6EB836BE" w14:textId="77777777" w:rsidTr="000A5BCC">
        <w:trPr>
          <w:trHeight w:val="288"/>
        </w:trPr>
        <w:tc>
          <w:tcPr>
            <w:tcW w:w="2592" w:type="dxa"/>
          </w:tcPr>
          <w:p w14:paraId="06DD6174" w14:textId="1AB3A1C5" w:rsidR="000A5BCC" w:rsidRPr="00D3657C" w:rsidRDefault="000A5BCC" w:rsidP="00C108E8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(years)</w:t>
            </w:r>
            <w:r w:rsidR="008B475A" w:rsidRPr="00D3657C">
              <w:rPr>
                <w:rFonts w:cs="Arial"/>
                <w:b/>
              </w:rPr>
              <w:t>:</w:t>
            </w:r>
          </w:p>
        </w:tc>
        <w:tc>
          <w:tcPr>
            <w:tcW w:w="2592" w:type="dxa"/>
          </w:tcPr>
          <w:p w14:paraId="75F05E6A" w14:textId="77777777" w:rsidR="000A5BCC" w:rsidRPr="00D3657C" w:rsidRDefault="000A5BCC" w:rsidP="00C108E8">
            <w:pPr>
              <w:jc w:val="center"/>
              <w:rPr>
                <w:rFonts w:cs="Arial"/>
              </w:rPr>
            </w:pPr>
          </w:p>
        </w:tc>
        <w:tc>
          <w:tcPr>
            <w:tcW w:w="2592" w:type="dxa"/>
          </w:tcPr>
          <w:p w14:paraId="216304B4" w14:textId="77777777" w:rsidR="000A5BCC" w:rsidRPr="00D3657C" w:rsidRDefault="000A5BCC" w:rsidP="00C108E8">
            <w:pPr>
              <w:jc w:val="center"/>
              <w:rPr>
                <w:rFonts w:cs="Arial"/>
              </w:rPr>
            </w:pPr>
          </w:p>
        </w:tc>
      </w:tr>
      <w:tr w:rsidR="000A5BCC" w:rsidRPr="00D3657C" w14:paraId="60A2F177" w14:textId="77777777" w:rsidTr="000A5BCC">
        <w:trPr>
          <w:trHeight w:val="288"/>
        </w:trPr>
        <w:tc>
          <w:tcPr>
            <w:tcW w:w="2592" w:type="dxa"/>
          </w:tcPr>
          <w:p w14:paraId="2C19108F" w14:textId="77777777" w:rsidR="000A5BCC" w:rsidRPr="00D3657C" w:rsidRDefault="000A5BCC" w:rsidP="00C108E8">
            <w:pPr>
              <w:rPr>
                <w:rFonts w:cs="Arial"/>
              </w:rPr>
            </w:pPr>
            <w:r w:rsidRPr="00D3657C">
              <w:rPr>
                <w:rFonts w:cs="Arial"/>
              </w:rPr>
              <w:t>50-64</w:t>
            </w:r>
          </w:p>
        </w:tc>
        <w:tc>
          <w:tcPr>
            <w:tcW w:w="2592" w:type="dxa"/>
          </w:tcPr>
          <w:p w14:paraId="589D0967" w14:textId="219D7FFB" w:rsidR="000A5BCC" w:rsidRPr="00D3657C" w:rsidRDefault="000A5BCC" w:rsidP="005C6B4F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12.2 (</w:t>
            </w:r>
            <w:r w:rsidR="005C6B4F">
              <w:rPr>
                <w:rFonts w:cs="Arial"/>
              </w:rPr>
              <w:t>10.9</w:t>
            </w:r>
            <w:r w:rsidRPr="00D3657C">
              <w:rPr>
                <w:rFonts w:cs="Arial"/>
              </w:rPr>
              <w:t>, 13.5)</w:t>
            </w:r>
          </w:p>
        </w:tc>
        <w:tc>
          <w:tcPr>
            <w:tcW w:w="2592" w:type="dxa"/>
          </w:tcPr>
          <w:p w14:paraId="1B7E8AE3" w14:textId="644DE2CF" w:rsidR="000A5BCC" w:rsidRPr="00D3657C" w:rsidRDefault="000A5BCC" w:rsidP="0011443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3.6 (2.</w:t>
            </w:r>
            <w:r w:rsidR="00114431">
              <w:rPr>
                <w:rFonts w:cs="Arial"/>
              </w:rPr>
              <w:t>4</w:t>
            </w:r>
            <w:r w:rsidRPr="00D3657C">
              <w:rPr>
                <w:rFonts w:cs="Arial"/>
              </w:rPr>
              <w:t>, 4.</w:t>
            </w:r>
            <w:r w:rsidR="00114431">
              <w:rPr>
                <w:rFonts w:cs="Arial"/>
              </w:rPr>
              <w:t>8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7AE05D51" w14:textId="77777777" w:rsidTr="000A5BCC">
        <w:trPr>
          <w:trHeight w:val="288"/>
        </w:trPr>
        <w:tc>
          <w:tcPr>
            <w:tcW w:w="2592" w:type="dxa"/>
          </w:tcPr>
          <w:p w14:paraId="66165B9D" w14:textId="77777777" w:rsidR="000A5BCC" w:rsidRPr="00D3657C" w:rsidRDefault="000A5BCC" w:rsidP="00C108E8">
            <w:pPr>
              <w:rPr>
                <w:rFonts w:cs="Arial"/>
              </w:rPr>
            </w:pPr>
            <w:r w:rsidRPr="00D3657C">
              <w:rPr>
                <w:rFonts w:cs="Arial"/>
              </w:rPr>
              <w:t>65-74</w:t>
            </w:r>
          </w:p>
        </w:tc>
        <w:tc>
          <w:tcPr>
            <w:tcW w:w="2592" w:type="dxa"/>
          </w:tcPr>
          <w:p w14:paraId="02C579C5" w14:textId="77777777" w:rsidR="000A5BCC" w:rsidRPr="00D3657C" w:rsidRDefault="000A5BCC" w:rsidP="00C108E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11.2 (9.6, 12.8)</w:t>
            </w:r>
          </w:p>
        </w:tc>
        <w:tc>
          <w:tcPr>
            <w:tcW w:w="2592" w:type="dxa"/>
          </w:tcPr>
          <w:p w14:paraId="6CDD24F9" w14:textId="1B0314B0" w:rsidR="000A5BCC" w:rsidRPr="00D3657C" w:rsidRDefault="000A5BCC" w:rsidP="0011443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3.2 (1.8, 4.</w:t>
            </w:r>
            <w:r w:rsidR="00114431">
              <w:rPr>
                <w:rFonts w:cs="Arial"/>
              </w:rPr>
              <w:t>7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54DEA1A6" w14:textId="77777777" w:rsidTr="000A5BCC">
        <w:trPr>
          <w:trHeight w:val="288"/>
        </w:trPr>
        <w:tc>
          <w:tcPr>
            <w:tcW w:w="2592" w:type="dxa"/>
          </w:tcPr>
          <w:p w14:paraId="0C68DCBF" w14:textId="77777777" w:rsidR="000A5BCC" w:rsidRPr="00D3657C" w:rsidRDefault="000A5BCC" w:rsidP="00C108E8">
            <w:pPr>
              <w:rPr>
                <w:rFonts w:cs="Arial"/>
              </w:rPr>
            </w:pPr>
            <w:r w:rsidRPr="00D3657C">
              <w:rPr>
                <w:rFonts w:cs="Arial"/>
              </w:rPr>
              <w:t>≥75</w:t>
            </w:r>
          </w:p>
        </w:tc>
        <w:tc>
          <w:tcPr>
            <w:tcW w:w="2592" w:type="dxa"/>
          </w:tcPr>
          <w:p w14:paraId="2DE949A7" w14:textId="603D7695" w:rsidR="000A5BCC" w:rsidRPr="00D3657C" w:rsidRDefault="000A5BCC" w:rsidP="005C6B4F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11.</w:t>
            </w:r>
            <w:r w:rsidR="005C6B4F">
              <w:rPr>
                <w:rFonts w:cs="Arial"/>
              </w:rPr>
              <w:t>1</w:t>
            </w:r>
            <w:r w:rsidRPr="00D3657C">
              <w:rPr>
                <w:rFonts w:cs="Arial"/>
              </w:rPr>
              <w:t xml:space="preserve"> (9.1, 13.0)</w:t>
            </w:r>
          </w:p>
        </w:tc>
        <w:tc>
          <w:tcPr>
            <w:tcW w:w="2592" w:type="dxa"/>
          </w:tcPr>
          <w:p w14:paraId="69BB6355" w14:textId="040B1506" w:rsidR="000A5BCC" w:rsidRPr="00D3657C" w:rsidRDefault="000A5BCC" w:rsidP="0011443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</w:t>
            </w:r>
            <w:r w:rsidR="00114431">
              <w:rPr>
                <w:rFonts w:cs="Arial"/>
              </w:rPr>
              <w:t>1</w:t>
            </w:r>
            <w:r w:rsidRPr="00D3657C">
              <w:rPr>
                <w:rFonts w:cs="Arial"/>
              </w:rPr>
              <w:t xml:space="preserve"> (1.</w:t>
            </w:r>
            <w:r w:rsidR="00114431">
              <w:rPr>
                <w:rFonts w:cs="Arial"/>
              </w:rPr>
              <w:t>6</w:t>
            </w:r>
            <w:r w:rsidRPr="00D3657C">
              <w:rPr>
                <w:rFonts w:cs="Arial"/>
              </w:rPr>
              <w:t>, 4.</w:t>
            </w:r>
            <w:r w:rsidR="00114431">
              <w:rPr>
                <w:rFonts w:cs="Arial"/>
              </w:rPr>
              <w:t>6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2B2DB1F1" w14:textId="77777777" w:rsidTr="000A5BCC">
        <w:trPr>
          <w:trHeight w:val="288"/>
        </w:trPr>
        <w:tc>
          <w:tcPr>
            <w:tcW w:w="2592" w:type="dxa"/>
          </w:tcPr>
          <w:p w14:paraId="7BEC3B1D" w14:textId="2B4AF11F" w:rsidR="000A5BCC" w:rsidRPr="00D3657C" w:rsidRDefault="000A5BCC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Males</w:t>
            </w:r>
            <w:r w:rsidR="00A30050" w:rsidRPr="00D3657C">
              <w:rPr>
                <w:rFonts w:cs="Arial"/>
                <w:b/>
              </w:rPr>
              <w:t xml:space="preserve"> by</w:t>
            </w:r>
            <w:r w:rsidRPr="00D3657C">
              <w:rPr>
                <w:rFonts w:cs="Arial"/>
                <w:b/>
              </w:rPr>
              <w:t xml:space="preserve"> Age (years)</w:t>
            </w:r>
            <w:r w:rsidR="008B475A" w:rsidRPr="00D3657C">
              <w:rPr>
                <w:rFonts w:cs="Arial"/>
                <w:b/>
              </w:rPr>
              <w:t>:</w:t>
            </w:r>
          </w:p>
        </w:tc>
        <w:tc>
          <w:tcPr>
            <w:tcW w:w="2592" w:type="dxa"/>
          </w:tcPr>
          <w:p w14:paraId="30A4B143" w14:textId="77777777" w:rsidR="000A5BCC" w:rsidRPr="00D3657C" w:rsidRDefault="000A5BCC" w:rsidP="00A30050">
            <w:pPr>
              <w:jc w:val="center"/>
              <w:rPr>
                <w:rFonts w:cs="Arial"/>
              </w:rPr>
            </w:pPr>
          </w:p>
        </w:tc>
        <w:tc>
          <w:tcPr>
            <w:tcW w:w="2592" w:type="dxa"/>
          </w:tcPr>
          <w:p w14:paraId="39311635" w14:textId="77777777" w:rsidR="000A5BCC" w:rsidRPr="00D3657C" w:rsidRDefault="000A5BCC" w:rsidP="00A30050">
            <w:pPr>
              <w:jc w:val="center"/>
              <w:rPr>
                <w:rFonts w:cs="Arial"/>
              </w:rPr>
            </w:pPr>
          </w:p>
        </w:tc>
      </w:tr>
      <w:tr w:rsidR="000A5BCC" w:rsidRPr="00D3657C" w14:paraId="3B7A2E59" w14:textId="77777777" w:rsidTr="000A5BCC">
        <w:trPr>
          <w:trHeight w:val="288"/>
        </w:trPr>
        <w:tc>
          <w:tcPr>
            <w:tcW w:w="2592" w:type="dxa"/>
          </w:tcPr>
          <w:p w14:paraId="1310375B" w14:textId="77777777" w:rsidR="000A5BCC" w:rsidRPr="00D3657C" w:rsidRDefault="000A5BCC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50-64</w:t>
            </w:r>
          </w:p>
        </w:tc>
        <w:tc>
          <w:tcPr>
            <w:tcW w:w="2592" w:type="dxa"/>
          </w:tcPr>
          <w:p w14:paraId="70285880" w14:textId="7C907337" w:rsidR="000A5BCC" w:rsidRPr="00D3657C" w:rsidRDefault="000A5BCC" w:rsidP="005C6B4F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10.</w:t>
            </w:r>
            <w:r w:rsidR="005C6B4F">
              <w:rPr>
                <w:rFonts w:cs="Arial"/>
              </w:rPr>
              <w:t>3</w:t>
            </w:r>
            <w:r w:rsidRPr="00D3657C">
              <w:rPr>
                <w:rFonts w:cs="Arial"/>
              </w:rPr>
              <w:t xml:space="preserve"> (8.6, 12.</w:t>
            </w:r>
            <w:r w:rsidR="005C6B4F">
              <w:rPr>
                <w:rFonts w:cs="Arial"/>
              </w:rPr>
              <w:t>0</w:t>
            </w:r>
            <w:r w:rsidRPr="00D3657C">
              <w:rPr>
                <w:rFonts w:cs="Arial"/>
              </w:rPr>
              <w:t>)</w:t>
            </w:r>
          </w:p>
        </w:tc>
        <w:tc>
          <w:tcPr>
            <w:tcW w:w="2592" w:type="dxa"/>
          </w:tcPr>
          <w:p w14:paraId="56D81A6A" w14:textId="4CA0F1DA" w:rsidR="000A5BCC" w:rsidRPr="00D3657C" w:rsidRDefault="000A5BCC" w:rsidP="008B749E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3.4 (2.</w:t>
            </w:r>
            <w:r w:rsidR="008B749E">
              <w:rPr>
                <w:rFonts w:cs="Arial"/>
              </w:rPr>
              <w:t>0</w:t>
            </w:r>
            <w:r w:rsidRPr="00D3657C">
              <w:rPr>
                <w:rFonts w:cs="Arial"/>
              </w:rPr>
              <w:t>, 4.7)</w:t>
            </w:r>
          </w:p>
        </w:tc>
      </w:tr>
      <w:tr w:rsidR="000A5BCC" w:rsidRPr="00D3657C" w14:paraId="2759F45C" w14:textId="77777777" w:rsidTr="000A5BCC">
        <w:trPr>
          <w:trHeight w:val="288"/>
        </w:trPr>
        <w:tc>
          <w:tcPr>
            <w:tcW w:w="2592" w:type="dxa"/>
          </w:tcPr>
          <w:p w14:paraId="5950DE01" w14:textId="77777777" w:rsidR="000A5BCC" w:rsidRPr="00D3657C" w:rsidRDefault="000A5BCC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65-74</w:t>
            </w:r>
          </w:p>
        </w:tc>
        <w:tc>
          <w:tcPr>
            <w:tcW w:w="2592" w:type="dxa"/>
          </w:tcPr>
          <w:p w14:paraId="0E61A5C2" w14:textId="556B0F30" w:rsidR="000A5BCC" w:rsidRPr="00D3657C" w:rsidRDefault="000A5BCC" w:rsidP="005C6B4F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7.</w:t>
            </w:r>
            <w:r w:rsidR="005C6B4F">
              <w:rPr>
                <w:rFonts w:cs="Arial"/>
              </w:rPr>
              <w:t>7</w:t>
            </w:r>
            <w:r w:rsidRPr="00D3657C">
              <w:rPr>
                <w:rFonts w:cs="Arial"/>
              </w:rPr>
              <w:t xml:space="preserve"> (5.8, 9.7)</w:t>
            </w:r>
          </w:p>
        </w:tc>
        <w:tc>
          <w:tcPr>
            <w:tcW w:w="2592" w:type="dxa"/>
          </w:tcPr>
          <w:p w14:paraId="5320AB56" w14:textId="3679A319" w:rsidR="000A5BCC" w:rsidRPr="00D3657C" w:rsidRDefault="000A5BCC" w:rsidP="008B749E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2.4 (0.</w:t>
            </w:r>
            <w:r w:rsidR="008B749E">
              <w:rPr>
                <w:rFonts w:cs="Arial"/>
              </w:rPr>
              <w:t>9</w:t>
            </w:r>
            <w:r w:rsidRPr="00D3657C">
              <w:rPr>
                <w:rFonts w:cs="Arial"/>
              </w:rPr>
              <w:t xml:space="preserve">, </w:t>
            </w:r>
            <w:r w:rsidR="008B749E">
              <w:rPr>
                <w:rFonts w:cs="Arial"/>
              </w:rPr>
              <w:t>3.9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50EE0265" w14:textId="77777777" w:rsidTr="000A5BCC">
        <w:trPr>
          <w:trHeight w:val="288"/>
        </w:trPr>
        <w:tc>
          <w:tcPr>
            <w:tcW w:w="2592" w:type="dxa"/>
          </w:tcPr>
          <w:p w14:paraId="41003966" w14:textId="77777777" w:rsidR="000A5BCC" w:rsidRPr="00D3657C" w:rsidRDefault="000A5BCC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≥75</w:t>
            </w:r>
          </w:p>
        </w:tc>
        <w:tc>
          <w:tcPr>
            <w:tcW w:w="2592" w:type="dxa"/>
          </w:tcPr>
          <w:p w14:paraId="40A6DEF0" w14:textId="77777777" w:rsidR="000A5BCC" w:rsidRPr="00D3657C" w:rsidRDefault="000A5BCC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7.8 (5.2, 10.5)</w:t>
            </w:r>
          </w:p>
        </w:tc>
        <w:tc>
          <w:tcPr>
            <w:tcW w:w="2592" w:type="dxa"/>
          </w:tcPr>
          <w:p w14:paraId="5CC371B5" w14:textId="7372B611" w:rsidR="000A5BCC" w:rsidRPr="00D3657C" w:rsidRDefault="000A5BCC" w:rsidP="008B749E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2.3 (0.</w:t>
            </w:r>
            <w:r w:rsidR="008B749E">
              <w:rPr>
                <w:rFonts w:cs="Arial"/>
              </w:rPr>
              <w:t>4</w:t>
            </w:r>
            <w:r w:rsidRPr="00D3657C">
              <w:rPr>
                <w:rFonts w:cs="Arial"/>
              </w:rPr>
              <w:t>, 4.3)</w:t>
            </w:r>
          </w:p>
        </w:tc>
      </w:tr>
      <w:tr w:rsidR="000A5BCC" w:rsidRPr="00D3657C" w14:paraId="631FBC20" w14:textId="77777777" w:rsidTr="000A5BCC">
        <w:trPr>
          <w:trHeight w:val="288"/>
        </w:trPr>
        <w:tc>
          <w:tcPr>
            <w:tcW w:w="2592" w:type="dxa"/>
          </w:tcPr>
          <w:p w14:paraId="55DECE22" w14:textId="7510FF6F" w:rsidR="000A5BCC" w:rsidRPr="00D3657C" w:rsidRDefault="000A5BCC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Females</w:t>
            </w:r>
            <w:r w:rsidR="008B475A" w:rsidRPr="00D3657C">
              <w:rPr>
                <w:rFonts w:cs="Arial"/>
                <w:b/>
              </w:rPr>
              <w:t xml:space="preserve"> by</w:t>
            </w:r>
            <w:r w:rsidRPr="00D3657C">
              <w:rPr>
                <w:rFonts w:cs="Arial"/>
                <w:b/>
              </w:rPr>
              <w:t xml:space="preserve"> Age (years)</w:t>
            </w:r>
            <w:r w:rsidR="008B475A" w:rsidRPr="00D3657C">
              <w:rPr>
                <w:rFonts w:cs="Arial"/>
                <w:b/>
              </w:rPr>
              <w:t>:</w:t>
            </w:r>
          </w:p>
        </w:tc>
        <w:tc>
          <w:tcPr>
            <w:tcW w:w="2592" w:type="dxa"/>
          </w:tcPr>
          <w:p w14:paraId="5F96C857" w14:textId="77777777" w:rsidR="000A5BCC" w:rsidRPr="00D3657C" w:rsidRDefault="000A5BCC" w:rsidP="00A30050">
            <w:pPr>
              <w:jc w:val="center"/>
              <w:rPr>
                <w:rFonts w:cs="Arial"/>
              </w:rPr>
            </w:pPr>
          </w:p>
        </w:tc>
        <w:tc>
          <w:tcPr>
            <w:tcW w:w="2592" w:type="dxa"/>
          </w:tcPr>
          <w:p w14:paraId="36909137" w14:textId="77777777" w:rsidR="000A5BCC" w:rsidRPr="00D3657C" w:rsidRDefault="000A5BCC" w:rsidP="00A30050">
            <w:pPr>
              <w:jc w:val="center"/>
              <w:rPr>
                <w:rFonts w:cs="Arial"/>
              </w:rPr>
            </w:pPr>
          </w:p>
        </w:tc>
      </w:tr>
      <w:tr w:rsidR="000A5BCC" w:rsidRPr="00D3657C" w14:paraId="07D2E558" w14:textId="77777777" w:rsidTr="000A5BCC">
        <w:trPr>
          <w:trHeight w:val="288"/>
        </w:trPr>
        <w:tc>
          <w:tcPr>
            <w:tcW w:w="2592" w:type="dxa"/>
          </w:tcPr>
          <w:p w14:paraId="53810CF6" w14:textId="77777777" w:rsidR="000A5BCC" w:rsidRPr="00D3657C" w:rsidRDefault="000A5BCC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50-64</w:t>
            </w:r>
          </w:p>
        </w:tc>
        <w:tc>
          <w:tcPr>
            <w:tcW w:w="2592" w:type="dxa"/>
          </w:tcPr>
          <w:p w14:paraId="18DB2471" w14:textId="12BFAF07" w:rsidR="000A5BCC" w:rsidRPr="00D3657C" w:rsidRDefault="000A5BCC" w:rsidP="005C6B4F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14.</w:t>
            </w:r>
            <w:r w:rsidR="005C6B4F">
              <w:rPr>
                <w:rFonts w:cs="Arial"/>
              </w:rPr>
              <w:t>1</w:t>
            </w:r>
            <w:r w:rsidRPr="00D3657C">
              <w:rPr>
                <w:rFonts w:cs="Arial"/>
              </w:rPr>
              <w:t xml:space="preserve"> (12.2, 16.1)</w:t>
            </w:r>
          </w:p>
        </w:tc>
        <w:tc>
          <w:tcPr>
            <w:tcW w:w="2592" w:type="dxa"/>
          </w:tcPr>
          <w:p w14:paraId="2A11CC2F" w14:textId="478A7520" w:rsidR="000A5BCC" w:rsidRPr="00D3657C" w:rsidRDefault="000A5BCC" w:rsidP="008B749E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3.8 (2.</w:t>
            </w:r>
            <w:r w:rsidR="008B749E">
              <w:rPr>
                <w:rFonts w:cs="Arial"/>
              </w:rPr>
              <w:t>0</w:t>
            </w:r>
            <w:r w:rsidRPr="00D3657C">
              <w:rPr>
                <w:rFonts w:cs="Arial"/>
              </w:rPr>
              <w:t>, 5.</w:t>
            </w:r>
            <w:r w:rsidR="008B749E">
              <w:rPr>
                <w:rFonts w:cs="Arial"/>
              </w:rPr>
              <w:t>6</w:t>
            </w:r>
            <w:r w:rsidRPr="00D3657C">
              <w:rPr>
                <w:rFonts w:cs="Arial"/>
              </w:rPr>
              <w:t>)</w:t>
            </w:r>
          </w:p>
        </w:tc>
      </w:tr>
      <w:tr w:rsidR="000A5BCC" w:rsidRPr="00D3657C" w14:paraId="64009BF2" w14:textId="77777777" w:rsidTr="000A5BCC">
        <w:trPr>
          <w:trHeight w:val="288"/>
        </w:trPr>
        <w:tc>
          <w:tcPr>
            <w:tcW w:w="2592" w:type="dxa"/>
          </w:tcPr>
          <w:p w14:paraId="40B51246" w14:textId="77777777" w:rsidR="000A5BCC" w:rsidRPr="00D3657C" w:rsidRDefault="000A5BCC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65-74</w:t>
            </w:r>
          </w:p>
        </w:tc>
        <w:tc>
          <w:tcPr>
            <w:tcW w:w="2592" w:type="dxa"/>
          </w:tcPr>
          <w:p w14:paraId="7D8ACED5" w14:textId="25BC2DF5" w:rsidR="000A5BCC" w:rsidRPr="00D3657C" w:rsidRDefault="000A5BCC" w:rsidP="005C6B4F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14.7 (12.</w:t>
            </w:r>
            <w:r w:rsidR="005C6B4F">
              <w:rPr>
                <w:rFonts w:cs="Arial"/>
              </w:rPr>
              <w:t>1</w:t>
            </w:r>
            <w:r w:rsidRPr="00D3657C">
              <w:rPr>
                <w:rFonts w:cs="Arial"/>
              </w:rPr>
              <w:t>, 17.2)</w:t>
            </w:r>
          </w:p>
        </w:tc>
        <w:tc>
          <w:tcPr>
            <w:tcW w:w="2592" w:type="dxa"/>
          </w:tcPr>
          <w:p w14:paraId="512DC58D" w14:textId="22CB4834" w:rsidR="000A5BCC" w:rsidRPr="00D3657C" w:rsidRDefault="008B749E" w:rsidP="008B749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  <w:r w:rsidR="000A5BCC" w:rsidRPr="00D3657C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1.8</w:t>
            </w:r>
            <w:r w:rsidR="000A5BCC" w:rsidRPr="00D3657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6.5</w:t>
            </w:r>
            <w:r w:rsidR="000A5BCC" w:rsidRPr="00D3657C">
              <w:rPr>
                <w:rFonts w:cs="Arial"/>
              </w:rPr>
              <w:t>)</w:t>
            </w:r>
          </w:p>
        </w:tc>
      </w:tr>
      <w:tr w:rsidR="000A5BCC" w:rsidRPr="00D3657C" w14:paraId="045371FE" w14:textId="77777777" w:rsidTr="000A5BCC">
        <w:trPr>
          <w:trHeight w:val="288"/>
        </w:trPr>
        <w:tc>
          <w:tcPr>
            <w:tcW w:w="2592" w:type="dxa"/>
          </w:tcPr>
          <w:p w14:paraId="066B7812" w14:textId="77777777" w:rsidR="000A5BCC" w:rsidRPr="00D3657C" w:rsidRDefault="000A5BCC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≥75</w:t>
            </w:r>
          </w:p>
        </w:tc>
        <w:tc>
          <w:tcPr>
            <w:tcW w:w="2592" w:type="dxa"/>
          </w:tcPr>
          <w:p w14:paraId="63EA0641" w14:textId="1E618977" w:rsidR="000A5BCC" w:rsidRPr="00D3657C" w:rsidRDefault="000A5BCC" w:rsidP="001A409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13.</w:t>
            </w:r>
            <w:r w:rsidR="005C6B4F">
              <w:rPr>
                <w:rFonts w:cs="Arial"/>
              </w:rPr>
              <w:t>5</w:t>
            </w:r>
            <w:r w:rsidRPr="00D3657C">
              <w:rPr>
                <w:rFonts w:cs="Arial"/>
              </w:rPr>
              <w:t xml:space="preserve"> (10.</w:t>
            </w:r>
            <w:r w:rsidR="001A4091">
              <w:rPr>
                <w:rFonts w:cs="Arial"/>
              </w:rPr>
              <w:t>7</w:t>
            </w:r>
            <w:r w:rsidRPr="00D3657C">
              <w:rPr>
                <w:rFonts w:cs="Arial"/>
              </w:rPr>
              <w:t>, 16.</w:t>
            </w:r>
            <w:r w:rsidR="001A4091">
              <w:rPr>
                <w:rFonts w:cs="Arial"/>
              </w:rPr>
              <w:t>9</w:t>
            </w:r>
            <w:r w:rsidRPr="00D3657C">
              <w:rPr>
                <w:rFonts w:cs="Arial"/>
              </w:rPr>
              <w:t>)</w:t>
            </w:r>
          </w:p>
        </w:tc>
        <w:tc>
          <w:tcPr>
            <w:tcW w:w="2592" w:type="dxa"/>
          </w:tcPr>
          <w:p w14:paraId="23FEE2E7" w14:textId="1308F4D5" w:rsidR="000A5BCC" w:rsidRPr="00D3657C" w:rsidRDefault="000A5BCC" w:rsidP="008B749E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3.6 (1.</w:t>
            </w:r>
            <w:r w:rsidR="008B749E">
              <w:rPr>
                <w:rFonts w:cs="Arial"/>
              </w:rPr>
              <w:t>5</w:t>
            </w:r>
            <w:r w:rsidRPr="00D3657C">
              <w:rPr>
                <w:rFonts w:cs="Arial"/>
              </w:rPr>
              <w:t>, 5.</w:t>
            </w:r>
            <w:r w:rsidR="008B749E">
              <w:rPr>
                <w:rFonts w:cs="Arial"/>
              </w:rPr>
              <w:t>8</w:t>
            </w:r>
            <w:r w:rsidRPr="00D3657C">
              <w:rPr>
                <w:rFonts w:cs="Arial"/>
              </w:rPr>
              <w:t>)</w:t>
            </w:r>
          </w:p>
        </w:tc>
      </w:tr>
    </w:tbl>
    <w:p w14:paraId="1048C7FC" w14:textId="24582454" w:rsidR="001A1C0E" w:rsidRPr="00D3657C" w:rsidRDefault="00E33351" w:rsidP="00A30050">
      <w:pPr>
        <w:spacing w:after="0" w:line="240" w:lineRule="auto"/>
        <w:rPr>
          <w:rFonts w:cs="Arial"/>
          <w:i/>
        </w:rPr>
      </w:pPr>
      <w:r w:rsidRPr="00D3657C">
        <w:rPr>
          <w:rFonts w:cs="Arial"/>
          <w:i/>
        </w:rPr>
        <w:t>CI: Confidence interval</w:t>
      </w:r>
      <w:r>
        <w:rPr>
          <w:rFonts w:cs="Arial"/>
          <w:i/>
        </w:rPr>
        <w:t xml:space="preserve">; </w:t>
      </w:r>
      <w:r w:rsidR="001A1C0E" w:rsidRPr="00D3657C">
        <w:rPr>
          <w:rFonts w:cs="Arial"/>
          <w:i/>
        </w:rPr>
        <w:t>SR: Symptomatic radiographic</w:t>
      </w:r>
      <w:r>
        <w:rPr>
          <w:rFonts w:cs="Arial"/>
          <w:i/>
        </w:rPr>
        <w:t>;</w:t>
      </w:r>
      <w:r w:rsidR="001A1C0E" w:rsidRPr="00D3657C">
        <w:rPr>
          <w:rFonts w:cs="Arial"/>
          <w:i/>
        </w:rPr>
        <w:t xml:space="preserve"> OA: Osteoarthritis</w:t>
      </w:r>
      <w:r>
        <w:rPr>
          <w:rFonts w:cs="Arial"/>
          <w:i/>
        </w:rPr>
        <w:t>.</w:t>
      </w:r>
    </w:p>
    <w:p w14:paraId="532CD68D" w14:textId="77777777" w:rsidR="001A1C0E" w:rsidRPr="00D3657C" w:rsidRDefault="001A1C0E" w:rsidP="00C108E8">
      <w:pPr>
        <w:spacing w:after="0" w:line="480" w:lineRule="auto"/>
        <w:rPr>
          <w:rFonts w:cs="Arial"/>
        </w:rPr>
      </w:pPr>
      <w:r w:rsidRPr="00D3657C">
        <w:rPr>
          <w:rFonts w:cs="Arial"/>
        </w:rPr>
        <w:br w:type="page"/>
      </w:r>
    </w:p>
    <w:p w14:paraId="7A2FCE6A" w14:textId="15E84A2F" w:rsidR="001A1C0E" w:rsidRPr="00D3657C" w:rsidRDefault="000A5BCC" w:rsidP="00A30050">
      <w:pPr>
        <w:spacing w:after="0" w:line="240" w:lineRule="auto"/>
        <w:rPr>
          <w:rFonts w:cs="Arial"/>
          <w:b/>
        </w:rPr>
      </w:pPr>
      <w:r w:rsidRPr="00D3657C">
        <w:rPr>
          <w:rFonts w:cs="Arial"/>
          <w:b/>
        </w:rPr>
        <w:lastRenderedPageBreak/>
        <w:t xml:space="preserve">Table </w:t>
      </w:r>
      <w:r w:rsidR="001A1EB3">
        <w:rPr>
          <w:rFonts w:cs="Arial"/>
          <w:b/>
        </w:rPr>
        <w:t>3</w:t>
      </w:r>
      <w:r w:rsidR="00F25DC7" w:rsidRPr="00D3657C">
        <w:rPr>
          <w:rFonts w:cs="Arial"/>
          <w:b/>
        </w:rPr>
        <w:t>.</w:t>
      </w:r>
      <w:r w:rsidRPr="00D3657C">
        <w:rPr>
          <w:rFonts w:cs="Arial"/>
          <w:b/>
        </w:rPr>
        <w:t xml:space="preserve"> Population prevalence estimates of ankle pain and symptomatic radiographic ankle </w:t>
      </w:r>
      <w:r w:rsidR="001A1C0E" w:rsidRPr="00D3657C">
        <w:rPr>
          <w:rFonts w:cs="Arial"/>
          <w:b/>
        </w:rPr>
        <w:t>OA</w:t>
      </w:r>
      <w:r w:rsidR="00F25DC7" w:rsidRPr="00D3657C">
        <w:rPr>
          <w:rFonts w:cs="Arial"/>
          <w:b/>
        </w:rPr>
        <w:t>,</w:t>
      </w:r>
      <w:r w:rsidRPr="00D3657C">
        <w:rPr>
          <w:rFonts w:cs="Arial"/>
          <w:b/>
        </w:rPr>
        <w:t xml:space="preserve"> stratified by </w:t>
      </w:r>
      <w:r w:rsidR="001A1C0E" w:rsidRPr="00D3657C">
        <w:rPr>
          <w:rFonts w:cs="Arial"/>
          <w:b/>
        </w:rPr>
        <w:t>socioeconomic status and age and gender</w:t>
      </w:r>
    </w:p>
    <w:p w14:paraId="514833AB" w14:textId="77777777" w:rsidR="00B62C72" w:rsidRPr="00D3657C" w:rsidRDefault="00B62C72" w:rsidP="00A30050">
      <w:pPr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2665"/>
        <w:gridCol w:w="2835"/>
      </w:tblGrid>
      <w:tr w:rsidR="001A1C0E" w:rsidRPr="00D3657C" w14:paraId="0E1602D1" w14:textId="77777777" w:rsidTr="00A10C8E">
        <w:trPr>
          <w:trHeight w:val="312"/>
        </w:trPr>
        <w:tc>
          <w:tcPr>
            <w:tcW w:w="3118" w:type="dxa"/>
          </w:tcPr>
          <w:p w14:paraId="170EA7A1" w14:textId="77777777" w:rsidR="001A1C0E" w:rsidRPr="00D3657C" w:rsidRDefault="001A1C0E" w:rsidP="00A30050">
            <w:pPr>
              <w:rPr>
                <w:rFonts w:cs="Arial"/>
                <w:b/>
              </w:rPr>
            </w:pPr>
          </w:p>
        </w:tc>
        <w:tc>
          <w:tcPr>
            <w:tcW w:w="2665" w:type="dxa"/>
          </w:tcPr>
          <w:p w14:paraId="28418D5A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Proportion estimate for ankle pain: % (95% CI)</w:t>
            </w:r>
          </w:p>
        </w:tc>
        <w:tc>
          <w:tcPr>
            <w:tcW w:w="2835" w:type="dxa"/>
          </w:tcPr>
          <w:p w14:paraId="75D88292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Proportion estimate for SR ankle OA: % (95% CI)</w:t>
            </w:r>
          </w:p>
        </w:tc>
      </w:tr>
      <w:tr w:rsidR="001A1C0E" w:rsidRPr="00D3657C" w14:paraId="6E908C39" w14:textId="77777777" w:rsidTr="00A10C8E">
        <w:trPr>
          <w:trHeight w:val="312"/>
        </w:trPr>
        <w:tc>
          <w:tcPr>
            <w:tcW w:w="3118" w:type="dxa"/>
          </w:tcPr>
          <w:p w14:paraId="7D76D56D" w14:textId="77777777" w:rsidR="001A1C0E" w:rsidRPr="00D3657C" w:rsidRDefault="001A1C0E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Socioeconomic status</w:t>
            </w:r>
          </w:p>
        </w:tc>
        <w:tc>
          <w:tcPr>
            <w:tcW w:w="2665" w:type="dxa"/>
          </w:tcPr>
          <w:p w14:paraId="52E6BE11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79167B99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</w:tr>
      <w:tr w:rsidR="001A1C0E" w:rsidRPr="00D3657C" w14:paraId="251E4B8C" w14:textId="77777777" w:rsidTr="00A10C8E">
        <w:trPr>
          <w:trHeight w:val="312"/>
        </w:trPr>
        <w:tc>
          <w:tcPr>
            <w:tcW w:w="3118" w:type="dxa"/>
          </w:tcPr>
          <w:p w14:paraId="3A60596C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</w:tcPr>
          <w:p w14:paraId="1D5361AC" w14:textId="59A544BA" w:rsidR="001A1C0E" w:rsidRPr="00D3657C" w:rsidRDefault="001A1C0E" w:rsidP="001A4091">
            <w:pPr>
              <w:jc w:val="center"/>
              <w:rPr>
                <w:rFonts w:cs="Arial"/>
              </w:rPr>
            </w:pPr>
            <w:r w:rsidRPr="00D3657C" w:rsidDel="008D43C2">
              <w:rPr>
                <w:rFonts w:cs="Arial"/>
              </w:rPr>
              <w:t>7.6 (</w:t>
            </w:r>
            <w:r w:rsidR="001A4091">
              <w:rPr>
                <w:rFonts w:cs="Arial"/>
              </w:rPr>
              <w:t>5.9</w:t>
            </w:r>
            <w:r w:rsidRPr="00D3657C">
              <w:rPr>
                <w:rFonts w:cs="Arial"/>
              </w:rPr>
              <w:t xml:space="preserve">, </w:t>
            </w:r>
            <w:r w:rsidRPr="00D3657C" w:rsidDel="008D43C2">
              <w:rPr>
                <w:rFonts w:cs="Arial"/>
              </w:rPr>
              <w:t>9.3)</w:t>
            </w:r>
          </w:p>
        </w:tc>
        <w:tc>
          <w:tcPr>
            <w:tcW w:w="2835" w:type="dxa"/>
          </w:tcPr>
          <w:p w14:paraId="22D6CA5E" w14:textId="639776F2" w:rsidR="001A1C0E" w:rsidRPr="00D3657C" w:rsidRDefault="001A1C0E" w:rsidP="002E7A76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2.</w:t>
            </w:r>
            <w:r w:rsidR="002E7A76">
              <w:rPr>
                <w:rFonts w:cs="Arial"/>
              </w:rPr>
              <w:t>4</w:t>
            </w:r>
            <w:r w:rsidRPr="00D3657C">
              <w:rPr>
                <w:rFonts w:cs="Arial"/>
              </w:rPr>
              <w:t xml:space="preserve"> (1.</w:t>
            </w:r>
            <w:r w:rsidR="002E7A76">
              <w:rPr>
                <w:rFonts w:cs="Arial"/>
              </w:rPr>
              <w:t>0</w:t>
            </w:r>
            <w:r w:rsidRPr="00D3657C">
              <w:rPr>
                <w:rFonts w:cs="Arial"/>
              </w:rPr>
              <w:t>, 3.</w:t>
            </w:r>
            <w:r w:rsidR="002E7A76">
              <w:rPr>
                <w:rFonts w:cs="Arial"/>
              </w:rPr>
              <w:t>7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5D29AFAA" w14:textId="77777777" w:rsidTr="00A10C8E">
        <w:trPr>
          <w:trHeight w:val="312"/>
        </w:trPr>
        <w:tc>
          <w:tcPr>
            <w:tcW w:w="3118" w:type="dxa"/>
          </w:tcPr>
          <w:p w14:paraId="1644F3B5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</w:tcPr>
          <w:p w14:paraId="6E4622EB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 w:rsidDel="008D43C2">
              <w:rPr>
                <w:rFonts w:cs="Arial"/>
              </w:rPr>
              <w:t>10.9 (8.8</w:t>
            </w:r>
            <w:r w:rsidRPr="00D3657C">
              <w:rPr>
                <w:rFonts w:cs="Arial"/>
              </w:rPr>
              <w:t xml:space="preserve">, </w:t>
            </w:r>
            <w:r w:rsidRPr="00D3657C" w:rsidDel="008D43C2">
              <w:rPr>
                <w:rFonts w:cs="Arial"/>
              </w:rPr>
              <w:t>13.0)</w:t>
            </w:r>
          </w:p>
        </w:tc>
        <w:tc>
          <w:tcPr>
            <w:tcW w:w="2835" w:type="dxa"/>
          </w:tcPr>
          <w:p w14:paraId="13B68C1B" w14:textId="7816437E" w:rsidR="001A1C0E" w:rsidRPr="00D3657C" w:rsidRDefault="001A1C0E" w:rsidP="002E7A76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</w:t>
            </w:r>
            <w:r w:rsidR="002E7A76">
              <w:rPr>
                <w:rFonts w:cs="Arial"/>
              </w:rPr>
              <w:t>0</w:t>
            </w:r>
            <w:r w:rsidRPr="00D3657C">
              <w:rPr>
                <w:rFonts w:cs="Arial"/>
              </w:rPr>
              <w:t xml:space="preserve"> (1.</w:t>
            </w:r>
            <w:r w:rsidR="002E7A76">
              <w:rPr>
                <w:rFonts w:cs="Arial"/>
              </w:rPr>
              <w:t>4</w:t>
            </w:r>
            <w:r w:rsidRPr="00D3657C">
              <w:rPr>
                <w:rFonts w:cs="Arial"/>
              </w:rPr>
              <w:t xml:space="preserve">, </w:t>
            </w:r>
            <w:r w:rsidR="002E7A76">
              <w:rPr>
                <w:rFonts w:cs="Arial"/>
              </w:rPr>
              <w:t>4.5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5D4B48A9" w14:textId="77777777" w:rsidTr="00A10C8E">
        <w:trPr>
          <w:trHeight w:val="312"/>
        </w:trPr>
        <w:tc>
          <w:tcPr>
            <w:tcW w:w="3118" w:type="dxa"/>
          </w:tcPr>
          <w:p w14:paraId="2344EE04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</w:tcPr>
          <w:p w14:paraId="266BE074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 w:rsidDel="008D43C2">
              <w:rPr>
                <w:rFonts w:cs="Arial"/>
              </w:rPr>
              <w:t>13.</w:t>
            </w:r>
            <w:r w:rsidRPr="00D3657C">
              <w:rPr>
                <w:rFonts w:cs="Arial"/>
              </w:rPr>
              <w:t>0</w:t>
            </w:r>
            <w:r w:rsidRPr="00D3657C" w:rsidDel="008D43C2">
              <w:rPr>
                <w:rFonts w:cs="Arial"/>
              </w:rPr>
              <w:t xml:space="preserve"> (1</w:t>
            </w:r>
            <w:r w:rsidRPr="00D3657C">
              <w:rPr>
                <w:rFonts w:cs="Arial"/>
              </w:rPr>
              <w:t>1</w:t>
            </w:r>
            <w:r w:rsidRPr="00D3657C" w:rsidDel="008D43C2">
              <w:rPr>
                <w:rFonts w:cs="Arial"/>
              </w:rPr>
              <w:t>.</w:t>
            </w:r>
            <w:r w:rsidRPr="00D3657C">
              <w:rPr>
                <w:rFonts w:cs="Arial"/>
              </w:rPr>
              <w:t xml:space="preserve">7, </w:t>
            </w:r>
            <w:r w:rsidRPr="00D3657C" w:rsidDel="008D43C2">
              <w:rPr>
                <w:rFonts w:cs="Arial"/>
              </w:rPr>
              <w:t>14.</w:t>
            </w:r>
            <w:r w:rsidRPr="00D3657C">
              <w:rPr>
                <w:rFonts w:cs="Arial"/>
              </w:rPr>
              <w:t>3</w:t>
            </w:r>
            <w:r w:rsidRPr="00D3657C" w:rsidDel="008D43C2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138E832E" w14:textId="5AA4D95D" w:rsidR="001A1C0E" w:rsidRPr="00D3657C" w:rsidRDefault="002E7A76" w:rsidP="002E7A7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  <w:r w:rsidR="001A1C0E" w:rsidRPr="00D3657C">
              <w:rPr>
                <w:rFonts w:cs="Arial"/>
              </w:rPr>
              <w:t xml:space="preserve"> (2.</w:t>
            </w:r>
            <w:r>
              <w:rPr>
                <w:rFonts w:cs="Arial"/>
              </w:rPr>
              <w:t>6</w:t>
            </w:r>
            <w:r w:rsidR="001A1C0E" w:rsidRPr="00D3657C">
              <w:rPr>
                <w:rFonts w:cs="Arial"/>
              </w:rPr>
              <w:t>, 5.</w:t>
            </w:r>
            <w:r>
              <w:rPr>
                <w:rFonts w:cs="Arial"/>
              </w:rPr>
              <w:t>6</w:t>
            </w:r>
            <w:r w:rsidR="001A1C0E" w:rsidRPr="00D3657C">
              <w:rPr>
                <w:rFonts w:cs="Arial"/>
              </w:rPr>
              <w:t>)</w:t>
            </w:r>
          </w:p>
        </w:tc>
      </w:tr>
      <w:tr w:rsidR="001A1C0E" w:rsidRPr="00D3657C" w14:paraId="56502E58" w14:textId="77777777" w:rsidTr="00A10C8E">
        <w:trPr>
          <w:trHeight w:val="312"/>
        </w:trPr>
        <w:tc>
          <w:tcPr>
            <w:tcW w:w="3118" w:type="dxa"/>
          </w:tcPr>
          <w:p w14:paraId="2C2F6A24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</w:tcPr>
          <w:p w14:paraId="3207AC63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13.9</w:t>
            </w:r>
            <w:r w:rsidRPr="00D3657C" w:rsidDel="008D43C2">
              <w:rPr>
                <w:rFonts w:cs="Arial"/>
              </w:rPr>
              <w:t xml:space="preserve"> (</w:t>
            </w:r>
            <w:r w:rsidRPr="00D3657C">
              <w:rPr>
                <w:rFonts w:cs="Arial"/>
              </w:rPr>
              <w:t>10.9, 16.9</w:t>
            </w:r>
            <w:r w:rsidRPr="00D3657C" w:rsidDel="008D43C2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6B6D2C7A" w14:textId="4E8F1332" w:rsidR="001A1C0E" w:rsidRPr="00D3657C" w:rsidRDefault="001A1C0E" w:rsidP="006F05D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2.</w:t>
            </w:r>
            <w:r w:rsidR="002E7A76">
              <w:rPr>
                <w:rFonts w:cs="Arial"/>
              </w:rPr>
              <w:t>5</w:t>
            </w:r>
            <w:r w:rsidRPr="00D3657C">
              <w:rPr>
                <w:rFonts w:cs="Arial"/>
              </w:rPr>
              <w:t xml:space="preserve"> (</w:t>
            </w:r>
            <w:r w:rsidR="006F05D1">
              <w:rPr>
                <w:rFonts w:cs="Arial"/>
              </w:rPr>
              <w:t>-</w:t>
            </w:r>
            <w:r w:rsidRPr="00D3657C">
              <w:rPr>
                <w:rFonts w:cs="Arial"/>
              </w:rPr>
              <w:t>0.</w:t>
            </w:r>
            <w:r w:rsidR="006F05D1">
              <w:rPr>
                <w:rFonts w:cs="Arial"/>
              </w:rPr>
              <w:t>5</w:t>
            </w:r>
            <w:r w:rsidRPr="00D3657C">
              <w:rPr>
                <w:rFonts w:cs="Arial"/>
              </w:rPr>
              <w:t xml:space="preserve">, </w:t>
            </w:r>
            <w:r w:rsidR="006F05D1">
              <w:rPr>
                <w:rFonts w:cs="Arial"/>
              </w:rPr>
              <w:t>5.6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20817514" w14:textId="77777777" w:rsidTr="00A10C8E">
        <w:trPr>
          <w:trHeight w:val="312"/>
        </w:trPr>
        <w:tc>
          <w:tcPr>
            <w:tcW w:w="3118" w:type="dxa"/>
          </w:tcPr>
          <w:p w14:paraId="5D0EC0B5" w14:textId="282448FA" w:rsidR="001A1C0E" w:rsidRPr="00D3657C" w:rsidRDefault="001A1C0E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 xml:space="preserve">Males </w:t>
            </w:r>
            <w:r w:rsidR="00D73D26" w:rsidRPr="00D3657C">
              <w:rPr>
                <w:rFonts w:cs="Arial"/>
                <w:b/>
              </w:rPr>
              <w:t>by socioeconomic status</w:t>
            </w:r>
          </w:p>
        </w:tc>
        <w:tc>
          <w:tcPr>
            <w:tcW w:w="2665" w:type="dxa"/>
          </w:tcPr>
          <w:p w14:paraId="1A03B852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1BC2F017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</w:tr>
      <w:tr w:rsidR="001A1C0E" w:rsidRPr="00D3657C" w14:paraId="1C92E577" w14:textId="77777777" w:rsidTr="00A10C8E">
        <w:trPr>
          <w:trHeight w:val="312"/>
        </w:trPr>
        <w:tc>
          <w:tcPr>
            <w:tcW w:w="3118" w:type="dxa"/>
          </w:tcPr>
          <w:p w14:paraId="21754820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</w:tcPr>
          <w:p w14:paraId="2B5CAE85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5.2 (3.4, 7.1)</w:t>
            </w:r>
          </w:p>
        </w:tc>
        <w:tc>
          <w:tcPr>
            <w:tcW w:w="2835" w:type="dxa"/>
          </w:tcPr>
          <w:p w14:paraId="1D9FF551" w14:textId="7664726C" w:rsidR="001A1C0E" w:rsidRPr="00D3657C" w:rsidRDefault="001A1C0E" w:rsidP="006F05D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1.</w:t>
            </w:r>
            <w:r w:rsidR="006F05D1">
              <w:rPr>
                <w:rFonts w:cs="Arial"/>
              </w:rPr>
              <w:t>5</w:t>
            </w:r>
            <w:r w:rsidRPr="00D3657C">
              <w:rPr>
                <w:rFonts w:cs="Arial"/>
              </w:rPr>
              <w:t>(0.</w:t>
            </w:r>
            <w:r w:rsidR="006F05D1">
              <w:rPr>
                <w:rFonts w:cs="Arial"/>
              </w:rPr>
              <w:t>1</w:t>
            </w:r>
            <w:r w:rsidRPr="00D3657C">
              <w:rPr>
                <w:rFonts w:cs="Arial"/>
              </w:rPr>
              <w:t>, 2.9)</w:t>
            </w:r>
          </w:p>
        </w:tc>
      </w:tr>
      <w:tr w:rsidR="001A1C0E" w:rsidRPr="00D3657C" w14:paraId="512CC913" w14:textId="77777777" w:rsidTr="00A10C8E">
        <w:trPr>
          <w:trHeight w:val="312"/>
        </w:trPr>
        <w:tc>
          <w:tcPr>
            <w:tcW w:w="3118" w:type="dxa"/>
          </w:tcPr>
          <w:p w14:paraId="4A79D32E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</w:tcPr>
          <w:p w14:paraId="3EA77A75" w14:textId="0686A355" w:rsidR="001A1C0E" w:rsidRPr="00D3657C" w:rsidRDefault="001A1C0E" w:rsidP="001A409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8.9 (6.1, 11.</w:t>
            </w:r>
            <w:r w:rsidR="001A4091">
              <w:rPr>
                <w:rFonts w:cs="Arial"/>
              </w:rPr>
              <w:t>7</w:t>
            </w:r>
            <w:r w:rsidRPr="00D3657C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3A119FD0" w14:textId="5BAC2F40" w:rsidR="001A1C0E" w:rsidRPr="00D3657C" w:rsidRDefault="001A1C0E" w:rsidP="006F05D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3.1 (</w:t>
            </w:r>
            <w:r w:rsidR="006F05D1">
              <w:rPr>
                <w:rFonts w:cs="Arial"/>
              </w:rPr>
              <w:t>1.0</w:t>
            </w:r>
            <w:r w:rsidRPr="00D3657C">
              <w:rPr>
                <w:rFonts w:cs="Arial"/>
              </w:rPr>
              <w:t>, 5.</w:t>
            </w:r>
            <w:r w:rsidR="006F05D1">
              <w:rPr>
                <w:rFonts w:cs="Arial"/>
              </w:rPr>
              <w:t>3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0E8CEE1D" w14:textId="77777777" w:rsidTr="00A10C8E">
        <w:trPr>
          <w:trHeight w:val="312"/>
        </w:trPr>
        <w:tc>
          <w:tcPr>
            <w:tcW w:w="3118" w:type="dxa"/>
          </w:tcPr>
          <w:p w14:paraId="3E2AC7ED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Routine/ manual</w:t>
            </w:r>
          </w:p>
        </w:tc>
        <w:tc>
          <w:tcPr>
            <w:tcW w:w="2665" w:type="dxa"/>
          </w:tcPr>
          <w:p w14:paraId="0A44A9C4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10.6 (8.8, 12.3)</w:t>
            </w:r>
          </w:p>
        </w:tc>
        <w:tc>
          <w:tcPr>
            <w:tcW w:w="2835" w:type="dxa"/>
          </w:tcPr>
          <w:p w14:paraId="07316F71" w14:textId="7034BFC9" w:rsidR="001A1C0E" w:rsidRPr="00D3657C" w:rsidRDefault="001A1C0E" w:rsidP="006F05D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</w:t>
            </w:r>
            <w:r w:rsidR="006F05D1">
              <w:rPr>
                <w:rFonts w:cs="Arial"/>
              </w:rPr>
              <w:t>6</w:t>
            </w:r>
            <w:r w:rsidRPr="00D3657C">
              <w:rPr>
                <w:rFonts w:cs="Arial"/>
              </w:rPr>
              <w:t xml:space="preserve"> (2.1, 5.</w:t>
            </w:r>
            <w:r w:rsidR="006F05D1">
              <w:rPr>
                <w:rFonts w:cs="Arial"/>
              </w:rPr>
              <w:t>2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445EC962" w14:textId="77777777" w:rsidTr="00A10C8E">
        <w:trPr>
          <w:trHeight w:val="312"/>
        </w:trPr>
        <w:tc>
          <w:tcPr>
            <w:tcW w:w="3118" w:type="dxa"/>
          </w:tcPr>
          <w:p w14:paraId="4F977A84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</w:tcPr>
          <w:p w14:paraId="01440BB3" w14:textId="32AE6CA5" w:rsidR="001A1C0E" w:rsidRPr="00D3657C" w:rsidRDefault="001A1C0E" w:rsidP="001A409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12.1 (7.1, 17.</w:t>
            </w:r>
            <w:r w:rsidR="001A4091">
              <w:rPr>
                <w:rFonts w:cs="Arial"/>
              </w:rPr>
              <w:t>1</w:t>
            </w:r>
            <w:r w:rsidRPr="00D3657C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2A817B2A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1.9 (-1.3, 5.1)</w:t>
            </w:r>
          </w:p>
        </w:tc>
      </w:tr>
      <w:tr w:rsidR="001A1C0E" w:rsidRPr="00D3657C" w14:paraId="3E428469" w14:textId="77777777" w:rsidTr="00A10C8E">
        <w:trPr>
          <w:trHeight w:val="312"/>
        </w:trPr>
        <w:tc>
          <w:tcPr>
            <w:tcW w:w="3118" w:type="dxa"/>
          </w:tcPr>
          <w:p w14:paraId="036092C1" w14:textId="3F69B5C7" w:rsidR="001A1C0E" w:rsidRPr="00D3657C" w:rsidRDefault="001A1C0E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Females</w:t>
            </w:r>
            <w:r w:rsidR="00D73D26" w:rsidRPr="00D3657C">
              <w:rPr>
                <w:rFonts w:cs="Arial"/>
                <w:b/>
              </w:rPr>
              <w:t xml:space="preserve"> by socioeconomic status</w:t>
            </w:r>
          </w:p>
        </w:tc>
        <w:tc>
          <w:tcPr>
            <w:tcW w:w="2665" w:type="dxa"/>
          </w:tcPr>
          <w:p w14:paraId="2AEA9F53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05EF0940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</w:tr>
      <w:tr w:rsidR="001A1C0E" w:rsidRPr="00D3657C" w14:paraId="17E072D5" w14:textId="77777777" w:rsidTr="00A10C8E">
        <w:trPr>
          <w:trHeight w:val="312"/>
        </w:trPr>
        <w:tc>
          <w:tcPr>
            <w:tcW w:w="3118" w:type="dxa"/>
          </w:tcPr>
          <w:p w14:paraId="18DE97C6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</w:tcPr>
          <w:p w14:paraId="2E71426D" w14:textId="2D4F9FFD" w:rsidR="001A1C0E" w:rsidRPr="00D3657C" w:rsidRDefault="001A4091" w:rsidP="001A409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10.9</w:t>
            </w:r>
            <w:r w:rsidR="001A1C0E" w:rsidRPr="00D3657C">
              <w:rPr>
                <w:rFonts w:cs="Arial"/>
              </w:rPr>
              <w:t xml:space="preserve"> (7.9, 1</w:t>
            </w:r>
            <w:r>
              <w:rPr>
                <w:rFonts w:cs="Arial"/>
              </w:rPr>
              <w:t>3.9</w:t>
            </w:r>
            <w:r w:rsidR="001A1C0E" w:rsidRPr="00D3657C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4A0E0B9D" w14:textId="7FDFF216" w:rsidR="001A1C0E" w:rsidRPr="00D3657C" w:rsidRDefault="001A1C0E" w:rsidP="006F05D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</w:t>
            </w:r>
            <w:r w:rsidR="006F05D1">
              <w:rPr>
                <w:rFonts w:cs="Arial"/>
              </w:rPr>
              <w:t>5</w:t>
            </w:r>
            <w:r w:rsidRPr="00D3657C">
              <w:rPr>
                <w:rFonts w:cs="Arial"/>
              </w:rPr>
              <w:t xml:space="preserve"> (1.</w:t>
            </w:r>
            <w:r w:rsidR="006F05D1">
              <w:rPr>
                <w:rFonts w:cs="Arial"/>
              </w:rPr>
              <w:t>3</w:t>
            </w:r>
            <w:r w:rsidRPr="00D3657C">
              <w:rPr>
                <w:rFonts w:cs="Arial"/>
              </w:rPr>
              <w:t>, 5.</w:t>
            </w:r>
            <w:r w:rsidR="006F05D1">
              <w:rPr>
                <w:rFonts w:cs="Arial"/>
              </w:rPr>
              <w:t>7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5E0A8CED" w14:textId="77777777" w:rsidTr="00A10C8E">
        <w:trPr>
          <w:trHeight w:val="312"/>
        </w:trPr>
        <w:tc>
          <w:tcPr>
            <w:tcW w:w="3118" w:type="dxa"/>
          </w:tcPr>
          <w:p w14:paraId="18A22555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</w:tcPr>
          <w:p w14:paraId="1F7EDA17" w14:textId="4D57263C" w:rsidR="001A1C0E" w:rsidRPr="00D3657C" w:rsidRDefault="001A1C0E" w:rsidP="001A409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12.</w:t>
            </w:r>
            <w:r w:rsidR="001A4091">
              <w:rPr>
                <w:rFonts w:cs="Arial"/>
              </w:rPr>
              <w:t>7</w:t>
            </w:r>
            <w:r w:rsidRPr="00D3657C">
              <w:rPr>
                <w:rFonts w:cs="Arial"/>
              </w:rPr>
              <w:t xml:space="preserve"> (9.7, 15.8)</w:t>
            </w:r>
          </w:p>
        </w:tc>
        <w:tc>
          <w:tcPr>
            <w:tcW w:w="2835" w:type="dxa"/>
          </w:tcPr>
          <w:p w14:paraId="60815E46" w14:textId="164B528D" w:rsidR="001A1C0E" w:rsidRPr="00D3657C" w:rsidRDefault="006F05D1" w:rsidP="006F05D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2.8</w:t>
            </w:r>
            <w:r w:rsidR="001A1C0E" w:rsidRPr="00D3657C">
              <w:rPr>
                <w:rFonts w:cs="Arial"/>
              </w:rPr>
              <w:t xml:space="preserve"> (0.</w:t>
            </w:r>
            <w:r>
              <w:rPr>
                <w:rFonts w:cs="Arial"/>
              </w:rPr>
              <w:t>6</w:t>
            </w:r>
            <w:r w:rsidR="001A1C0E" w:rsidRPr="00D3657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5.0</w:t>
            </w:r>
            <w:r w:rsidR="001A1C0E" w:rsidRPr="00D3657C">
              <w:rPr>
                <w:rFonts w:cs="Arial"/>
              </w:rPr>
              <w:t>)</w:t>
            </w:r>
          </w:p>
        </w:tc>
      </w:tr>
      <w:tr w:rsidR="001A1C0E" w:rsidRPr="00D3657C" w14:paraId="4BBB2B26" w14:textId="77777777" w:rsidTr="00A10C8E">
        <w:trPr>
          <w:trHeight w:val="312"/>
        </w:trPr>
        <w:tc>
          <w:tcPr>
            <w:tcW w:w="3118" w:type="dxa"/>
          </w:tcPr>
          <w:p w14:paraId="55CD56B5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</w:tcPr>
          <w:p w14:paraId="41844C33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15.4 (13.5, 17.3)</w:t>
            </w:r>
          </w:p>
        </w:tc>
        <w:tc>
          <w:tcPr>
            <w:tcW w:w="2835" w:type="dxa"/>
          </w:tcPr>
          <w:p w14:paraId="0B6C1054" w14:textId="4A8DBD0C" w:rsidR="001A1C0E" w:rsidRPr="00D3657C" w:rsidRDefault="001A1C0E" w:rsidP="006F05D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4.</w:t>
            </w:r>
            <w:r w:rsidR="006F05D1">
              <w:rPr>
                <w:rFonts w:cs="Arial"/>
              </w:rPr>
              <w:t>5</w:t>
            </w:r>
            <w:r w:rsidRPr="00D3657C">
              <w:rPr>
                <w:rFonts w:cs="Arial"/>
              </w:rPr>
              <w:t xml:space="preserve"> (2.4, 6.</w:t>
            </w:r>
            <w:r w:rsidR="006F05D1">
              <w:rPr>
                <w:rFonts w:cs="Arial"/>
              </w:rPr>
              <w:t>6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382A60A4" w14:textId="77777777" w:rsidTr="00A10C8E">
        <w:trPr>
          <w:trHeight w:val="312"/>
        </w:trPr>
        <w:tc>
          <w:tcPr>
            <w:tcW w:w="3118" w:type="dxa"/>
          </w:tcPr>
          <w:p w14:paraId="66733954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</w:tcPr>
          <w:p w14:paraId="6D6B3443" w14:textId="3A9A51D2" w:rsidR="001A1C0E" w:rsidRPr="00D3657C" w:rsidRDefault="001A1C0E" w:rsidP="0090555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14.</w:t>
            </w:r>
            <w:r w:rsidR="00905558">
              <w:rPr>
                <w:rFonts w:cs="Arial"/>
              </w:rPr>
              <w:t>8</w:t>
            </w:r>
            <w:r w:rsidRPr="00D3657C">
              <w:rPr>
                <w:rFonts w:cs="Arial"/>
              </w:rPr>
              <w:t xml:space="preserve"> (11.0, 18.5)</w:t>
            </w:r>
          </w:p>
        </w:tc>
        <w:tc>
          <w:tcPr>
            <w:tcW w:w="2835" w:type="dxa"/>
          </w:tcPr>
          <w:p w14:paraId="44C0EBFF" w14:textId="278896B2" w:rsidR="001A1C0E" w:rsidRPr="00D3657C" w:rsidRDefault="006F05D1" w:rsidP="006F05D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3.0</w:t>
            </w:r>
            <w:r w:rsidR="001A1C0E" w:rsidRPr="00D3657C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-</w:t>
            </w:r>
            <w:r w:rsidR="001A1C0E" w:rsidRPr="00D3657C">
              <w:rPr>
                <w:rFonts w:cs="Arial"/>
              </w:rPr>
              <w:t>0.</w:t>
            </w:r>
            <w:r>
              <w:rPr>
                <w:rFonts w:cs="Arial"/>
              </w:rPr>
              <w:t>6</w:t>
            </w:r>
            <w:r w:rsidR="001A1C0E" w:rsidRPr="00D3657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6.6</w:t>
            </w:r>
            <w:r w:rsidR="001A1C0E" w:rsidRPr="00D3657C">
              <w:rPr>
                <w:rFonts w:cs="Arial"/>
              </w:rPr>
              <w:t>)</w:t>
            </w:r>
          </w:p>
        </w:tc>
      </w:tr>
      <w:tr w:rsidR="001A1C0E" w:rsidRPr="00D3657C" w14:paraId="09ACD43E" w14:textId="77777777" w:rsidTr="00A10C8E">
        <w:trPr>
          <w:trHeight w:val="312"/>
        </w:trPr>
        <w:tc>
          <w:tcPr>
            <w:tcW w:w="3118" w:type="dxa"/>
          </w:tcPr>
          <w:p w14:paraId="4CCA4699" w14:textId="556F7692" w:rsidR="001A1C0E" w:rsidRPr="00D3657C" w:rsidRDefault="001A1C0E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50-64 years</w:t>
            </w:r>
            <w:r w:rsidR="00D73D26" w:rsidRPr="00D3657C">
              <w:rPr>
                <w:rFonts w:cs="Arial"/>
                <w:b/>
              </w:rPr>
              <w:t xml:space="preserve"> by socioeconomic status</w:t>
            </w:r>
          </w:p>
        </w:tc>
        <w:tc>
          <w:tcPr>
            <w:tcW w:w="2665" w:type="dxa"/>
          </w:tcPr>
          <w:p w14:paraId="07033F51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22A0B0D6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</w:tr>
      <w:tr w:rsidR="001A1C0E" w:rsidRPr="00D3657C" w14:paraId="3E5A142E" w14:textId="77777777" w:rsidTr="00A10C8E">
        <w:trPr>
          <w:trHeight w:val="312"/>
        </w:trPr>
        <w:tc>
          <w:tcPr>
            <w:tcW w:w="3118" w:type="dxa"/>
          </w:tcPr>
          <w:p w14:paraId="4657017A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</w:tcPr>
          <w:p w14:paraId="12E06C95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7.7 (5.4, 10.0)</w:t>
            </w:r>
          </w:p>
        </w:tc>
        <w:tc>
          <w:tcPr>
            <w:tcW w:w="2835" w:type="dxa"/>
          </w:tcPr>
          <w:p w14:paraId="46B239A4" w14:textId="1E08C0D1" w:rsidR="001A1C0E" w:rsidRPr="00D3657C" w:rsidRDefault="001A1C0E" w:rsidP="006F05D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2.5 (</w:t>
            </w:r>
            <w:r w:rsidR="006F05D1">
              <w:rPr>
                <w:rFonts w:cs="Arial"/>
              </w:rPr>
              <w:t>0.8</w:t>
            </w:r>
            <w:r w:rsidRPr="00D3657C">
              <w:rPr>
                <w:rFonts w:cs="Arial"/>
              </w:rPr>
              <w:t>, 4.</w:t>
            </w:r>
            <w:r w:rsidR="006F05D1">
              <w:rPr>
                <w:rFonts w:cs="Arial"/>
              </w:rPr>
              <w:t>2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6B439CF1" w14:textId="77777777" w:rsidTr="00A10C8E">
        <w:trPr>
          <w:trHeight w:val="312"/>
        </w:trPr>
        <w:tc>
          <w:tcPr>
            <w:tcW w:w="3118" w:type="dxa"/>
          </w:tcPr>
          <w:p w14:paraId="20C50D1E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</w:tcPr>
          <w:p w14:paraId="4294FAA9" w14:textId="50D9E386" w:rsidR="001A1C0E" w:rsidRPr="00D3657C" w:rsidRDefault="001A1C0E" w:rsidP="0090555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10.5 (7.</w:t>
            </w:r>
            <w:r w:rsidR="00905558">
              <w:rPr>
                <w:rFonts w:cs="Arial"/>
              </w:rPr>
              <w:t>7</w:t>
            </w:r>
            <w:r w:rsidRPr="00D3657C">
              <w:rPr>
                <w:rFonts w:cs="Arial"/>
              </w:rPr>
              <w:t>, 13.3)</w:t>
            </w:r>
          </w:p>
        </w:tc>
        <w:tc>
          <w:tcPr>
            <w:tcW w:w="2835" w:type="dxa"/>
          </w:tcPr>
          <w:p w14:paraId="6860F92A" w14:textId="0CF8DDCC" w:rsidR="001A1C0E" w:rsidRPr="00D3657C" w:rsidRDefault="0094583D" w:rsidP="009458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2.7</w:t>
            </w:r>
            <w:r w:rsidR="001A1C0E" w:rsidRPr="00D3657C">
              <w:rPr>
                <w:rFonts w:cs="Arial"/>
              </w:rPr>
              <w:t xml:space="preserve"> (0.9, </w:t>
            </w:r>
            <w:r>
              <w:rPr>
                <w:rFonts w:cs="Arial"/>
              </w:rPr>
              <w:t>4.6</w:t>
            </w:r>
            <w:r w:rsidR="001A1C0E" w:rsidRPr="00D3657C">
              <w:rPr>
                <w:rFonts w:cs="Arial"/>
              </w:rPr>
              <w:t>)</w:t>
            </w:r>
          </w:p>
        </w:tc>
      </w:tr>
      <w:tr w:rsidR="001A1C0E" w:rsidRPr="00D3657C" w14:paraId="09052422" w14:textId="77777777" w:rsidTr="00A10C8E">
        <w:trPr>
          <w:trHeight w:val="312"/>
        </w:trPr>
        <w:tc>
          <w:tcPr>
            <w:tcW w:w="3118" w:type="dxa"/>
          </w:tcPr>
          <w:p w14:paraId="1BE8BDD8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</w:tcPr>
          <w:p w14:paraId="4AC7B759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13.6 (11.7, 15.4)</w:t>
            </w:r>
          </w:p>
        </w:tc>
        <w:tc>
          <w:tcPr>
            <w:tcW w:w="2835" w:type="dxa"/>
          </w:tcPr>
          <w:p w14:paraId="6AD1ADCB" w14:textId="278669C0" w:rsidR="001A1C0E" w:rsidRPr="00D3657C" w:rsidRDefault="001A1C0E" w:rsidP="00706E24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4.</w:t>
            </w:r>
            <w:r w:rsidR="00706E24">
              <w:rPr>
                <w:rFonts w:cs="Arial"/>
              </w:rPr>
              <w:t>3</w:t>
            </w:r>
            <w:r w:rsidRPr="00D3657C">
              <w:rPr>
                <w:rFonts w:cs="Arial"/>
              </w:rPr>
              <w:t xml:space="preserve"> (2.</w:t>
            </w:r>
            <w:r w:rsidR="00706E24">
              <w:rPr>
                <w:rFonts w:cs="Arial"/>
              </w:rPr>
              <w:t>6</w:t>
            </w:r>
            <w:r w:rsidRPr="00D3657C">
              <w:rPr>
                <w:rFonts w:cs="Arial"/>
              </w:rPr>
              <w:t xml:space="preserve">, </w:t>
            </w:r>
            <w:r w:rsidR="00706E24">
              <w:rPr>
                <w:rFonts w:cs="Arial"/>
              </w:rPr>
              <w:t>6.1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285B32AB" w14:textId="77777777" w:rsidTr="00A10C8E">
        <w:trPr>
          <w:trHeight w:val="312"/>
        </w:trPr>
        <w:tc>
          <w:tcPr>
            <w:tcW w:w="3118" w:type="dxa"/>
          </w:tcPr>
          <w:p w14:paraId="2547E8AC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</w:tcPr>
          <w:p w14:paraId="52B5CA6D" w14:textId="613EACED" w:rsidR="001A1C0E" w:rsidRPr="00D3657C" w:rsidRDefault="001A1C0E" w:rsidP="0090555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</w:t>
            </w:r>
            <w:r w:rsidR="00905558">
              <w:rPr>
                <w:rFonts w:cs="Arial"/>
              </w:rPr>
              <w:t>7.9</w:t>
            </w:r>
            <w:r w:rsidRPr="00D3657C">
              <w:rPr>
                <w:rFonts w:cs="Arial"/>
              </w:rPr>
              <w:t xml:space="preserve"> (12.</w:t>
            </w:r>
            <w:r w:rsidR="00905558">
              <w:rPr>
                <w:rFonts w:cs="Arial"/>
              </w:rPr>
              <w:t>7</w:t>
            </w:r>
            <w:r w:rsidRPr="00D3657C">
              <w:rPr>
                <w:rFonts w:cs="Arial"/>
              </w:rPr>
              <w:t>, 23.</w:t>
            </w:r>
            <w:r w:rsidR="00905558">
              <w:rPr>
                <w:rFonts w:cs="Arial"/>
              </w:rPr>
              <w:t>1</w:t>
            </w:r>
            <w:r w:rsidRPr="00D3657C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23239D6D" w14:textId="211FCB8E" w:rsidR="001A1C0E" w:rsidRPr="00D3657C" w:rsidRDefault="001A1C0E" w:rsidP="00706E24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3.6 (-</w:t>
            </w:r>
            <w:r w:rsidR="00706E24">
              <w:rPr>
                <w:rFonts w:cs="Arial"/>
              </w:rPr>
              <w:t>1</w:t>
            </w:r>
            <w:r w:rsidRPr="00D3657C">
              <w:rPr>
                <w:rFonts w:cs="Arial"/>
              </w:rPr>
              <w:t xml:space="preserve">.1, </w:t>
            </w:r>
            <w:r w:rsidR="00706E24">
              <w:rPr>
                <w:rFonts w:cs="Arial"/>
              </w:rPr>
              <w:t>8.2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0E21AACD" w14:textId="77777777" w:rsidTr="00A10C8E">
        <w:trPr>
          <w:trHeight w:val="312"/>
        </w:trPr>
        <w:tc>
          <w:tcPr>
            <w:tcW w:w="3118" w:type="dxa"/>
          </w:tcPr>
          <w:p w14:paraId="4DB39C51" w14:textId="7D85972E" w:rsidR="001A1C0E" w:rsidRPr="00D3657C" w:rsidRDefault="001A1C0E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65-74 years</w:t>
            </w:r>
            <w:r w:rsidR="00BC7A26" w:rsidRPr="00D3657C">
              <w:rPr>
                <w:rFonts w:cs="Arial"/>
                <w:b/>
              </w:rPr>
              <w:t xml:space="preserve"> by socioeconomic status</w:t>
            </w:r>
          </w:p>
        </w:tc>
        <w:tc>
          <w:tcPr>
            <w:tcW w:w="2665" w:type="dxa"/>
          </w:tcPr>
          <w:p w14:paraId="7E80B33A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2A68B62D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</w:tr>
      <w:tr w:rsidR="001A1C0E" w:rsidRPr="00D3657C" w14:paraId="28A77BCD" w14:textId="77777777" w:rsidTr="00A10C8E">
        <w:trPr>
          <w:trHeight w:val="312"/>
        </w:trPr>
        <w:tc>
          <w:tcPr>
            <w:tcW w:w="3118" w:type="dxa"/>
          </w:tcPr>
          <w:p w14:paraId="3CA234C4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</w:tcPr>
          <w:p w14:paraId="35CF292E" w14:textId="5BD0C1C7" w:rsidR="001A1C0E" w:rsidRPr="00D3657C" w:rsidRDefault="001A1C0E" w:rsidP="0090555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7.7 (4.</w:t>
            </w:r>
            <w:r w:rsidR="00905558">
              <w:rPr>
                <w:rFonts w:cs="Arial"/>
              </w:rPr>
              <w:t>6</w:t>
            </w:r>
            <w:r w:rsidRPr="00D3657C">
              <w:rPr>
                <w:rFonts w:cs="Arial"/>
              </w:rPr>
              <w:t>, 10.8)</w:t>
            </w:r>
          </w:p>
        </w:tc>
        <w:tc>
          <w:tcPr>
            <w:tcW w:w="2835" w:type="dxa"/>
          </w:tcPr>
          <w:p w14:paraId="676BABB7" w14:textId="72A6DC29" w:rsidR="001A1C0E" w:rsidRPr="00D3657C" w:rsidRDefault="001A1C0E" w:rsidP="00706E24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2.3 (</w:t>
            </w:r>
            <w:r w:rsidR="00706E24">
              <w:rPr>
                <w:rFonts w:cs="Arial"/>
              </w:rPr>
              <w:t>-</w:t>
            </w:r>
            <w:r w:rsidRPr="00D3657C">
              <w:rPr>
                <w:rFonts w:cs="Arial"/>
              </w:rPr>
              <w:t>0.2, 4.</w:t>
            </w:r>
            <w:r w:rsidR="00706E24">
              <w:rPr>
                <w:rFonts w:cs="Arial"/>
              </w:rPr>
              <w:t>9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727E6757" w14:textId="77777777" w:rsidTr="00A10C8E">
        <w:trPr>
          <w:trHeight w:val="312"/>
        </w:trPr>
        <w:tc>
          <w:tcPr>
            <w:tcW w:w="3118" w:type="dxa"/>
          </w:tcPr>
          <w:p w14:paraId="3C4525AA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</w:tcPr>
          <w:p w14:paraId="43C2BB75" w14:textId="054F4CC5" w:rsidR="001A1C0E" w:rsidRPr="00D3657C" w:rsidRDefault="001A1C0E" w:rsidP="0090555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10.</w:t>
            </w:r>
            <w:r w:rsidR="00905558">
              <w:rPr>
                <w:rFonts w:cs="Arial"/>
              </w:rPr>
              <w:t>0</w:t>
            </w:r>
            <w:r w:rsidRPr="00D3657C">
              <w:rPr>
                <w:rFonts w:cs="Arial"/>
              </w:rPr>
              <w:t xml:space="preserve"> (6.</w:t>
            </w:r>
            <w:r w:rsidR="00905558">
              <w:rPr>
                <w:rFonts w:cs="Arial"/>
              </w:rPr>
              <w:t>2</w:t>
            </w:r>
            <w:r w:rsidRPr="00D3657C">
              <w:rPr>
                <w:rFonts w:cs="Arial"/>
              </w:rPr>
              <w:t>, 13.</w:t>
            </w:r>
            <w:r w:rsidR="00905558">
              <w:rPr>
                <w:rFonts w:cs="Arial"/>
              </w:rPr>
              <w:t>8</w:t>
            </w:r>
            <w:r w:rsidRPr="00D3657C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209E4309" w14:textId="16C8F3CD" w:rsidR="001A1C0E" w:rsidRPr="00D3657C" w:rsidRDefault="00706E24" w:rsidP="00F55B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2.7</w:t>
            </w:r>
            <w:r w:rsidR="001A1C0E" w:rsidRPr="00D3657C">
              <w:rPr>
                <w:rFonts w:cs="Arial"/>
              </w:rPr>
              <w:t xml:space="preserve"> (0.</w:t>
            </w:r>
            <w:r>
              <w:rPr>
                <w:rFonts w:cs="Arial"/>
              </w:rPr>
              <w:t>1</w:t>
            </w:r>
            <w:r w:rsidR="001A1C0E" w:rsidRPr="00D3657C">
              <w:rPr>
                <w:rFonts w:cs="Arial"/>
              </w:rPr>
              <w:t xml:space="preserve">, </w:t>
            </w:r>
            <w:r w:rsidR="00F55B56">
              <w:rPr>
                <w:rFonts w:cs="Arial"/>
              </w:rPr>
              <w:t>5.4</w:t>
            </w:r>
            <w:r w:rsidR="001A1C0E" w:rsidRPr="00D3657C">
              <w:rPr>
                <w:rFonts w:cs="Arial"/>
              </w:rPr>
              <w:t>)</w:t>
            </w:r>
          </w:p>
        </w:tc>
      </w:tr>
      <w:tr w:rsidR="001A1C0E" w:rsidRPr="00D3657C" w14:paraId="4DBDABFF" w14:textId="77777777" w:rsidTr="00A10C8E">
        <w:trPr>
          <w:trHeight w:val="312"/>
        </w:trPr>
        <w:tc>
          <w:tcPr>
            <w:tcW w:w="3118" w:type="dxa"/>
          </w:tcPr>
          <w:p w14:paraId="764F61D9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</w:tcPr>
          <w:p w14:paraId="5E69BBBD" w14:textId="363DBDAA" w:rsidR="001A1C0E" w:rsidRPr="00D3657C" w:rsidRDefault="001A1C0E" w:rsidP="0090555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12.</w:t>
            </w:r>
            <w:r w:rsidR="00905558">
              <w:rPr>
                <w:rFonts w:cs="Arial"/>
              </w:rPr>
              <w:t>1</w:t>
            </w:r>
            <w:r w:rsidRPr="00D3657C">
              <w:rPr>
                <w:rFonts w:cs="Arial"/>
              </w:rPr>
              <w:t xml:space="preserve"> (9.9, 14.4)</w:t>
            </w:r>
          </w:p>
        </w:tc>
        <w:tc>
          <w:tcPr>
            <w:tcW w:w="2835" w:type="dxa"/>
          </w:tcPr>
          <w:p w14:paraId="19542FE2" w14:textId="53195F57" w:rsidR="001A1C0E" w:rsidRPr="00D3657C" w:rsidRDefault="001A1C0E" w:rsidP="00F55B56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</w:t>
            </w:r>
            <w:r w:rsidR="00F55B56">
              <w:rPr>
                <w:rFonts w:cs="Arial"/>
              </w:rPr>
              <w:t>8</w:t>
            </w:r>
            <w:r w:rsidRPr="00D3657C">
              <w:rPr>
                <w:rFonts w:cs="Arial"/>
              </w:rPr>
              <w:t xml:space="preserve"> (1.</w:t>
            </w:r>
            <w:r w:rsidR="00F55B56">
              <w:rPr>
                <w:rFonts w:cs="Arial"/>
              </w:rPr>
              <w:t>8</w:t>
            </w:r>
            <w:r w:rsidRPr="00D3657C">
              <w:rPr>
                <w:rFonts w:cs="Arial"/>
              </w:rPr>
              <w:t>, 5.</w:t>
            </w:r>
            <w:r w:rsidR="00F55B56">
              <w:rPr>
                <w:rFonts w:cs="Arial"/>
              </w:rPr>
              <w:t>7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32128C86" w14:textId="77777777" w:rsidTr="00A10C8E">
        <w:trPr>
          <w:trHeight w:val="312"/>
        </w:trPr>
        <w:tc>
          <w:tcPr>
            <w:tcW w:w="3118" w:type="dxa"/>
          </w:tcPr>
          <w:p w14:paraId="007C26A3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</w:tcPr>
          <w:p w14:paraId="35E2FC41" w14:textId="7615480F" w:rsidR="001A1C0E" w:rsidRPr="00D3657C" w:rsidRDefault="001A1C0E" w:rsidP="00905558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14.</w:t>
            </w:r>
            <w:r w:rsidR="00905558">
              <w:rPr>
                <w:rFonts w:cs="Arial"/>
              </w:rPr>
              <w:t>1</w:t>
            </w:r>
            <w:r w:rsidRPr="00D3657C">
              <w:rPr>
                <w:rFonts w:cs="Arial"/>
              </w:rPr>
              <w:t xml:space="preserve"> (8.</w:t>
            </w:r>
            <w:r w:rsidR="00905558">
              <w:rPr>
                <w:rFonts w:cs="Arial"/>
              </w:rPr>
              <w:t>6</w:t>
            </w:r>
            <w:r w:rsidRPr="00D3657C">
              <w:rPr>
                <w:rFonts w:cs="Arial"/>
              </w:rPr>
              <w:t>, 19.</w:t>
            </w:r>
            <w:r w:rsidR="00905558">
              <w:rPr>
                <w:rFonts w:cs="Arial"/>
              </w:rPr>
              <w:t>6</w:t>
            </w:r>
            <w:r w:rsidRPr="00D3657C"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5FF41690" w14:textId="55FA152E" w:rsidR="001A1C0E" w:rsidRPr="00D3657C" w:rsidRDefault="001A1C0E" w:rsidP="00F55B56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2.</w:t>
            </w:r>
            <w:r w:rsidR="00F55B56">
              <w:rPr>
                <w:rFonts w:cs="Arial"/>
              </w:rPr>
              <w:t>7</w:t>
            </w:r>
            <w:r w:rsidRPr="00D3657C">
              <w:rPr>
                <w:rFonts w:cs="Arial"/>
              </w:rPr>
              <w:t xml:space="preserve"> (-1.</w:t>
            </w:r>
            <w:r w:rsidR="00F55B56">
              <w:rPr>
                <w:rFonts w:cs="Arial"/>
              </w:rPr>
              <w:t>7, 7.2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5AADBAF1" w14:textId="77777777" w:rsidTr="00A10C8E">
        <w:trPr>
          <w:trHeight w:val="312"/>
        </w:trPr>
        <w:tc>
          <w:tcPr>
            <w:tcW w:w="3118" w:type="dxa"/>
          </w:tcPr>
          <w:p w14:paraId="0CA5ADF9" w14:textId="3024B2BB" w:rsidR="001A1C0E" w:rsidRPr="00D3657C" w:rsidRDefault="001A1C0E" w:rsidP="00A30050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≥75 years</w:t>
            </w:r>
            <w:r w:rsidR="00BC7A26" w:rsidRPr="00D3657C">
              <w:rPr>
                <w:rFonts w:cs="Arial"/>
                <w:b/>
              </w:rPr>
              <w:t xml:space="preserve"> by socioeconomic status</w:t>
            </w:r>
          </w:p>
        </w:tc>
        <w:tc>
          <w:tcPr>
            <w:tcW w:w="2665" w:type="dxa"/>
          </w:tcPr>
          <w:p w14:paraId="4B0FF343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3DF427F5" w14:textId="77777777" w:rsidR="001A1C0E" w:rsidRPr="00D3657C" w:rsidRDefault="001A1C0E" w:rsidP="00A30050">
            <w:pPr>
              <w:jc w:val="center"/>
              <w:rPr>
                <w:rFonts w:cs="Arial"/>
                <w:b/>
              </w:rPr>
            </w:pPr>
          </w:p>
        </w:tc>
      </w:tr>
      <w:tr w:rsidR="001A1C0E" w:rsidRPr="00D3657C" w14:paraId="6634799D" w14:textId="77777777" w:rsidTr="00A10C8E">
        <w:trPr>
          <w:trHeight w:val="312"/>
        </w:trPr>
        <w:tc>
          <w:tcPr>
            <w:tcW w:w="3118" w:type="dxa"/>
          </w:tcPr>
          <w:p w14:paraId="55E9A0B1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</w:tcPr>
          <w:p w14:paraId="7EC68AC7" w14:textId="3185060C" w:rsidR="001A1C0E" w:rsidRPr="00D3657C" w:rsidRDefault="00905558" w:rsidP="008906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7.0</w:t>
            </w:r>
            <w:r w:rsidR="001A1C0E" w:rsidRPr="00D3657C">
              <w:rPr>
                <w:rFonts w:cs="Arial"/>
              </w:rPr>
              <w:t xml:space="preserve"> (3.</w:t>
            </w:r>
            <w:r>
              <w:rPr>
                <w:rFonts w:cs="Arial"/>
              </w:rPr>
              <w:t>1</w:t>
            </w:r>
            <w:r w:rsidR="00890621">
              <w:rPr>
                <w:rFonts w:cs="Arial"/>
              </w:rPr>
              <w:t xml:space="preserve">, </w:t>
            </w:r>
            <w:r w:rsidR="001A1C0E" w:rsidRPr="00D3657C">
              <w:rPr>
                <w:rFonts w:cs="Arial"/>
              </w:rPr>
              <w:t>10.8)</w:t>
            </w:r>
          </w:p>
        </w:tc>
        <w:tc>
          <w:tcPr>
            <w:tcW w:w="2835" w:type="dxa"/>
          </w:tcPr>
          <w:p w14:paraId="21C6E463" w14:textId="17A65258" w:rsidR="001A1C0E" w:rsidRPr="00D3657C" w:rsidRDefault="00E87E2A" w:rsidP="00E87E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2.0</w:t>
            </w:r>
            <w:r w:rsidR="001A1C0E" w:rsidRPr="00D3657C">
              <w:rPr>
                <w:rFonts w:cs="Arial"/>
              </w:rPr>
              <w:t xml:space="preserve"> (-0.</w:t>
            </w:r>
            <w:r>
              <w:rPr>
                <w:rFonts w:cs="Arial"/>
              </w:rPr>
              <w:t xml:space="preserve">5, </w:t>
            </w:r>
            <w:r w:rsidR="001A1C0E" w:rsidRPr="00D3657C">
              <w:rPr>
                <w:rFonts w:cs="Arial"/>
              </w:rPr>
              <w:t>4.</w:t>
            </w:r>
            <w:r>
              <w:rPr>
                <w:rFonts w:cs="Arial"/>
              </w:rPr>
              <w:t>5</w:t>
            </w:r>
            <w:r w:rsidR="001A1C0E" w:rsidRPr="00D3657C">
              <w:rPr>
                <w:rFonts w:cs="Arial"/>
              </w:rPr>
              <w:t>)</w:t>
            </w:r>
          </w:p>
        </w:tc>
      </w:tr>
      <w:tr w:rsidR="001A1C0E" w:rsidRPr="00D3657C" w14:paraId="5D8961B1" w14:textId="77777777" w:rsidTr="00A10C8E">
        <w:trPr>
          <w:trHeight w:val="312"/>
        </w:trPr>
        <w:tc>
          <w:tcPr>
            <w:tcW w:w="3118" w:type="dxa"/>
          </w:tcPr>
          <w:p w14:paraId="062A591A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</w:tcPr>
          <w:p w14:paraId="21A8DE7D" w14:textId="77777777" w:rsidR="001A1C0E" w:rsidRPr="00D3657C" w:rsidRDefault="001A1C0E" w:rsidP="00A30050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13.6 (8.5-18.8)</w:t>
            </w:r>
          </w:p>
        </w:tc>
        <w:tc>
          <w:tcPr>
            <w:tcW w:w="2835" w:type="dxa"/>
          </w:tcPr>
          <w:p w14:paraId="666C230C" w14:textId="63837485" w:rsidR="001A1C0E" w:rsidRPr="00D3657C" w:rsidRDefault="001A1C0E" w:rsidP="00E87E2A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4.0 (</w:t>
            </w:r>
            <w:r w:rsidR="00E87E2A">
              <w:rPr>
                <w:rFonts w:cs="Arial"/>
              </w:rPr>
              <w:t>0.3</w:t>
            </w:r>
            <w:r w:rsidRPr="00D3657C">
              <w:rPr>
                <w:rFonts w:cs="Arial"/>
              </w:rPr>
              <w:t xml:space="preserve">, </w:t>
            </w:r>
            <w:r w:rsidR="00E87E2A">
              <w:rPr>
                <w:rFonts w:cs="Arial"/>
              </w:rPr>
              <w:t>7.8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578E4458" w14:textId="77777777" w:rsidTr="00A10C8E">
        <w:trPr>
          <w:trHeight w:val="312"/>
        </w:trPr>
        <w:tc>
          <w:tcPr>
            <w:tcW w:w="3118" w:type="dxa"/>
          </w:tcPr>
          <w:p w14:paraId="7A75B770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</w:tcPr>
          <w:p w14:paraId="110B325C" w14:textId="4519F54C" w:rsidR="001A1C0E" w:rsidRPr="00D3657C" w:rsidRDefault="001A1C0E" w:rsidP="0089062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12.</w:t>
            </w:r>
            <w:r w:rsidR="00890621">
              <w:rPr>
                <w:rFonts w:cs="Arial"/>
              </w:rPr>
              <w:t>8</w:t>
            </w:r>
            <w:r w:rsidRPr="00D3657C">
              <w:rPr>
                <w:rFonts w:cs="Arial"/>
              </w:rPr>
              <w:t xml:space="preserve"> (9.8, 15.7)</w:t>
            </w:r>
          </w:p>
        </w:tc>
        <w:tc>
          <w:tcPr>
            <w:tcW w:w="2835" w:type="dxa"/>
          </w:tcPr>
          <w:p w14:paraId="7597B1D6" w14:textId="41EEF6F1" w:rsidR="001A1C0E" w:rsidRPr="00D3657C" w:rsidRDefault="001A1C0E" w:rsidP="00E87E2A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3.9 (1.</w:t>
            </w:r>
            <w:r w:rsidR="00E87E2A">
              <w:rPr>
                <w:rFonts w:cs="Arial"/>
              </w:rPr>
              <w:t>3</w:t>
            </w:r>
            <w:r w:rsidRPr="00D3657C">
              <w:rPr>
                <w:rFonts w:cs="Arial"/>
              </w:rPr>
              <w:t>, 6.</w:t>
            </w:r>
            <w:r w:rsidR="00E87E2A">
              <w:rPr>
                <w:rFonts w:cs="Arial"/>
              </w:rPr>
              <w:t>4</w:t>
            </w:r>
            <w:r w:rsidRPr="00D3657C">
              <w:rPr>
                <w:rFonts w:cs="Arial"/>
              </w:rPr>
              <w:t>)</w:t>
            </w:r>
          </w:p>
        </w:tc>
      </w:tr>
      <w:tr w:rsidR="001A1C0E" w:rsidRPr="00D3657C" w14:paraId="39F88846" w14:textId="77777777" w:rsidTr="00A10C8E">
        <w:trPr>
          <w:trHeight w:val="312"/>
        </w:trPr>
        <w:tc>
          <w:tcPr>
            <w:tcW w:w="3118" w:type="dxa"/>
          </w:tcPr>
          <w:p w14:paraId="07E0C980" w14:textId="77777777" w:rsidR="001A1C0E" w:rsidRPr="00D3657C" w:rsidRDefault="001A1C0E" w:rsidP="00A30050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</w:tcPr>
          <w:p w14:paraId="559EEBB2" w14:textId="0784511F" w:rsidR="001A1C0E" w:rsidRPr="00D3657C" w:rsidRDefault="001A1C0E" w:rsidP="00890621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7.1 (3.</w:t>
            </w:r>
            <w:r w:rsidR="00890621">
              <w:rPr>
                <w:rFonts w:cs="Arial"/>
              </w:rPr>
              <w:t>2</w:t>
            </w:r>
            <w:r w:rsidRPr="00D3657C">
              <w:rPr>
                <w:rFonts w:cs="Arial"/>
              </w:rPr>
              <w:t>, 11.1)</w:t>
            </w:r>
          </w:p>
        </w:tc>
        <w:tc>
          <w:tcPr>
            <w:tcW w:w="2835" w:type="dxa"/>
          </w:tcPr>
          <w:p w14:paraId="4CC4EE58" w14:textId="33E72AFF" w:rsidR="001A1C0E" w:rsidRPr="00D3657C" w:rsidRDefault="001A1C0E" w:rsidP="00E87E2A">
            <w:pPr>
              <w:jc w:val="center"/>
              <w:rPr>
                <w:rFonts w:cs="Arial"/>
              </w:rPr>
            </w:pPr>
            <w:r w:rsidRPr="00D3657C">
              <w:rPr>
                <w:rFonts w:cs="Arial"/>
              </w:rPr>
              <w:t>0.</w:t>
            </w:r>
            <w:r w:rsidR="00E87E2A">
              <w:rPr>
                <w:rFonts w:cs="Arial"/>
              </w:rPr>
              <w:t>8</w:t>
            </w:r>
            <w:r w:rsidRPr="00D3657C">
              <w:rPr>
                <w:rFonts w:cs="Arial"/>
              </w:rPr>
              <w:t xml:space="preserve"> (-0.</w:t>
            </w:r>
            <w:r w:rsidR="00E87E2A">
              <w:rPr>
                <w:rFonts w:cs="Arial"/>
              </w:rPr>
              <w:t>7</w:t>
            </w:r>
            <w:r w:rsidRPr="00D3657C">
              <w:rPr>
                <w:rFonts w:cs="Arial"/>
              </w:rPr>
              <w:t>, 2.</w:t>
            </w:r>
            <w:r w:rsidR="00E87E2A">
              <w:rPr>
                <w:rFonts w:cs="Arial"/>
              </w:rPr>
              <w:t>3</w:t>
            </w:r>
            <w:r w:rsidRPr="00D3657C">
              <w:rPr>
                <w:rFonts w:cs="Arial"/>
              </w:rPr>
              <w:t>)</w:t>
            </w:r>
          </w:p>
        </w:tc>
      </w:tr>
    </w:tbl>
    <w:p w14:paraId="46551FB2" w14:textId="5A439A74" w:rsidR="000C4A6C" w:rsidRPr="000C4A6C" w:rsidRDefault="000C4A6C" w:rsidP="000C4A6C">
      <w:pPr>
        <w:spacing w:after="0" w:line="240" w:lineRule="auto"/>
        <w:rPr>
          <w:rFonts w:cs="Arial"/>
          <w:i/>
          <w:sz w:val="18"/>
          <w:szCs w:val="18"/>
        </w:rPr>
      </w:pPr>
      <w:r w:rsidRPr="004A3A53">
        <w:rPr>
          <w:rFonts w:cs="Arial"/>
          <w:i/>
        </w:rPr>
        <w:t>*</w:t>
      </w:r>
      <w:r w:rsidRPr="004A3A53">
        <w:rPr>
          <w:rFonts w:cs="Arial"/>
          <w:i/>
          <w:vertAlign w:val="superscript"/>
        </w:rPr>
        <w:t xml:space="preserve"> </w:t>
      </w:r>
      <w:r w:rsidRPr="004A3A53">
        <w:rPr>
          <w:rFonts w:cs="Arial"/>
          <w:i/>
        </w:rPr>
        <w:t xml:space="preserve">The ‘other’ category includes housewives and individuals whose occupational class could not be determined or </w:t>
      </w:r>
      <w:r w:rsidRPr="00033AF0">
        <w:rPr>
          <w:rFonts w:cs="Arial"/>
          <w:i/>
          <w:noProof/>
        </w:rPr>
        <w:t>was inadequately described</w:t>
      </w:r>
      <w:r w:rsidRPr="004A3A53">
        <w:rPr>
          <w:rFonts w:cs="Arial"/>
          <w:i/>
        </w:rPr>
        <w:t xml:space="preserve">. </w:t>
      </w:r>
    </w:p>
    <w:p w14:paraId="0733C713" w14:textId="32783F06" w:rsidR="008C700D" w:rsidRPr="004A3A53" w:rsidRDefault="008C700D" w:rsidP="00A30050">
      <w:pPr>
        <w:spacing w:after="0" w:line="240" w:lineRule="auto"/>
        <w:rPr>
          <w:rFonts w:cs="Arial"/>
          <w:i/>
        </w:rPr>
      </w:pPr>
      <w:r w:rsidRPr="004A3A53">
        <w:rPr>
          <w:rFonts w:cs="Arial"/>
          <w:i/>
        </w:rPr>
        <w:t xml:space="preserve">CI: Confidence interval; </w:t>
      </w:r>
      <w:r w:rsidR="001A1C0E" w:rsidRPr="004A3A53">
        <w:rPr>
          <w:rFonts w:cs="Arial"/>
          <w:i/>
        </w:rPr>
        <w:t>SR: Symptomatic radiographic</w:t>
      </w:r>
      <w:r w:rsidRPr="004A3A53">
        <w:rPr>
          <w:rFonts w:cs="Arial"/>
          <w:i/>
        </w:rPr>
        <w:t>;</w:t>
      </w:r>
      <w:r w:rsidR="001A1C0E" w:rsidRPr="004A3A53">
        <w:rPr>
          <w:rFonts w:cs="Arial"/>
          <w:i/>
        </w:rPr>
        <w:t xml:space="preserve"> OA: Osteoarthritis. </w:t>
      </w:r>
    </w:p>
    <w:p w14:paraId="002E8EB9" w14:textId="77777777" w:rsidR="000C4A6C" w:rsidRDefault="000C4A6C">
      <w:pPr>
        <w:rPr>
          <w:rFonts w:cs="Arial"/>
          <w:i/>
        </w:rPr>
      </w:pPr>
      <w:r>
        <w:rPr>
          <w:rFonts w:cs="Arial"/>
          <w:i/>
        </w:rPr>
        <w:br w:type="page"/>
      </w:r>
    </w:p>
    <w:p w14:paraId="24B25D90" w14:textId="77777777" w:rsidR="008D67E5" w:rsidRPr="00D3657C" w:rsidRDefault="008D67E5" w:rsidP="008D67E5">
      <w:pPr>
        <w:spacing w:after="0" w:line="240" w:lineRule="auto"/>
        <w:rPr>
          <w:rFonts w:cs="Arial"/>
          <w:b/>
        </w:rPr>
      </w:pPr>
      <w:r w:rsidRPr="00D3657C">
        <w:rPr>
          <w:rFonts w:cs="Arial"/>
          <w:b/>
        </w:rPr>
        <w:lastRenderedPageBreak/>
        <w:t xml:space="preserve">Table </w:t>
      </w:r>
      <w:r>
        <w:rPr>
          <w:rFonts w:cs="Arial"/>
          <w:b/>
        </w:rPr>
        <w:t>4</w:t>
      </w:r>
      <w:r w:rsidRPr="00D3657C">
        <w:rPr>
          <w:rFonts w:cs="Arial"/>
          <w:b/>
        </w:rPr>
        <w:t>. Population prevalence estimates of symptomatic radiographic ankle OA</w:t>
      </w:r>
      <w:r>
        <w:rPr>
          <w:rFonts w:cs="Arial"/>
          <w:b/>
        </w:rPr>
        <w:t xml:space="preserve"> using different grade of radiographic severity</w:t>
      </w:r>
      <w:r w:rsidRPr="00D3657C">
        <w:rPr>
          <w:rFonts w:cs="Arial"/>
          <w:b/>
        </w:rPr>
        <w:t>, stratified by socioeconomic status and age and gender</w:t>
      </w:r>
    </w:p>
    <w:p w14:paraId="69BC289D" w14:textId="77777777" w:rsidR="008D67E5" w:rsidRPr="00D3657C" w:rsidRDefault="008D67E5" w:rsidP="008D67E5">
      <w:pPr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2665"/>
        <w:gridCol w:w="2835"/>
      </w:tblGrid>
      <w:tr w:rsidR="008D67E5" w:rsidRPr="00D3657C" w14:paraId="47ADB0D3" w14:textId="77777777" w:rsidTr="001150E2">
        <w:trPr>
          <w:trHeight w:hRule="exact" w:val="914"/>
        </w:trPr>
        <w:tc>
          <w:tcPr>
            <w:tcW w:w="3118" w:type="dxa"/>
          </w:tcPr>
          <w:p w14:paraId="726EFDED" w14:textId="77777777" w:rsidR="008D67E5" w:rsidRPr="00D3657C" w:rsidRDefault="008D67E5" w:rsidP="001150E2">
            <w:pPr>
              <w:rPr>
                <w:rFonts w:cs="Arial"/>
                <w:b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71066B5" w14:textId="77777777" w:rsidR="008D67E5" w:rsidRPr="00D3657C" w:rsidRDefault="008D67E5" w:rsidP="001150E2">
            <w:pPr>
              <w:jc w:val="center"/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Proportion estimate for SR ankle OA</w:t>
            </w:r>
            <w:r>
              <w:rPr>
                <w:rFonts w:cs="Arial"/>
                <w:b/>
              </w:rPr>
              <w:t xml:space="preserve"> (grade≥1)</w:t>
            </w:r>
            <w:r w:rsidRPr="00D3657C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                </w:t>
            </w:r>
            <w:r w:rsidRPr="00D3657C">
              <w:rPr>
                <w:rFonts w:cs="Arial"/>
                <w:b/>
              </w:rPr>
              <w:t>% (95% CI)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41001A" w14:textId="77777777" w:rsidR="008D67E5" w:rsidRPr="00D3657C" w:rsidRDefault="008D67E5" w:rsidP="001150E2">
            <w:pPr>
              <w:jc w:val="center"/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Proportion estimate for SR ankle OA</w:t>
            </w:r>
            <w:r>
              <w:rPr>
                <w:rFonts w:cs="Arial"/>
                <w:b/>
              </w:rPr>
              <w:t xml:space="preserve"> (grade=3)</w:t>
            </w:r>
            <w:r w:rsidRPr="00D3657C"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t xml:space="preserve">                       </w:t>
            </w:r>
            <w:r w:rsidRPr="00D3657C">
              <w:rPr>
                <w:rFonts w:cs="Arial"/>
                <w:b/>
              </w:rPr>
              <w:t>% (95% CI)</w:t>
            </w:r>
          </w:p>
        </w:tc>
      </w:tr>
      <w:tr w:rsidR="008D67E5" w:rsidRPr="00D3657C" w14:paraId="73817A14" w14:textId="77777777" w:rsidTr="001150E2">
        <w:trPr>
          <w:trHeight w:hRule="exact" w:val="312"/>
        </w:trPr>
        <w:tc>
          <w:tcPr>
            <w:tcW w:w="3118" w:type="dxa"/>
            <w:vAlign w:val="center"/>
          </w:tcPr>
          <w:p w14:paraId="6D655E26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Overall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CD4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8.8 (7.9, 9.8)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88E5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1.9 (1.0, 2.7)</w:t>
            </w:r>
          </w:p>
        </w:tc>
      </w:tr>
      <w:tr w:rsidR="008D67E5" w:rsidRPr="00D3657C" w14:paraId="0353D440" w14:textId="77777777" w:rsidTr="001150E2">
        <w:trPr>
          <w:trHeight w:hRule="exact" w:val="312"/>
        </w:trPr>
        <w:tc>
          <w:tcPr>
            <w:tcW w:w="3118" w:type="dxa"/>
          </w:tcPr>
          <w:p w14:paraId="493536A5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Gender: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28A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E71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4A0F4A3B" w14:textId="77777777" w:rsidTr="001150E2">
        <w:trPr>
          <w:trHeight w:hRule="exact" w:val="312"/>
        </w:trPr>
        <w:tc>
          <w:tcPr>
            <w:tcW w:w="3118" w:type="dxa"/>
          </w:tcPr>
          <w:p w14:paraId="42023BC5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Males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C7F6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6.5 (5.4, 7.7)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1F9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1.5 (0.7, 2.3)</w:t>
            </w:r>
          </w:p>
        </w:tc>
      </w:tr>
      <w:tr w:rsidR="008D67E5" w:rsidRPr="00D3657C" w14:paraId="45905F65" w14:textId="77777777" w:rsidTr="001150E2">
        <w:trPr>
          <w:trHeight w:hRule="exact" w:val="312"/>
        </w:trPr>
        <w:tc>
          <w:tcPr>
            <w:tcW w:w="3118" w:type="dxa"/>
          </w:tcPr>
          <w:p w14:paraId="479F8EA0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Females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7E1E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11.1 (9.7, 12.5)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379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2.2 (0.9, 3.5)</w:t>
            </w:r>
          </w:p>
        </w:tc>
      </w:tr>
      <w:tr w:rsidR="008D67E5" w:rsidRPr="00D3657C" w14:paraId="2A469B53" w14:textId="77777777" w:rsidTr="001150E2">
        <w:trPr>
          <w:trHeight w:hRule="exact" w:val="312"/>
        </w:trPr>
        <w:tc>
          <w:tcPr>
            <w:tcW w:w="3118" w:type="dxa"/>
          </w:tcPr>
          <w:p w14:paraId="4EA88C1E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(years):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405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944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1B6CD663" w14:textId="77777777" w:rsidTr="001150E2">
        <w:trPr>
          <w:trHeight w:hRule="exact" w:val="312"/>
        </w:trPr>
        <w:tc>
          <w:tcPr>
            <w:tcW w:w="3118" w:type="dxa"/>
          </w:tcPr>
          <w:p w14:paraId="71C17AB8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50-64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CE32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9.0 (7.7, 10.3)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16A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2.0 (0.9, 3.0)</w:t>
            </w:r>
          </w:p>
        </w:tc>
      </w:tr>
      <w:tr w:rsidR="008D67E5" w:rsidRPr="00D3657C" w14:paraId="3617BD1F" w14:textId="77777777" w:rsidTr="001150E2">
        <w:trPr>
          <w:trHeight w:hRule="exact" w:val="312"/>
        </w:trPr>
        <w:tc>
          <w:tcPr>
            <w:tcW w:w="3118" w:type="dxa"/>
          </w:tcPr>
          <w:p w14:paraId="39695AC6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65-74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2A5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8.5 (6.9, 10.0)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C963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1.7 (0.6, 2.9)</w:t>
            </w:r>
          </w:p>
        </w:tc>
      </w:tr>
      <w:tr w:rsidR="008D67E5" w:rsidRPr="00D3657C" w14:paraId="03EB2ED7" w14:textId="77777777" w:rsidTr="001150E2">
        <w:trPr>
          <w:trHeight w:hRule="exact" w:val="312"/>
        </w:trPr>
        <w:tc>
          <w:tcPr>
            <w:tcW w:w="3118" w:type="dxa"/>
          </w:tcPr>
          <w:p w14:paraId="47BF2627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≥75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827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9.1 (7.2, 11.0)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7A22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1.7 (0.6, 2.8)</w:t>
            </w:r>
          </w:p>
        </w:tc>
      </w:tr>
      <w:tr w:rsidR="008D67E5" w:rsidRPr="00D3657C" w14:paraId="5166ED8A" w14:textId="77777777" w:rsidTr="001150E2">
        <w:trPr>
          <w:trHeight w:hRule="exact" w:val="312"/>
        </w:trPr>
        <w:tc>
          <w:tcPr>
            <w:tcW w:w="3118" w:type="dxa"/>
          </w:tcPr>
          <w:p w14:paraId="7070A254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Males by Age (years):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6182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8EC6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6B272ADB" w14:textId="77777777" w:rsidTr="001150E2">
        <w:trPr>
          <w:trHeight w:hRule="exact" w:val="312"/>
        </w:trPr>
        <w:tc>
          <w:tcPr>
            <w:tcW w:w="3118" w:type="dxa"/>
          </w:tcPr>
          <w:p w14:paraId="74B39608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50-64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9503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7.2 (5.4, 9.0)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6158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1.9 (0.7, 3.0)</w:t>
            </w:r>
          </w:p>
        </w:tc>
      </w:tr>
      <w:tr w:rsidR="008D67E5" w:rsidRPr="00D3657C" w14:paraId="582F03F3" w14:textId="77777777" w:rsidTr="001150E2">
        <w:trPr>
          <w:trHeight w:hRule="exact" w:val="312"/>
        </w:trPr>
        <w:tc>
          <w:tcPr>
            <w:tcW w:w="3118" w:type="dxa"/>
          </w:tcPr>
          <w:p w14:paraId="58A4151C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65-74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AF43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5.6 (3.8, 7.4)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59E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1.1 (-0.1, 2.3)</w:t>
            </w:r>
          </w:p>
        </w:tc>
      </w:tr>
      <w:tr w:rsidR="008D67E5" w:rsidRPr="00D3657C" w14:paraId="202DE22D" w14:textId="77777777" w:rsidTr="001150E2">
        <w:trPr>
          <w:trHeight w:hRule="exact" w:val="312"/>
        </w:trPr>
        <w:tc>
          <w:tcPr>
            <w:tcW w:w="3118" w:type="dxa"/>
          </w:tcPr>
          <w:p w14:paraId="1EB75ABE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≥75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0037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6.0 (3.5, 8.5)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2BF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1.1 (-0.3, 2.5)</w:t>
            </w:r>
          </w:p>
        </w:tc>
      </w:tr>
      <w:tr w:rsidR="008D67E5" w:rsidRPr="00D3657C" w14:paraId="59CA8840" w14:textId="77777777" w:rsidTr="001150E2">
        <w:trPr>
          <w:trHeight w:hRule="exact" w:val="312"/>
        </w:trPr>
        <w:tc>
          <w:tcPr>
            <w:tcW w:w="3118" w:type="dxa"/>
          </w:tcPr>
          <w:p w14:paraId="1B4A8F59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Females by Age (years):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0940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18D66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17E0D24E" w14:textId="77777777" w:rsidTr="001150E2">
        <w:trPr>
          <w:trHeight w:hRule="exact" w:val="312"/>
        </w:trPr>
        <w:tc>
          <w:tcPr>
            <w:tcW w:w="3118" w:type="dxa"/>
          </w:tcPr>
          <w:p w14:paraId="49D9E561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50-64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83D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10.8 (8.8, 12.8)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D10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2.1 (0.5, 3.7)</w:t>
            </w:r>
          </w:p>
        </w:tc>
      </w:tr>
      <w:tr w:rsidR="008D67E5" w:rsidRPr="00D3657C" w14:paraId="7357DCC1" w14:textId="77777777" w:rsidTr="001150E2">
        <w:trPr>
          <w:trHeight w:hRule="exact" w:val="312"/>
        </w:trPr>
        <w:tc>
          <w:tcPr>
            <w:tcW w:w="3118" w:type="dxa"/>
          </w:tcPr>
          <w:p w14:paraId="26F0C3FE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65-74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AFF3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11.4 (8.8, 14.0)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04D2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2.4 (0.8, 4.1)</w:t>
            </w:r>
          </w:p>
        </w:tc>
      </w:tr>
      <w:tr w:rsidR="008D67E5" w:rsidRPr="00D3657C" w14:paraId="5A126813" w14:textId="77777777" w:rsidTr="001150E2">
        <w:trPr>
          <w:trHeight w:hRule="exact" w:val="312"/>
        </w:trPr>
        <w:tc>
          <w:tcPr>
            <w:tcW w:w="3118" w:type="dxa"/>
          </w:tcPr>
          <w:p w14:paraId="0CBCCA9B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≥75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64C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11.4 (8.7, 14.1)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7F7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2.2 (0.2, 4.1)</w:t>
            </w:r>
          </w:p>
        </w:tc>
      </w:tr>
      <w:tr w:rsidR="008D67E5" w:rsidRPr="00D3657C" w14:paraId="257A4E20" w14:textId="77777777" w:rsidTr="001150E2">
        <w:trPr>
          <w:trHeight w:hRule="exact" w:val="312"/>
        </w:trPr>
        <w:tc>
          <w:tcPr>
            <w:tcW w:w="3118" w:type="dxa"/>
          </w:tcPr>
          <w:p w14:paraId="0F2F8B4E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Socioeconomic status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E01E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9BE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593E2925" w14:textId="77777777" w:rsidTr="001150E2">
        <w:trPr>
          <w:trHeight w:hRule="exact" w:val="312"/>
        </w:trPr>
        <w:tc>
          <w:tcPr>
            <w:tcW w:w="3118" w:type="dxa"/>
          </w:tcPr>
          <w:p w14:paraId="6013E25D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E139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6.2 (4.6, 7.9)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46F0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1.1 (-0.0, 2.2)</w:t>
            </w:r>
          </w:p>
        </w:tc>
      </w:tr>
      <w:tr w:rsidR="008D67E5" w:rsidRPr="00D3657C" w14:paraId="046BECAB" w14:textId="77777777" w:rsidTr="001150E2">
        <w:trPr>
          <w:trHeight w:hRule="exact" w:val="312"/>
        </w:trPr>
        <w:tc>
          <w:tcPr>
            <w:tcW w:w="3118" w:type="dxa"/>
          </w:tcPr>
          <w:p w14:paraId="40BD66FA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46C4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8.7 (6.6, 10.7)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B7388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1.4 (0.2, 2.7)</w:t>
            </w:r>
          </w:p>
        </w:tc>
      </w:tr>
      <w:tr w:rsidR="008D67E5" w:rsidRPr="00D3657C" w14:paraId="0BD732DD" w14:textId="77777777" w:rsidTr="001150E2">
        <w:trPr>
          <w:trHeight w:hRule="exact" w:val="312"/>
        </w:trPr>
        <w:tc>
          <w:tcPr>
            <w:tcW w:w="3118" w:type="dxa"/>
          </w:tcPr>
          <w:p w14:paraId="3B6321CE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4B2D3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9.7 (8.3, 11.0)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446F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2.1 (0.8, 3.4)</w:t>
            </w:r>
          </w:p>
        </w:tc>
      </w:tr>
      <w:tr w:rsidR="008D67E5" w:rsidRPr="00D3657C" w14:paraId="5841D045" w14:textId="77777777" w:rsidTr="001150E2">
        <w:trPr>
          <w:trHeight w:hRule="exact" w:val="312"/>
        </w:trPr>
        <w:tc>
          <w:tcPr>
            <w:tcW w:w="3118" w:type="dxa"/>
          </w:tcPr>
          <w:p w14:paraId="59C70846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43E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9.6 (6.2, 13.0)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B43B8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2.7 (-0.3, 5.8)</w:t>
            </w:r>
          </w:p>
        </w:tc>
      </w:tr>
      <w:tr w:rsidR="008D67E5" w:rsidRPr="00D3657C" w14:paraId="32B0AF82" w14:textId="77777777" w:rsidTr="001150E2">
        <w:trPr>
          <w:trHeight w:hRule="exact" w:val="312"/>
        </w:trPr>
        <w:tc>
          <w:tcPr>
            <w:tcW w:w="3118" w:type="dxa"/>
          </w:tcPr>
          <w:p w14:paraId="6FDFCC84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Males by socioeconomic status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E1E8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6829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715765CA" w14:textId="77777777" w:rsidTr="001150E2">
        <w:trPr>
          <w:trHeight w:hRule="exact" w:val="312"/>
        </w:trPr>
        <w:tc>
          <w:tcPr>
            <w:tcW w:w="3118" w:type="dxa"/>
          </w:tcPr>
          <w:p w14:paraId="3F49D40F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2862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3.9 (2.2, 5.6)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DE6B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0.6 (-0.4, 1.6)</w:t>
            </w:r>
          </w:p>
        </w:tc>
      </w:tr>
      <w:tr w:rsidR="008D67E5" w:rsidRPr="00D3657C" w14:paraId="51C41B55" w14:textId="77777777" w:rsidTr="001150E2">
        <w:trPr>
          <w:trHeight w:hRule="exact" w:val="312"/>
        </w:trPr>
        <w:tc>
          <w:tcPr>
            <w:tcW w:w="3118" w:type="dxa"/>
          </w:tcPr>
          <w:p w14:paraId="40E8FC0E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80B9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7.0 (4.3, 9.7)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18AB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1.3 (-0.2, 2.7)</w:t>
            </w:r>
          </w:p>
        </w:tc>
      </w:tr>
      <w:tr w:rsidR="008D67E5" w:rsidRPr="00D3657C" w14:paraId="499FE0F8" w14:textId="77777777" w:rsidTr="001150E2">
        <w:trPr>
          <w:trHeight w:hRule="exact" w:val="312"/>
        </w:trPr>
        <w:tc>
          <w:tcPr>
            <w:tcW w:w="3118" w:type="dxa"/>
          </w:tcPr>
          <w:p w14:paraId="6B596318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Routine/ manual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7A0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7.6 (5.8, 9.3)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C840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1.9 (0.6, 3.2)</w:t>
            </w:r>
          </w:p>
        </w:tc>
      </w:tr>
      <w:tr w:rsidR="008D67E5" w:rsidRPr="00D3657C" w14:paraId="17EAEC1A" w14:textId="77777777" w:rsidTr="001150E2">
        <w:trPr>
          <w:trHeight w:hRule="exact" w:val="312"/>
        </w:trPr>
        <w:tc>
          <w:tcPr>
            <w:tcW w:w="3118" w:type="dxa"/>
          </w:tcPr>
          <w:p w14:paraId="158659E5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36AD3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6.3 (1.9, 10.7)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092D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1.9 (-1.1, 5.0)</w:t>
            </w:r>
          </w:p>
        </w:tc>
      </w:tr>
      <w:tr w:rsidR="008D67E5" w:rsidRPr="00D3657C" w14:paraId="11B13DB9" w14:textId="77777777" w:rsidTr="001150E2">
        <w:trPr>
          <w:trHeight w:hRule="exact" w:val="312"/>
        </w:trPr>
        <w:tc>
          <w:tcPr>
            <w:tcW w:w="3118" w:type="dxa"/>
          </w:tcPr>
          <w:p w14:paraId="2A705286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Females by socioeconomic status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B78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39AB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5F665B39" w14:textId="77777777" w:rsidTr="001150E2">
        <w:trPr>
          <w:trHeight w:hRule="exact" w:val="312"/>
        </w:trPr>
        <w:tc>
          <w:tcPr>
            <w:tcW w:w="3118" w:type="dxa"/>
          </w:tcPr>
          <w:p w14:paraId="5799AB90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867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9.5 (6.5, 12.6)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0E59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1.8 (-0.1, 3.7)</w:t>
            </w:r>
          </w:p>
        </w:tc>
      </w:tr>
      <w:tr w:rsidR="008D67E5" w:rsidRPr="00D3657C" w14:paraId="6B21730C" w14:textId="77777777" w:rsidTr="001150E2">
        <w:trPr>
          <w:trHeight w:hRule="exact" w:val="312"/>
        </w:trPr>
        <w:tc>
          <w:tcPr>
            <w:tcW w:w="3118" w:type="dxa"/>
          </w:tcPr>
          <w:p w14:paraId="74C69350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5CB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10.2 (7.2, 13.2)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0397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1.6 (-0.2, 3.4)</w:t>
            </w:r>
          </w:p>
        </w:tc>
      </w:tr>
      <w:tr w:rsidR="008D67E5" w:rsidRPr="00D3657C" w14:paraId="20515EEF" w14:textId="77777777" w:rsidTr="001150E2">
        <w:trPr>
          <w:trHeight w:hRule="exact" w:val="312"/>
        </w:trPr>
        <w:tc>
          <w:tcPr>
            <w:tcW w:w="3118" w:type="dxa"/>
          </w:tcPr>
          <w:p w14:paraId="7D478BBA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6A9D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11.7 (9.8, 13.7)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ECF3E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2.3 (0.5, 4.0)</w:t>
            </w:r>
          </w:p>
        </w:tc>
      </w:tr>
      <w:tr w:rsidR="008D67E5" w:rsidRPr="00D3657C" w14:paraId="2C7DC4A3" w14:textId="77777777" w:rsidTr="001150E2">
        <w:trPr>
          <w:trHeight w:hRule="exact" w:val="312"/>
        </w:trPr>
        <w:tc>
          <w:tcPr>
            <w:tcW w:w="3118" w:type="dxa"/>
          </w:tcPr>
          <w:p w14:paraId="6CB3AF65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94D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11.3 (7.0, 15.5)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3D0C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3.1 (-0.6, 6.9)</w:t>
            </w:r>
          </w:p>
        </w:tc>
      </w:tr>
      <w:tr w:rsidR="008D67E5" w:rsidRPr="00D3657C" w14:paraId="32B15D62" w14:textId="77777777" w:rsidTr="001150E2">
        <w:trPr>
          <w:trHeight w:hRule="exact" w:val="312"/>
        </w:trPr>
        <w:tc>
          <w:tcPr>
            <w:tcW w:w="3118" w:type="dxa"/>
          </w:tcPr>
          <w:p w14:paraId="6FED5B6E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50-64 years by socioeconomic status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905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F30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612E615F" w14:textId="77777777" w:rsidTr="001150E2">
        <w:trPr>
          <w:trHeight w:hRule="exact" w:val="312"/>
        </w:trPr>
        <w:tc>
          <w:tcPr>
            <w:tcW w:w="3118" w:type="dxa"/>
          </w:tcPr>
          <w:p w14:paraId="59584148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4857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6.1 (3.9, 8.3)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FBA2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0.9 (-0.3, 2.2)</w:t>
            </w:r>
          </w:p>
        </w:tc>
      </w:tr>
      <w:tr w:rsidR="008D67E5" w:rsidRPr="00D3657C" w14:paraId="1C1A204A" w14:textId="77777777" w:rsidTr="001150E2">
        <w:trPr>
          <w:trHeight w:hRule="exact" w:val="312"/>
        </w:trPr>
        <w:tc>
          <w:tcPr>
            <w:tcW w:w="3118" w:type="dxa"/>
          </w:tcPr>
          <w:p w14:paraId="4B5A6C74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6A0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8.2 (5.4, 11.0)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01E8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1.6 (-0.0, 3.2)</w:t>
            </w:r>
          </w:p>
        </w:tc>
      </w:tr>
      <w:tr w:rsidR="008D67E5" w:rsidRPr="00D3657C" w14:paraId="3BE1633B" w14:textId="77777777" w:rsidTr="001150E2">
        <w:trPr>
          <w:trHeight w:hRule="exact" w:val="312"/>
        </w:trPr>
        <w:tc>
          <w:tcPr>
            <w:tcW w:w="3118" w:type="dxa"/>
          </w:tcPr>
          <w:p w14:paraId="315565DD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A4DB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9.9 (8.0, 11.7)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29A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2.2 (0.7, 3.6)</w:t>
            </w:r>
          </w:p>
        </w:tc>
      </w:tr>
      <w:tr w:rsidR="008D67E5" w:rsidRPr="00D3657C" w14:paraId="1417C3A5" w14:textId="77777777" w:rsidTr="001150E2">
        <w:trPr>
          <w:trHeight w:hRule="exact" w:val="312"/>
        </w:trPr>
        <w:tc>
          <w:tcPr>
            <w:tcW w:w="3118" w:type="dxa"/>
          </w:tcPr>
          <w:p w14:paraId="50A8ADAB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DC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11.6 (5.8, 17.5)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21F7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3.9 (-1.1, 8.9)</w:t>
            </w:r>
          </w:p>
        </w:tc>
      </w:tr>
      <w:tr w:rsidR="008D67E5" w:rsidRPr="00D3657C" w14:paraId="7FBFEED9" w14:textId="77777777" w:rsidTr="001150E2">
        <w:trPr>
          <w:trHeight w:hRule="exact" w:val="312"/>
        </w:trPr>
        <w:tc>
          <w:tcPr>
            <w:tcW w:w="3118" w:type="dxa"/>
          </w:tcPr>
          <w:p w14:paraId="6EB94C48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65-74 years by socioeconomic status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60F6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B27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73DA745E" w14:textId="77777777" w:rsidTr="001150E2">
        <w:trPr>
          <w:trHeight w:hRule="exact" w:val="312"/>
        </w:trPr>
        <w:tc>
          <w:tcPr>
            <w:tcW w:w="3118" w:type="dxa"/>
          </w:tcPr>
          <w:p w14:paraId="013AF6B1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A18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6.6 (3.5, 9.7)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2E27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1.5 (-0.4, 3.5)</w:t>
            </w:r>
          </w:p>
        </w:tc>
      </w:tr>
      <w:tr w:rsidR="008D67E5" w:rsidRPr="00D3657C" w14:paraId="7AAD401A" w14:textId="77777777" w:rsidTr="001150E2">
        <w:trPr>
          <w:trHeight w:hRule="exact" w:val="312"/>
        </w:trPr>
        <w:tc>
          <w:tcPr>
            <w:tcW w:w="3118" w:type="dxa"/>
          </w:tcPr>
          <w:p w14:paraId="1EAF3110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F07B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7.7 (4.0, 11.3)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64F8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0.9 (-0.7, 2.6)</w:t>
            </w:r>
          </w:p>
        </w:tc>
      </w:tr>
      <w:tr w:rsidR="008D67E5" w:rsidRPr="00D3657C" w14:paraId="27CEBAA1" w14:textId="77777777" w:rsidTr="001150E2">
        <w:trPr>
          <w:trHeight w:hRule="exact" w:val="312"/>
        </w:trPr>
        <w:tc>
          <w:tcPr>
            <w:tcW w:w="3118" w:type="dxa"/>
          </w:tcPr>
          <w:p w14:paraId="6381269F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814B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8.9 (6.7, 11.1)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0AC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1.9 (0.3, 3.5)</w:t>
            </w:r>
          </w:p>
        </w:tc>
      </w:tr>
      <w:tr w:rsidR="008D67E5" w:rsidRPr="00D3657C" w14:paraId="2433F4C3" w14:textId="77777777" w:rsidTr="001150E2">
        <w:trPr>
          <w:trHeight w:hRule="exact" w:val="312"/>
        </w:trPr>
        <w:tc>
          <w:tcPr>
            <w:tcW w:w="3118" w:type="dxa"/>
          </w:tcPr>
          <w:p w14:paraId="40DA84C3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lastRenderedPageBreak/>
              <w:t>Other*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F14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11.1 (5.5, 16.6)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F7DE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2.6 (-2.1, 7.4)</w:t>
            </w:r>
          </w:p>
        </w:tc>
      </w:tr>
      <w:tr w:rsidR="008D67E5" w:rsidRPr="00D3657C" w14:paraId="214E7302" w14:textId="77777777" w:rsidTr="001150E2">
        <w:trPr>
          <w:trHeight w:hRule="exact" w:val="312"/>
        </w:trPr>
        <w:tc>
          <w:tcPr>
            <w:tcW w:w="3118" w:type="dxa"/>
          </w:tcPr>
          <w:p w14:paraId="7841B314" w14:textId="77777777" w:rsidR="008D67E5" w:rsidRPr="00D3657C" w:rsidRDefault="008D67E5" w:rsidP="001150E2">
            <w:pPr>
              <w:rPr>
                <w:rFonts w:cs="Arial"/>
                <w:b/>
              </w:rPr>
            </w:pPr>
            <w:r w:rsidRPr="00D3657C">
              <w:rPr>
                <w:rFonts w:cs="Arial"/>
                <w:b/>
              </w:rPr>
              <w:t>Age ≥75 years by socioeconomic status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0918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96E4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</w:p>
        </w:tc>
      </w:tr>
      <w:tr w:rsidR="008D67E5" w:rsidRPr="00D3657C" w14:paraId="318FF52F" w14:textId="77777777" w:rsidTr="001150E2">
        <w:trPr>
          <w:trHeight w:hRule="exact" w:val="312"/>
        </w:trPr>
        <w:tc>
          <w:tcPr>
            <w:tcW w:w="3118" w:type="dxa"/>
          </w:tcPr>
          <w:p w14:paraId="599EE6D2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Managerial &amp; professional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F0FD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6.1 (2.3, 9.9)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E690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1.0 (-0.9, 2.8)</w:t>
            </w:r>
          </w:p>
        </w:tc>
      </w:tr>
      <w:tr w:rsidR="008D67E5" w:rsidRPr="00D3657C" w14:paraId="5D469E38" w14:textId="77777777" w:rsidTr="001150E2">
        <w:trPr>
          <w:trHeight w:hRule="exact" w:val="312"/>
        </w:trPr>
        <w:tc>
          <w:tcPr>
            <w:tcW w:w="3118" w:type="dxa"/>
          </w:tcPr>
          <w:p w14:paraId="7ABDE1DD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Intermediate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DAA9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11.9 (6.8, 17.0)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7D8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2.0 (-0.7, 4.6)</w:t>
            </w:r>
          </w:p>
        </w:tc>
      </w:tr>
      <w:tr w:rsidR="008D67E5" w:rsidRPr="00D3657C" w14:paraId="1F28C5C2" w14:textId="77777777" w:rsidTr="001150E2">
        <w:trPr>
          <w:trHeight w:hRule="exact" w:val="312"/>
        </w:trPr>
        <w:tc>
          <w:tcPr>
            <w:tcW w:w="3118" w:type="dxa"/>
          </w:tcPr>
          <w:p w14:paraId="7930BACF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Routine &amp; manual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89B0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10.5 (7.7, 13.4)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13C1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2.2 (0.4, 4.0)</w:t>
            </w:r>
          </w:p>
        </w:tc>
      </w:tr>
      <w:tr w:rsidR="008D67E5" w:rsidRPr="00D3657C" w14:paraId="78962509" w14:textId="77777777" w:rsidTr="001150E2">
        <w:trPr>
          <w:trHeight w:hRule="exact" w:val="312"/>
        </w:trPr>
        <w:tc>
          <w:tcPr>
            <w:tcW w:w="3118" w:type="dxa"/>
          </w:tcPr>
          <w:p w14:paraId="7A375381" w14:textId="77777777" w:rsidR="008D67E5" w:rsidRPr="00D3657C" w:rsidRDefault="008D67E5" w:rsidP="001150E2">
            <w:pPr>
              <w:rPr>
                <w:rFonts w:cs="Arial"/>
              </w:rPr>
            </w:pPr>
            <w:r w:rsidRPr="00D3657C">
              <w:rPr>
                <w:rFonts w:cs="Arial"/>
              </w:rPr>
              <w:t>Other*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6643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4.8 (1.4, 8.1)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EF7A" w14:textId="77777777" w:rsidR="008D67E5" w:rsidRPr="00C82143" w:rsidRDefault="008D67E5" w:rsidP="001150E2">
            <w:pPr>
              <w:jc w:val="center"/>
              <w:rPr>
                <w:rFonts w:ascii="Calibri" w:hAnsi="Calibri"/>
              </w:rPr>
            </w:pPr>
            <w:r w:rsidRPr="00C82143">
              <w:rPr>
                <w:rFonts w:ascii="Calibri" w:hAnsi="Calibri"/>
              </w:rPr>
              <w:t>1.0 (-0.8, 2.8)</w:t>
            </w:r>
          </w:p>
        </w:tc>
      </w:tr>
    </w:tbl>
    <w:p w14:paraId="3317C514" w14:textId="77777777" w:rsidR="008D67E5" w:rsidRPr="000C4A6C" w:rsidRDefault="008D67E5" w:rsidP="008D67E5">
      <w:pPr>
        <w:spacing w:after="0" w:line="240" w:lineRule="auto"/>
        <w:rPr>
          <w:rFonts w:cs="Arial"/>
          <w:i/>
          <w:sz w:val="18"/>
          <w:szCs w:val="18"/>
        </w:rPr>
      </w:pPr>
      <w:r w:rsidRPr="004A3A53">
        <w:rPr>
          <w:rFonts w:cs="Arial"/>
          <w:i/>
        </w:rPr>
        <w:t>*</w:t>
      </w:r>
      <w:r w:rsidRPr="004A3A53">
        <w:rPr>
          <w:rFonts w:cs="Arial"/>
          <w:i/>
          <w:vertAlign w:val="superscript"/>
        </w:rPr>
        <w:t xml:space="preserve"> </w:t>
      </w:r>
      <w:r w:rsidRPr="004A3A53">
        <w:rPr>
          <w:rFonts w:cs="Arial"/>
          <w:i/>
        </w:rPr>
        <w:t xml:space="preserve">The ‘other’ category includes housewives and individuals whose occupational class could not be determined or </w:t>
      </w:r>
      <w:r w:rsidRPr="00033AF0">
        <w:rPr>
          <w:rFonts w:cs="Arial"/>
          <w:i/>
          <w:noProof/>
        </w:rPr>
        <w:t>was inadequately described</w:t>
      </w:r>
      <w:r w:rsidRPr="004A3A53">
        <w:rPr>
          <w:rFonts w:cs="Arial"/>
          <w:i/>
        </w:rPr>
        <w:t xml:space="preserve">. </w:t>
      </w:r>
    </w:p>
    <w:p w14:paraId="31F05F04" w14:textId="77777777" w:rsidR="008D67E5" w:rsidRPr="004A3A53" w:rsidRDefault="008D67E5" w:rsidP="008D67E5">
      <w:pPr>
        <w:spacing w:after="0" w:line="240" w:lineRule="auto"/>
        <w:rPr>
          <w:rFonts w:cs="Arial"/>
          <w:i/>
        </w:rPr>
      </w:pPr>
      <w:r w:rsidRPr="004A3A53">
        <w:rPr>
          <w:rFonts w:cs="Arial"/>
          <w:i/>
        </w:rPr>
        <w:t xml:space="preserve">CI: Confidence interval; SR: Symptomatic radiographic; OA: Osteoarthritis. </w:t>
      </w:r>
    </w:p>
    <w:p w14:paraId="39AB8C65" w14:textId="77777777" w:rsidR="008D67E5" w:rsidRDefault="008D67E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26000064" w14:textId="534C8588" w:rsidR="00687B42" w:rsidRPr="00A577E3" w:rsidRDefault="008C1EF0" w:rsidP="00C108E8">
      <w:pPr>
        <w:spacing w:after="0" w:line="480" w:lineRule="auto"/>
        <w:rPr>
          <w:rFonts w:cs="Arial"/>
          <w:b/>
          <w:sz w:val="36"/>
          <w:szCs w:val="36"/>
        </w:rPr>
      </w:pPr>
      <w:r w:rsidRPr="00A577E3">
        <w:rPr>
          <w:rFonts w:cs="Arial"/>
          <w:b/>
          <w:sz w:val="36"/>
          <w:szCs w:val="36"/>
        </w:rPr>
        <w:lastRenderedPageBreak/>
        <w:t>Discussion</w:t>
      </w:r>
    </w:p>
    <w:p w14:paraId="0EE99F41" w14:textId="50C78CEA" w:rsidR="006824FC" w:rsidRPr="008B2BDC" w:rsidRDefault="00950178" w:rsidP="00A30050">
      <w:pPr>
        <w:spacing w:after="0" w:line="480" w:lineRule="auto"/>
        <w:rPr>
          <w:rFonts w:cs="Arial"/>
        </w:rPr>
      </w:pPr>
      <w:r w:rsidRPr="00E01B53">
        <w:rPr>
          <w:rFonts w:cs="Arial"/>
        </w:rPr>
        <w:t>T</w:t>
      </w:r>
      <w:r w:rsidR="00B51A85" w:rsidRPr="00E01B53">
        <w:rPr>
          <w:rFonts w:cs="Arial"/>
        </w:rPr>
        <w:t>h</w:t>
      </w:r>
      <w:r w:rsidRPr="00644F54">
        <w:rPr>
          <w:rFonts w:cs="Arial"/>
        </w:rPr>
        <w:t>r</w:t>
      </w:r>
      <w:r w:rsidR="00B51A85" w:rsidRPr="00644F54">
        <w:rPr>
          <w:rFonts w:cs="Arial"/>
        </w:rPr>
        <w:t xml:space="preserve">ough </w:t>
      </w:r>
      <w:r w:rsidRPr="00AE7F34">
        <w:rPr>
          <w:rFonts w:cs="Arial"/>
        </w:rPr>
        <w:t xml:space="preserve">both </w:t>
      </w:r>
      <w:r w:rsidR="00B51A85" w:rsidRPr="00AE7F34">
        <w:rPr>
          <w:rFonts w:cs="Arial"/>
        </w:rPr>
        <w:t>a system</w:t>
      </w:r>
      <w:r w:rsidR="007E039B">
        <w:rPr>
          <w:rFonts w:cs="Arial"/>
        </w:rPr>
        <w:t>at</w:t>
      </w:r>
      <w:r w:rsidR="00B51A85" w:rsidRPr="00AE7F34">
        <w:rPr>
          <w:rFonts w:cs="Arial"/>
        </w:rPr>
        <w:t xml:space="preserve">ic review </w:t>
      </w:r>
      <w:r w:rsidR="00A025CE" w:rsidRPr="00D90F26">
        <w:rPr>
          <w:rFonts w:cs="Arial"/>
        </w:rPr>
        <w:t>and cross-sectional epidemiological study</w:t>
      </w:r>
      <w:r w:rsidRPr="00FE00F9">
        <w:rPr>
          <w:rFonts w:cs="Arial"/>
        </w:rPr>
        <w:t>, this paper aimed to identify</w:t>
      </w:r>
      <w:r w:rsidR="00A025CE" w:rsidRPr="00A11F58">
        <w:rPr>
          <w:rFonts w:cs="Arial"/>
        </w:rPr>
        <w:t xml:space="preserve"> the </w:t>
      </w:r>
      <w:r w:rsidR="00B51A85" w:rsidRPr="00234440">
        <w:rPr>
          <w:rFonts w:cs="Arial"/>
        </w:rPr>
        <w:t xml:space="preserve">population </w:t>
      </w:r>
      <w:r w:rsidR="00473D0E" w:rsidRPr="005C6E86">
        <w:rPr>
          <w:rFonts w:cs="Arial"/>
        </w:rPr>
        <w:t xml:space="preserve">prevalence </w:t>
      </w:r>
      <w:r w:rsidR="00B51A85" w:rsidRPr="005C6E86">
        <w:rPr>
          <w:rFonts w:cs="Arial"/>
        </w:rPr>
        <w:t>of radiographic ankle OA</w:t>
      </w:r>
      <w:r w:rsidR="00DE13FC" w:rsidRPr="0095121A">
        <w:rPr>
          <w:rFonts w:cs="Arial"/>
        </w:rPr>
        <w:t xml:space="preserve">. </w:t>
      </w:r>
      <w:r w:rsidR="00433CB5" w:rsidRPr="0095121A">
        <w:rPr>
          <w:rFonts w:cs="Arial"/>
        </w:rPr>
        <w:t xml:space="preserve">The systematic review </w:t>
      </w:r>
      <w:r w:rsidR="00127A6F" w:rsidRPr="0095121A">
        <w:rPr>
          <w:rFonts w:cs="Arial"/>
        </w:rPr>
        <w:t>found</w:t>
      </w:r>
      <w:r w:rsidR="00433CB5" w:rsidRPr="0095121A">
        <w:rPr>
          <w:rFonts w:cs="Arial"/>
        </w:rPr>
        <w:t xml:space="preserve"> that radiographic ankle OA </w:t>
      </w:r>
      <w:r w:rsidR="00A025CE" w:rsidRPr="0062311E">
        <w:rPr>
          <w:rFonts w:cs="Arial"/>
        </w:rPr>
        <w:t>has been previously</w:t>
      </w:r>
      <w:r w:rsidR="00127A6F" w:rsidRPr="0062311E">
        <w:rPr>
          <w:rFonts w:cs="Arial"/>
        </w:rPr>
        <w:t xml:space="preserve"> </w:t>
      </w:r>
      <w:r w:rsidR="00433CB5" w:rsidRPr="0062311E">
        <w:rPr>
          <w:rFonts w:cs="Arial"/>
        </w:rPr>
        <w:t>under</w:t>
      </w:r>
      <w:r w:rsidR="00A025CE" w:rsidRPr="0062311E">
        <w:rPr>
          <w:rFonts w:cs="Arial"/>
        </w:rPr>
        <w:t>-</w:t>
      </w:r>
      <w:r w:rsidR="00433CB5" w:rsidRPr="0062311E">
        <w:rPr>
          <w:rFonts w:cs="Arial"/>
        </w:rPr>
        <w:t xml:space="preserve">researched in a </w:t>
      </w:r>
      <w:r w:rsidR="005051FF">
        <w:rPr>
          <w:rFonts w:cs="Arial"/>
        </w:rPr>
        <w:t xml:space="preserve">community-dwelling </w:t>
      </w:r>
      <w:r w:rsidR="00433CB5" w:rsidRPr="008C1EF0">
        <w:rPr>
          <w:rFonts w:cs="Arial"/>
        </w:rPr>
        <w:t>setting</w:t>
      </w:r>
      <w:r w:rsidR="00A025CE" w:rsidRPr="008C1EF0">
        <w:rPr>
          <w:rFonts w:cs="Arial"/>
        </w:rPr>
        <w:t>.</w:t>
      </w:r>
      <w:r w:rsidR="00EE28C9" w:rsidRPr="008C1EF0">
        <w:rPr>
          <w:rFonts w:cs="Arial"/>
        </w:rPr>
        <w:t xml:space="preserve"> </w:t>
      </w:r>
      <w:r w:rsidR="00A025CE" w:rsidRPr="008C1EF0">
        <w:rPr>
          <w:rFonts w:cs="Arial"/>
        </w:rPr>
        <w:t>T</w:t>
      </w:r>
      <w:r w:rsidR="00433CB5" w:rsidRPr="008C1EF0">
        <w:rPr>
          <w:rFonts w:cs="Arial"/>
        </w:rPr>
        <w:t>he</w:t>
      </w:r>
      <w:r w:rsidR="00D91E6E" w:rsidRPr="008C1EF0">
        <w:rPr>
          <w:rFonts w:cs="Arial"/>
        </w:rPr>
        <w:t>re was</w:t>
      </w:r>
      <w:r w:rsidR="00433CB5" w:rsidRPr="008C1EF0">
        <w:rPr>
          <w:rFonts w:cs="Arial"/>
        </w:rPr>
        <w:t xml:space="preserve"> heterogeneity </w:t>
      </w:r>
      <w:r w:rsidR="000F73DF" w:rsidRPr="008C1EF0">
        <w:rPr>
          <w:rFonts w:cs="Arial"/>
        </w:rPr>
        <w:t xml:space="preserve">in the methods of assessing and defining the presence of radiographic ankle OA and </w:t>
      </w:r>
      <w:r w:rsidR="00EE44FA" w:rsidRPr="003A0550">
        <w:rPr>
          <w:rFonts w:cs="Arial"/>
        </w:rPr>
        <w:t xml:space="preserve">general population prevalence </w:t>
      </w:r>
      <w:r w:rsidR="000F73DF" w:rsidRPr="003A0550">
        <w:rPr>
          <w:rFonts w:cs="Arial"/>
        </w:rPr>
        <w:t xml:space="preserve">estimates of </w:t>
      </w:r>
      <w:r w:rsidR="00433CB5" w:rsidRPr="003A0550">
        <w:rPr>
          <w:rFonts w:cs="Arial"/>
        </w:rPr>
        <w:t xml:space="preserve">radiographic ankle OA </w:t>
      </w:r>
      <w:r w:rsidR="00EE44FA" w:rsidRPr="00033AF0">
        <w:rPr>
          <w:rFonts w:cs="Arial"/>
          <w:noProof/>
        </w:rPr>
        <w:t>were</w:t>
      </w:r>
      <w:r w:rsidR="00EE44FA" w:rsidRPr="003A0550">
        <w:rPr>
          <w:rFonts w:cs="Arial"/>
        </w:rPr>
        <w:t xml:space="preserve"> </w:t>
      </w:r>
      <w:r w:rsidR="009D434E" w:rsidRPr="00477710">
        <w:rPr>
          <w:rFonts w:cs="Arial"/>
        </w:rPr>
        <w:t xml:space="preserve">not </w:t>
      </w:r>
      <w:r w:rsidR="00EE44FA" w:rsidRPr="006B39AC">
        <w:rPr>
          <w:rFonts w:cs="Arial"/>
        </w:rPr>
        <w:t>found</w:t>
      </w:r>
      <w:r w:rsidR="00433CB5" w:rsidRPr="006B39AC">
        <w:rPr>
          <w:rFonts w:cs="Arial"/>
        </w:rPr>
        <w:t xml:space="preserve"> </w:t>
      </w:r>
      <w:r w:rsidR="00433CB5" w:rsidRPr="00033AF0">
        <w:rPr>
          <w:rFonts w:cs="Arial"/>
          <w:noProof/>
        </w:rPr>
        <w:t>within</w:t>
      </w:r>
      <w:r w:rsidR="00433CB5" w:rsidRPr="006B39AC">
        <w:rPr>
          <w:rFonts w:cs="Arial"/>
        </w:rPr>
        <w:t xml:space="preserve"> </w:t>
      </w:r>
      <w:r w:rsidR="009D434E" w:rsidRPr="00EA6516">
        <w:rPr>
          <w:rFonts w:cs="Arial"/>
        </w:rPr>
        <w:t xml:space="preserve">the </w:t>
      </w:r>
      <w:r w:rsidR="00433CB5" w:rsidRPr="00EA6516">
        <w:rPr>
          <w:rFonts w:cs="Arial"/>
        </w:rPr>
        <w:t xml:space="preserve">existing literature. </w:t>
      </w:r>
      <w:r w:rsidR="005449E6" w:rsidRPr="00EA6516">
        <w:rPr>
          <w:rFonts w:cs="Arial"/>
        </w:rPr>
        <w:t>I</w:t>
      </w:r>
      <w:r w:rsidR="006824FC" w:rsidRPr="00B71424">
        <w:rPr>
          <w:rFonts w:cs="Arial"/>
        </w:rPr>
        <w:t xml:space="preserve">n </w:t>
      </w:r>
      <w:r w:rsidR="009D434E" w:rsidRPr="00B71424">
        <w:rPr>
          <w:rFonts w:cs="Arial"/>
        </w:rPr>
        <w:t>our</w:t>
      </w:r>
      <w:r w:rsidR="006824FC" w:rsidRPr="00B71424">
        <w:rPr>
          <w:rFonts w:cs="Arial"/>
        </w:rPr>
        <w:t xml:space="preserve"> population of co</w:t>
      </w:r>
      <w:r w:rsidR="006824FC" w:rsidRPr="004A3A53">
        <w:rPr>
          <w:rFonts w:cs="Arial"/>
        </w:rPr>
        <w:t>mmunity</w:t>
      </w:r>
      <w:r w:rsidR="009D434E" w:rsidRPr="004A3A53">
        <w:rPr>
          <w:rFonts w:cs="Arial"/>
        </w:rPr>
        <w:t>-</w:t>
      </w:r>
      <w:r w:rsidR="006824FC" w:rsidRPr="004A3A53">
        <w:rPr>
          <w:rFonts w:cs="Arial"/>
        </w:rPr>
        <w:t>dwelling older adults aged 50 years and over</w:t>
      </w:r>
      <w:r w:rsidRPr="004A3A53">
        <w:rPr>
          <w:rFonts w:cs="Arial"/>
        </w:rPr>
        <w:t xml:space="preserve">, </w:t>
      </w:r>
      <w:r w:rsidR="007155DE" w:rsidRPr="004B5EC2">
        <w:rPr>
          <w:rFonts w:cs="Arial"/>
        </w:rPr>
        <w:t>the</w:t>
      </w:r>
      <w:r w:rsidR="005449E6" w:rsidRPr="004B5EC2">
        <w:rPr>
          <w:rFonts w:cs="Arial"/>
        </w:rPr>
        <w:t xml:space="preserve"> period prevalence of 11.7% </w:t>
      </w:r>
      <w:r w:rsidR="005449E6" w:rsidRPr="00033AF0">
        <w:rPr>
          <w:rFonts w:cs="Arial"/>
          <w:noProof/>
        </w:rPr>
        <w:t>was found</w:t>
      </w:r>
      <w:r w:rsidR="005449E6" w:rsidRPr="004B5EC2">
        <w:rPr>
          <w:rFonts w:cs="Arial"/>
        </w:rPr>
        <w:t xml:space="preserve"> for ankle pain and 3.4% for symptomatic radiographic ankle OA.</w:t>
      </w:r>
      <w:r w:rsidR="008D2E5A" w:rsidRPr="008B2BDC">
        <w:rPr>
          <w:rFonts w:cs="Arial"/>
        </w:rPr>
        <w:t xml:space="preserve"> </w:t>
      </w:r>
      <w:r w:rsidR="00A16D26" w:rsidRPr="008B2BDC">
        <w:rPr>
          <w:rFonts w:cs="Arial"/>
        </w:rPr>
        <w:t>S</w:t>
      </w:r>
      <w:r w:rsidR="008D2E5A" w:rsidRPr="008B2BDC">
        <w:rPr>
          <w:rFonts w:cs="Arial"/>
        </w:rPr>
        <w:t xml:space="preserve">tratified </w:t>
      </w:r>
      <w:r w:rsidR="00A16D26" w:rsidRPr="008B2BDC">
        <w:rPr>
          <w:rFonts w:cs="Arial"/>
        </w:rPr>
        <w:t>estimates found that</w:t>
      </w:r>
      <w:r w:rsidR="007155DE" w:rsidRPr="008B2BDC">
        <w:rPr>
          <w:rFonts w:cs="Arial"/>
        </w:rPr>
        <w:t xml:space="preserve"> the prevalence of</w:t>
      </w:r>
      <w:r w:rsidR="008D2E5A" w:rsidRPr="008B2BDC">
        <w:rPr>
          <w:rFonts w:cs="Arial"/>
        </w:rPr>
        <w:t xml:space="preserve"> both ankle pain and symptomatic radiographic ankle OA was higher in </w:t>
      </w:r>
      <w:r w:rsidR="008D2E5A" w:rsidRPr="00033AF0">
        <w:rPr>
          <w:rFonts w:cs="Arial"/>
          <w:noProof/>
        </w:rPr>
        <w:t>females</w:t>
      </w:r>
      <w:r w:rsidR="00D64158" w:rsidRPr="00033AF0">
        <w:rPr>
          <w:rFonts w:cs="Arial"/>
          <w:noProof/>
        </w:rPr>
        <w:t>,</w:t>
      </w:r>
      <w:r w:rsidR="008D2E5A" w:rsidRPr="008B2BDC">
        <w:rPr>
          <w:rFonts w:cs="Arial"/>
        </w:rPr>
        <w:t xml:space="preserve"> but lower in older age groups. </w:t>
      </w:r>
      <w:r w:rsidR="00D64158" w:rsidRPr="008B2BDC">
        <w:rPr>
          <w:rFonts w:cs="Arial"/>
        </w:rPr>
        <w:t>A</w:t>
      </w:r>
      <w:r w:rsidR="008D2E5A" w:rsidRPr="008B2BDC">
        <w:rPr>
          <w:rFonts w:cs="Arial"/>
        </w:rPr>
        <w:t xml:space="preserve">nkle pain and symptomatic radiographic ankle OA were </w:t>
      </w:r>
      <w:r w:rsidR="00D64158" w:rsidRPr="008B2BDC">
        <w:rPr>
          <w:rFonts w:cs="Arial"/>
        </w:rPr>
        <w:t xml:space="preserve">also </w:t>
      </w:r>
      <w:r w:rsidR="008D2E5A" w:rsidRPr="008B2BDC">
        <w:rPr>
          <w:rFonts w:cs="Arial"/>
        </w:rPr>
        <w:t xml:space="preserve">more prevalent in routine and manual occupations compared </w:t>
      </w:r>
      <w:r w:rsidR="00293220">
        <w:rPr>
          <w:rFonts w:cs="Arial"/>
        </w:rPr>
        <w:t>with</w:t>
      </w:r>
      <w:r w:rsidR="008D2E5A" w:rsidRPr="008B2BDC">
        <w:rPr>
          <w:rFonts w:cs="Arial"/>
        </w:rPr>
        <w:t xml:space="preserve"> managerial professions.</w:t>
      </w:r>
    </w:p>
    <w:p w14:paraId="6BA384E9" w14:textId="77777777" w:rsidR="0020396B" w:rsidRPr="008B2BDC" w:rsidRDefault="0020396B">
      <w:pPr>
        <w:spacing w:after="0" w:line="480" w:lineRule="auto"/>
        <w:rPr>
          <w:rFonts w:cs="Arial"/>
        </w:rPr>
      </w:pPr>
    </w:p>
    <w:p w14:paraId="3240C899" w14:textId="7E05369A" w:rsidR="00267A15" w:rsidRPr="002B1000" w:rsidRDefault="00114AFD">
      <w:pPr>
        <w:spacing w:after="0" w:line="480" w:lineRule="auto"/>
        <w:rPr>
          <w:rFonts w:cs="Arial"/>
        </w:rPr>
      </w:pPr>
      <w:r>
        <w:rPr>
          <w:rFonts w:cs="Arial"/>
        </w:rPr>
        <w:t>T</w:t>
      </w:r>
      <w:r w:rsidR="00A837CC" w:rsidRPr="008B2BDC">
        <w:rPr>
          <w:rFonts w:cs="Arial"/>
        </w:rPr>
        <w:t>h</w:t>
      </w:r>
      <w:r>
        <w:rPr>
          <w:rFonts w:cs="Arial"/>
        </w:rPr>
        <w:t>e</w:t>
      </w:r>
      <w:r w:rsidR="00A837CC" w:rsidRPr="008B2BDC">
        <w:rPr>
          <w:rFonts w:cs="Arial"/>
        </w:rPr>
        <w:t xml:space="preserve"> systematic review demonstrate</w:t>
      </w:r>
      <w:r>
        <w:rPr>
          <w:rFonts w:cs="Arial"/>
        </w:rPr>
        <w:t>s</w:t>
      </w:r>
      <w:r w:rsidR="00A837CC" w:rsidRPr="008B2BDC">
        <w:rPr>
          <w:rFonts w:cs="Arial"/>
        </w:rPr>
        <w:t xml:space="preserve"> that there is </w:t>
      </w:r>
      <w:r w:rsidR="000B525B" w:rsidRPr="00033AF0">
        <w:rPr>
          <w:rFonts w:cs="Arial"/>
          <w:noProof/>
        </w:rPr>
        <w:t>little</w:t>
      </w:r>
      <w:r w:rsidR="00A837CC" w:rsidRPr="00033AF0">
        <w:rPr>
          <w:rFonts w:cs="Arial"/>
          <w:noProof/>
        </w:rPr>
        <w:t xml:space="preserve"> published</w:t>
      </w:r>
      <w:r w:rsidR="00A837CC" w:rsidRPr="008B2BDC">
        <w:rPr>
          <w:rFonts w:cs="Arial"/>
        </w:rPr>
        <w:t xml:space="preserve"> literature available for ankle OA in the </w:t>
      </w:r>
      <w:r w:rsidR="00DB6C77" w:rsidRPr="00033AF0">
        <w:rPr>
          <w:rFonts w:cs="Arial"/>
          <w:noProof/>
        </w:rPr>
        <w:t>community</w:t>
      </w:r>
      <w:r w:rsidR="00DB6C77">
        <w:rPr>
          <w:rFonts w:cs="Arial"/>
        </w:rPr>
        <w:t>-dwelling</w:t>
      </w:r>
      <w:r w:rsidR="00A837CC" w:rsidRPr="008B2BDC">
        <w:rPr>
          <w:rFonts w:cs="Arial"/>
        </w:rPr>
        <w:t xml:space="preserve"> population</w:t>
      </w:r>
      <w:r w:rsidR="00DB6C77">
        <w:rPr>
          <w:rFonts w:cs="Arial"/>
        </w:rPr>
        <w:t>s</w:t>
      </w:r>
      <w:r w:rsidR="00A837CC" w:rsidRPr="008B2BDC">
        <w:rPr>
          <w:rFonts w:cs="Arial"/>
        </w:rPr>
        <w:t xml:space="preserve">. In comparison, </w:t>
      </w:r>
      <w:r>
        <w:rPr>
          <w:rFonts w:cs="Arial"/>
        </w:rPr>
        <w:t xml:space="preserve">previous </w:t>
      </w:r>
      <w:r w:rsidR="000B525B" w:rsidRPr="008B2BDC">
        <w:rPr>
          <w:rFonts w:cs="Arial"/>
        </w:rPr>
        <w:t>s</w:t>
      </w:r>
      <w:r w:rsidR="00CE4D23" w:rsidRPr="008B2BDC">
        <w:rPr>
          <w:rFonts w:cs="Arial"/>
        </w:rPr>
        <w:t xml:space="preserve">ystematic reviews of </w:t>
      </w:r>
      <w:r w:rsidR="000F3029" w:rsidRPr="008B2BDC">
        <w:rPr>
          <w:rFonts w:cs="Arial"/>
        </w:rPr>
        <w:t xml:space="preserve">studies examining </w:t>
      </w:r>
      <w:r w:rsidR="00CE4D23" w:rsidRPr="008B2BDC">
        <w:rPr>
          <w:rFonts w:cs="Arial"/>
        </w:rPr>
        <w:t xml:space="preserve">radiographic OA </w:t>
      </w:r>
      <w:r w:rsidR="000F3029" w:rsidRPr="008B2BDC">
        <w:rPr>
          <w:rFonts w:cs="Arial"/>
        </w:rPr>
        <w:t xml:space="preserve">in the general population </w:t>
      </w:r>
      <w:r w:rsidR="00CE4D23" w:rsidRPr="008B2BDC">
        <w:rPr>
          <w:rFonts w:cs="Arial"/>
        </w:rPr>
        <w:t xml:space="preserve">have all found </w:t>
      </w:r>
      <w:r w:rsidR="000B525B" w:rsidRPr="008B2BDC">
        <w:rPr>
          <w:rFonts w:cs="Arial"/>
        </w:rPr>
        <w:t>greater</w:t>
      </w:r>
      <w:r w:rsidR="00CE4D23" w:rsidRPr="008B2BDC">
        <w:rPr>
          <w:rFonts w:cs="Arial"/>
        </w:rPr>
        <w:t xml:space="preserve"> numbers of </w:t>
      </w:r>
      <w:r w:rsidR="00611CE9">
        <w:rPr>
          <w:rFonts w:cs="Arial"/>
        </w:rPr>
        <w:t>published</w:t>
      </w:r>
      <w:r w:rsidR="00611CE9" w:rsidRPr="008B2BDC">
        <w:rPr>
          <w:rFonts w:cs="Arial"/>
        </w:rPr>
        <w:t xml:space="preserve"> </w:t>
      </w:r>
      <w:r w:rsidR="00CE4D23" w:rsidRPr="008B2BDC">
        <w:rPr>
          <w:rFonts w:cs="Arial"/>
        </w:rPr>
        <w:t>studies</w:t>
      </w:r>
      <w:r w:rsidR="000F3029" w:rsidRPr="008B2BDC">
        <w:rPr>
          <w:rFonts w:cs="Arial"/>
        </w:rPr>
        <w:t xml:space="preserve"> </w:t>
      </w:r>
      <w:r w:rsidR="00611CE9" w:rsidRPr="00033AF0">
        <w:rPr>
          <w:rFonts w:cs="Arial"/>
          <w:noProof/>
        </w:rPr>
        <w:t>pertaining to</w:t>
      </w:r>
      <w:r w:rsidR="00611CE9" w:rsidRPr="008B2BDC">
        <w:rPr>
          <w:rFonts w:cs="Arial"/>
        </w:rPr>
        <w:t xml:space="preserve"> </w:t>
      </w:r>
      <w:r w:rsidR="00D43E72" w:rsidRPr="008B2BDC">
        <w:rPr>
          <w:rFonts w:cs="Arial"/>
        </w:rPr>
        <w:t>the hand</w:t>
      </w:r>
      <w:r w:rsidR="00AF3C65" w:rsidRPr="008B2BDC">
        <w:rPr>
          <w:rFonts w:cs="Arial"/>
        </w:rPr>
        <w:t xml:space="preserve"> (176)</w:t>
      </w:r>
      <w:r w:rsidR="008B2BDC">
        <w:rPr>
          <w:rFonts w:cs="Arial"/>
        </w:rPr>
        <w:t xml:space="preserve"> [</w:t>
      </w:r>
      <w:r w:rsidR="008F5F13" w:rsidRPr="008B2BDC">
        <w:rPr>
          <w:rFonts w:cs="Arial"/>
        </w:rPr>
        <w:t>8</w:t>
      </w:r>
      <w:r w:rsidR="008B2BDC">
        <w:rPr>
          <w:rFonts w:cs="Arial"/>
        </w:rPr>
        <w:t>]</w:t>
      </w:r>
      <w:r w:rsidR="00D43E72" w:rsidRPr="008B2BDC">
        <w:rPr>
          <w:rFonts w:cs="Arial"/>
        </w:rPr>
        <w:t>, hip</w:t>
      </w:r>
      <w:r w:rsidR="00AF3C65" w:rsidRPr="008B2BDC">
        <w:rPr>
          <w:rFonts w:cs="Arial"/>
        </w:rPr>
        <w:t xml:space="preserve"> (23)</w:t>
      </w:r>
      <w:r w:rsidR="008B2BDC">
        <w:rPr>
          <w:rFonts w:cs="Arial"/>
        </w:rPr>
        <w:t xml:space="preserve"> [</w:t>
      </w:r>
      <w:r w:rsidR="008F5F13" w:rsidRPr="008B2BDC">
        <w:rPr>
          <w:rFonts w:cs="Arial"/>
        </w:rPr>
        <w:t>6</w:t>
      </w:r>
      <w:r w:rsidR="008B2BDC">
        <w:rPr>
          <w:rFonts w:cs="Arial"/>
        </w:rPr>
        <w:t>]</w:t>
      </w:r>
      <w:r w:rsidR="00D43E72" w:rsidRPr="008B2BDC">
        <w:rPr>
          <w:rFonts w:cs="Arial"/>
        </w:rPr>
        <w:t>, and foot</w:t>
      </w:r>
      <w:r w:rsidR="001F3150" w:rsidRPr="008B2BDC">
        <w:rPr>
          <w:rFonts w:cs="Arial"/>
        </w:rPr>
        <w:t xml:space="preserve"> (27)</w:t>
      </w:r>
      <w:r w:rsidR="008B2BDC">
        <w:rPr>
          <w:rFonts w:cs="Arial"/>
        </w:rPr>
        <w:t xml:space="preserve"> [</w:t>
      </w:r>
      <w:r w:rsidR="008F5F13" w:rsidRPr="008B2BDC">
        <w:rPr>
          <w:rFonts w:cs="Arial"/>
        </w:rPr>
        <w:t>9</w:t>
      </w:r>
      <w:r w:rsidR="008B2BDC">
        <w:rPr>
          <w:rFonts w:cs="Arial"/>
        </w:rPr>
        <w:t>]</w:t>
      </w:r>
      <w:r w:rsidR="000F3029" w:rsidRPr="008B2BDC">
        <w:rPr>
          <w:rFonts w:cs="Arial"/>
        </w:rPr>
        <w:t xml:space="preserve">. </w:t>
      </w:r>
      <w:r w:rsidR="0080673A" w:rsidRPr="00033AF0">
        <w:rPr>
          <w:rFonts w:cs="Arial"/>
          <w:noProof/>
        </w:rPr>
        <w:t>In addition</w:t>
      </w:r>
      <w:r w:rsidR="0080673A" w:rsidRPr="008B2BDC">
        <w:rPr>
          <w:rFonts w:cs="Arial"/>
        </w:rPr>
        <w:t xml:space="preserve">, there were 190 epidemiological studies that used the </w:t>
      </w:r>
      <w:proofErr w:type="spellStart"/>
      <w:r w:rsidR="0080673A" w:rsidRPr="008B2BDC">
        <w:rPr>
          <w:rFonts w:cs="Arial"/>
        </w:rPr>
        <w:t>Kellgren</w:t>
      </w:r>
      <w:proofErr w:type="spellEnd"/>
      <w:r w:rsidR="0080673A" w:rsidRPr="008B2BDC">
        <w:rPr>
          <w:rFonts w:cs="Arial"/>
        </w:rPr>
        <w:t xml:space="preserve"> </w:t>
      </w:r>
      <w:r w:rsidR="00611CE9">
        <w:rPr>
          <w:rFonts w:cs="Arial"/>
        </w:rPr>
        <w:t>and</w:t>
      </w:r>
      <w:r w:rsidR="00611CE9" w:rsidRPr="008B2BDC">
        <w:rPr>
          <w:rFonts w:cs="Arial"/>
        </w:rPr>
        <w:t xml:space="preserve"> </w:t>
      </w:r>
      <w:r w:rsidR="0080673A" w:rsidRPr="008B2BDC">
        <w:rPr>
          <w:rFonts w:cs="Arial"/>
        </w:rPr>
        <w:t xml:space="preserve">Lawrence grading system alone </w:t>
      </w:r>
      <w:r w:rsidR="0080673A" w:rsidRPr="00033AF0">
        <w:rPr>
          <w:rFonts w:cs="Arial"/>
          <w:noProof/>
        </w:rPr>
        <w:t>to assess knee OA</w:t>
      </w:r>
      <w:r w:rsidR="008B2BDC" w:rsidRPr="00033AF0">
        <w:rPr>
          <w:rFonts w:cs="Arial"/>
          <w:noProof/>
        </w:rPr>
        <w:t xml:space="preserve"> [</w:t>
      </w:r>
      <w:r w:rsidR="008F5F13" w:rsidRPr="00033AF0">
        <w:rPr>
          <w:rFonts w:cs="Arial"/>
          <w:noProof/>
        </w:rPr>
        <w:t>7</w:t>
      </w:r>
      <w:r w:rsidR="008B2BDC" w:rsidRPr="00033AF0">
        <w:rPr>
          <w:rFonts w:cs="Arial"/>
          <w:noProof/>
        </w:rPr>
        <w:t>]</w:t>
      </w:r>
      <w:r w:rsidR="00CE4D23" w:rsidRPr="008B2BDC">
        <w:rPr>
          <w:rFonts w:cs="Arial"/>
        </w:rPr>
        <w:t xml:space="preserve">. </w:t>
      </w:r>
      <w:r w:rsidR="00C60FD9" w:rsidRPr="008B2BDC">
        <w:rPr>
          <w:rFonts w:cs="Arial"/>
        </w:rPr>
        <w:t xml:space="preserve">This systematic review </w:t>
      </w:r>
      <w:r w:rsidR="00FD3727" w:rsidRPr="008B2BDC">
        <w:rPr>
          <w:rFonts w:cs="Arial"/>
        </w:rPr>
        <w:t xml:space="preserve">also </w:t>
      </w:r>
      <w:r w:rsidR="00C60FD9" w:rsidRPr="008B2BDC">
        <w:rPr>
          <w:rFonts w:cs="Arial"/>
        </w:rPr>
        <w:t>show</w:t>
      </w:r>
      <w:r w:rsidR="00532442" w:rsidRPr="008B2BDC">
        <w:rPr>
          <w:rFonts w:cs="Arial"/>
        </w:rPr>
        <w:t xml:space="preserve">ed that no consistent method </w:t>
      </w:r>
      <w:r w:rsidR="00C60FD9" w:rsidRPr="008B2BDC">
        <w:rPr>
          <w:rFonts w:cs="Arial"/>
        </w:rPr>
        <w:t>of assessment for radiographic ankle OA</w:t>
      </w:r>
      <w:r w:rsidR="00532442" w:rsidRPr="008B2BDC">
        <w:rPr>
          <w:rFonts w:cs="Arial"/>
        </w:rPr>
        <w:t xml:space="preserve"> </w:t>
      </w:r>
      <w:r w:rsidR="00532442" w:rsidRPr="00033AF0">
        <w:rPr>
          <w:rFonts w:cs="Arial"/>
          <w:noProof/>
        </w:rPr>
        <w:t>has</w:t>
      </w:r>
      <w:r w:rsidR="00532442" w:rsidRPr="008B2BDC">
        <w:rPr>
          <w:rFonts w:cs="Arial"/>
        </w:rPr>
        <w:t xml:space="preserve"> </w:t>
      </w:r>
      <w:r w:rsidR="00532442" w:rsidRPr="00033AF0">
        <w:rPr>
          <w:rFonts w:cs="Arial"/>
          <w:noProof/>
        </w:rPr>
        <w:t>been used</w:t>
      </w:r>
      <w:r w:rsidR="00CE0EBB" w:rsidRPr="008B2BDC">
        <w:rPr>
          <w:rFonts w:cs="Arial"/>
        </w:rPr>
        <w:t xml:space="preserve"> and consequently the definitions of ankle OA varied greatly</w:t>
      </w:r>
      <w:r w:rsidR="00C60FD9" w:rsidRPr="00E01B53">
        <w:rPr>
          <w:rFonts w:cs="Arial"/>
        </w:rPr>
        <w:t xml:space="preserve">. </w:t>
      </w:r>
      <w:r w:rsidR="00532442" w:rsidRPr="00E01B53">
        <w:rPr>
          <w:rFonts w:cs="Arial"/>
        </w:rPr>
        <w:t>R</w:t>
      </w:r>
      <w:r w:rsidR="00FD3727" w:rsidRPr="00644F54">
        <w:rPr>
          <w:rFonts w:cs="Arial"/>
        </w:rPr>
        <w:t xml:space="preserve">eviews of radiographic OA </w:t>
      </w:r>
      <w:r w:rsidR="00890658" w:rsidRPr="00644F54">
        <w:rPr>
          <w:rFonts w:cs="Arial"/>
        </w:rPr>
        <w:t>at</w:t>
      </w:r>
      <w:r w:rsidR="00FD3727" w:rsidRPr="00AE7F34">
        <w:rPr>
          <w:rFonts w:cs="Arial"/>
        </w:rPr>
        <w:t xml:space="preserve"> </w:t>
      </w:r>
      <w:r w:rsidR="007B0BF8" w:rsidRPr="00AE7F34">
        <w:rPr>
          <w:rFonts w:cs="Arial"/>
        </w:rPr>
        <w:t>other joint sites have</w:t>
      </w:r>
      <w:r w:rsidR="00FD3727" w:rsidRPr="00D90F26">
        <w:rPr>
          <w:rFonts w:cs="Arial"/>
        </w:rPr>
        <w:t xml:space="preserve"> found the </w:t>
      </w:r>
      <w:proofErr w:type="spellStart"/>
      <w:r w:rsidR="00FD3727" w:rsidRPr="00D90F26">
        <w:rPr>
          <w:rFonts w:cs="Arial"/>
        </w:rPr>
        <w:t>Kellgren</w:t>
      </w:r>
      <w:proofErr w:type="spellEnd"/>
      <w:r w:rsidR="00FD3727" w:rsidRPr="00D90F26">
        <w:rPr>
          <w:rFonts w:cs="Arial"/>
        </w:rPr>
        <w:t xml:space="preserve"> </w:t>
      </w:r>
      <w:r w:rsidR="00611CE9">
        <w:rPr>
          <w:rFonts w:cs="Arial"/>
        </w:rPr>
        <w:t>and</w:t>
      </w:r>
      <w:r w:rsidR="00611CE9" w:rsidRPr="00D90F26">
        <w:rPr>
          <w:rFonts w:cs="Arial"/>
        </w:rPr>
        <w:t xml:space="preserve"> </w:t>
      </w:r>
      <w:r w:rsidR="00FD3727" w:rsidRPr="00D90F26">
        <w:rPr>
          <w:rFonts w:cs="Arial"/>
        </w:rPr>
        <w:t>Lawrence scale to be the most commonly used method of assessment</w:t>
      </w:r>
      <w:r w:rsidR="008B2BDC">
        <w:rPr>
          <w:rFonts w:cs="Arial"/>
        </w:rPr>
        <w:t xml:space="preserve"> [</w:t>
      </w:r>
      <w:r w:rsidR="008F5F13" w:rsidRPr="008B2BDC">
        <w:rPr>
          <w:rFonts w:cs="Arial"/>
        </w:rPr>
        <w:t>6</w:t>
      </w:r>
      <w:proofErr w:type="gramStart"/>
      <w:r w:rsidR="008F5F13" w:rsidRPr="008B2BDC">
        <w:rPr>
          <w:rFonts w:cs="Arial"/>
        </w:rPr>
        <w:t>,8,9</w:t>
      </w:r>
      <w:proofErr w:type="gramEnd"/>
      <w:r w:rsidR="008B2BDC">
        <w:rPr>
          <w:rFonts w:cs="Arial"/>
        </w:rPr>
        <w:t>]</w:t>
      </w:r>
      <w:r w:rsidR="00EE28C9" w:rsidRPr="008B2BDC">
        <w:rPr>
          <w:rFonts w:cs="Arial"/>
        </w:rPr>
        <w:t>. However, in the</w:t>
      </w:r>
      <w:r w:rsidR="001C3878" w:rsidRPr="008B2BDC">
        <w:rPr>
          <w:rFonts w:cs="Arial"/>
        </w:rPr>
        <w:t xml:space="preserve"> current</w:t>
      </w:r>
      <w:r w:rsidR="00532442" w:rsidRPr="008B2BDC">
        <w:rPr>
          <w:rFonts w:cs="Arial"/>
        </w:rPr>
        <w:t xml:space="preserve"> </w:t>
      </w:r>
      <w:r w:rsidR="00EE28C9" w:rsidRPr="008B2BDC">
        <w:rPr>
          <w:rFonts w:cs="Arial"/>
        </w:rPr>
        <w:t xml:space="preserve">systematic </w:t>
      </w:r>
      <w:r w:rsidR="00532442" w:rsidRPr="00033AF0">
        <w:rPr>
          <w:rFonts w:cs="Arial"/>
          <w:noProof/>
        </w:rPr>
        <w:t>review</w:t>
      </w:r>
      <w:r w:rsidR="008D75CD" w:rsidRPr="008B2BDC">
        <w:rPr>
          <w:rFonts w:cs="Arial"/>
        </w:rPr>
        <w:t xml:space="preserve"> </w:t>
      </w:r>
      <w:r w:rsidR="00C60FD9" w:rsidRPr="008B2BDC">
        <w:rPr>
          <w:rFonts w:cs="Arial"/>
        </w:rPr>
        <w:t xml:space="preserve">only </w:t>
      </w:r>
      <w:r w:rsidR="00A973C8">
        <w:rPr>
          <w:rFonts w:cs="Arial"/>
        </w:rPr>
        <w:t>two</w:t>
      </w:r>
      <w:r w:rsidR="00C60FD9" w:rsidRPr="008B2BDC">
        <w:rPr>
          <w:rFonts w:cs="Arial"/>
        </w:rPr>
        <w:t xml:space="preserve"> stud</w:t>
      </w:r>
      <w:r w:rsidR="00A973C8">
        <w:rPr>
          <w:rFonts w:cs="Arial"/>
        </w:rPr>
        <w:t>ies</w:t>
      </w:r>
      <w:r w:rsidR="00C60FD9" w:rsidRPr="008B2BDC">
        <w:rPr>
          <w:rFonts w:cs="Arial"/>
        </w:rPr>
        <w:t xml:space="preserve"> use</w:t>
      </w:r>
      <w:r w:rsidR="00EE2C57" w:rsidRPr="008B2BDC">
        <w:rPr>
          <w:rFonts w:cs="Arial"/>
        </w:rPr>
        <w:t>d</w:t>
      </w:r>
      <w:r w:rsidR="00C60FD9" w:rsidRPr="008B2BDC">
        <w:rPr>
          <w:rFonts w:cs="Arial"/>
        </w:rPr>
        <w:t xml:space="preserve"> this scale</w:t>
      </w:r>
      <w:r w:rsidR="008B2BDC">
        <w:rPr>
          <w:rFonts w:cs="Arial"/>
        </w:rPr>
        <w:t xml:space="preserve"> [</w:t>
      </w:r>
      <w:r w:rsidR="00473675">
        <w:rPr>
          <w:rFonts w:cs="Arial"/>
        </w:rPr>
        <w:t>27</w:t>
      </w:r>
      <w:proofErr w:type="gramStart"/>
      <w:r w:rsidR="00A973C8">
        <w:rPr>
          <w:rFonts w:cs="Arial"/>
        </w:rPr>
        <w:t>,30</w:t>
      </w:r>
      <w:proofErr w:type="gramEnd"/>
      <w:r w:rsidR="008B2BDC">
        <w:rPr>
          <w:rFonts w:cs="Arial"/>
        </w:rPr>
        <w:t>]</w:t>
      </w:r>
      <w:r w:rsidR="00483BA4" w:rsidRPr="008B2BDC">
        <w:rPr>
          <w:rFonts w:cs="Arial"/>
        </w:rPr>
        <w:t xml:space="preserve">, </w:t>
      </w:r>
      <w:r w:rsidR="00EE28C9" w:rsidRPr="008B2BDC">
        <w:rPr>
          <w:rFonts w:cs="Arial"/>
        </w:rPr>
        <w:t>with</w:t>
      </w:r>
      <w:r w:rsidR="00483BA4" w:rsidRPr="008B2BDC">
        <w:rPr>
          <w:rFonts w:cs="Arial"/>
        </w:rPr>
        <w:t xml:space="preserve"> t</w:t>
      </w:r>
      <w:r w:rsidR="00C60FD9" w:rsidRPr="008B2BDC">
        <w:rPr>
          <w:rFonts w:cs="Arial"/>
        </w:rPr>
        <w:t xml:space="preserve">he commonest form of assessment </w:t>
      </w:r>
      <w:r w:rsidR="00EE28C9" w:rsidRPr="008B2BDC">
        <w:rPr>
          <w:rFonts w:cs="Arial"/>
        </w:rPr>
        <w:t xml:space="preserve">being the </w:t>
      </w:r>
      <w:r w:rsidR="00B53C0C" w:rsidRPr="008B2BDC">
        <w:rPr>
          <w:rFonts w:cs="Arial"/>
        </w:rPr>
        <w:t>use</w:t>
      </w:r>
      <w:r w:rsidR="00CE3506" w:rsidRPr="008B2BDC">
        <w:rPr>
          <w:rFonts w:cs="Arial"/>
        </w:rPr>
        <w:t xml:space="preserve"> </w:t>
      </w:r>
      <w:r w:rsidR="00EE28C9" w:rsidRPr="008B2BDC">
        <w:rPr>
          <w:rFonts w:cs="Arial"/>
        </w:rPr>
        <w:t xml:space="preserve">of </w:t>
      </w:r>
      <w:r w:rsidR="00CE3506" w:rsidRPr="008B2BDC">
        <w:rPr>
          <w:rFonts w:cs="Arial"/>
        </w:rPr>
        <w:t>selected</w:t>
      </w:r>
      <w:r w:rsidR="00C60FD9" w:rsidRPr="008B2BDC">
        <w:rPr>
          <w:rFonts w:cs="Arial"/>
        </w:rPr>
        <w:t xml:space="preserve"> individual radiographic features</w:t>
      </w:r>
      <w:r w:rsidR="00483BA4" w:rsidRPr="008B2BDC">
        <w:rPr>
          <w:rFonts w:cs="Arial"/>
        </w:rPr>
        <w:t>. I</w:t>
      </w:r>
      <w:r w:rsidR="00C01D38" w:rsidRPr="008B2BDC">
        <w:rPr>
          <w:rFonts w:cs="Arial"/>
        </w:rPr>
        <w:t xml:space="preserve">n addition to </w:t>
      </w:r>
      <w:r w:rsidR="002B1000">
        <w:rPr>
          <w:rFonts w:cs="Arial"/>
        </w:rPr>
        <w:t>the</w:t>
      </w:r>
      <w:r w:rsidR="00C01D38" w:rsidRPr="008B2BDC">
        <w:rPr>
          <w:rFonts w:cs="Arial"/>
        </w:rPr>
        <w:t xml:space="preserve"> l</w:t>
      </w:r>
      <w:r w:rsidR="002760D1" w:rsidRPr="008B2BDC">
        <w:rPr>
          <w:rFonts w:cs="Arial"/>
        </w:rPr>
        <w:t>imi</w:t>
      </w:r>
      <w:r w:rsidR="00C01D38" w:rsidRPr="008B2BDC">
        <w:rPr>
          <w:rFonts w:cs="Arial"/>
        </w:rPr>
        <w:t>t</w:t>
      </w:r>
      <w:r w:rsidR="002760D1" w:rsidRPr="008B2BDC">
        <w:rPr>
          <w:rFonts w:cs="Arial"/>
        </w:rPr>
        <w:t>ation</w:t>
      </w:r>
      <w:r w:rsidR="00483BA4" w:rsidRPr="008B2BDC">
        <w:rPr>
          <w:rFonts w:cs="Arial"/>
        </w:rPr>
        <w:t>s</w:t>
      </w:r>
      <w:r w:rsidR="00C01D38" w:rsidRPr="008B2BDC">
        <w:rPr>
          <w:rFonts w:cs="Arial"/>
        </w:rPr>
        <w:t xml:space="preserve"> that have </w:t>
      </w:r>
      <w:r w:rsidR="00C01D38" w:rsidRPr="00033AF0">
        <w:rPr>
          <w:rFonts w:cs="Arial"/>
          <w:noProof/>
        </w:rPr>
        <w:t>been noted</w:t>
      </w:r>
      <w:r w:rsidR="00C01D38" w:rsidRPr="008B2BDC">
        <w:rPr>
          <w:rFonts w:cs="Arial"/>
        </w:rPr>
        <w:t xml:space="preserve"> for th</w:t>
      </w:r>
      <w:r w:rsidR="006C2D18" w:rsidRPr="008B2BDC">
        <w:rPr>
          <w:rFonts w:cs="Arial"/>
        </w:rPr>
        <w:t xml:space="preserve">e </w:t>
      </w:r>
      <w:proofErr w:type="spellStart"/>
      <w:r w:rsidR="006C2D18" w:rsidRPr="008B2BDC">
        <w:rPr>
          <w:rFonts w:cs="Arial"/>
        </w:rPr>
        <w:t>Kellgren</w:t>
      </w:r>
      <w:proofErr w:type="spellEnd"/>
      <w:r w:rsidR="006C2D18" w:rsidRPr="008B2BDC">
        <w:rPr>
          <w:rFonts w:cs="Arial"/>
        </w:rPr>
        <w:t xml:space="preserve"> </w:t>
      </w:r>
      <w:r w:rsidR="00611CE9">
        <w:rPr>
          <w:rFonts w:cs="Arial"/>
        </w:rPr>
        <w:t>and</w:t>
      </w:r>
      <w:r w:rsidR="00611CE9" w:rsidRPr="008B2BDC">
        <w:rPr>
          <w:rFonts w:cs="Arial"/>
        </w:rPr>
        <w:t xml:space="preserve"> </w:t>
      </w:r>
      <w:r w:rsidR="006C2D18" w:rsidRPr="008B2BDC">
        <w:rPr>
          <w:rFonts w:cs="Arial"/>
        </w:rPr>
        <w:t>Lawrence</w:t>
      </w:r>
      <w:r w:rsidR="00C01D38" w:rsidRPr="008B2BDC">
        <w:rPr>
          <w:rFonts w:cs="Arial"/>
        </w:rPr>
        <w:t xml:space="preserve"> system</w:t>
      </w:r>
      <w:r w:rsidR="008B2BDC">
        <w:rPr>
          <w:rFonts w:cs="Arial"/>
        </w:rPr>
        <w:t xml:space="preserve"> [</w:t>
      </w:r>
      <w:r w:rsidR="00A973C8">
        <w:rPr>
          <w:rFonts w:cs="Arial"/>
        </w:rPr>
        <w:t>43</w:t>
      </w:r>
      <w:r w:rsidR="008B2BDC">
        <w:rPr>
          <w:rFonts w:cs="Arial"/>
        </w:rPr>
        <w:t>]</w:t>
      </w:r>
      <w:r w:rsidR="001A4497" w:rsidRPr="008B2BDC">
        <w:rPr>
          <w:rFonts w:cs="Arial"/>
        </w:rPr>
        <w:t xml:space="preserve"> and </w:t>
      </w:r>
      <w:r w:rsidR="009A444E" w:rsidRPr="008B2BDC">
        <w:rPr>
          <w:rFonts w:cs="Arial"/>
        </w:rPr>
        <w:t>variations</w:t>
      </w:r>
      <w:r w:rsidR="001A4497" w:rsidRPr="008B2BDC">
        <w:rPr>
          <w:rFonts w:cs="Arial"/>
        </w:rPr>
        <w:t xml:space="preserve"> in the inte</w:t>
      </w:r>
      <w:r w:rsidR="009A444E" w:rsidRPr="008B2BDC">
        <w:rPr>
          <w:rFonts w:cs="Arial"/>
        </w:rPr>
        <w:t>rpret</w:t>
      </w:r>
      <w:r w:rsidR="001A4497" w:rsidRPr="008B2BDC">
        <w:rPr>
          <w:rFonts w:cs="Arial"/>
        </w:rPr>
        <w:t>ation of</w:t>
      </w:r>
      <w:r w:rsidR="009A444E" w:rsidRPr="008B2BDC">
        <w:rPr>
          <w:rFonts w:cs="Arial"/>
        </w:rPr>
        <w:t xml:space="preserve"> </w:t>
      </w:r>
      <w:r w:rsidR="001A4497" w:rsidRPr="008B2BDC">
        <w:rPr>
          <w:rFonts w:cs="Arial"/>
        </w:rPr>
        <w:t>t</w:t>
      </w:r>
      <w:r w:rsidR="009A444E" w:rsidRPr="008B2BDC">
        <w:rPr>
          <w:rFonts w:cs="Arial"/>
        </w:rPr>
        <w:t>h</w:t>
      </w:r>
      <w:r w:rsidR="001A4497" w:rsidRPr="008B2BDC">
        <w:rPr>
          <w:rFonts w:cs="Arial"/>
        </w:rPr>
        <w:t>e scale</w:t>
      </w:r>
      <w:r w:rsidR="008B2BDC">
        <w:rPr>
          <w:rFonts w:cs="Arial"/>
        </w:rPr>
        <w:t xml:space="preserve"> [</w:t>
      </w:r>
      <w:r w:rsidR="00C02ABC" w:rsidRPr="008B2BDC">
        <w:rPr>
          <w:rFonts w:cs="Arial"/>
        </w:rPr>
        <w:t>7</w:t>
      </w:r>
      <w:r w:rsidR="008B2BDC">
        <w:rPr>
          <w:rFonts w:cs="Arial"/>
        </w:rPr>
        <w:t>]</w:t>
      </w:r>
      <w:r w:rsidR="00C01D38" w:rsidRPr="008B2BDC">
        <w:rPr>
          <w:rFonts w:cs="Arial"/>
        </w:rPr>
        <w:t>,</w:t>
      </w:r>
      <w:r w:rsidR="0024352B" w:rsidRPr="008B2BDC">
        <w:rPr>
          <w:rFonts w:cs="Arial"/>
        </w:rPr>
        <w:t xml:space="preserve"> this could </w:t>
      </w:r>
      <w:r w:rsidR="00EE28C9" w:rsidRPr="008B2BDC">
        <w:rPr>
          <w:rFonts w:cs="Arial"/>
        </w:rPr>
        <w:t xml:space="preserve">also </w:t>
      </w:r>
      <w:r w:rsidR="0024352B" w:rsidRPr="008B2BDC">
        <w:rPr>
          <w:rFonts w:cs="Arial"/>
        </w:rPr>
        <w:t xml:space="preserve">be due to </w:t>
      </w:r>
      <w:r w:rsidR="00267A15" w:rsidRPr="008B2BDC">
        <w:rPr>
          <w:rFonts w:cs="Arial"/>
        </w:rPr>
        <w:t xml:space="preserve">the </w:t>
      </w:r>
      <w:r w:rsidR="00C837E1" w:rsidRPr="008B2BDC">
        <w:rPr>
          <w:rFonts w:cs="Arial"/>
        </w:rPr>
        <w:t xml:space="preserve">recognition that </w:t>
      </w:r>
      <w:r w:rsidR="00EE28C9" w:rsidRPr="008B2BDC">
        <w:rPr>
          <w:rFonts w:cs="Arial"/>
        </w:rPr>
        <w:t xml:space="preserve">the </w:t>
      </w:r>
      <w:r w:rsidR="00267A15" w:rsidRPr="008B2BDC">
        <w:rPr>
          <w:rFonts w:cs="Arial"/>
        </w:rPr>
        <w:t xml:space="preserve">presentation of OA </w:t>
      </w:r>
      <w:r w:rsidR="00C837E1" w:rsidRPr="008B2BDC">
        <w:rPr>
          <w:rFonts w:cs="Arial"/>
        </w:rPr>
        <w:t>var</w:t>
      </w:r>
      <w:r w:rsidR="008D75CD" w:rsidRPr="008B2BDC">
        <w:rPr>
          <w:rFonts w:cs="Arial"/>
        </w:rPr>
        <w:t>ies</w:t>
      </w:r>
      <w:r w:rsidR="00C837E1" w:rsidRPr="008B2BDC">
        <w:rPr>
          <w:rFonts w:cs="Arial"/>
        </w:rPr>
        <w:t xml:space="preserve"> at </w:t>
      </w:r>
      <w:r w:rsidR="00267A15" w:rsidRPr="008B2BDC">
        <w:rPr>
          <w:rFonts w:cs="Arial"/>
        </w:rPr>
        <w:t xml:space="preserve">different </w:t>
      </w:r>
      <w:r w:rsidR="00C837E1" w:rsidRPr="008B2BDC">
        <w:rPr>
          <w:rFonts w:cs="Arial"/>
        </w:rPr>
        <w:t>joint sites</w:t>
      </w:r>
      <w:r w:rsidR="00267A15" w:rsidRPr="002B1000">
        <w:rPr>
          <w:rFonts w:cs="Arial"/>
        </w:rPr>
        <w:t xml:space="preserve">. </w:t>
      </w:r>
      <w:r w:rsidR="00C837E1" w:rsidRPr="002B1000">
        <w:rPr>
          <w:rFonts w:cs="Arial"/>
        </w:rPr>
        <w:t>For example</w:t>
      </w:r>
      <w:r w:rsidR="00267A15" w:rsidRPr="002B1000">
        <w:rPr>
          <w:rFonts w:cs="Arial"/>
        </w:rPr>
        <w:t>, malalignment and erosion of the central cortical bone can be present in the hand joints</w:t>
      </w:r>
      <w:r w:rsidR="008B2BDC" w:rsidRPr="002B1000">
        <w:rPr>
          <w:rFonts w:cs="Arial"/>
        </w:rPr>
        <w:t xml:space="preserve"> [</w:t>
      </w:r>
      <w:r w:rsidR="00A973C8">
        <w:rPr>
          <w:rFonts w:cs="Arial"/>
        </w:rPr>
        <w:t>44</w:t>
      </w:r>
      <w:r w:rsidR="008B2BDC" w:rsidRPr="002B1000">
        <w:rPr>
          <w:rFonts w:cs="Arial"/>
        </w:rPr>
        <w:t>]</w:t>
      </w:r>
      <w:r w:rsidR="00C02ABC" w:rsidRPr="002B1000">
        <w:rPr>
          <w:rFonts w:cs="Arial"/>
        </w:rPr>
        <w:t>,</w:t>
      </w:r>
      <w:r w:rsidR="00267A15" w:rsidRPr="008B2BDC">
        <w:rPr>
          <w:rFonts w:cs="Arial"/>
        </w:rPr>
        <w:t xml:space="preserve"> thickening of the medial femoral </w:t>
      </w:r>
      <w:r w:rsidR="00267A15" w:rsidRPr="00033AF0">
        <w:rPr>
          <w:rFonts w:cs="Arial"/>
          <w:noProof/>
        </w:rPr>
        <w:t>calca</w:t>
      </w:r>
      <w:r w:rsidR="00EC3DC5" w:rsidRPr="00033AF0">
        <w:rPr>
          <w:rFonts w:cs="Arial"/>
          <w:noProof/>
        </w:rPr>
        <w:t>neum</w:t>
      </w:r>
      <w:r w:rsidR="00267A15" w:rsidRPr="008B2BDC">
        <w:rPr>
          <w:rFonts w:cs="Arial"/>
        </w:rPr>
        <w:t xml:space="preserve"> and flattening of the femoral head at the hip, and medial </w:t>
      </w:r>
      <w:proofErr w:type="spellStart"/>
      <w:r w:rsidR="00267A15" w:rsidRPr="008B2BDC">
        <w:rPr>
          <w:rFonts w:cs="Arial"/>
        </w:rPr>
        <w:t>tibial</w:t>
      </w:r>
      <w:proofErr w:type="spellEnd"/>
      <w:r w:rsidR="00267A15" w:rsidRPr="008B2BDC">
        <w:rPr>
          <w:rFonts w:cs="Arial"/>
        </w:rPr>
        <w:t xml:space="preserve"> </w:t>
      </w:r>
      <w:r w:rsidR="00267A15" w:rsidRPr="008B2BDC">
        <w:rPr>
          <w:rFonts w:cs="Arial"/>
        </w:rPr>
        <w:lastRenderedPageBreak/>
        <w:t xml:space="preserve">attrition at the </w:t>
      </w:r>
      <w:r w:rsidR="00267A15" w:rsidRPr="00033AF0">
        <w:rPr>
          <w:rFonts w:cs="Arial"/>
          <w:noProof/>
        </w:rPr>
        <w:t>tiobiofemoral</w:t>
      </w:r>
      <w:r w:rsidR="00267A15" w:rsidRPr="008B2BDC">
        <w:rPr>
          <w:rFonts w:cs="Arial"/>
        </w:rPr>
        <w:t xml:space="preserve"> joint</w:t>
      </w:r>
      <w:r w:rsidR="008B2BDC">
        <w:rPr>
          <w:rFonts w:cs="Arial"/>
        </w:rPr>
        <w:t xml:space="preserve"> [</w:t>
      </w:r>
      <w:r w:rsidR="00A973C8">
        <w:rPr>
          <w:rFonts w:cs="Arial"/>
        </w:rPr>
        <w:t>45</w:t>
      </w:r>
      <w:r w:rsidR="008B2BDC">
        <w:rPr>
          <w:rFonts w:cs="Arial"/>
        </w:rPr>
        <w:t>]</w:t>
      </w:r>
      <w:r w:rsidR="00267A15" w:rsidRPr="008B2BDC">
        <w:rPr>
          <w:rFonts w:cs="Arial"/>
        </w:rPr>
        <w:t xml:space="preserve">. </w:t>
      </w:r>
      <w:r w:rsidR="00267A15" w:rsidRPr="00033AF0">
        <w:rPr>
          <w:rFonts w:cs="Arial"/>
          <w:noProof/>
        </w:rPr>
        <w:t>To address these issues</w:t>
      </w:r>
      <w:r w:rsidR="006C1C60">
        <w:rPr>
          <w:rFonts w:cs="Arial"/>
        </w:rPr>
        <w:t>,</w:t>
      </w:r>
      <w:r w:rsidR="00267A15" w:rsidRPr="008B2BDC">
        <w:rPr>
          <w:rFonts w:cs="Arial"/>
        </w:rPr>
        <w:t xml:space="preserve"> joint</w:t>
      </w:r>
      <w:r w:rsidR="00611CE9">
        <w:rPr>
          <w:rFonts w:cs="Arial"/>
        </w:rPr>
        <w:t>-</w:t>
      </w:r>
      <w:r w:rsidR="00267A15" w:rsidRPr="008B2BDC">
        <w:rPr>
          <w:rFonts w:cs="Arial"/>
        </w:rPr>
        <w:t xml:space="preserve">specific scoring scales </w:t>
      </w:r>
      <w:r w:rsidR="006C2D18" w:rsidRPr="008B2BDC">
        <w:rPr>
          <w:rFonts w:cs="Arial"/>
        </w:rPr>
        <w:t xml:space="preserve">and atlases </w:t>
      </w:r>
      <w:r w:rsidR="00267A15" w:rsidRPr="008B2BDC">
        <w:rPr>
          <w:rFonts w:cs="Arial"/>
        </w:rPr>
        <w:t>have been developed and are available for the hands, hips and knee joints</w:t>
      </w:r>
      <w:r w:rsidR="00611CE9">
        <w:rPr>
          <w:rFonts w:cs="Arial"/>
        </w:rPr>
        <w:t>,</w:t>
      </w:r>
      <w:r w:rsidR="00267A15" w:rsidRPr="008B2BDC">
        <w:rPr>
          <w:rFonts w:cs="Arial"/>
        </w:rPr>
        <w:t xml:space="preserve"> and more recently</w:t>
      </w:r>
      <w:r w:rsidR="00611CE9">
        <w:rPr>
          <w:rFonts w:cs="Arial"/>
        </w:rPr>
        <w:t>,</w:t>
      </w:r>
      <w:r w:rsidR="00267A15" w:rsidRPr="008B2BDC">
        <w:rPr>
          <w:rFonts w:cs="Arial"/>
        </w:rPr>
        <w:t xml:space="preserve"> the foot</w:t>
      </w:r>
      <w:r w:rsidR="00611CE9">
        <w:rPr>
          <w:rFonts w:cs="Arial"/>
        </w:rPr>
        <w:t xml:space="preserve">. However, </w:t>
      </w:r>
      <w:r w:rsidR="001D7B9A" w:rsidRPr="008B2BDC">
        <w:rPr>
          <w:rFonts w:cs="Arial"/>
        </w:rPr>
        <w:t xml:space="preserve">at the time of </w:t>
      </w:r>
      <w:r w:rsidR="006C1C60">
        <w:rPr>
          <w:rFonts w:cs="Arial"/>
        </w:rPr>
        <w:t xml:space="preserve">the </w:t>
      </w:r>
      <w:r w:rsidR="001D7B9A" w:rsidRPr="00033AF0">
        <w:rPr>
          <w:rFonts w:cs="Arial"/>
          <w:noProof/>
        </w:rPr>
        <w:t>review</w:t>
      </w:r>
      <w:r w:rsidR="001D7B9A" w:rsidRPr="008B2BDC">
        <w:rPr>
          <w:rFonts w:cs="Arial"/>
        </w:rPr>
        <w:t xml:space="preserve"> </w:t>
      </w:r>
      <w:r w:rsidR="001D7B9A" w:rsidRPr="00ED27F5">
        <w:rPr>
          <w:rFonts w:cs="Arial"/>
        </w:rPr>
        <w:t xml:space="preserve">none </w:t>
      </w:r>
      <w:r w:rsidR="00EE28C9" w:rsidRPr="00ED27F5">
        <w:rPr>
          <w:rFonts w:cs="Arial"/>
        </w:rPr>
        <w:t xml:space="preserve">were available </w:t>
      </w:r>
      <w:r w:rsidR="001D7B9A" w:rsidRPr="00ED27F5">
        <w:rPr>
          <w:rFonts w:cs="Arial"/>
        </w:rPr>
        <w:t>for the ankle</w:t>
      </w:r>
      <w:r w:rsidR="00611CE9">
        <w:rPr>
          <w:rFonts w:cs="Arial"/>
        </w:rPr>
        <w:t>,</w:t>
      </w:r>
      <w:r w:rsidR="003C19ED">
        <w:rPr>
          <w:rFonts w:cs="Arial"/>
        </w:rPr>
        <w:t xml:space="preserve"> </w:t>
      </w:r>
      <w:r w:rsidR="00E24051">
        <w:rPr>
          <w:rFonts w:cs="Arial"/>
        </w:rPr>
        <w:t xml:space="preserve">except the </w:t>
      </w:r>
      <w:r w:rsidR="00E24051" w:rsidRPr="00565E62">
        <w:rPr>
          <w:rFonts w:cs="Arial"/>
          <w:noProof/>
        </w:rPr>
        <w:t>Bargon</w:t>
      </w:r>
      <w:r w:rsidR="00E24051">
        <w:rPr>
          <w:rFonts w:cs="Arial"/>
        </w:rPr>
        <w:t xml:space="preserve"> Arthrosis score</w:t>
      </w:r>
      <w:r w:rsidR="00352EA8">
        <w:rPr>
          <w:rFonts w:cs="Arial"/>
        </w:rPr>
        <w:t xml:space="preserve"> which </w:t>
      </w:r>
      <w:r w:rsidR="00611CE9">
        <w:rPr>
          <w:rFonts w:cs="Arial"/>
        </w:rPr>
        <w:t>is</w:t>
      </w:r>
      <w:r w:rsidR="00F73C3B">
        <w:rPr>
          <w:rFonts w:cs="Arial"/>
        </w:rPr>
        <w:t xml:space="preserve"> a global scoring system developed to assess post-surgical complications </w:t>
      </w:r>
      <w:r w:rsidR="003C19ED">
        <w:rPr>
          <w:rFonts w:cs="Arial"/>
        </w:rPr>
        <w:t>[</w:t>
      </w:r>
      <w:r w:rsidR="009F71A2">
        <w:rPr>
          <w:rFonts w:cs="Arial"/>
        </w:rPr>
        <w:t>33</w:t>
      </w:r>
      <w:proofErr w:type="gramStart"/>
      <w:r w:rsidR="00352EA8">
        <w:rPr>
          <w:rFonts w:cs="Arial"/>
        </w:rPr>
        <w:t>,</w:t>
      </w:r>
      <w:r w:rsidR="009F71A2">
        <w:rPr>
          <w:rFonts w:cs="Arial"/>
        </w:rPr>
        <w:t>40</w:t>
      </w:r>
      <w:r w:rsidR="00473675">
        <w:rPr>
          <w:rFonts w:cs="Arial"/>
        </w:rPr>
        <w:t>,</w:t>
      </w:r>
      <w:r w:rsidR="009F71A2">
        <w:rPr>
          <w:rFonts w:cs="Arial"/>
        </w:rPr>
        <w:t>44</w:t>
      </w:r>
      <w:proofErr w:type="gramEnd"/>
      <w:r w:rsidR="009F71A2">
        <w:rPr>
          <w:rFonts w:cs="Arial"/>
        </w:rPr>
        <w:t>-46</w:t>
      </w:r>
      <w:r w:rsidR="003C19ED">
        <w:rPr>
          <w:rFonts w:cs="Arial"/>
        </w:rPr>
        <w:t>]</w:t>
      </w:r>
      <w:r w:rsidR="00C02ABC" w:rsidRPr="008B2BDC">
        <w:rPr>
          <w:rFonts w:cs="Arial"/>
        </w:rPr>
        <w:t>.</w:t>
      </w:r>
      <w:r w:rsidR="003E24CD">
        <w:rPr>
          <w:rFonts w:cs="Arial"/>
        </w:rPr>
        <w:t xml:space="preserve"> The </w:t>
      </w:r>
      <w:r w:rsidR="00F73C3B">
        <w:rPr>
          <w:rFonts w:cs="Arial"/>
        </w:rPr>
        <w:t xml:space="preserve">other </w:t>
      </w:r>
      <w:r w:rsidR="003E24CD">
        <w:rPr>
          <w:rFonts w:cs="Arial"/>
        </w:rPr>
        <w:t xml:space="preserve">atlases </w:t>
      </w:r>
      <w:r w:rsidR="00F73C3B">
        <w:rPr>
          <w:rFonts w:cs="Arial"/>
        </w:rPr>
        <w:t>identified in</w:t>
      </w:r>
      <w:r w:rsidR="00FC33CD">
        <w:rPr>
          <w:rFonts w:cs="Arial"/>
        </w:rPr>
        <w:t xml:space="preserve"> </w:t>
      </w:r>
      <w:r w:rsidR="00F73C3B">
        <w:rPr>
          <w:rFonts w:cs="Arial"/>
        </w:rPr>
        <w:t>th</w:t>
      </w:r>
      <w:r w:rsidR="00FC33CD">
        <w:rPr>
          <w:rFonts w:cs="Arial"/>
        </w:rPr>
        <w:t xml:space="preserve">e </w:t>
      </w:r>
      <w:r w:rsidR="00F73C3B">
        <w:rPr>
          <w:rFonts w:cs="Arial"/>
        </w:rPr>
        <w:t>sy</w:t>
      </w:r>
      <w:r w:rsidR="00FC33CD">
        <w:rPr>
          <w:rFonts w:cs="Arial"/>
        </w:rPr>
        <w:t>s</w:t>
      </w:r>
      <w:r w:rsidR="00F73C3B">
        <w:rPr>
          <w:rFonts w:cs="Arial"/>
        </w:rPr>
        <w:t>tem</w:t>
      </w:r>
      <w:r w:rsidR="00FC33CD">
        <w:rPr>
          <w:rFonts w:cs="Arial"/>
        </w:rPr>
        <w:t>at</w:t>
      </w:r>
      <w:r w:rsidR="00F73C3B">
        <w:rPr>
          <w:rFonts w:cs="Arial"/>
        </w:rPr>
        <w:t xml:space="preserve">ic </w:t>
      </w:r>
      <w:r w:rsidR="00FC33CD">
        <w:rPr>
          <w:rFonts w:cs="Arial"/>
        </w:rPr>
        <w:t>review had all been a</w:t>
      </w:r>
      <w:r w:rsidR="00F73C3B">
        <w:rPr>
          <w:rFonts w:cs="Arial"/>
        </w:rPr>
        <w:t>dapted for</w:t>
      </w:r>
      <w:r w:rsidR="00FC33CD">
        <w:rPr>
          <w:rFonts w:cs="Arial"/>
        </w:rPr>
        <w:t xml:space="preserve"> </w:t>
      </w:r>
      <w:r w:rsidR="00F73C3B">
        <w:rPr>
          <w:rFonts w:cs="Arial"/>
        </w:rPr>
        <w:t>use in the ankle</w:t>
      </w:r>
      <w:r w:rsidR="00FC33CD">
        <w:rPr>
          <w:rFonts w:cs="Arial"/>
        </w:rPr>
        <w:t xml:space="preserve"> or adapted for use in OA</w:t>
      </w:r>
      <w:r w:rsidR="00B53D88">
        <w:rPr>
          <w:rFonts w:cs="Arial"/>
        </w:rPr>
        <w:t xml:space="preserve"> </w:t>
      </w:r>
      <w:r w:rsidR="00B53D88" w:rsidRPr="002B1000">
        <w:rPr>
          <w:rFonts w:cs="Arial"/>
        </w:rPr>
        <w:t>[</w:t>
      </w:r>
      <w:r w:rsidR="001C55CA">
        <w:rPr>
          <w:rFonts w:cs="Arial"/>
        </w:rPr>
        <w:t>20</w:t>
      </w:r>
      <w:proofErr w:type="gramStart"/>
      <w:r w:rsidR="00473675" w:rsidRPr="002B1000">
        <w:rPr>
          <w:rFonts w:cs="Arial"/>
        </w:rPr>
        <w:t>,</w:t>
      </w:r>
      <w:r w:rsidR="009F71A2">
        <w:rPr>
          <w:rFonts w:cs="Arial"/>
        </w:rPr>
        <w:t>31</w:t>
      </w:r>
      <w:r w:rsidR="0018007E" w:rsidRPr="002B1000">
        <w:rPr>
          <w:rFonts w:cs="Arial"/>
        </w:rPr>
        <w:t>,</w:t>
      </w:r>
      <w:r w:rsidR="009F71A2">
        <w:rPr>
          <w:rFonts w:cs="Arial"/>
        </w:rPr>
        <w:t>32</w:t>
      </w:r>
      <w:proofErr w:type="gramEnd"/>
      <w:r w:rsidR="00352EA8" w:rsidRPr="002B1000">
        <w:rPr>
          <w:rFonts w:cs="Arial"/>
        </w:rPr>
        <w:t>]</w:t>
      </w:r>
      <w:r w:rsidR="00FC33CD" w:rsidRPr="002B1000">
        <w:rPr>
          <w:rFonts w:cs="Arial"/>
        </w:rPr>
        <w:t>.</w:t>
      </w:r>
      <w:r w:rsidR="00B53D88" w:rsidRPr="002B1000">
        <w:rPr>
          <w:rFonts w:cs="Arial"/>
        </w:rPr>
        <w:t xml:space="preserve"> </w:t>
      </w:r>
    </w:p>
    <w:p w14:paraId="5E1AE6DF" w14:textId="570AEB29" w:rsidR="0024352B" w:rsidRPr="002B1000" w:rsidRDefault="0024352B">
      <w:pPr>
        <w:spacing w:after="0" w:line="480" w:lineRule="auto"/>
        <w:rPr>
          <w:rFonts w:cs="Arial"/>
        </w:rPr>
      </w:pPr>
    </w:p>
    <w:p w14:paraId="50223CD6" w14:textId="506D3888" w:rsidR="0020396B" w:rsidRPr="003C19ED" w:rsidRDefault="00C57BFD">
      <w:pPr>
        <w:spacing w:after="0" w:line="480" w:lineRule="auto"/>
        <w:rPr>
          <w:rFonts w:cs="Arial"/>
        </w:rPr>
      </w:pPr>
      <w:r w:rsidRPr="00033AF0">
        <w:rPr>
          <w:rFonts w:cs="Arial"/>
          <w:noProof/>
        </w:rPr>
        <w:t>The prevalence of radiographic ankle OA was infrequently reported by studies</w:t>
      </w:r>
      <w:r w:rsidRPr="002B1000">
        <w:rPr>
          <w:rFonts w:cs="Arial"/>
        </w:rPr>
        <w:t xml:space="preserve"> and none </w:t>
      </w:r>
      <w:r w:rsidRPr="00033AF0">
        <w:rPr>
          <w:rFonts w:cs="Arial"/>
          <w:noProof/>
        </w:rPr>
        <w:t>were app</w:t>
      </w:r>
      <w:r w:rsidR="00925363" w:rsidRPr="00033AF0">
        <w:rPr>
          <w:rFonts w:cs="Arial"/>
          <w:noProof/>
        </w:rPr>
        <w:t>licable to</w:t>
      </w:r>
      <w:r w:rsidR="00925363" w:rsidRPr="002B1000">
        <w:rPr>
          <w:rFonts w:cs="Arial"/>
        </w:rPr>
        <w:t xml:space="preserve"> a general population. </w:t>
      </w:r>
      <w:r w:rsidR="00611CE9" w:rsidRPr="002B1000">
        <w:rPr>
          <w:rFonts w:cs="Arial"/>
        </w:rPr>
        <w:t>Published prevalence estimates</w:t>
      </w:r>
      <w:r w:rsidR="00DE4810" w:rsidRPr="002B1000">
        <w:rPr>
          <w:rFonts w:cs="Arial"/>
        </w:rPr>
        <w:t xml:space="preserve"> </w:t>
      </w:r>
      <w:r w:rsidR="00611CE9" w:rsidRPr="002B1000">
        <w:rPr>
          <w:rFonts w:cs="Arial"/>
        </w:rPr>
        <w:t xml:space="preserve">ranged </w:t>
      </w:r>
      <w:r w:rsidR="00DE4810" w:rsidRPr="002B1000">
        <w:rPr>
          <w:rFonts w:cs="Arial"/>
        </w:rPr>
        <w:t>from 0.0% to 97.</w:t>
      </w:r>
      <w:r w:rsidR="002C28F3">
        <w:rPr>
          <w:rFonts w:cs="Arial"/>
        </w:rPr>
        <w:t>1</w:t>
      </w:r>
      <w:r w:rsidR="00DE4810" w:rsidRPr="002B1000">
        <w:rPr>
          <w:rFonts w:cs="Arial"/>
        </w:rPr>
        <w:t>%</w:t>
      </w:r>
      <w:r w:rsidR="00925363" w:rsidRPr="002B1000">
        <w:rPr>
          <w:rFonts w:cs="Arial"/>
        </w:rPr>
        <w:t>,</w:t>
      </w:r>
      <w:r w:rsidR="00937D92">
        <w:rPr>
          <w:rFonts w:cs="Arial"/>
        </w:rPr>
        <w:t xml:space="preserve"> </w:t>
      </w:r>
      <w:r w:rsidR="00051685">
        <w:rPr>
          <w:rFonts w:cs="Arial"/>
        </w:rPr>
        <w:t>t</w:t>
      </w:r>
      <w:r w:rsidR="00937D92">
        <w:rPr>
          <w:rFonts w:cs="Arial"/>
        </w:rPr>
        <w:t xml:space="preserve">he range </w:t>
      </w:r>
      <w:r w:rsidR="00051685">
        <w:rPr>
          <w:rFonts w:cs="Arial"/>
        </w:rPr>
        <w:t xml:space="preserve">and very high </w:t>
      </w:r>
      <w:r w:rsidR="00A81337">
        <w:rPr>
          <w:rFonts w:cs="Arial"/>
        </w:rPr>
        <w:t>es</w:t>
      </w:r>
      <w:r w:rsidR="00937D92">
        <w:rPr>
          <w:rFonts w:cs="Arial"/>
        </w:rPr>
        <w:t>timates</w:t>
      </w:r>
      <w:r w:rsidR="00A81337">
        <w:rPr>
          <w:rFonts w:cs="Arial"/>
        </w:rPr>
        <w:t xml:space="preserve"> </w:t>
      </w:r>
      <w:r w:rsidR="00051685">
        <w:rPr>
          <w:rFonts w:cs="Arial"/>
        </w:rPr>
        <w:t xml:space="preserve">are </w:t>
      </w:r>
      <w:r w:rsidR="008A6A0D" w:rsidRPr="00033AF0">
        <w:rPr>
          <w:rFonts w:cs="Arial"/>
          <w:noProof/>
        </w:rPr>
        <w:t>reflect</w:t>
      </w:r>
      <w:r w:rsidR="00A81337" w:rsidRPr="00033AF0">
        <w:rPr>
          <w:rFonts w:cs="Arial"/>
          <w:noProof/>
        </w:rPr>
        <w:t>ed</w:t>
      </w:r>
      <w:r w:rsidR="00A81337">
        <w:rPr>
          <w:rFonts w:cs="Arial"/>
        </w:rPr>
        <w:t xml:space="preserve"> by</w:t>
      </w:r>
      <w:r w:rsidR="00925363" w:rsidRPr="002B1000">
        <w:rPr>
          <w:rFonts w:cs="Arial"/>
        </w:rPr>
        <w:t xml:space="preserve"> the </w:t>
      </w:r>
      <w:r w:rsidR="00DE4810" w:rsidRPr="002B1000">
        <w:rPr>
          <w:rFonts w:cs="Arial"/>
        </w:rPr>
        <w:t>select</w:t>
      </w:r>
      <w:r w:rsidR="008A6A0D" w:rsidRPr="002B1000">
        <w:rPr>
          <w:rFonts w:cs="Arial"/>
        </w:rPr>
        <w:t>ed</w:t>
      </w:r>
      <w:r w:rsidR="00DE4810" w:rsidRPr="002B1000">
        <w:rPr>
          <w:rFonts w:cs="Arial"/>
        </w:rPr>
        <w:t xml:space="preserve"> populations</w:t>
      </w:r>
      <w:r w:rsidR="00925363" w:rsidRPr="002B1000">
        <w:rPr>
          <w:rFonts w:cs="Arial"/>
        </w:rPr>
        <w:t xml:space="preserve"> and compar</w:t>
      </w:r>
      <w:r w:rsidR="008A6A0D" w:rsidRPr="002B1000">
        <w:rPr>
          <w:rFonts w:cs="Arial"/>
        </w:rPr>
        <w:t>ator</w:t>
      </w:r>
      <w:r w:rsidR="00D30A91" w:rsidRPr="002B1000">
        <w:rPr>
          <w:rFonts w:cs="Arial"/>
        </w:rPr>
        <w:t xml:space="preserve"> groups</w:t>
      </w:r>
      <w:r w:rsidR="00A81337">
        <w:rPr>
          <w:rFonts w:cs="Arial"/>
        </w:rPr>
        <w:t xml:space="preserve"> examined as well as </w:t>
      </w:r>
      <w:r w:rsidR="00BB5284">
        <w:rPr>
          <w:rFonts w:cs="Arial"/>
        </w:rPr>
        <w:t>d</w:t>
      </w:r>
      <w:r w:rsidR="00CB2820">
        <w:rPr>
          <w:rFonts w:cs="Arial"/>
        </w:rPr>
        <w:t>iffer</w:t>
      </w:r>
      <w:r w:rsidR="00BB5284">
        <w:rPr>
          <w:rFonts w:cs="Arial"/>
        </w:rPr>
        <w:t>ences in the</w:t>
      </w:r>
      <w:r w:rsidR="00CB2820">
        <w:rPr>
          <w:rFonts w:cs="Arial"/>
        </w:rPr>
        <w:t xml:space="preserve"> ages groups</w:t>
      </w:r>
      <w:r w:rsidR="00E14F0F">
        <w:rPr>
          <w:rFonts w:cs="Arial"/>
        </w:rPr>
        <w:t xml:space="preserve"> </w:t>
      </w:r>
      <w:r w:rsidR="00BB5284">
        <w:rPr>
          <w:rFonts w:cs="Arial"/>
        </w:rPr>
        <w:t xml:space="preserve">examined and </w:t>
      </w:r>
      <w:r w:rsidR="00CB2820">
        <w:rPr>
          <w:rFonts w:cs="Arial"/>
        </w:rPr>
        <w:t>methods used to assess radiographic ankle OA</w:t>
      </w:r>
      <w:r w:rsidR="00DE4810" w:rsidRPr="002B1000">
        <w:rPr>
          <w:rFonts w:cs="Arial"/>
        </w:rPr>
        <w:t xml:space="preserve">. </w:t>
      </w:r>
      <w:r w:rsidR="007C0D8B">
        <w:rPr>
          <w:rFonts w:cs="Arial"/>
        </w:rPr>
        <w:t xml:space="preserve">As most of the selected populations </w:t>
      </w:r>
      <w:r w:rsidR="007C0D8B" w:rsidRPr="00033AF0">
        <w:rPr>
          <w:rFonts w:cs="Arial"/>
          <w:noProof/>
        </w:rPr>
        <w:t xml:space="preserve">were </w:t>
      </w:r>
      <w:r w:rsidR="007C0D8B" w:rsidRPr="0052768F">
        <w:rPr>
          <w:rFonts w:cs="Arial"/>
          <w:noProof/>
        </w:rPr>
        <w:t>associated</w:t>
      </w:r>
      <w:r w:rsidR="007C0D8B">
        <w:rPr>
          <w:rFonts w:cs="Arial"/>
        </w:rPr>
        <w:t xml:space="preserve"> with sporting </w:t>
      </w:r>
      <w:r w:rsidR="007C0D8B" w:rsidRPr="00565E62">
        <w:rPr>
          <w:rFonts w:cs="Arial"/>
          <w:noProof/>
        </w:rPr>
        <w:t>groups</w:t>
      </w:r>
      <w:r w:rsidR="00A9211A">
        <w:rPr>
          <w:rFonts w:cs="Arial"/>
          <w:noProof/>
        </w:rPr>
        <w:t>,</w:t>
      </w:r>
      <w:r w:rsidR="007C0D8B">
        <w:rPr>
          <w:rFonts w:cs="Arial"/>
        </w:rPr>
        <w:t xml:space="preserve"> it is likely that </w:t>
      </w:r>
      <w:r w:rsidR="00132B3B">
        <w:rPr>
          <w:rFonts w:cs="Arial"/>
        </w:rPr>
        <w:t xml:space="preserve">the high </w:t>
      </w:r>
      <w:r w:rsidR="00F52363">
        <w:rPr>
          <w:rFonts w:cs="Arial"/>
        </w:rPr>
        <w:t xml:space="preserve">prevalence </w:t>
      </w:r>
      <w:r w:rsidR="007C0D8B">
        <w:rPr>
          <w:rFonts w:cs="Arial"/>
        </w:rPr>
        <w:t xml:space="preserve">estimates </w:t>
      </w:r>
      <w:r w:rsidR="00F52363">
        <w:rPr>
          <w:rFonts w:cs="Arial"/>
        </w:rPr>
        <w:t xml:space="preserve">in these studies </w:t>
      </w:r>
      <w:r w:rsidR="008C5122">
        <w:rPr>
          <w:rFonts w:cs="Arial"/>
        </w:rPr>
        <w:t xml:space="preserve">would be much higher </w:t>
      </w:r>
      <w:r w:rsidR="004E3D5C">
        <w:rPr>
          <w:rFonts w:cs="Arial"/>
        </w:rPr>
        <w:t xml:space="preserve">due to </w:t>
      </w:r>
      <w:r w:rsidR="005501A2">
        <w:rPr>
          <w:rFonts w:cs="Arial"/>
        </w:rPr>
        <w:t>increased</w:t>
      </w:r>
      <w:r w:rsidR="004E3D5C">
        <w:rPr>
          <w:rFonts w:cs="Arial"/>
        </w:rPr>
        <w:t xml:space="preserve"> </w:t>
      </w:r>
      <w:r w:rsidR="005501A2">
        <w:rPr>
          <w:rFonts w:cs="Arial"/>
        </w:rPr>
        <w:t xml:space="preserve">injury </w:t>
      </w:r>
      <w:r w:rsidR="004E3D5C">
        <w:rPr>
          <w:rFonts w:cs="Arial"/>
        </w:rPr>
        <w:t xml:space="preserve">rates </w:t>
      </w:r>
      <w:r w:rsidR="001A61D0">
        <w:rPr>
          <w:rFonts w:cs="Arial"/>
        </w:rPr>
        <w:t xml:space="preserve">leading to </w:t>
      </w:r>
      <w:r w:rsidR="004E3D5C">
        <w:rPr>
          <w:rFonts w:cs="Arial"/>
        </w:rPr>
        <w:t xml:space="preserve">post-traumatic </w:t>
      </w:r>
      <w:r w:rsidR="001A61D0">
        <w:rPr>
          <w:rFonts w:cs="Arial"/>
        </w:rPr>
        <w:t xml:space="preserve">forms </w:t>
      </w:r>
      <w:r w:rsidR="004E3D5C">
        <w:rPr>
          <w:rFonts w:cs="Arial"/>
        </w:rPr>
        <w:t xml:space="preserve">OA compared to </w:t>
      </w:r>
      <w:r w:rsidR="008C5122">
        <w:rPr>
          <w:rFonts w:cs="Arial"/>
        </w:rPr>
        <w:t>general population</w:t>
      </w:r>
      <w:r w:rsidR="004E3D5C">
        <w:rPr>
          <w:rFonts w:cs="Arial"/>
        </w:rPr>
        <w:t>s</w:t>
      </w:r>
      <w:r w:rsidR="007C0D8B">
        <w:rPr>
          <w:rFonts w:cs="Arial"/>
        </w:rPr>
        <w:t xml:space="preserve">. </w:t>
      </w:r>
      <w:r w:rsidR="00987836" w:rsidRPr="002B1000">
        <w:rPr>
          <w:rFonts w:cs="Arial"/>
        </w:rPr>
        <w:t xml:space="preserve">Therefore, </w:t>
      </w:r>
      <w:r w:rsidR="008A6A0D" w:rsidRPr="002B1000">
        <w:rPr>
          <w:rFonts w:cs="Arial"/>
        </w:rPr>
        <w:t>owing</w:t>
      </w:r>
      <w:r w:rsidR="00987836" w:rsidRPr="002B1000">
        <w:rPr>
          <w:rFonts w:cs="Arial"/>
        </w:rPr>
        <w:t xml:space="preserve"> to the heterogeneity of populations</w:t>
      </w:r>
      <w:r w:rsidR="008A6A0D" w:rsidRPr="002B1000">
        <w:rPr>
          <w:rFonts w:cs="Arial"/>
        </w:rPr>
        <w:t>,</w:t>
      </w:r>
      <w:r w:rsidR="00987836" w:rsidRPr="002B1000">
        <w:rPr>
          <w:rFonts w:cs="Arial"/>
        </w:rPr>
        <w:t xml:space="preserve"> </w:t>
      </w:r>
      <w:r w:rsidR="008A6A0D" w:rsidRPr="002B1000">
        <w:rPr>
          <w:rFonts w:cs="Arial"/>
        </w:rPr>
        <w:t>methods of</w:t>
      </w:r>
      <w:r w:rsidR="00987836" w:rsidRPr="002B1000">
        <w:rPr>
          <w:rFonts w:cs="Arial"/>
        </w:rPr>
        <w:t xml:space="preserve"> assessment and definitions of radiographic ankle OA</w:t>
      </w:r>
      <w:r w:rsidR="008A6A0D" w:rsidRPr="002B1000">
        <w:rPr>
          <w:rFonts w:cs="Arial"/>
        </w:rPr>
        <w:t>,</w:t>
      </w:r>
      <w:r w:rsidR="00987836" w:rsidRPr="002B1000">
        <w:rPr>
          <w:rFonts w:cs="Arial"/>
        </w:rPr>
        <w:t xml:space="preserve"> an overall prevalence estimate could not be derived from the studies in this systematic review. </w:t>
      </w:r>
      <w:r w:rsidR="002548B2" w:rsidRPr="002B1000">
        <w:rPr>
          <w:rFonts w:cs="Arial"/>
        </w:rPr>
        <w:t xml:space="preserve">Additionally, it </w:t>
      </w:r>
      <w:r w:rsidR="00F10307" w:rsidRPr="002B1000">
        <w:rPr>
          <w:rFonts w:cs="Arial"/>
        </w:rPr>
        <w:t xml:space="preserve">was </w:t>
      </w:r>
      <w:r w:rsidR="00A7796B" w:rsidRPr="002B1000">
        <w:rPr>
          <w:rFonts w:cs="Arial"/>
        </w:rPr>
        <w:t xml:space="preserve">not possible </w:t>
      </w:r>
      <w:r w:rsidR="00F10307" w:rsidRPr="002B1000">
        <w:rPr>
          <w:rFonts w:cs="Arial"/>
        </w:rPr>
        <w:t xml:space="preserve">to </w:t>
      </w:r>
      <w:r w:rsidR="002548B2" w:rsidRPr="002B1000">
        <w:rPr>
          <w:rFonts w:cs="Arial"/>
        </w:rPr>
        <w:t xml:space="preserve">examine stratified </w:t>
      </w:r>
      <w:r w:rsidR="00F10307" w:rsidRPr="002B1000">
        <w:rPr>
          <w:rFonts w:cs="Arial"/>
        </w:rPr>
        <w:t>prevalence estimates for factors such as age and gender</w:t>
      </w:r>
      <w:r w:rsidR="003C19ED" w:rsidRPr="002B1000">
        <w:rPr>
          <w:rFonts w:cs="Arial"/>
        </w:rPr>
        <w:t xml:space="preserve"> [</w:t>
      </w:r>
      <w:r w:rsidR="00DF1A3F" w:rsidRPr="002B1000">
        <w:rPr>
          <w:rFonts w:cs="Arial"/>
        </w:rPr>
        <w:t>6</w:t>
      </w:r>
      <w:proofErr w:type="gramStart"/>
      <w:r w:rsidR="00DF1A3F" w:rsidRPr="002B1000">
        <w:rPr>
          <w:rFonts w:cs="Arial"/>
        </w:rPr>
        <w:t>,9</w:t>
      </w:r>
      <w:proofErr w:type="gramEnd"/>
      <w:r w:rsidR="003C19ED" w:rsidRPr="002B1000">
        <w:rPr>
          <w:rFonts w:cs="Arial"/>
        </w:rPr>
        <w:t>]</w:t>
      </w:r>
      <w:r w:rsidR="00D90F26" w:rsidRPr="002B1000">
        <w:rPr>
          <w:rFonts w:cs="Arial"/>
        </w:rPr>
        <w:t xml:space="preserve">, unlike </w:t>
      </w:r>
      <w:r w:rsidR="008A5F2D" w:rsidRPr="002B1000">
        <w:rPr>
          <w:rFonts w:cs="Arial"/>
        </w:rPr>
        <w:t xml:space="preserve">previous </w:t>
      </w:r>
      <w:r w:rsidR="0018007E" w:rsidRPr="002B1000">
        <w:rPr>
          <w:rFonts w:cs="Arial"/>
          <w:color w:val="222222"/>
          <w:shd w:val="clear" w:color="auto" w:fill="FFFFFF"/>
        </w:rPr>
        <w:t>reviews of</w:t>
      </w:r>
      <w:r w:rsidR="00D90F26" w:rsidRPr="002B1000">
        <w:rPr>
          <w:rFonts w:cs="Arial"/>
          <w:color w:val="222222"/>
          <w:shd w:val="clear" w:color="auto" w:fill="FFFFFF"/>
        </w:rPr>
        <w:t xml:space="preserve"> radiographic foot [9], hip [</w:t>
      </w:r>
      <w:r w:rsidR="009F71A2">
        <w:rPr>
          <w:rFonts w:cs="Arial"/>
          <w:color w:val="222222"/>
          <w:shd w:val="clear" w:color="auto" w:fill="FFFFFF"/>
        </w:rPr>
        <w:t>47</w:t>
      </w:r>
      <w:r w:rsidR="00D90F26" w:rsidRPr="002B1000">
        <w:rPr>
          <w:rFonts w:cs="Arial"/>
          <w:color w:val="222222"/>
          <w:shd w:val="clear" w:color="auto" w:fill="FFFFFF"/>
        </w:rPr>
        <w:t>] and knee OA [</w:t>
      </w:r>
      <w:r w:rsidR="009F71A2">
        <w:rPr>
          <w:rFonts w:cs="Arial"/>
          <w:color w:val="222222"/>
          <w:shd w:val="clear" w:color="auto" w:fill="FFFFFF"/>
        </w:rPr>
        <w:t>48</w:t>
      </w:r>
      <w:r w:rsidR="00D90F26" w:rsidRPr="002B1000">
        <w:rPr>
          <w:rFonts w:cs="Arial"/>
          <w:color w:val="222222"/>
          <w:shd w:val="clear" w:color="auto" w:fill="FFFFFF"/>
        </w:rPr>
        <w:t>]</w:t>
      </w:r>
      <w:r w:rsidR="0018007E" w:rsidRPr="002B1000">
        <w:rPr>
          <w:rFonts w:cs="Arial"/>
        </w:rPr>
        <w:t>.</w:t>
      </w:r>
    </w:p>
    <w:p w14:paraId="5D0641A8" w14:textId="008F1A9F" w:rsidR="0020396B" w:rsidRPr="008A21C3" w:rsidRDefault="0020396B">
      <w:pPr>
        <w:spacing w:after="0" w:line="480" w:lineRule="auto"/>
        <w:rPr>
          <w:rFonts w:cs="Arial"/>
        </w:rPr>
      </w:pPr>
    </w:p>
    <w:p w14:paraId="5EEF9065" w14:textId="03329C0F" w:rsidR="00ED5EE5" w:rsidRPr="008B2BDC" w:rsidRDefault="00B7689F">
      <w:pPr>
        <w:spacing w:after="0" w:line="480" w:lineRule="auto"/>
        <w:rPr>
          <w:rFonts w:cs="Arial"/>
        </w:rPr>
      </w:pPr>
      <w:r w:rsidRPr="00E01B53">
        <w:rPr>
          <w:rFonts w:cs="Arial"/>
        </w:rPr>
        <w:t xml:space="preserve">The systematic review </w:t>
      </w:r>
      <w:r w:rsidR="008A5F2D">
        <w:rPr>
          <w:rFonts w:cs="Arial"/>
        </w:rPr>
        <w:t>highlights the novelty</w:t>
      </w:r>
      <w:r w:rsidRPr="00E01B53">
        <w:rPr>
          <w:rFonts w:cs="Arial"/>
        </w:rPr>
        <w:t xml:space="preserve"> </w:t>
      </w:r>
      <w:r w:rsidR="00D93803">
        <w:rPr>
          <w:rFonts w:cs="Arial"/>
        </w:rPr>
        <w:t xml:space="preserve">of the </w:t>
      </w:r>
      <w:r w:rsidRPr="00644F54">
        <w:rPr>
          <w:rFonts w:cs="Arial"/>
        </w:rPr>
        <w:t>p</w:t>
      </w:r>
      <w:r w:rsidR="00392FC3" w:rsidRPr="00644F54">
        <w:rPr>
          <w:rFonts w:cs="Arial"/>
        </w:rPr>
        <w:t>revalence estimate</w:t>
      </w:r>
      <w:r w:rsidR="00537076" w:rsidRPr="00AE7F34">
        <w:rPr>
          <w:rFonts w:cs="Arial"/>
        </w:rPr>
        <w:t xml:space="preserve"> of 3.4%</w:t>
      </w:r>
      <w:r w:rsidR="00392FC3" w:rsidRPr="00AE7F34">
        <w:rPr>
          <w:rFonts w:cs="Arial"/>
        </w:rPr>
        <w:t xml:space="preserve"> for symptomatic radiographic ankle OA in a </w:t>
      </w:r>
      <w:r w:rsidR="00EF0311">
        <w:rPr>
          <w:rFonts w:cs="Arial"/>
        </w:rPr>
        <w:t xml:space="preserve">community-dwelling </w:t>
      </w:r>
      <w:r w:rsidR="00392FC3" w:rsidRPr="00AE7F34">
        <w:rPr>
          <w:rFonts w:cs="Arial"/>
        </w:rPr>
        <w:t xml:space="preserve">population </w:t>
      </w:r>
      <w:r w:rsidR="00D93803">
        <w:rPr>
          <w:rFonts w:cs="Arial"/>
        </w:rPr>
        <w:t>provided by our study</w:t>
      </w:r>
      <w:r w:rsidR="00392FC3" w:rsidRPr="005C6E86">
        <w:rPr>
          <w:rFonts w:cs="Arial"/>
        </w:rPr>
        <w:t xml:space="preserve">. </w:t>
      </w:r>
      <w:r w:rsidR="002F77BA">
        <w:rPr>
          <w:rFonts w:cs="Arial"/>
        </w:rPr>
        <w:t xml:space="preserve">This estimate is similar to </w:t>
      </w:r>
      <w:r w:rsidR="00392FC3" w:rsidRPr="005C6E86">
        <w:rPr>
          <w:rFonts w:cs="Arial"/>
        </w:rPr>
        <w:t xml:space="preserve">the </w:t>
      </w:r>
      <w:r w:rsidR="002F77BA">
        <w:rPr>
          <w:rFonts w:cs="Arial"/>
        </w:rPr>
        <w:t xml:space="preserve">reported </w:t>
      </w:r>
      <w:proofErr w:type="spellStart"/>
      <w:r w:rsidR="00392FC3" w:rsidRPr="005C6E86">
        <w:rPr>
          <w:rFonts w:cs="Arial"/>
        </w:rPr>
        <w:t>prevalence</w:t>
      </w:r>
      <w:r w:rsidR="00D93803">
        <w:rPr>
          <w:rFonts w:cs="Arial"/>
        </w:rPr>
        <w:t>s</w:t>
      </w:r>
      <w:proofErr w:type="spellEnd"/>
      <w:r w:rsidR="00392FC3" w:rsidRPr="005C6E86">
        <w:rPr>
          <w:rFonts w:cs="Arial"/>
        </w:rPr>
        <w:t xml:space="preserve"> of </w:t>
      </w:r>
      <w:r w:rsidR="003F5AD8" w:rsidRPr="0062311E">
        <w:rPr>
          <w:rFonts w:cs="Arial"/>
        </w:rPr>
        <w:t xml:space="preserve">self-reported ankle pain (assumed to be symptomatic ankle OA) </w:t>
      </w:r>
      <w:r w:rsidR="006F6D3F" w:rsidRPr="0062311E">
        <w:rPr>
          <w:rFonts w:cs="Arial"/>
        </w:rPr>
        <w:t xml:space="preserve">in retired football players </w:t>
      </w:r>
      <w:r w:rsidR="003F5AD8" w:rsidRPr="003A0550">
        <w:rPr>
          <w:rFonts w:cs="Arial"/>
        </w:rPr>
        <w:t xml:space="preserve">and </w:t>
      </w:r>
      <w:r w:rsidR="00392FC3" w:rsidRPr="003A0550">
        <w:rPr>
          <w:rFonts w:cs="Arial"/>
        </w:rPr>
        <w:t>self-reported ankle OA</w:t>
      </w:r>
      <w:r w:rsidR="003F5AD8" w:rsidRPr="003A0550">
        <w:rPr>
          <w:rFonts w:cs="Arial"/>
        </w:rPr>
        <w:t xml:space="preserve"> </w:t>
      </w:r>
      <w:r w:rsidR="006F6D3F" w:rsidRPr="003A0550">
        <w:rPr>
          <w:rFonts w:cs="Arial"/>
        </w:rPr>
        <w:t xml:space="preserve">in a general Australian population </w:t>
      </w:r>
      <w:r w:rsidR="003F5AD8" w:rsidRPr="00EA6516">
        <w:rPr>
          <w:rFonts w:cs="Arial"/>
        </w:rPr>
        <w:t>of 2.6% and 4%</w:t>
      </w:r>
      <w:r w:rsidR="00611CE9">
        <w:rPr>
          <w:rFonts w:cs="Arial"/>
        </w:rPr>
        <w:t>,</w:t>
      </w:r>
      <w:r w:rsidR="003F5AD8" w:rsidRPr="00EA6516">
        <w:rPr>
          <w:rFonts w:cs="Arial"/>
        </w:rPr>
        <w:t xml:space="preserve"> respectively</w:t>
      </w:r>
      <w:r w:rsidR="002F77BA">
        <w:rPr>
          <w:rFonts w:cs="Arial"/>
        </w:rPr>
        <w:t>.</w:t>
      </w:r>
      <w:r w:rsidR="003F5AD8" w:rsidRPr="00EA6516">
        <w:rPr>
          <w:rFonts w:cs="Arial"/>
        </w:rPr>
        <w:t xml:space="preserve"> </w:t>
      </w:r>
      <w:r w:rsidR="002F77BA">
        <w:rPr>
          <w:rFonts w:cs="Arial"/>
        </w:rPr>
        <w:t>H</w:t>
      </w:r>
      <w:r w:rsidR="006F6D3F" w:rsidRPr="004A3A53">
        <w:rPr>
          <w:rFonts w:cs="Arial"/>
        </w:rPr>
        <w:t xml:space="preserve">owever, these are </w:t>
      </w:r>
      <w:r w:rsidR="002F77BA">
        <w:rPr>
          <w:rFonts w:cs="Arial"/>
        </w:rPr>
        <w:t xml:space="preserve">both </w:t>
      </w:r>
      <w:r w:rsidR="006F6D3F" w:rsidRPr="004A3A53">
        <w:rPr>
          <w:rFonts w:cs="Arial"/>
        </w:rPr>
        <w:t xml:space="preserve">point prevalence estimates which either lack a true general population sample or the </w:t>
      </w:r>
      <w:r w:rsidR="007D03BD">
        <w:rPr>
          <w:rFonts w:cs="Arial"/>
        </w:rPr>
        <w:t>use</w:t>
      </w:r>
      <w:r w:rsidR="002B1000">
        <w:rPr>
          <w:rFonts w:cs="Arial"/>
        </w:rPr>
        <w:t xml:space="preserve"> </w:t>
      </w:r>
      <w:r w:rsidR="006F6D3F" w:rsidRPr="004A3A53">
        <w:rPr>
          <w:rFonts w:cs="Arial"/>
        </w:rPr>
        <w:t xml:space="preserve">of statistical methods to </w:t>
      </w:r>
      <w:r w:rsidR="000966F8">
        <w:rPr>
          <w:rFonts w:cs="Arial"/>
        </w:rPr>
        <w:t xml:space="preserve">extrapolate prevalence estimates back </w:t>
      </w:r>
      <w:r w:rsidR="00FE00F9">
        <w:rPr>
          <w:rFonts w:cs="Arial"/>
        </w:rPr>
        <w:t>to the gene</w:t>
      </w:r>
      <w:r w:rsidR="007D03BD">
        <w:rPr>
          <w:rFonts w:cs="Arial"/>
        </w:rPr>
        <w:t>r</w:t>
      </w:r>
      <w:r w:rsidR="00FE00F9">
        <w:rPr>
          <w:rFonts w:cs="Arial"/>
        </w:rPr>
        <w:t xml:space="preserve">al </w:t>
      </w:r>
      <w:r w:rsidR="003B0B97" w:rsidRPr="000966F8">
        <w:rPr>
          <w:rFonts w:cs="Arial"/>
        </w:rPr>
        <w:t>population</w:t>
      </w:r>
      <w:r w:rsidR="007D03BD">
        <w:rPr>
          <w:rFonts w:cs="Arial"/>
        </w:rPr>
        <w:t>, as employed in our study</w:t>
      </w:r>
      <w:r w:rsidR="003C19ED">
        <w:rPr>
          <w:rFonts w:cs="Arial"/>
        </w:rPr>
        <w:t xml:space="preserve"> [</w:t>
      </w:r>
      <w:r w:rsidR="000E11A8">
        <w:rPr>
          <w:rFonts w:cs="Arial"/>
        </w:rPr>
        <w:t>13</w:t>
      </w:r>
      <w:proofErr w:type="gramStart"/>
      <w:r w:rsidR="0018007E">
        <w:rPr>
          <w:rFonts w:cs="Arial"/>
        </w:rPr>
        <w:t>,</w:t>
      </w:r>
      <w:r w:rsidR="009F71A2">
        <w:rPr>
          <w:rFonts w:cs="Arial"/>
        </w:rPr>
        <w:t>49</w:t>
      </w:r>
      <w:proofErr w:type="gramEnd"/>
      <w:r w:rsidR="003C19ED">
        <w:rPr>
          <w:rFonts w:cs="Arial"/>
        </w:rPr>
        <w:t>]</w:t>
      </w:r>
      <w:r w:rsidR="003B0B97" w:rsidRPr="008B2BDC">
        <w:rPr>
          <w:rFonts w:cs="Arial"/>
        </w:rPr>
        <w:t>.</w:t>
      </w:r>
      <w:r w:rsidR="00D17740" w:rsidRPr="008B2BDC">
        <w:rPr>
          <w:rFonts w:cs="Arial"/>
        </w:rPr>
        <w:t xml:space="preserve"> </w:t>
      </w:r>
    </w:p>
    <w:p w14:paraId="20B0864D" w14:textId="77777777" w:rsidR="006F6D3F" w:rsidRPr="008A21C3" w:rsidRDefault="006F6D3F">
      <w:pPr>
        <w:spacing w:after="0" w:line="480" w:lineRule="auto"/>
        <w:rPr>
          <w:rFonts w:cs="Arial"/>
        </w:rPr>
      </w:pPr>
    </w:p>
    <w:p w14:paraId="3735FC14" w14:textId="5BE810BF" w:rsidR="008D2E5A" w:rsidRPr="00D90F26" w:rsidRDefault="00D6531E">
      <w:pPr>
        <w:spacing w:after="0" w:line="480" w:lineRule="auto"/>
        <w:rPr>
          <w:rFonts w:cs="Arial"/>
        </w:rPr>
      </w:pPr>
      <w:r w:rsidRPr="00E01B53">
        <w:rPr>
          <w:rFonts w:cs="Arial"/>
        </w:rPr>
        <w:lastRenderedPageBreak/>
        <w:t>When compared with symptomatic radiographic OA at the hand</w:t>
      </w:r>
      <w:r w:rsidR="009A707F">
        <w:rPr>
          <w:rFonts w:cs="Arial"/>
        </w:rPr>
        <w:t xml:space="preserve"> (15.0%)</w:t>
      </w:r>
      <w:r w:rsidRPr="00E01B53">
        <w:rPr>
          <w:rFonts w:cs="Arial"/>
        </w:rPr>
        <w:t>, hip</w:t>
      </w:r>
      <w:r w:rsidR="009A707F">
        <w:rPr>
          <w:rFonts w:cs="Arial"/>
        </w:rPr>
        <w:t xml:space="preserve"> (6.2%)</w:t>
      </w:r>
      <w:r w:rsidR="000D6B14" w:rsidRPr="00E01B53">
        <w:rPr>
          <w:rFonts w:cs="Arial"/>
        </w:rPr>
        <w:t xml:space="preserve">, </w:t>
      </w:r>
      <w:r w:rsidRPr="00644F54">
        <w:rPr>
          <w:rFonts w:cs="Arial"/>
        </w:rPr>
        <w:t>knee</w:t>
      </w:r>
      <w:r w:rsidR="000D6B14" w:rsidRPr="00644F54">
        <w:rPr>
          <w:rFonts w:cs="Arial"/>
        </w:rPr>
        <w:t xml:space="preserve"> </w:t>
      </w:r>
      <w:r w:rsidR="009A707F">
        <w:rPr>
          <w:rFonts w:cs="Arial"/>
        </w:rPr>
        <w:t>(1</w:t>
      </w:r>
      <w:r w:rsidR="00662BA4">
        <w:rPr>
          <w:rFonts w:cs="Arial"/>
        </w:rPr>
        <w:t>2.0</w:t>
      </w:r>
      <w:r w:rsidR="009A707F">
        <w:rPr>
          <w:rFonts w:cs="Arial"/>
        </w:rPr>
        <w:t xml:space="preserve">%) </w:t>
      </w:r>
      <w:r w:rsidR="000D6B14" w:rsidRPr="00644F54">
        <w:rPr>
          <w:rFonts w:cs="Arial"/>
        </w:rPr>
        <w:t xml:space="preserve">and </w:t>
      </w:r>
      <w:r w:rsidR="000D6B14" w:rsidRPr="00AE7F34">
        <w:rPr>
          <w:rFonts w:cs="Arial"/>
        </w:rPr>
        <w:t>foot</w:t>
      </w:r>
      <w:r w:rsidR="003B0B97" w:rsidRPr="003C19ED">
        <w:rPr>
          <w:rFonts w:cs="Arial"/>
        </w:rPr>
        <w:t xml:space="preserve"> </w:t>
      </w:r>
      <w:r w:rsidR="009924FD">
        <w:rPr>
          <w:rFonts w:cs="Arial"/>
        </w:rPr>
        <w:t xml:space="preserve">(16.7%) </w:t>
      </w:r>
      <w:r w:rsidR="003C19ED">
        <w:rPr>
          <w:rFonts w:cs="Arial"/>
        </w:rPr>
        <w:t>[</w:t>
      </w:r>
      <w:r w:rsidR="009F71A2">
        <w:rPr>
          <w:rFonts w:cs="Arial"/>
        </w:rPr>
        <w:t>35</w:t>
      </w:r>
      <w:proofErr w:type="gramStart"/>
      <w:r w:rsidR="003B0B97" w:rsidRPr="003C19ED">
        <w:rPr>
          <w:rFonts w:cs="Arial"/>
        </w:rPr>
        <w:t>,</w:t>
      </w:r>
      <w:r w:rsidR="00D5439A">
        <w:rPr>
          <w:rFonts w:cs="Arial"/>
        </w:rPr>
        <w:t>50</w:t>
      </w:r>
      <w:r w:rsidR="003B0B97" w:rsidRPr="003C19ED">
        <w:rPr>
          <w:rFonts w:cs="Arial"/>
        </w:rPr>
        <w:t>,</w:t>
      </w:r>
      <w:r w:rsidR="00D5439A">
        <w:rPr>
          <w:rFonts w:cs="Arial"/>
        </w:rPr>
        <w:t>51</w:t>
      </w:r>
      <w:proofErr w:type="gramEnd"/>
      <w:r w:rsidR="003C19ED">
        <w:rPr>
          <w:rFonts w:cs="Arial"/>
        </w:rPr>
        <w:t>]</w:t>
      </w:r>
      <w:r w:rsidR="002B6F36" w:rsidRPr="00E01B53">
        <w:rPr>
          <w:rFonts w:cs="Arial"/>
        </w:rPr>
        <w:t xml:space="preserve">, </w:t>
      </w:r>
      <w:r w:rsidR="007D03BD">
        <w:rPr>
          <w:rFonts w:cs="Arial"/>
        </w:rPr>
        <w:t xml:space="preserve">our </w:t>
      </w:r>
      <w:r w:rsidRPr="00E01B53">
        <w:rPr>
          <w:rFonts w:cs="Arial"/>
        </w:rPr>
        <w:t xml:space="preserve">prevalence </w:t>
      </w:r>
      <w:r w:rsidR="007D03BD">
        <w:rPr>
          <w:rFonts w:cs="Arial"/>
        </w:rPr>
        <w:t>estimate for</w:t>
      </w:r>
      <w:r w:rsidRPr="00E01B53">
        <w:rPr>
          <w:rFonts w:cs="Arial"/>
        </w:rPr>
        <w:t xml:space="preserve"> symptomatic radiographic ankle OA </w:t>
      </w:r>
      <w:r w:rsidR="009924FD">
        <w:rPr>
          <w:rFonts w:cs="Arial"/>
        </w:rPr>
        <w:t xml:space="preserve">(3.4%) </w:t>
      </w:r>
      <w:r w:rsidRPr="00E01B53">
        <w:rPr>
          <w:rFonts w:cs="Arial"/>
        </w:rPr>
        <w:t xml:space="preserve">is significantly lower. </w:t>
      </w:r>
      <w:r w:rsidR="00784B6E" w:rsidRPr="00234440">
        <w:rPr>
          <w:rFonts w:cs="Arial"/>
        </w:rPr>
        <w:t>O</w:t>
      </w:r>
      <w:r w:rsidR="008D2E5A" w:rsidRPr="005C6E86">
        <w:rPr>
          <w:rFonts w:cs="Arial"/>
        </w:rPr>
        <w:t xml:space="preserve">ne reason for this may be differences in the anatomical and biomechanical properties of cartilage </w:t>
      </w:r>
      <w:r w:rsidR="008D2E5A" w:rsidRPr="0062311E">
        <w:rPr>
          <w:rFonts w:cs="Arial"/>
        </w:rPr>
        <w:t>at the ankle joint</w:t>
      </w:r>
      <w:r w:rsidR="00611CE9">
        <w:rPr>
          <w:rFonts w:cs="Arial"/>
        </w:rPr>
        <w:t xml:space="preserve">, which may be more </w:t>
      </w:r>
      <w:r w:rsidR="00611CE9" w:rsidRPr="0062311E">
        <w:rPr>
          <w:rFonts w:cs="Arial"/>
        </w:rPr>
        <w:t>resilien</w:t>
      </w:r>
      <w:r w:rsidR="00611CE9">
        <w:rPr>
          <w:rFonts w:cs="Arial"/>
        </w:rPr>
        <w:t>t</w:t>
      </w:r>
      <w:r w:rsidR="00611CE9" w:rsidRPr="0062311E">
        <w:rPr>
          <w:rFonts w:cs="Arial"/>
        </w:rPr>
        <w:t xml:space="preserve"> </w:t>
      </w:r>
      <w:r w:rsidR="008D2E5A" w:rsidRPr="0062311E">
        <w:rPr>
          <w:rFonts w:cs="Arial"/>
        </w:rPr>
        <w:t>compared to other joints</w:t>
      </w:r>
      <w:r w:rsidR="003C19ED">
        <w:rPr>
          <w:rFonts w:cs="Arial"/>
        </w:rPr>
        <w:t xml:space="preserve"> [</w:t>
      </w:r>
      <w:r w:rsidR="00D5439A">
        <w:rPr>
          <w:rFonts w:cs="Arial"/>
        </w:rPr>
        <w:t>52</w:t>
      </w:r>
      <w:r w:rsidR="003C19ED">
        <w:rPr>
          <w:rFonts w:cs="Arial"/>
        </w:rPr>
        <w:t>]</w:t>
      </w:r>
      <w:r w:rsidR="008D2E5A" w:rsidRPr="008B2BDC">
        <w:rPr>
          <w:rFonts w:cs="Arial"/>
        </w:rPr>
        <w:t xml:space="preserve">. </w:t>
      </w:r>
      <w:r w:rsidR="00A44478" w:rsidRPr="00033AF0">
        <w:rPr>
          <w:rFonts w:cs="Arial"/>
          <w:noProof/>
        </w:rPr>
        <w:t>R</w:t>
      </w:r>
      <w:r w:rsidR="00CF3A1D" w:rsidRPr="00033AF0">
        <w:rPr>
          <w:rFonts w:cs="Arial"/>
          <w:noProof/>
        </w:rPr>
        <w:t>adiographic grade≥2</w:t>
      </w:r>
      <w:r w:rsidR="00611CE9" w:rsidRPr="00033AF0">
        <w:rPr>
          <w:rFonts w:cs="Arial"/>
          <w:noProof/>
        </w:rPr>
        <w:t>,</w:t>
      </w:r>
      <w:r w:rsidR="00E358A2" w:rsidRPr="00033AF0">
        <w:rPr>
          <w:rFonts w:cs="Arial"/>
          <w:noProof/>
        </w:rPr>
        <w:t xml:space="preserve"> </w:t>
      </w:r>
      <w:r w:rsidR="00132258" w:rsidRPr="00033AF0">
        <w:rPr>
          <w:rFonts w:cs="Arial"/>
          <w:noProof/>
        </w:rPr>
        <w:t>which was a required part of our definition of sy</w:t>
      </w:r>
      <w:r w:rsidR="005D0467" w:rsidRPr="00033AF0">
        <w:rPr>
          <w:rFonts w:cs="Arial"/>
          <w:noProof/>
        </w:rPr>
        <w:t>mptomatic radiographic ankle OA</w:t>
      </w:r>
      <w:r w:rsidR="009573BB" w:rsidRPr="00033AF0">
        <w:rPr>
          <w:rFonts w:cs="Arial"/>
          <w:noProof/>
        </w:rPr>
        <w:t>,</w:t>
      </w:r>
      <w:r w:rsidR="003C19ED" w:rsidRPr="00033AF0">
        <w:rPr>
          <w:rFonts w:cs="Arial"/>
          <w:noProof/>
        </w:rPr>
        <w:t xml:space="preserve"> </w:t>
      </w:r>
      <w:r w:rsidR="00AA3A40" w:rsidRPr="00033AF0">
        <w:rPr>
          <w:rFonts w:cs="Arial"/>
          <w:noProof/>
        </w:rPr>
        <w:t>is</w:t>
      </w:r>
      <w:r w:rsidR="006747A1" w:rsidRPr="00033AF0">
        <w:rPr>
          <w:rFonts w:cs="Arial"/>
          <w:noProof/>
        </w:rPr>
        <w:t xml:space="preserve"> comparable to the definition used for foot OA </w:t>
      </w:r>
      <w:r w:rsidR="00DF6E45" w:rsidRPr="00033AF0">
        <w:rPr>
          <w:rFonts w:cs="Arial"/>
          <w:noProof/>
        </w:rPr>
        <w:t>[3</w:t>
      </w:r>
      <w:r w:rsidR="00D5439A">
        <w:rPr>
          <w:rFonts w:cs="Arial"/>
          <w:noProof/>
        </w:rPr>
        <w:t>5</w:t>
      </w:r>
      <w:r w:rsidR="00DF6E45" w:rsidRPr="00033AF0">
        <w:rPr>
          <w:rFonts w:cs="Arial"/>
          <w:noProof/>
        </w:rPr>
        <w:t xml:space="preserve">] </w:t>
      </w:r>
      <w:r w:rsidR="009573BB" w:rsidRPr="00033AF0">
        <w:rPr>
          <w:rFonts w:cs="Arial"/>
          <w:noProof/>
        </w:rPr>
        <w:t xml:space="preserve">but </w:t>
      </w:r>
      <w:r w:rsidR="000E3882" w:rsidRPr="00033AF0">
        <w:rPr>
          <w:rFonts w:cs="Arial"/>
          <w:noProof/>
        </w:rPr>
        <w:t xml:space="preserve">is a </w:t>
      </w:r>
      <w:r w:rsidR="00AA3A40" w:rsidRPr="00033AF0">
        <w:rPr>
          <w:rFonts w:cs="Arial"/>
          <w:noProof/>
        </w:rPr>
        <w:t xml:space="preserve">higher threshold than </w:t>
      </w:r>
      <w:r w:rsidR="00DF6E45" w:rsidRPr="00033AF0">
        <w:rPr>
          <w:rFonts w:cs="Arial"/>
          <w:noProof/>
        </w:rPr>
        <w:t xml:space="preserve">tends to be </w:t>
      </w:r>
      <w:r w:rsidR="000E3882" w:rsidRPr="00033AF0">
        <w:rPr>
          <w:rFonts w:cs="Arial"/>
          <w:noProof/>
        </w:rPr>
        <w:t xml:space="preserve">used </w:t>
      </w:r>
      <w:r w:rsidR="009573BB" w:rsidRPr="00033AF0">
        <w:rPr>
          <w:rFonts w:cs="Arial"/>
          <w:noProof/>
        </w:rPr>
        <w:t>for</w:t>
      </w:r>
      <w:r w:rsidR="00D62A2F">
        <w:rPr>
          <w:rFonts w:cs="Arial"/>
          <w:noProof/>
        </w:rPr>
        <w:t xml:space="preserve"> radiographic </w:t>
      </w:r>
      <w:r w:rsidR="009573BB" w:rsidRPr="00033AF0">
        <w:rPr>
          <w:rFonts w:cs="Arial"/>
          <w:noProof/>
        </w:rPr>
        <w:t>knee, hip and hand OA</w:t>
      </w:r>
      <w:r w:rsidR="00A44478" w:rsidRPr="00033AF0">
        <w:rPr>
          <w:rFonts w:cs="Arial"/>
          <w:noProof/>
        </w:rPr>
        <w:t xml:space="preserve"> and</w:t>
      </w:r>
      <w:r w:rsidR="00B71AB5">
        <w:rPr>
          <w:rFonts w:cs="Arial"/>
          <w:noProof/>
        </w:rPr>
        <w:t xml:space="preserve"> </w:t>
      </w:r>
      <w:r w:rsidR="003D6CF2" w:rsidRPr="00033AF0">
        <w:rPr>
          <w:rFonts w:cs="Arial"/>
          <w:noProof/>
        </w:rPr>
        <w:t xml:space="preserve">could </w:t>
      </w:r>
      <w:r w:rsidR="00DF6E45" w:rsidRPr="00033AF0">
        <w:rPr>
          <w:rFonts w:cs="Arial"/>
          <w:noProof/>
        </w:rPr>
        <w:t xml:space="preserve">explain </w:t>
      </w:r>
      <w:r w:rsidR="00B71DDB">
        <w:rPr>
          <w:rFonts w:cs="Arial"/>
          <w:noProof/>
        </w:rPr>
        <w:t>our</w:t>
      </w:r>
      <w:r w:rsidR="003D6CF2" w:rsidRPr="00033AF0">
        <w:rPr>
          <w:rFonts w:cs="Arial"/>
          <w:noProof/>
        </w:rPr>
        <w:t xml:space="preserve"> estimate at the ankle in comparison to these sites </w:t>
      </w:r>
      <w:r w:rsidR="009573BB" w:rsidRPr="00033AF0">
        <w:rPr>
          <w:rFonts w:cs="Arial"/>
          <w:noProof/>
        </w:rPr>
        <w:t>[50</w:t>
      </w:r>
      <w:r w:rsidR="00D5439A">
        <w:rPr>
          <w:rFonts w:cs="Arial"/>
          <w:noProof/>
        </w:rPr>
        <w:t>,51</w:t>
      </w:r>
      <w:r w:rsidR="009573BB" w:rsidRPr="00033AF0">
        <w:rPr>
          <w:rFonts w:cs="Arial"/>
          <w:noProof/>
        </w:rPr>
        <w:t>]</w:t>
      </w:r>
      <w:r w:rsidR="008D2E5A" w:rsidRPr="00033AF0">
        <w:rPr>
          <w:rFonts w:cs="Arial"/>
          <w:noProof/>
        </w:rPr>
        <w:t>.</w:t>
      </w:r>
      <w:r w:rsidR="00B27F9C">
        <w:rPr>
          <w:rFonts w:cs="Arial"/>
          <w:noProof/>
        </w:rPr>
        <w:t xml:space="preserve"> </w:t>
      </w:r>
      <w:r w:rsidR="0082258F">
        <w:rPr>
          <w:rFonts w:cs="Arial"/>
          <w:noProof/>
        </w:rPr>
        <w:t>An</w:t>
      </w:r>
      <w:r w:rsidR="00546DF9">
        <w:rPr>
          <w:rFonts w:cs="Arial"/>
          <w:noProof/>
        </w:rPr>
        <w:t xml:space="preserve"> e</w:t>
      </w:r>
      <w:r w:rsidR="001150E2">
        <w:rPr>
          <w:rFonts w:cs="Arial"/>
          <w:noProof/>
        </w:rPr>
        <w:t xml:space="preserve">stimate </w:t>
      </w:r>
      <w:r w:rsidR="00546DF9">
        <w:rPr>
          <w:rFonts w:cs="Arial"/>
          <w:noProof/>
        </w:rPr>
        <w:t>of 8.8% was obt</w:t>
      </w:r>
      <w:r w:rsidR="007F5564">
        <w:rPr>
          <w:rFonts w:cs="Arial"/>
          <w:noProof/>
        </w:rPr>
        <w:t>a</w:t>
      </w:r>
      <w:r w:rsidR="00546DF9">
        <w:rPr>
          <w:rFonts w:cs="Arial"/>
          <w:noProof/>
        </w:rPr>
        <w:t xml:space="preserve">ined </w:t>
      </w:r>
      <w:r w:rsidR="001150E2">
        <w:rPr>
          <w:rFonts w:cs="Arial"/>
          <w:noProof/>
        </w:rPr>
        <w:t>usin</w:t>
      </w:r>
      <w:r w:rsidR="00546DF9">
        <w:rPr>
          <w:rFonts w:cs="Arial"/>
          <w:noProof/>
        </w:rPr>
        <w:t>g</w:t>
      </w:r>
      <w:r w:rsidR="001150E2">
        <w:rPr>
          <w:rFonts w:cs="Arial"/>
          <w:noProof/>
        </w:rPr>
        <w:t xml:space="preserve"> </w:t>
      </w:r>
      <w:r w:rsidR="00277AB4">
        <w:rPr>
          <w:rFonts w:cs="Arial"/>
          <w:noProof/>
        </w:rPr>
        <w:t>a lower threshold of severity (</w:t>
      </w:r>
      <w:r w:rsidR="001150E2">
        <w:rPr>
          <w:rFonts w:cs="Arial"/>
          <w:noProof/>
        </w:rPr>
        <w:t>grade</w:t>
      </w:r>
      <w:r w:rsidR="00277AB4">
        <w:rPr>
          <w:rFonts w:cs="Arial"/>
          <w:noProof/>
        </w:rPr>
        <w:t>≥</w:t>
      </w:r>
      <w:r w:rsidR="001150E2">
        <w:rPr>
          <w:rFonts w:cs="Arial"/>
          <w:noProof/>
        </w:rPr>
        <w:t>1</w:t>
      </w:r>
      <w:r w:rsidR="00277AB4">
        <w:rPr>
          <w:rFonts w:cs="Arial"/>
          <w:noProof/>
        </w:rPr>
        <w:t>)</w:t>
      </w:r>
      <w:r w:rsidR="001150E2">
        <w:rPr>
          <w:rFonts w:cs="Arial"/>
          <w:noProof/>
        </w:rPr>
        <w:t xml:space="preserve"> </w:t>
      </w:r>
      <w:r w:rsidR="00405D35">
        <w:rPr>
          <w:rFonts w:cs="Arial"/>
          <w:noProof/>
        </w:rPr>
        <w:t xml:space="preserve">for </w:t>
      </w:r>
      <w:r w:rsidR="00405D35" w:rsidRPr="00E01B53">
        <w:rPr>
          <w:rFonts w:cs="Arial"/>
        </w:rPr>
        <w:t xml:space="preserve">symptomatic radiographic </w:t>
      </w:r>
      <w:r w:rsidR="00405D35">
        <w:rPr>
          <w:rFonts w:cs="Arial"/>
          <w:noProof/>
        </w:rPr>
        <w:t>ankle OA</w:t>
      </w:r>
      <w:r w:rsidR="00207B3B">
        <w:rPr>
          <w:rFonts w:cs="Arial"/>
          <w:noProof/>
        </w:rPr>
        <w:t>,</w:t>
      </w:r>
      <w:r w:rsidR="00405D35">
        <w:rPr>
          <w:rFonts w:cs="Arial"/>
          <w:noProof/>
        </w:rPr>
        <w:t xml:space="preserve"> </w:t>
      </w:r>
      <w:r w:rsidR="002A0C28">
        <w:rPr>
          <w:rFonts w:cs="Arial"/>
          <w:noProof/>
        </w:rPr>
        <w:t xml:space="preserve">which </w:t>
      </w:r>
      <w:r w:rsidR="00207B3B">
        <w:rPr>
          <w:rFonts w:cs="Arial"/>
          <w:noProof/>
        </w:rPr>
        <w:t>i</w:t>
      </w:r>
      <w:r w:rsidR="00546DF9">
        <w:rPr>
          <w:rFonts w:cs="Arial"/>
          <w:noProof/>
        </w:rPr>
        <w:t>s</w:t>
      </w:r>
      <w:r w:rsidR="001150E2">
        <w:rPr>
          <w:rFonts w:cs="Arial"/>
          <w:noProof/>
        </w:rPr>
        <w:t xml:space="preserve"> </w:t>
      </w:r>
      <w:r w:rsidR="00277AB4" w:rsidRPr="00033AF0">
        <w:rPr>
          <w:rFonts w:cs="Arial"/>
          <w:noProof/>
        </w:rPr>
        <w:t>stilll</w:t>
      </w:r>
      <w:r w:rsidR="00405D35">
        <w:rPr>
          <w:rFonts w:cs="Arial"/>
          <w:noProof/>
        </w:rPr>
        <w:t xml:space="preserve"> lo</w:t>
      </w:r>
      <w:r w:rsidR="00277AB4">
        <w:rPr>
          <w:rFonts w:cs="Arial"/>
          <w:noProof/>
        </w:rPr>
        <w:t>w</w:t>
      </w:r>
      <w:r w:rsidR="00405D35">
        <w:rPr>
          <w:rFonts w:cs="Arial"/>
          <w:noProof/>
        </w:rPr>
        <w:t xml:space="preserve">er than </w:t>
      </w:r>
      <w:r w:rsidR="00207B3B">
        <w:rPr>
          <w:rFonts w:cs="Arial"/>
          <w:noProof/>
        </w:rPr>
        <w:t xml:space="preserve">estimates of </w:t>
      </w:r>
      <w:r w:rsidR="00405D35">
        <w:rPr>
          <w:rFonts w:cs="Arial"/>
          <w:noProof/>
        </w:rPr>
        <w:t>ha</w:t>
      </w:r>
      <w:r w:rsidR="00277AB4">
        <w:rPr>
          <w:rFonts w:cs="Arial"/>
          <w:noProof/>
        </w:rPr>
        <w:t>n</w:t>
      </w:r>
      <w:r w:rsidR="00405D35">
        <w:rPr>
          <w:rFonts w:cs="Arial"/>
          <w:noProof/>
        </w:rPr>
        <w:t>d</w:t>
      </w:r>
      <w:r w:rsidR="00277AB4">
        <w:rPr>
          <w:rFonts w:cs="Arial"/>
          <w:noProof/>
        </w:rPr>
        <w:t xml:space="preserve"> or knee OA</w:t>
      </w:r>
      <w:r w:rsidR="00EF39CF">
        <w:rPr>
          <w:rFonts w:cs="Arial"/>
          <w:noProof/>
        </w:rPr>
        <w:t>,</w:t>
      </w:r>
      <w:r w:rsidR="00277AB4">
        <w:rPr>
          <w:rFonts w:cs="Arial"/>
          <w:noProof/>
        </w:rPr>
        <w:t xml:space="preserve"> but</w:t>
      </w:r>
      <w:r w:rsidR="002A0C28">
        <w:rPr>
          <w:rFonts w:cs="Arial"/>
          <w:noProof/>
        </w:rPr>
        <w:t xml:space="preserve"> higher than hip OA</w:t>
      </w:r>
      <w:r w:rsidR="00E83E56">
        <w:rPr>
          <w:rFonts w:cs="Arial"/>
          <w:noProof/>
        </w:rPr>
        <w:t xml:space="preserve">. This </w:t>
      </w:r>
      <w:r w:rsidR="009272A3">
        <w:rPr>
          <w:rFonts w:cs="Arial"/>
          <w:noProof/>
        </w:rPr>
        <w:t>suggests</w:t>
      </w:r>
      <w:r w:rsidR="002A0C28">
        <w:rPr>
          <w:rFonts w:cs="Arial"/>
          <w:noProof/>
        </w:rPr>
        <w:t xml:space="preserve"> </w:t>
      </w:r>
      <w:r w:rsidR="002A0C28" w:rsidRPr="00C1352A">
        <w:rPr>
          <w:rFonts w:cs="Arial"/>
          <w:noProof/>
        </w:rPr>
        <w:t>that our prevalence estimate of 3.4% using the cut-off of</w:t>
      </w:r>
      <w:r w:rsidR="009A1E73">
        <w:rPr>
          <w:rFonts w:cs="Arial"/>
          <w:noProof/>
        </w:rPr>
        <w:t xml:space="preserve"> grade≥2 </w:t>
      </w:r>
      <w:r w:rsidR="00FB59A0">
        <w:rPr>
          <w:rFonts w:cs="Arial"/>
          <w:noProof/>
        </w:rPr>
        <w:t>c</w:t>
      </w:r>
      <w:r w:rsidR="009A1E73">
        <w:rPr>
          <w:rFonts w:cs="Arial"/>
          <w:noProof/>
        </w:rPr>
        <w:t xml:space="preserve">ould be considered </w:t>
      </w:r>
      <w:r w:rsidR="00FB59A0">
        <w:rPr>
          <w:rFonts w:cs="Arial"/>
          <w:noProof/>
        </w:rPr>
        <w:t xml:space="preserve">to be an estimate of </w:t>
      </w:r>
      <w:r w:rsidR="002A0C28" w:rsidRPr="00C1352A">
        <w:rPr>
          <w:rFonts w:cs="Arial"/>
          <w:noProof/>
        </w:rPr>
        <w:t xml:space="preserve">moderate to severe </w:t>
      </w:r>
      <w:r w:rsidR="009A1E73">
        <w:rPr>
          <w:rFonts w:cs="Arial"/>
          <w:noProof/>
        </w:rPr>
        <w:t xml:space="preserve">symptomatic radiographic </w:t>
      </w:r>
      <w:r w:rsidR="002A0C28" w:rsidRPr="00C1352A">
        <w:rPr>
          <w:rFonts w:cs="Arial"/>
          <w:noProof/>
        </w:rPr>
        <w:t>ankle OA</w:t>
      </w:r>
      <w:r w:rsidR="00C26E93" w:rsidRPr="00C1352A">
        <w:rPr>
          <w:rFonts w:cs="Arial"/>
          <w:noProof/>
        </w:rPr>
        <w:t>.</w:t>
      </w:r>
      <w:r w:rsidR="005721DD">
        <w:rPr>
          <w:rFonts w:cs="Arial"/>
        </w:rPr>
        <w:t xml:space="preserve"> </w:t>
      </w:r>
      <w:r w:rsidR="008E629A" w:rsidRPr="00033AF0">
        <w:rPr>
          <w:rFonts w:cs="Arial"/>
          <w:noProof/>
        </w:rPr>
        <w:t>Previous estimates for ankle pain in general adult populations range from 9%</w:t>
      </w:r>
      <w:r w:rsidR="003C19ED" w:rsidRPr="00033AF0">
        <w:rPr>
          <w:rFonts w:cs="Arial"/>
          <w:noProof/>
        </w:rPr>
        <w:t xml:space="preserve"> [</w:t>
      </w:r>
      <w:r w:rsidR="008E629A" w:rsidRPr="00033AF0">
        <w:rPr>
          <w:rFonts w:cs="Arial"/>
          <w:noProof/>
        </w:rPr>
        <w:t>4</w:t>
      </w:r>
      <w:r w:rsidR="003C19ED" w:rsidRPr="00033AF0">
        <w:rPr>
          <w:rFonts w:cs="Arial"/>
          <w:noProof/>
        </w:rPr>
        <w:t>]</w:t>
      </w:r>
      <w:r w:rsidR="008E629A" w:rsidRPr="00033AF0">
        <w:rPr>
          <w:rFonts w:cs="Arial"/>
          <w:noProof/>
        </w:rPr>
        <w:t xml:space="preserve"> to 15%</w:t>
      </w:r>
      <w:r w:rsidR="003C19ED" w:rsidRPr="00033AF0">
        <w:rPr>
          <w:rFonts w:cs="Arial"/>
          <w:noProof/>
        </w:rPr>
        <w:t xml:space="preserve"> [</w:t>
      </w:r>
      <w:r w:rsidR="008E629A" w:rsidRPr="00033AF0">
        <w:rPr>
          <w:rFonts w:cs="Arial"/>
          <w:noProof/>
        </w:rPr>
        <w:t>5</w:t>
      </w:r>
      <w:r w:rsidR="003C19ED" w:rsidRPr="00033AF0">
        <w:rPr>
          <w:rFonts w:cs="Arial"/>
          <w:noProof/>
        </w:rPr>
        <w:t>]</w:t>
      </w:r>
      <w:r w:rsidR="00611CE9" w:rsidRPr="00033AF0">
        <w:rPr>
          <w:rFonts w:cs="Arial"/>
          <w:noProof/>
        </w:rPr>
        <w:t>,</w:t>
      </w:r>
      <w:r w:rsidR="00621E2F" w:rsidRPr="00033AF0">
        <w:rPr>
          <w:rFonts w:cs="Arial"/>
          <w:noProof/>
        </w:rPr>
        <w:t xml:space="preserve"> although</w:t>
      </w:r>
      <w:r w:rsidR="008E629A" w:rsidRPr="00033AF0">
        <w:rPr>
          <w:rFonts w:cs="Arial"/>
          <w:noProof/>
        </w:rPr>
        <w:t xml:space="preserve"> the population</w:t>
      </w:r>
      <w:r w:rsidR="00311995" w:rsidRPr="00033AF0">
        <w:rPr>
          <w:rFonts w:cs="Arial"/>
          <w:noProof/>
        </w:rPr>
        <w:t xml:space="preserve">s </w:t>
      </w:r>
      <w:r w:rsidR="00621E2F" w:rsidRPr="00033AF0">
        <w:rPr>
          <w:rFonts w:cs="Arial"/>
          <w:noProof/>
        </w:rPr>
        <w:t>in these studies were more restricted in age</w:t>
      </w:r>
      <w:r w:rsidR="008E629A" w:rsidRPr="00033AF0">
        <w:rPr>
          <w:rFonts w:cs="Arial"/>
          <w:noProof/>
        </w:rPr>
        <w:t xml:space="preserve"> (25 years and over</w:t>
      </w:r>
      <w:r w:rsidR="00621E2F" w:rsidRPr="00033AF0">
        <w:rPr>
          <w:rFonts w:cs="Arial"/>
          <w:noProof/>
        </w:rPr>
        <w:t xml:space="preserve">, and </w:t>
      </w:r>
      <w:r w:rsidR="008E629A" w:rsidRPr="00033AF0">
        <w:rPr>
          <w:rFonts w:cs="Arial"/>
          <w:noProof/>
        </w:rPr>
        <w:t>65 years and over</w:t>
      </w:r>
      <w:r w:rsidR="00611CE9" w:rsidRPr="00033AF0">
        <w:rPr>
          <w:rFonts w:cs="Arial"/>
          <w:noProof/>
        </w:rPr>
        <w:t>,</w:t>
      </w:r>
      <w:r w:rsidR="008E629A" w:rsidRPr="00033AF0">
        <w:rPr>
          <w:rFonts w:cs="Arial"/>
          <w:noProof/>
        </w:rPr>
        <w:t xml:space="preserve"> respectively) and the</w:t>
      </w:r>
      <w:r w:rsidR="00611CE9" w:rsidRPr="00033AF0">
        <w:rPr>
          <w:rFonts w:cs="Arial"/>
          <w:noProof/>
        </w:rPr>
        <w:t>se studies employed</w:t>
      </w:r>
      <w:r w:rsidR="008E629A" w:rsidRPr="00033AF0">
        <w:rPr>
          <w:rFonts w:cs="Arial"/>
          <w:noProof/>
        </w:rPr>
        <w:t xml:space="preserve"> different time periods over which </w:t>
      </w:r>
      <w:r w:rsidR="00621E2F" w:rsidRPr="00033AF0">
        <w:rPr>
          <w:rFonts w:cs="Arial"/>
          <w:noProof/>
        </w:rPr>
        <w:t xml:space="preserve">the occurrence of </w:t>
      </w:r>
      <w:r w:rsidR="008E629A" w:rsidRPr="00033AF0">
        <w:rPr>
          <w:rFonts w:cs="Arial"/>
          <w:noProof/>
        </w:rPr>
        <w:t xml:space="preserve">ankle pain </w:t>
      </w:r>
      <w:r w:rsidR="00311995" w:rsidRPr="00033AF0">
        <w:rPr>
          <w:rFonts w:cs="Arial"/>
          <w:noProof/>
        </w:rPr>
        <w:t>was</w:t>
      </w:r>
      <w:r w:rsidR="008E629A" w:rsidRPr="00033AF0">
        <w:rPr>
          <w:rFonts w:cs="Arial"/>
          <w:noProof/>
        </w:rPr>
        <w:t xml:space="preserve"> </w:t>
      </w:r>
      <w:r w:rsidR="00821CE3" w:rsidRPr="00033AF0">
        <w:rPr>
          <w:rFonts w:cs="Arial"/>
          <w:noProof/>
        </w:rPr>
        <w:t xml:space="preserve">captured (12 month </w:t>
      </w:r>
      <w:r w:rsidR="00621E2F" w:rsidRPr="00033AF0">
        <w:rPr>
          <w:rFonts w:cs="Arial"/>
          <w:noProof/>
        </w:rPr>
        <w:t>and</w:t>
      </w:r>
      <w:r w:rsidR="00821CE3" w:rsidRPr="00033AF0">
        <w:rPr>
          <w:rFonts w:cs="Arial"/>
          <w:noProof/>
        </w:rPr>
        <w:t xml:space="preserve"> one month</w:t>
      </w:r>
      <w:r w:rsidR="008E629A" w:rsidRPr="00033AF0">
        <w:rPr>
          <w:rFonts w:cs="Arial"/>
          <w:noProof/>
        </w:rPr>
        <w:t xml:space="preserve"> respectively).</w:t>
      </w:r>
      <w:r w:rsidR="008E629A" w:rsidRPr="00AE7F34">
        <w:rPr>
          <w:rFonts w:cs="Arial"/>
        </w:rPr>
        <w:t xml:space="preserve"> </w:t>
      </w:r>
    </w:p>
    <w:p w14:paraId="1AB7C8AC" w14:textId="77777777" w:rsidR="007F4E5F" w:rsidRPr="00234440" w:rsidRDefault="007F4E5F">
      <w:pPr>
        <w:spacing w:after="0" w:line="480" w:lineRule="auto"/>
        <w:rPr>
          <w:rFonts w:cs="Arial"/>
        </w:rPr>
      </w:pPr>
    </w:p>
    <w:p w14:paraId="59A697CA" w14:textId="607EBBA4" w:rsidR="007F4E5F" w:rsidRDefault="00EC4981">
      <w:pPr>
        <w:pStyle w:val="CommentText"/>
        <w:spacing w:after="0" w:line="480" w:lineRule="auto"/>
        <w:rPr>
          <w:rFonts w:cs="Arial"/>
          <w:sz w:val="22"/>
          <w:szCs w:val="22"/>
        </w:rPr>
      </w:pPr>
      <w:r w:rsidRPr="0062311E">
        <w:rPr>
          <w:rFonts w:cs="Arial"/>
          <w:sz w:val="22"/>
          <w:szCs w:val="22"/>
        </w:rPr>
        <w:t>T</w:t>
      </w:r>
      <w:r w:rsidR="008D2E5A" w:rsidRPr="0062311E">
        <w:rPr>
          <w:rFonts w:cs="Arial"/>
          <w:sz w:val="22"/>
          <w:szCs w:val="22"/>
        </w:rPr>
        <w:t xml:space="preserve">he prevalence of </w:t>
      </w:r>
      <w:r w:rsidR="001F4A14" w:rsidRPr="0062311E">
        <w:rPr>
          <w:rFonts w:cs="Arial"/>
          <w:sz w:val="22"/>
          <w:szCs w:val="22"/>
        </w:rPr>
        <w:t xml:space="preserve">both </w:t>
      </w:r>
      <w:r w:rsidR="00803CA0" w:rsidRPr="0062311E">
        <w:rPr>
          <w:rFonts w:cs="Arial"/>
          <w:sz w:val="22"/>
          <w:szCs w:val="22"/>
        </w:rPr>
        <w:t xml:space="preserve">ankle pain and </w:t>
      </w:r>
      <w:r w:rsidR="008D2E5A" w:rsidRPr="0062311E">
        <w:rPr>
          <w:rFonts w:cs="Arial"/>
          <w:sz w:val="22"/>
          <w:szCs w:val="22"/>
        </w:rPr>
        <w:t xml:space="preserve">symptomatic, radiographic ankle OA </w:t>
      </w:r>
      <w:r w:rsidRPr="0062311E">
        <w:rPr>
          <w:rFonts w:cs="Arial"/>
          <w:sz w:val="22"/>
          <w:szCs w:val="22"/>
        </w:rPr>
        <w:t>was</w:t>
      </w:r>
      <w:r w:rsidR="008D2E5A" w:rsidRPr="008C1EF0">
        <w:rPr>
          <w:rFonts w:cs="Arial"/>
          <w:sz w:val="22"/>
          <w:szCs w:val="22"/>
        </w:rPr>
        <w:t xml:space="preserve"> </w:t>
      </w:r>
      <w:r w:rsidR="0029640D" w:rsidRPr="00A81B3E">
        <w:rPr>
          <w:rFonts w:cs="Arial"/>
          <w:sz w:val="22"/>
          <w:szCs w:val="22"/>
        </w:rPr>
        <w:t xml:space="preserve">slightly </w:t>
      </w:r>
      <w:r w:rsidR="008D2E5A" w:rsidRPr="00BF061C">
        <w:rPr>
          <w:rFonts w:cs="Arial"/>
          <w:sz w:val="22"/>
          <w:szCs w:val="22"/>
        </w:rPr>
        <w:t xml:space="preserve">higher in females than males. </w:t>
      </w:r>
      <w:r w:rsidR="00502040" w:rsidRPr="003A0550">
        <w:rPr>
          <w:rFonts w:cs="Arial"/>
          <w:sz w:val="22"/>
          <w:szCs w:val="22"/>
        </w:rPr>
        <w:t xml:space="preserve">Increased prevalence of ankle pain in females as also noted in the previous ankle pain studies, but </w:t>
      </w:r>
      <w:r w:rsidR="009B3871">
        <w:rPr>
          <w:rFonts w:cs="Arial"/>
          <w:sz w:val="22"/>
          <w:szCs w:val="22"/>
        </w:rPr>
        <w:t>may</w:t>
      </w:r>
      <w:r w:rsidR="00502040" w:rsidRPr="003A0550">
        <w:rPr>
          <w:rFonts w:cs="Arial"/>
          <w:sz w:val="22"/>
          <w:szCs w:val="22"/>
        </w:rPr>
        <w:t xml:space="preserve"> reflect </w:t>
      </w:r>
      <w:r w:rsidR="009B3871">
        <w:rPr>
          <w:rFonts w:cs="Arial"/>
          <w:sz w:val="22"/>
          <w:szCs w:val="22"/>
        </w:rPr>
        <w:t xml:space="preserve">previous </w:t>
      </w:r>
      <w:r w:rsidR="00502040" w:rsidRPr="003A0550">
        <w:rPr>
          <w:rFonts w:cs="Arial"/>
          <w:sz w:val="22"/>
          <w:szCs w:val="22"/>
        </w:rPr>
        <w:t>findings that females are more likely and willing than men to report pain</w:t>
      </w:r>
      <w:r w:rsidR="00502040" w:rsidRPr="003C19ED">
        <w:rPr>
          <w:rFonts w:cs="Arial"/>
          <w:sz w:val="22"/>
          <w:szCs w:val="22"/>
        </w:rPr>
        <w:t xml:space="preserve"> </w:t>
      </w:r>
      <w:r w:rsidR="003C19ED">
        <w:rPr>
          <w:rFonts w:cs="Arial"/>
          <w:sz w:val="22"/>
          <w:szCs w:val="22"/>
        </w:rPr>
        <w:t>[</w:t>
      </w:r>
      <w:r w:rsidR="00E90774" w:rsidRPr="003C19ED">
        <w:rPr>
          <w:rFonts w:cs="Arial"/>
          <w:sz w:val="22"/>
          <w:szCs w:val="22"/>
        </w:rPr>
        <w:t>4</w:t>
      </w:r>
      <w:proofErr w:type="gramStart"/>
      <w:r w:rsidR="00E90774" w:rsidRPr="003C19ED">
        <w:rPr>
          <w:rFonts w:cs="Arial"/>
          <w:sz w:val="22"/>
          <w:szCs w:val="22"/>
        </w:rPr>
        <w:t>,</w:t>
      </w:r>
      <w:r w:rsidR="005D0467" w:rsidRPr="003C19ED">
        <w:rPr>
          <w:rFonts w:cs="Arial"/>
          <w:sz w:val="22"/>
          <w:szCs w:val="22"/>
        </w:rPr>
        <w:t>5</w:t>
      </w:r>
      <w:r w:rsidR="00E90774" w:rsidRPr="003C19ED">
        <w:rPr>
          <w:rFonts w:cs="Arial"/>
          <w:sz w:val="22"/>
          <w:szCs w:val="22"/>
        </w:rPr>
        <w:t>,</w:t>
      </w:r>
      <w:r w:rsidR="005D0467" w:rsidRPr="003C19ED">
        <w:rPr>
          <w:rFonts w:cs="Arial"/>
          <w:sz w:val="22"/>
          <w:szCs w:val="22"/>
        </w:rPr>
        <w:t>5</w:t>
      </w:r>
      <w:r w:rsidR="0018007E">
        <w:rPr>
          <w:rFonts w:cs="Arial"/>
          <w:sz w:val="22"/>
          <w:szCs w:val="22"/>
        </w:rPr>
        <w:t>3</w:t>
      </w:r>
      <w:proofErr w:type="gramEnd"/>
      <w:r w:rsidR="00E90774" w:rsidRPr="003C19ED">
        <w:rPr>
          <w:rFonts w:cs="Arial"/>
          <w:sz w:val="22"/>
          <w:szCs w:val="22"/>
        </w:rPr>
        <w:t>-</w:t>
      </w:r>
      <w:r w:rsidR="0018007E">
        <w:rPr>
          <w:rFonts w:cs="Arial"/>
          <w:sz w:val="22"/>
          <w:szCs w:val="22"/>
        </w:rPr>
        <w:t>56</w:t>
      </w:r>
      <w:r w:rsidR="003C19ED">
        <w:rPr>
          <w:rFonts w:cs="Arial"/>
          <w:sz w:val="22"/>
          <w:szCs w:val="22"/>
        </w:rPr>
        <w:t>]</w:t>
      </w:r>
      <w:r w:rsidR="00502040" w:rsidRPr="008B2BDC">
        <w:rPr>
          <w:rFonts w:cs="Arial"/>
          <w:sz w:val="22"/>
          <w:szCs w:val="22"/>
        </w:rPr>
        <w:t xml:space="preserve">. </w:t>
      </w:r>
      <w:r w:rsidR="0029640D" w:rsidRPr="003C19ED">
        <w:rPr>
          <w:rFonts w:cs="Arial"/>
          <w:sz w:val="22"/>
          <w:szCs w:val="22"/>
        </w:rPr>
        <w:t>This</w:t>
      </w:r>
      <w:r w:rsidR="008D2E5A" w:rsidRPr="003C19ED">
        <w:rPr>
          <w:rFonts w:cs="Arial"/>
          <w:sz w:val="22"/>
          <w:szCs w:val="22"/>
        </w:rPr>
        <w:t xml:space="preserve"> gender pattern</w:t>
      </w:r>
      <w:r w:rsidR="00160763" w:rsidRPr="003C19ED">
        <w:rPr>
          <w:rFonts w:cs="Arial"/>
          <w:sz w:val="22"/>
          <w:szCs w:val="22"/>
        </w:rPr>
        <w:t>,</w:t>
      </w:r>
      <w:r w:rsidR="008D2E5A" w:rsidRPr="00E01B53">
        <w:rPr>
          <w:rFonts w:cs="Arial"/>
          <w:sz w:val="22"/>
          <w:szCs w:val="22"/>
        </w:rPr>
        <w:t xml:space="preserve"> </w:t>
      </w:r>
      <w:r w:rsidR="00160763" w:rsidRPr="00E01B53">
        <w:rPr>
          <w:rFonts w:cs="Arial"/>
          <w:sz w:val="22"/>
          <w:szCs w:val="22"/>
        </w:rPr>
        <w:t>while not previously examined in</w:t>
      </w:r>
      <w:r w:rsidR="00160763" w:rsidRPr="00644F54">
        <w:rPr>
          <w:rFonts w:cs="Arial"/>
          <w:sz w:val="22"/>
          <w:szCs w:val="22"/>
        </w:rPr>
        <w:t xml:space="preserve"> the general population at the ankle, </w:t>
      </w:r>
      <w:r w:rsidR="00C84B54" w:rsidRPr="00AE7F34">
        <w:rPr>
          <w:rFonts w:cs="Arial"/>
          <w:sz w:val="22"/>
          <w:szCs w:val="22"/>
        </w:rPr>
        <w:t xml:space="preserve">is </w:t>
      </w:r>
      <w:r w:rsidR="00FC4E4C">
        <w:rPr>
          <w:rFonts w:cs="Arial"/>
          <w:sz w:val="22"/>
          <w:szCs w:val="22"/>
        </w:rPr>
        <w:t>observed</w:t>
      </w:r>
      <w:r w:rsidR="00FC4E4C" w:rsidRPr="00D90F26">
        <w:rPr>
          <w:rFonts w:cs="Arial"/>
          <w:sz w:val="22"/>
          <w:szCs w:val="22"/>
        </w:rPr>
        <w:t xml:space="preserve"> </w:t>
      </w:r>
      <w:r w:rsidR="006D1903" w:rsidRPr="00D90F26">
        <w:rPr>
          <w:rFonts w:cs="Arial"/>
          <w:sz w:val="22"/>
          <w:szCs w:val="22"/>
        </w:rPr>
        <w:t xml:space="preserve">in </w:t>
      </w:r>
      <w:r w:rsidR="008D2E5A" w:rsidRPr="00033AF0">
        <w:rPr>
          <w:rFonts w:cs="Arial"/>
          <w:noProof/>
          <w:sz w:val="22"/>
          <w:szCs w:val="22"/>
        </w:rPr>
        <w:t>knee</w:t>
      </w:r>
      <w:r w:rsidR="008D2E5A" w:rsidRPr="00D90F26">
        <w:rPr>
          <w:rFonts w:cs="Arial"/>
          <w:sz w:val="22"/>
          <w:szCs w:val="22"/>
        </w:rPr>
        <w:t xml:space="preserve"> and hand </w:t>
      </w:r>
      <w:r w:rsidR="00160763" w:rsidRPr="00234440">
        <w:rPr>
          <w:rFonts w:cs="Arial"/>
          <w:sz w:val="22"/>
          <w:szCs w:val="22"/>
        </w:rPr>
        <w:t xml:space="preserve">OA but is less marked </w:t>
      </w:r>
      <w:r w:rsidR="00260B2C" w:rsidRPr="005C6E86">
        <w:rPr>
          <w:rFonts w:cs="Arial"/>
          <w:sz w:val="22"/>
          <w:szCs w:val="22"/>
        </w:rPr>
        <w:t>at the hip</w:t>
      </w:r>
      <w:r w:rsidR="003C19ED">
        <w:rPr>
          <w:rFonts w:cs="Arial"/>
          <w:sz w:val="22"/>
          <w:szCs w:val="22"/>
        </w:rPr>
        <w:t xml:space="preserve"> [</w:t>
      </w:r>
      <w:r w:rsidR="001B49C8">
        <w:rPr>
          <w:rFonts w:cs="Arial"/>
          <w:sz w:val="22"/>
          <w:szCs w:val="22"/>
        </w:rPr>
        <w:t>50</w:t>
      </w:r>
      <w:proofErr w:type="gramStart"/>
      <w:r w:rsidR="0018007E">
        <w:rPr>
          <w:rFonts w:cs="Arial"/>
          <w:sz w:val="22"/>
          <w:szCs w:val="22"/>
        </w:rPr>
        <w:t>,57,58</w:t>
      </w:r>
      <w:proofErr w:type="gramEnd"/>
      <w:r w:rsidR="003C19ED">
        <w:rPr>
          <w:rFonts w:cs="Arial"/>
          <w:sz w:val="22"/>
          <w:szCs w:val="22"/>
        </w:rPr>
        <w:t>]</w:t>
      </w:r>
      <w:r w:rsidR="008D2E5A" w:rsidRPr="008B2BDC">
        <w:rPr>
          <w:rFonts w:cs="Arial"/>
          <w:sz w:val="22"/>
          <w:szCs w:val="22"/>
        </w:rPr>
        <w:t xml:space="preserve">. </w:t>
      </w:r>
      <w:r w:rsidR="00260B2C" w:rsidRPr="008B2BDC">
        <w:rPr>
          <w:rFonts w:cs="Arial"/>
          <w:sz w:val="22"/>
          <w:szCs w:val="22"/>
        </w:rPr>
        <w:t>Gender</w:t>
      </w:r>
      <w:r w:rsidR="002557C3" w:rsidRPr="003C19ED">
        <w:rPr>
          <w:rFonts w:cs="Arial"/>
          <w:sz w:val="22"/>
          <w:szCs w:val="22"/>
        </w:rPr>
        <w:t xml:space="preserve"> differences </w:t>
      </w:r>
      <w:r w:rsidR="00754B06" w:rsidRPr="003C19ED">
        <w:rPr>
          <w:rFonts w:cs="Arial"/>
          <w:sz w:val="22"/>
          <w:szCs w:val="22"/>
        </w:rPr>
        <w:t>could</w:t>
      </w:r>
      <w:r w:rsidR="00533954" w:rsidRPr="003C19ED">
        <w:rPr>
          <w:rFonts w:cs="Arial"/>
          <w:sz w:val="22"/>
          <w:szCs w:val="22"/>
        </w:rPr>
        <w:t xml:space="preserve"> be due </w:t>
      </w:r>
      <w:r w:rsidR="00821CE3" w:rsidRPr="003C19ED">
        <w:rPr>
          <w:rFonts w:cs="Arial"/>
          <w:sz w:val="22"/>
          <w:szCs w:val="22"/>
        </w:rPr>
        <w:t xml:space="preserve">to </w:t>
      </w:r>
      <w:r w:rsidR="004B770B" w:rsidRPr="003C19ED">
        <w:rPr>
          <w:rFonts w:cs="Arial"/>
          <w:sz w:val="22"/>
          <w:szCs w:val="22"/>
        </w:rPr>
        <w:t xml:space="preserve">referred pain or </w:t>
      </w:r>
      <w:r w:rsidR="00754B06" w:rsidRPr="00E01B53">
        <w:rPr>
          <w:rFonts w:cs="Arial"/>
          <w:sz w:val="22"/>
          <w:szCs w:val="22"/>
        </w:rPr>
        <w:t xml:space="preserve">biomechanical </w:t>
      </w:r>
      <w:r w:rsidR="00FC4E4C">
        <w:rPr>
          <w:rFonts w:cs="Arial"/>
          <w:sz w:val="22"/>
          <w:szCs w:val="22"/>
        </w:rPr>
        <w:t xml:space="preserve">consequences of </w:t>
      </w:r>
      <w:r w:rsidR="00754B06" w:rsidRPr="00D90F26">
        <w:rPr>
          <w:rFonts w:cs="Arial"/>
          <w:sz w:val="22"/>
          <w:szCs w:val="22"/>
        </w:rPr>
        <w:t>other</w:t>
      </w:r>
      <w:r w:rsidR="00533954" w:rsidRPr="00D90F26">
        <w:rPr>
          <w:rFonts w:cs="Arial"/>
          <w:sz w:val="22"/>
          <w:szCs w:val="22"/>
        </w:rPr>
        <w:t xml:space="preserve"> </w:t>
      </w:r>
      <w:r w:rsidR="00FC4E4C">
        <w:rPr>
          <w:rFonts w:cs="Arial"/>
          <w:sz w:val="22"/>
          <w:szCs w:val="22"/>
        </w:rPr>
        <w:t>conditions</w:t>
      </w:r>
      <w:r w:rsidR="00FC4E4C" w:rsidRPr="00D90F26">
        <w:rPr>
          <w:rFonts w:cs="Arial"/>
          <w:sz w:val="22"/>
          <w:szCs w:val="22"/>
        </w:rPr>
        <w:t xml:space="preserve"> </w:t>
      </w:r>
      <w:r w:rsidR="00533954" w:rsidRPr="00D90F26">
        <w:rPr>
          <w:rFonts w:cs="Arial"/>
          <w:sz w:val="22"/>
          <w:szCs w:val="22"/>
        </w:rPr>
        <w:t xml:space="preserve">such as hallux </w:t>
      </w:r>
      <w:r w:rsidR="00754B06" w:rsidRPr="000966F8">
        <w:rPr>
          <w:rFonts w:cs="Arial"/>
          <w:sz w:val="22"/>
          <w:szCs w:val="22"/>
        </w:rPr>
        <w:t>valgus</w:t>
      </w:r>
      <w:r w:rsidR="006D1903" w:rsidRPr="00FE00F9">
        <w:rPr>
          <w:rFonts w:cs="Arial"/>
          <w:sz w:val="22"/>
          <w:szCs w:val="22"/>
        </w:rPr>
        <w:t xml:space="preserve"> and ankle sprains, both of which</w:t>
      </w:r>
      <w:r w:rsidR="006D1903" w:rsidRPr="00CE2BFB">
        <w:rPr>
          <w:rFonts w:cs="Arial"/>
          <w:sz w:val="22"/>
          <w:szCs w:val="22"/>
        </w:rPr>
        <w:t xml:space="preserve"> are also </w:t>
      </w:r>
      <w:r w:rsidR="00292A9E" w:rsidRPr="00CE2BFB">
        <w:rPr>
          <w:rFonts w:cs="Arial"/>
          <w:sz w:val="22"/>
          <w:szCs w:val="22"/>
        </w:rPr>
        <w:t>kn</w:t>
      </w:r>
      <w:r w:rsidR="006D1903" w:rsidRPr="00CE2BFB">
        <w:rPr>
          <w:rFonts w:cs="Arial"/>
          <w:sz w:val="22"/>
          <w:szCs w:val="22"/>
        </w:rPr>
        <w:t>own to have a higher prevalence in females</w:t>
      </w:r>
      <w:r w:rsidR="003C19ED">
        <w:rPr>
          <w:rFonts w:cs="Arial"/>
          <w:sz w:val="22"/>
          <w:szCs w:val="22"/>
        </w:rPr>
        <w:t xml:space="preserve"> [</w:t>
      </w:r>
      <w:r w:rsidR="0018007E">
        <w:rPr>
          <w:rFonts w:cs="Arial"/>
          <w:sz w:val="22"/>
          <w:szCs w:val="22"/>
        </w:rPr>
        <w:t>59</w:t>
      </w:r>
      <w:proofErr w:type="gramStart"/>
      <w:r w:rsidR="0018007E">
        <w:rPr>
          <w:rFonts w:cs="Arial"/>
          <w:sz w:val="22"/>
          <w:szCs w:val="22"/>
        </w:rPr>
        <w:t>,60</w:t>
      </w:r>
      <w:proofErr w:type="gramEnd"/>
      <w:r w:rsidR="003C19ED">
        <w:rPr>
          <w:rFonts w:cs="Arial"/>
          <w:sz w:val="22"/>
          <w:szCs w:val="22"/>
        </w:rPr>
        <w:t>]</w:t>
      </w:r>
      <w:r w:rsidR="00754B06" w:rsidRPr="008B2BDC">
        <w:rPr>
          <w:rFonts w:cs="Arial"/>
          <w:sz w:val="22"/>
          <w:szCs w:val="22"/>
        </w:rPr>
        <w:t>.</w:t>
      </w:r>
      <w:r w:rsidR="00260B2C" w:rsidRPr="008B2BDC">
        <w:rPr>
          <w:rFonts w:cs="Arial"/>
          <w:sz w:val="22"/>
          <w:szCs w:val="22"/>
        </w:rPr>
        <w:t xml:space="preserve"> </w:t>
      </w:r>
      <w:r w:rsidR="00821CE3" w:rsidRPr="00033AF0">
        <w:rPr>
          <w:rFonts w:cs="Arial"/>
          <w:noProof/>
          <w:sz w:val="22"/>
          <w:szCs w:val="22"/>
        </w:rPr>
        <w:t>In addition</w:t>
      </w:r>
      <w:r w:rsidR="00FC4E4C">
        <w:rPr>
          <w:rFonts w:cs="Arial"/>
          <w:sz w:val="22"/>
          <w:szCs w:val="22"/>
        </w:rPr>
        <w:t>,</w:t>
      </w:r>
      <w:r w:rsidR="00821CE3" w:rsidRPr="003C19ED">
        <w:rPr>
          <w:rFonts w:cs="Arial"/>
          <w:sz w:val="22"/>
          <w:szCs w:val="22"/>
        </w:rPr>
        <w:t xml:space="preserve"> there is also the increased risk of OA identified in older women </w:t>
      </w:r>
      <w:r w:rsidR="00CE2BFB">
        <w:rPr>
          <w:rFonts w:cs="Arial"/>
          <w:sz w:val="22"/>
          <w:szCs w:val="22"/>
        </w:rPr>
        <w:t xml:space="preserve">that </w:t>
      </w:r>
      <w:r w:rsidR="00CE2BFB" w:rsidRPr="00033AF0">
        <w:rPr>
          <w:rFonts w:cs="Arial"/>
          <w:noProof/>
          <w:sz w:val="22"/>
          <w:szCs w:val="22"/>
        </w:rPr>
        <w:t>is</w:t>
      </w:r>
      <w:r w:rsidR="00CE2BFB">
        <w:rPr>
          <w:rFonts w:cs="Arial"/>
          <w:sz w:val="22"/>
          <w:szCs w:val="22"/>
        </w:rPr>
        <w:t xml:space="preserve"> thought to be </w:t>
      </w:r>
      <w:r w:rsidR="00821CE3" w:rsidRPr="003C19ED">
        <w:rPr>
          <w:rFonts w:cs="Arial"/>
          <w:sz w:val="22"/>
          <w:szCs w:val="22"/>
        </w:rPr>
        <w:t>due to the reduction i</w:t>
      </w:r>
      <w:r w:rsidR="008D2E5A" w:rsidRPr="003C19ED">
        <w:rPr>
          <w:rFonts w:cs="Arial"/>
          <w:sz w:val="22"/>
          <w:szCs w:val="22"/>
        </w:rPr>
        <w:t xml:space="preserve">n </w:t>
      </w:r>
      <w:r w:rsidR="00FC4E4C">
        <w:rPr>
          <w:rFonts w:cs="Arial"/>
          <w:sz w:val="22"/>
          <w:szCs w:val="22"/>
        </w:rPr>
        <w:t xml:space="preserve">post-menopausal </w:t>
      </w:r>
      <w:r w:rsidR="008D2E5A" w:rsidRPr="003C19ED">
        <w:rPr>
          <w:rFonts w:cs="Arial"/>
          <w:sz w:val="22"/>
          <w:szCs w:val="22"/>
        </w:rPr>
        <w:t>oestrogen production</w:t>
      </w:r>
      <w:r w:rsidR="000616A9" w:rsidRPr="003C19ED">
        <w:rPr>
          <w:rFonts w:cs="Arial"/>
          <w:sz w:val="22"/>
          <w:szCs w:val="22"/>
        </w:rPr>
        <w:t xml:space="preserve"> </w:t>
      </w:r>
      <w:r w:rsidR="003C19ED">
        <w:rPr>
          <w:rFonts w:cs="Arial"/>
          <w:sz w:val="22"/>
          <w:szCs w:val="22"/>
        </w:rPr>
        <w:t>[</w:t>
      </w:r>
      <w:r w:rsidR="0018007E">
        <w:rPr>
          <w:rFonts w:cs="Arial"/>
          <w:sz w:val="22"/>
          <w:szCs w:val="22"/>
        </w:rPr>
        <w:t>58</w:t>
      </w:r>
      <w:proofErr w:type="gramStart"/>
      <w:r w:rsidR="0018007E">
        <w:rPr>
          <w:rFonts w:cs="Arial"/>
          <w:sz w:val="22"/>
          <w:szCs w:val="22"/>
        </w:rPr>
        <w:t>,</w:t>
      </w:r>
      <w:r w:rsidR="0018007E" w:rsidRPr="002B1000">
        <w:rPr>
          <w:rFonts w:cs="Arial"/>
          <w:sz w:val="22"/>
          <w:szCs w:val="22"/>
        </w:rPr>
        <w:t>61</w:t>
      </w:r>
      <w:proofErr w:type="gramEnd"/>
      <w:r w:rsidR="003C19ED" w:rsidRPr="002B1000">
        <w:rPr>
          <w:rFonts w:cs="Arial"/>
          <w:sz w:val="22"/>
          <w:szCs w:val="22"/>
        </w:rPr>
        <w:t>]</w:t>
      </w:r>
      <w:r w:rsidR="008D2E5A" w:rsidRPr="002B1000">
        <w:rPr>
          <w:rFonts w:cs="Arial"/>
          <w:sz w:val="22"/>
          <w:szCs w:val="22"/>
        </w:rPr>
        <w:t xml:space="preserve">. </w:t>
      </w:r>
      <w:r w:rsidR="00803CA0" w:rsidRPr="002B1000">
        <w:rPr>
          <w:rFonts w:cs="Arial"/>
          <w:sz w:val="22"/>
          <w:szCs w:val="22"/>
        </w:rPr>
        <w:t>The high</w:t>
      </w:r>
      <w:r w:rsidR="00D47E49" w:rsidRPr="002B1000">
        <w:rPr>
          <w:rFonts w:cs="Arial"/>
          <w:sz w:val="22"/>
          <w:szCs w:val="22"/>
        </w:rPr>
        <w:t>er</w:t>
      </w:r>
      <w:r w:rsidR="00803CA0" w:rsidRPr="002B1000">
        <w:rPr>
          <w:rFonts w:cs="Arial"/>
          <w:sz w:val="22"/>
          <w:szCs w:val="22"/>
        </w:rPr>
        <w:t xml:space="preserve"> prevalence</w:t>
      </w:r>
      <w:r w:rsidR="00F3186B" w:rsidRPr="002B1000">
        <w:rPr>
          <w:rFonts w:cs="Arial"/>
          <w:sz w:val="22"/>
          <w:szCs w:val="22"/>
        </w:rPr>
        <w:t xml:space="preserve"> estimates of ankle pain </w:t>
      </w:r>
      <w:r w:rsidR="001F7FDF" w:rsidRPr="002B1000">
        <w:rPr>
          <w:rFonts w:cs="Arial"/>
          <w:sz w:val="22"/>
          <w:szCs w:val="22"/>
        </w:rPr>
        <w:t xml:space="preserve">and slightly higher estimates of symptomatic radiographic ankle OA </w:t>
      </w:r>
      <w:r w:rsidR="0018007E" w:rsidRPr="002B1000">
        <w:rPr>
          <w:rFonts w:cs="Arial"/>
          <w:sz w:val="22"/>
          <w:szCs w:val="22"/>
        </w:rPr>
        <w:t>in adults aged 50-64 years</w:t>
      </w:r>
      <w:r w:rsidR="00D47E49" w:rsidRPr="002B1000">
        <w:rPr>
          <w:rFonts w:cs="Arial"/>
          <w:sz w:val="22"/>
          <w:szCs w:val="22"/>
        </w:rPr>
        <w:t xml:space="preserve"> contradict</w:t>
      </w:r>
      <w:r w:rsidR="00D30A91" w:rsidRPr="002B1000">
        <w:rPr>
          <w:rFonts w:cs="Arial"/>
          <w:sz w:val="22"/>
          <w:szCs w:val="22"/>
        </w:rPr>
        <w:t>s</w:t>
      </w:r>
      <w:r w:rsidR="00D47E49" w:rsidRPr="002B1000">
        <w:rPr>
          <w:rFonts w:cs="Arial"/>
          <w:sz w:val="22"/>
          <w:szCs w:val="22"/>
        </w:rPr>
        <w:t xml:space="preserve"> other </w:t>
      </w:r>
      <w:r w:rsidR="009B3871" w:rsidRPr="002B1000">
        <w:rPr>
          <w:rFonts w:cs="Arial"/>
          <w:sz w:val="22"/>
          <w:szCs w:val="22"/>
        </w:rPr>
        <w:t>studies</w:t>
      </w:r>
      <w:r w:rsidR="00D47E49" w:rsidRPr="002B1000">
        <w:rPr>
          <w:rFonts w:cs="Arial"/>
          <w:sz w:val="22"/>
          <w:szCs w:val="22"/>
        </w:rPr>
        <w:t xml:space="preserve"> which report a positive </w:t>
      </w:r>
      <w:r w:rsidR="009B3871" w:rsidRPr="002B1000">
        <w:rPr>
          <w:rFonts w:cs="Arial"/>
          <w:sz w:val="22"/>
          <w:szCs w:val="22"/>
        </w:rPr>
        <w:t>association</w:t>
      </w:r>
      <w:r w:rsidR="002B1000" w:rsidRPr="002B1000">
        <w:rPr>
          <w:rFonts w:cs="Arial"/>
          <w:sz w:val="22"/>
          <w:szCs w:val="22"/>
        </w:rPr>
        <w:t xml:space="preserve"> between </w:t>
      </w:r>
      <w:r w:rsidR="00D47E49" w:rsidRPr="002B1000">
        <w:rPr>
          <w:rFonts w:cs="Arial"/>
          <w:sz w:val="22"/>
          <w:szCs w:val="22"/>
        </w:rPr>
        <w:t>age and the prevalence of symptomatic radiographic OA</w:t>
      </w:r>
      <w:r w:rsidR="003C19ED" w:rsidRPr="002B1000">
        <w:rPr>
          <w:rFonts w:cs="Arial"/>
          <w:sz w:val="22"/>
          <w:szCs w:val="22"/>
        </w:rPr>
        <w:t xml:space="preserve"> [</w:t>
      </w:r>
      <w:r w:rsidR="001B49C8">
        <w:rPr>
          <w:rFonts w:cs="Arial"/>
          <w:sz w:val="22"/>
          <w:szCs w:val="22"/>
        </w:rPr>
        <w:t>47</w:t>
      </w:r>
      <w:r w:rsidR="00A51BC3" w:rsidRPr="002B1000">
        <w:rPr>
          <w:rFonts w:cs="Arial"/>
          <w:sz w:val="22"/>
          <w:szCs w:val="22"/>
        </w:rPr>
        <w:t>,</w:t>
      </w:r>
      <w:r w:rsidR="0018007E" w:rsidRPr="002B1000">
        <w:rPr>
          <w:rFonts w:cs="Arial"/>
          <w:color w:val="222222"/>
          <w:sz w:val="22"/>
          <w:szCs w:val="22"/>
          <w:shd w:val="clear" w:color="auto" w:fill="FFFFFF"/>
        </w:rPr>
        <w:t>62,63</w:t>
      </w:r>
      <w:r w:rsidR="00A51BC3" w:rsidRPr="002B1000">
        <w:rPr>
          <w:rFonts w:cs="Arial"/>
          <w:color w:val="222222"/>
          <w:sz w:val="22"/>
          <w:szCs w:val="22"/>
          <w:shd w:val="clear" w:color="auto" w:fill="FFFFFF"/>
        </w:rPr>
        <w:t>,</w:t>
      </w:r>
      <w:r w:rsidR="0018007E" w:rsidRPr="002B1000">
        <w:rPr>
          <w:rFonts w:cs="Arial"/>
          <w:color w:val="222222"/>
          <w:sz w:val="22"/>
          <w:szCs w:val="22"/>
          <w:shd w:val="clear" w:color="auto" w:fill="FFFFFF"/>
        </w:rPr>
        <w:t>64</w:t>
      </w:r>
      <w:r w:rsidR="003C19ED" w:rsidRPr="002B1000">
        <w:rPr>
          <w:rFonts w:cs="Arial"/>
          <w:color w:val="222222"/>
          <w:sz w:val="22"/>
          <w:szCs w:val="22"/>
          <w:shd w:val="clear" w:color="auto" w:fill="FFFFFF"/>
        </w:rPr>
        <w:t>]</w:t>
      </w:r>
      <w:r w:rsidR="00D47E49" w:rsidRPr="002B1000">
        <w:rPr>
          <w:rFonts w:cs="Arial"/>
          <w:sz w:val="22"/>
          <w:szCs w:val="22"/>
        </w:rPr>
        <w:t>.</w:t>
      </w:r>
      <w:r w:rsidR="00083791" w:rsidRPr="002B1000">
        <w:rPr>
          <w:rFonts w:cs="Arial"/>
          <w:sz w:val="22"/>
          <w:szCs w:val="22"/>
        </w:rPr>
        <w:t xml:space="preserve"> </w:t>
      </w:r>
      <w:r w:rsidR="0026406D" w:rsidRPr="002B1000">
        <w:rPr>
          <w:rFonts w:cs="Arial"/>
          <w:sz w:val="22"/>
          <w:szCs w:val="22"/>
        </w:rPr>
        <w:t xml:space="preserve">However, decreases in </w:t>
      </w:r>
      <w:r w:rsidR="0026406D" w:rsidRPr="00033AF0">
        <w:rPr>
          <w:rFonts w:cs="Arial"/>
          <w:noProof/>
          <w:sz w:val="22"/>
          <w:szCs w:val="22"/>
        </w:rPr>
        <w:t>prevalence</w:t>
      </w:r>
      <w:r w:rsidR="0026406D" w:rsidRPr="002B1000">
        <w:rPr>
          <w:rFonts w:cs="Arial"/>
          <w:sz w:val="22"/>
          <w:szCs w:val="22"/>
        </w:rPr>
        <w:t xml:space="preserve"> </w:t>
      </w:r>
      <w:r w:rsidR="00382B52" w:rsidRPr="002B1000">
        <w:rPr>
          <w:rFonts w:cs="Arial"/>
          <w:sz w:val="22"/>
          <w:szCs w:val="22"/>
        </w:rPr>
        <w:t xml:space="preserve">of joint pain and OA </w:t>
      </w:r>
      <w:r w:rsidR="0026406D" w:rsidRPr="002B1000">
        <w:rPr>
          <w:rFonts w:cs="Arial"/>
          <w:sz w:val="22"/>
          <w:szCs w:val="22"/>
        </w:rPr>
        <w:t xml:space="preserve">in older ages has </w:t>
      </w:r>
      <w:r w:rsidR="0026406D" w:rsidRPr="00033AF0">
        <w:rPr>
          <w:rFonts w:cs="Arial"/>
          <w:noProof/>
          <w:sz w:val="22"/>
          <w:szCs w:val="22"/>
        </w:rPr>
        <w:t>been reported</w:t>
      </w:r>
      <w:r w:rsidR="0026406D" w:rsidRPr="002B1000">
        <w:rPr>
          <w:rFonts w:cs="Arial"/>
          <w:sz w:val="22"/>
          <w:szCs w:val="22"/>
        </w:rPr>
        <w:t xml:space="preserve">, though less </w:t>
      </w:r>
      <w:r w:rsidR="0026406D" w:rsidRPr="002B1000">
        <w:rPr>
          <w:rFonts w:cs="Arial"/>
          <w:sz w:val="22"/>
          <w:szCs w:val="22"/>
        </w:rPr>
        <w:lastRenderedPageBreak/>
        <w:t>commonly</w:t>
      </w:r>
      <w:r w:rsidR="003C19ED" w:rsidRPr="002B1000">
        <w:rPr>
          <w:rFonts w:cs="Arial"/>
          <w:sz w:val="22"/>
          <w:szCs w:val="22"/>
        </w:rPr>
        <w:t xml:space="preserve"> [</w:t>
      </w:r>
      <w:r w:rsidR="00382B52" w:rsidRPr="002B1000">
        <w:rPr>
          <w:rFonts w:cs="Arial"/>
          <w:sz w:val="22"/>
          <w:szCs w:val="22"/>
        </w:rPr>
        <w:t>4</w:t>
      </w:r>
      <w:proofErr w:type="gramStart"/>
      <w:r w:rsidR="00382B52" w:rsidRPr="002B1000">
        <w:rPr>
          <w:rFonts w:cs="Arial"/>
          <w:sz w:val="22"/>
          <w:szCs w:val="22"/>
        </w:rPr>
        <w:t>,</w:t>
      </w:r>
      <w:r w:rsidR="001B49C8">
        <w:rPr>
          <w:rFonts w:cs="Arial"/>
          <w:sz w:val="22"/>
          <w:szCs w:val="22"/>
        </w:rPr>
        <w:t>47</w:t>
      </w:r>
      <w:r w:rsidR="0018007E" w:rsidRPr="002B1000">
        <w:rPr>
          <w:rFonts w:cs="Arial"/>
          <w:sz w:val="22"/>
          <w:szCs w:val="22"/>
        </w:rPr>
        <w:t>,65</w:t>
      </w:r>
      <w:proofErr w:type="gramEnd"/>
      <w:r w:rsidR="003C19ED" w:rsidRPr="002B1000">
        <w:rPr>
          <w:rFonts w:cs="Arial"/>
          <w:sz w:val="22"/>
          <w:szCs w:val="22"/>
        </w:rPr>
        <w:t>]</w:t>
      </w:r>
      <w:r w:rsidR="00382B52" w:rsidRPr="002B1000">
        <w:rPr>
          <w:rFonts w:cs="Arial"/>
          <w:sz w:val="22"/>
          <w:szCs w:val="22"/>
        </w:rPr>
        <w:t>.</w:t>
      </w:r>
      <w:r w:rsidR="00803CA0" w:rsidRPr="002B1000">
        <w:rPr>
          <w:rFonts w:cs="Arial"/>
          <w:sz w:val="22"/>
          <w:szCs w:val="22"/>
        </w:rPr>
        <w:t xml:space="preserve"> </w:t>
      </w:r>
      <w:r w:rsidR="003C68EC" w:rsidRPr="002B1000">
        <w:rPr>
          <w:rFonts w:cs="Arial"/>
          <w:sz w:val="22"/>
          <w:szCs w:val="22"/>
        </w:rPr>
        <w:t>O</w:t>
      </w:r>
      <w:r w:rsidR="00803CA0" w:rsidRPr="002B1000">
        <w:rPr>
          <w:rFonts w:cs="Arial"/>
          <w:sz w:val="22"/>
          <w:szCs w:val="22"/>
        </w:rPr>
        <w:t>lder age</w:t>
      </w:r>
      <w:r w:rsidR="002F6089" w:rsidRPr="002B1000">
        <w:rPr>
          <w:rFonts w:cs="Arial"/>
          <w:sz w:val="22"/>
          <w:szCs w:val="22"/>
        </w:rPr>
        <w:t xml:space="preserve"> is unlikely to affect structural changes </w:t>
      </w:r>
      <w:r w:rsidR="00FC4E4C" w:rsidRPr="002B1000">
        <w:rPr>
          <w:rFonts w:cs="Arial"/>
          <w:sz w:val="22"/>
          <w:szCs w:val="22"/>
        </w:rPr>
        <w:t xml:space="preserve">observed </w:t>
      </w:r>
      <w:r w:rsidR="002F6089" w:rsidRPr="002C3302">
        <w:rPr>
          <w:rFonts w:cs="Arial"/>
          <w:noProof/>
          <w:sz w:val="22"/>
          <w:szCs w:val="22"/>
        </w:rPr>
        <w:t>radiographically,</w:t>
      </w:r>
      <w:r w:rsidR="002F6089" w:rsidRPr="002B1000">
        <w:rPr>
          <w:rFonts w:cs="Arial"/>
          <w:sz w:val="22"/>
          <w:szCs w:val="22"/>
        </w:rPr>
        <w:t xml:space="preserve"> but </w:t>
      </w:r>
      <w:r w:rsidR="00803CA0" w:rsidRPr="002B1000">
        <w:rPr>
          <w:rFonts w:cs="Arial"/>
          <w:sz w:val="22"/>
          <w:szCs w:val="22"/>
        </w:rPr>
        <w:t xml:space="preserve">may </w:t>
      </w:r>
      <w:r w:rsidR="002F6089" w:rsidRPr="002B1000">
        <w:rPr>
          <w:rFonts w:cs="Arial"/>
          <w:sz w:val="22"/>
          <w:szCs w:val="22"/>
        </w:rPr>
        <w:t>affect the reporting of pain</w:t>
      </w:r>
      <w:r w:rsidR="00803CA0" w:rsidRPr="002B1000">
        <w:rPr>
          <w:rFonts w:cs="Arial"/>
          <w:sz w:val="22"/>
          <w:szCs w:val="22"/>
        </w:rPr>
        <w:t xml:space="preserve"> due to stoicism, altered perception of pain or poor recall</w:t>
      </w:r>
      <w:r w:rsidR="003C19ED" w:rsidRPr="002B1000">
        <w:rPr>
          <w:rFonts w:cs="Arial"/>
          <w:sz w:val="22"/>
          <w:szCs w:val="22"/>
        </w:rPr>
        <w:t xml:space="preserve"> [</w:t>
      </w:r>
      <w:r w:rsidR="0018007E" w:rsidRPr="002B1000">
        <w:rPr>
          <w:rFonts w:cs="Arial"/>
          <w:sz w:val="22"/>
          <w:szCs w:val="22"/>
        </w:rPr>
        <w:t>66</w:t>
      </w:r>
      <w:r w:rsidR="003C19ED" w:rsidRPr="002B1000">
        <w:rPr>
          <w:rFonts w:cs="Arial"/>
          <w:sz w:val="22"/>
          <w:szCs w:val="22"/>
        </w:rPr>
        <w:t>]</w:t>
      </w:r>
      <w:r w:rsidR="00803CA0" w:rsidRPr="002B1000">
        <w:rPr>
          <w:rFonts w:cs="Arial"/>
          <w:sz w:val="22"/>
          <w:szCs w:val="22"/>
        </w:rPr>
        <w:t>.</w:t>
      </w:r>
      <w:r w:rsidR="00C11554" w:rsidRPr="002B1000">
        <w:rPr>
          <w:rFonts w:cs="Arial"/>
          <w:sz w:val="22"/>
          <w:szCs w:val="22"/>
        </w:rPr>
        <w:t xml:space="preserve"> However, i</w:t>
      </w:r>
      <w:r w:rsidR="00803CA0" w:rsidRPr="002B1000">
        <w:rPr>
          <w:rFonts w:cs="Arial"/>
          <w:sz w:val="22"/>
          <w:szCs w:val="22"/>
        </w:rPr>
        <w:t xml:space="preserve">t is also possible that there is more pronounced healthy cohort effect in </w:t>
      </w:r>
      <w:r w:rsidR="00FC4E4C" w:rsidRPr="002B1000">
        <w:rPr>
          <w:rFonts w:cs="Arial"/>
          <w:sz w:val="22"/>
          <w:szCs w:val="22"/>
        </w:rPr>
        <w:t xml:space="preserve">older </w:t>
      </w:r>
      <w:r w:rsidR="00803CA0" w:rsidRPr="002B1000">
        <w:rPr>
          <w:rFonts w:cs="Arial"/>
          <w:sz w:val="22"/>
          <w:szCs w:val="22"/>
        </w:rPr>
        <w:t>participants who took part in the study.</w:t>
      </w:r>
      <w:r w:rsidR="008D2E5A" w:rsidRPr="002B1000">
        <w:rPr>
          <w:rFonts w:cs="Arial"/>
          <w:sz w:val="22"/>
          <w:szCs w:val="22"/>
        </w:rPr>
        <w:t xml:space="preserve"> </w:t>
      </w:r>
      <w:r w:rsidR="007F4E5F" w:rsidRPr="002B1000">
        <w:rPr>
          <w:rFonts w:cs="Arial"/>
          <w:sz w:val="22"/>
          <w:szCs w:val="22"/>
        </w:rPr>
        <w:t xml:space="preserve">No previous studies have investigated the prevalence trends for ankle pain and socioeconomic </w:t>
      </w:r>
      <w:r w:rsidR="007F4E5F" w:rsidRPr="00033AF0">
        <w:rPr>
          <w:rFonts w:cs="Arial"/>
          <w:noProof/>
          <w:sz w:val="22"/>
          <w:szCs w:val="22"/>
        </w:rPr>
        <w:t>status</w:t>
      </w:r>
      <w:r w:rsidR="007F4E5F" w:rsidRPr="002C3302">
        <w:rPr>
          <w:rFonts w:cs="Arial"/>
          <w:noProof/>
          <w:sz w:val="22"/>
          <w:szCs w:val="22"/>
        </w:rPr>
        <w:t>, however</w:t>
      </w:r>
      <w:r w:rsidR="007F4E5F" w:rsidRPr="002B1000">
        <w:rPr>
          <w:rFonts w:cs="Arial"/>
          <w:sz w:val="22"/>
          <w:szCs w:val="22"/>
        </w:rPr>
        <w:t xml:space="preserve"> the increased prevalence in routine and manual occupational classes found in this study is consistent with patterns seen for other musculoskeletal pain and</w:t>
      </w:r>
      <w:r w:rsidR="008B7768" w:rsidRPr="002B1000">
        <w:rPr>
          <w:rFonts w:cs="Arial"/>
          <w:sz w:val="22"/>
          <w:szCs w:val="22"/>
        </w:rPr>
        <w:t xml:space="preserve"> OA</w:t>
      </w:r>
      <w:r w:rsidR="003C19ED" w:rsidRPr="002B1000">
        <w:rPr>
          <w:rFonts w:cs="Arial"/>
          <w:sz w:val="22"/>
          <w:szCs w:val="22"/>
        </w:rPr>
        <w:t xml:space="preserve"> [</w:t>
      </w:r>
      <w:r w:rsidR="002374B4" w:rsidRPr="002B1000">
        <w:rPr>
          <w:rFonts w:cs="Arial"/>
          <w:sz w:val="22"/>
          <w:szCs w:val="22"/>
        </w:rPr>
        <w:t>5</w:t>
      </w:r>
      <w:r w:rsidR="0018007E" w:rsidRPr="002B1000">
        <w:rPr>
          <w:rFonts w:cs="Arial"/>
          <w:sz w:val="22"/>
          <w:szCs w:val="22"/>
        </w:rPr>
        <w:t>5</w:t>
      </w:r>
      <w:proofErr w:type="gramStart"/>
      <w:r w:rsidR="0018007E" w:rsidRPr="002B1000">
        <w:rPr>
          <w:rFonts w:cs="Arial"/>
          <w:sz w:val="22"/>
          <w:szCs w:val="22"/>
        </w:rPr>
        <w:t>,67</w:t>
      </w:r>
      <w:proofErr w:type="gramEnd"/>
      <w:r w:rsidR="003C19ED" w:rsidRPr="002B1000">
        <w:rPr>
          <w:rFonts w:cs="Arial"/>
          <w:sz w:val="22"/>
          <w:szCs w:val="22"/>
        </w:rPr>
        <w:t>]</w:t>
      </w:r>
      <w:r w:rsidR="008B7768" w:rsidRPr="002B1000">
        <w:rPr>
          <w:rFonts w:cs="Arial"/>
          <w:sz w:val="22"/>
          <w:szCs w:val="22"/>
        </w:rPr>
        <w:t xml:space="preserve">. </w:t>
      </w:r>
      <w:r w:rsidR="008B7768" w:rsidRPr="002C3302">
        <w:rPr>
          <w:rFonts w:cs="Arial"/>
          <w:noProof/>
          <w:sz w:val="22"/>
          <w:szCs w:val="22"/>
        </w:rPr>
        <w:t>This</w:t>
      </w:r>
      <w:r w:rsidR="007F4E5F" w:rsidRPr="003C19ED">
        <w:rPr>
          <w:rFonts w:cs="Arial"/>
          <w:sz w:val="22"/>
          <w:szCs w:val="22"/>
        </w:rPr>
        <w:t xml:space="preserve"> is likely to be due to the high physical demands and heavy workloads experienced by employees in manual and routine occupations.</w:t>
      </w:r>
    </w:p>
    <w:p w14:paraId="3AB2F212" w14:textId="77777777" w:rsidR="00DD11F1" w:rsidRDefault="00DD11F1">
      <w:pPr>
        <w:pStyle w:val="CommentText"/>
        <w:spacing w:after="0" w:line="480" w:lineRule="auto"/>
        <w:rPr>
          <w:rFonts w:cs="Arial"/>
          <w:sz w:val="22"/>
          <w:szCs w:val="22"/>
        </w:rPr>
      </w:pPr>
    </w:p>
    <w:p w14:paraId="7C33CE3F" w14:textId="41F38A82" w:rsidR="00DD11F1" w:rsidRPr="003C19ED" w:rsidRDefault="00C16510">
      <w:pPr>
        <w:pStyle w:val="CommentText"/>
        <w:spacing w:after="0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While </w:t>
      </w:r>
      <w:r w:rsidR="0003689D">
        <w:rPr>
          <w:rFonts w:cs="Arial"/>
          <w:sz w:val="22"/>
          <w:szCs w:val="22"/>
        </w:rPr>
        <w:t xml:space="preserve">we examined the effect of </w:t>
      </w:r>
      <w:r w:rsidR="00F86568">
        <w:rPr>
          <w:rFonts w:cs="Arial"/>
          <w:sz w:val="22"/>
          <w:szCs w:val="22"/>
        </w:rPr>
        <w:t xml:space="preserve">person-level </w:t>
      </w:r>
      <w:r w:rsidR="0003689D">
        <w:rPr>
          <w:rFonts w:cs="Arial"/>
          <w:sz w:val="22"/>
          <w:szCs w:val="22"/>
        </w:rPr>
        <w:t xml:space="preserve">risk factors </w:t>
      </w:r>
      <w:r w:rsidR="00F86568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age, gender and socioeconomic status</w:t>
      </w:r>
      <w:r w:rsidR="00F86568">
        <w:rPr>
          <w:rFonts w:cs="Arial"/>
          <w:sz w:val="22"/>
          <w:szCs w:val="22"/>
        </w:rPr>
        <w:t xml:space="preserve">) have on </w:t>
      </w:r>
      <w:r w:rsidR="002C3302">
        <w:rPr>
          <w:rFonts w:cs="Arial"/>
          <w:sz w:val="22"/>
          <w:szCs w:val="22"/>
        </w:rPr>
        <w:t xml:space="preserve">ankle </w:t>
      </w:r>
      <w:r w:rsidR="00F86568">
        <w:rPr>
          <w:rFonts w:cs="Arial"/>
          <w:sz w:val="22"/>
          <w:szCs w:val="22"/>
        </w:rPr>
        <w:t xml:space="preserve">OA prevalence </w:t>
      </w:r>
      <w:r w:rsidR="00F86568" w:rsidRPr="002C3302">
        <w:rPr>
          <w:rFonts w:cs="Arial"/>
          <w:noProof/>
          <w:sz w:val="22"/>
          <w:szCs w:val="22"/>
        </w:rPr>
        <w:t xml:space="preserve">there are other </w:t>
      </w:r>
      <w:r w:rsidR="00A42062" w:rsidRPr="002C3302">
        <w:rPr>
          <w:rFonts w:cs="Arial"/>
          <w:noProof/>
          <w:sz w:val="22"/>
          <w:szCs w:val="22"/>
        </w:rPr>
        <w:t xml:space="preserve">notable </w:t>
      </w:r>
      <w:r w:rsidR="009F13BF" w:rsidRPr="002C3302">
        <w:rPr>
          <w:rFonts w:cs="Arial"/>
          <w:noProof/>
          <w:sz w:val="22"/>
          <w:szCs w:val="22"/>
        </w:rPr>
        <w:t xml:space="preserve">joint-level </w:t>
      </w:r>
      <w:r w:rsidR="00F86568" w:rsidRPr="002C3302">
        <w:rPr>
          <w:rFonts w:cs="Arial"/>
          <w:noProof/>
          <w:sz w:val="22"/>
          <w:szCs w:val="22"/>
        </w:rPr>
        <w:t xml:space="preserve">risk factors </w:t>
      </w:r>
      <w:r w:rsidR="009F13BF" w:rsidRPr="002C3302">
        <w:rPr>
          <w:rFonts w:cs="Arial"/>
          <w:noProof/>
          <w:sz w:val="22"/>
          <w:szCs w:val="22"/>
        </w:rPr>
        <w:t>that should</w:t>
      </w:r>
      <w:r w:rsidR="009F13BF">
        <w:rPr>
          <w:rFonts w:cs="Arial"/>
          <w:sz w:val="22"/>
          <w:szCs w:val="22"/>
        </w:rPr>
        <w:t xml:space="preserve"> </w:t>
      </w:r>
      <w:r w:rsidR="009F13BF" w:rsidRPr="002C3302">
        <w:rPr>
          <w:rFonts w:cs="Arial"/>
          <w:noProof/>
          <w:sz w:val="22"/>
          <w:szCs w:val="22"/>
        </w:rPr>
        <w:t>be acknowledged</w:t>
      </w:r>
      <w:r w:rsidR="009F13BF">
        <w:rPr>
          <w:rFonts w:cs="Arial"/>
          <w:sz w:val="22"/>
          <w:szCs w:val="22"/>
        </w:rPr>
        <w:t xml:space="preserve"> for ankle OA. </w:t>
      </w:r>
      <w:r w:rsidR="00DD11F1">
        <w:rPr>
          <w:rFonts w:cs="Arial"/>
          <w:sz w:val="22"/>
          <w:szCs w:val="22"/>
        </w:rPr>
        <w:t xml:space="preserve">Previous injury or trauma to the ankle or surrounding structures </w:t>
      </w:r>
      <w:r>
        <w:rPr>
          <w:rFonts w:cs="Arial"/>
          <w:sz w:val="22"/>
          <w:szCs w:val="22"/>
        </w:rPr>
        <w:t xml:space="preserve">has </w:t>
      </w:r>
      <w:r w:rsidRPr="002C3302">
        <w:rPr>
          <w:rFonts w:cs="Arial"/>
          <w:noProof/>
          <w:sz w:val="22"/>
          <w:szCs w:val="22"/>
        </w:rPr>
        <w:t xml:space="preserve">been </w:t>
      </w:r>
      <w:r w:rsidR="00DD11F1" w:rsidRPr="002C3302">
        <w:rPr>
          <w:rFonts w:cs="Arial"/>
          <w:noProof/>
          <w:sz w:val="22"/>
          <w:szCs w:val="22"/>
        </w:rPr>
        <w:t>recognised</w:t>
      </w:r>
      <w:r w:rsidR="00DD11F1">
        <w:rPr>
          <w:rFonts w:cs="Arial"/>
          <w:sz w:val="22"/>
          <w:szCs w:val="22"/>
        </w:rPr>
        <w:t xml:space="preserve"> as </w:t>
      </w:r>
      <w:r w:rsidR="00CB64A8">
        <w:rPr>
          <w:rFonts w:cs="Arial"/>
          <w:sz w:val="22"/>
          <w:szCs w:val="22"/>
        </w:rPr>
        <w:t>an important localised risk factor for the</w:t>
      </w:r>
      <w:r w:rsidR="00DD11F1">
        <w:rPr>
          <w:rFonts w:cs="Arial"/>
          <w:sz w:val="22"/>
          <w:szCs w:val="22"/>
        </w:rPr>
        <w:t xml:space="preserve"> subsequent development of ankle OA </w:t>
      </w:r>
      <w:r w:rsidR="00561F10">
        <w:rPr>
          <w:rFonts w:cs="Arial"/>
          <w:sz w:val="22"/>
          <w:szCs w:val="22"/>
        </w:rPr>
        <w:t>[</w:t>
      </w:r>
      <w:r w:rsidR="00DD11F1">
        <w:rPr>
          <w:rFonts w:cs="Arial"/>
          <w:sz w:val="22"/>
          <w:szCs w:val="22"/>
        </w:rPr>
        <w:t>Saltzman 2005</w:t>
      </w:r>
      <w:r w:rsidR="00561F10">
        <w:rPr>
          <w:rFonts w:cs="Arial"/>
          <w:sz w:val="22"/>
          <w:szCs w:val="22"/>
        </w:rPr>
        <w:t>]</w:t>
      </w:r>
      <w:r w:rsidR="00DD11F1">
        <w:rPr>
          <w:rFonts w:cs="Arial"/>
          <w:sz w:val="22"/>
          <w:szCs w:val="22"/>
        </w:rPr>
        <w:t xml:space="preserve">. </w:t>
      </w:r>
      <w:r w:rsidR="00222ACB">
        <w:rPr>
          <w:rFonts w:cs="Arial"/>
          <w:sz w:val="22"/>
          <w:szCs w:val="22"/>
        </w:rPr>
        <w:t xml:space="preserve">However, this </w:t>
      </w:r>
      <w:r w:rsidR="00C763D7">
        <w:rPr>
          <w:rFonts w:cs="Arial"/>
          <w:sz w:val="22"/>
          <w:szCs w:val="22"/>
        </w:rPr>
        <w:t xml:space="preserve">study </w:t>
      </w:r>
      <w:r w:rsidR="00222ACB">
        <w:rPr>
          <w:rFonts w:cs="Arial"/>
          <w:sz w:val="22"/>
          <w:szCs w:val="22"/>
        </w:rPr>
        <w:t xml:space="preserve">was </w:t>
      </w:r>
      <w:r w:rsidR="00C763D7">
        <w:rPr>
          <w:rFonts w:cs="Arial"/>
          <w:sz w:val="22"/>
          <w:szCs w:val="22"/>
        </w:rPr>
        <w:t xml:space="preserve">undertaken in patients from </w:t>
      </w:r>
      <w:r w:rsidR="00222ACB">
        <w:rPr>
          <w:rFonts w:cs="Arial"/>
          <w:sz w:val="22"/>
          <w:szCs w:val="22"/>
        </w:rPr>
        <w:t>a</w:t>
      </w:r>
      <w:r w:rsidR="00C763D7">
        <w:rPr>
          <w:rFonts w:cs="Arial"/>
          <w:sz w:val="22"/>
          <w:szCs w:val="22"/>
        </w:rPr>
        <w:t xml:space="preserve"> tertiary </w:t>
      </w:r>
      <w:r w:rsidR="00222ACB">
        <w:rPr>
          <w:rFonts w:cs="Arial"/>
          <w:sz w:val="22"/>
          <w:szCs w:val="22"/>
        </w:rPr>
        <w:t>orthop</w:t>
      </w:r>
      <w:r w:rsidR="00C763D7">
        <w:rPr>
          <w:rFonts w:cs="Arial"/>
          <w:sz w:val="22"/>
          <w:szCs w:val="22"/>
        </w:rPr>
        <w:t>ae</w:t>
      </w:r>
      <w:r w:rsidR="00222ACB">
        <w:rPr>
          <w:rFonts w:cs="Arial"/>
          <w:sz w:val="22"/>
          <w:szCs w:val="22"/>
        </w:rPr>
        <w:t>dic</w:t>
      </w:r>
      <w:r w:rsidR="00C763D7">
        <w:rPr>
          <w:rFonts w:cs="Arial"/>
          <w:sz w:val="22"/>
          <w:szCs w:val="22"/>
        </w:rPr>
        <w:t xml:space="preserve"> department and may</w:t>
      </w:r>
      <w:r w:rsidR="00FB11E4">
        <w:rPr>
          <w:rFonts w:cs="Arial"/>
          <w:sz w:val="22"/>
          <w:szCs w:val="22"/>
        </w:rPr>
        <w:t xml:space="preserve"> have been affected by selection bias.</w:t>
      </w:r>
      <w:r w:rsidR="00C763D7">
        <w:rPr>
          <w:rFonts w:cs="Arial"/>
          <w:sz w:val="22"/>
          <w:szCs w:val="22"/>
        </w:rPr>
        <w:t xml:space="preserve"> </w:t>
      </w:r>
      <w:r w:rsidR="00574AC8">
        <w:rPr>
          <w:rFonts w:cs="Arial"/>
          <w:sz w:val="22"/>
          <w:szCs w:val="22"/>
        </w:rPr>
        <w:t xml:space="preserve">In addition to this, </w:t>
      </w:r>
      <w:r w:rsidR="00CB6CA9">
        <w:rPr>
          <w:rFonts w:cs="Arial"/>
          <w:sz w:val="22"/>
          <w:szCs w:val="22"/>
        </w:rPr>
        <w:t xml:space="preserve">OA </w:t>
      </w:r>
      <w:r w:rsidR="00E4535B">
        <w:rPr>
          <w:rFonts w:cs="Arial"/>
          <w:sz w:val="22"/>
          <w:szCs w:val="22"/>
        </w:rPr>
        <w:t xml:space="preserve">and malalignment at </w:t>
      </w:r>
      <w:r w:rsidR="00574AC8">
        <w:rPr>
          <w:rFonts w:cs="Arial"/>
          <w:sz w:val="22"/>
          <w:szCs w:val="22"/>
        </w:rPr>
        <w:t xml:space="preserve">the knee </w:t>
      </w:r>
      <w:r w:rsidR="00574AC8" w:rsidRPr="002C3302">
        <w:rPr>
          <w:rFonts w:cs="Arial"/>
          <w:noProof/>
          <w:sz w:val="22"/>
          <w:szCs w:val="22"/>
        </w:rPr>
        <w:t>have</w:t>
      </w:r>
      <w:r w:rsidR="00574AC8">
        <w:rPr>
          <w:rFonts w:cs="Arial"/>
          <w:sz w:val="22"/>
          <w:szCs w:val="22"/>
        </w:rPr>
        <w:t xml:space="preserve"> </w:t>
      </w:r>
      <w:r w:rsidR="00574AC8" w:rsidRPr="002C3302">
        <w:rPr>
          <w:rFonts w:cs="Arial"/>
          <w:noProof/>
          <w:sz w:val="22"/>
          <w:szCs w:val="22"/>
        </w:rPr>
        <w:t>been associated</w:t>
      </w:r>
      <w:r w:rsidR="00574AC8">
        <w:rPr>
          <w:rFonts w:cs="Arial"/>
          <w:sz w:val="22"/>
          <w:szCs w:val="22"/>
        </w:rPr>
        <w:t xml:space="preserve"> with degenerative changes at the contralateral ankle </w:t>
      </w:r>
      <w:r w:rsidR="00134FE4">
        <w:rPr>
          <w:rFonts w:cs="Arial"/>
          <w:sz w:val="22"/>
          <w:szCs w:val="22"/>
        </w:rPr>
        <w:t>[</w:t>
      </w:r>
      <w:r w:rsidR="00167004">
        <w:rPr>
          <w:rFonts w:cs="Arial"/>
          <w:sz w:val="22"/>
          <w:szCs w:val="22"/>
        </w:rPr>
        <w:t xml:space="preserve">Kraus </w:t>
      </w:r>
      <w:r w:rsidR="00574AC8">
        <w:rPr>
          <w:rFonts w:cs="Arial"/>
          <w:sz w:val="22"/>
          <w:szCs w:val="22"/>
        </w:rPr>
        <w:t>2013</w:t>
      </w:r>
      <w:r w:rsidR="00134FE4">
        <w:rPr>
          <w:rFonts w:cs="Arial"/>
          <w:sz w:val="22"/>
          <w:szCs w:val="22"/>
        </w:rPr>
        <w:t>]</w:t>
      </w:r>
      <w:r w:rsidR="00574AC8">
        <w:rPr>
          <w:rFonts w:cs="Arial"/>
          <w:sz w:val="22"/>
          <w:szCs w:val="22"/>
        </w:rPr>
        <w:t xml:space="preserve">. </w:t>
      </w:r>
      <w:r w:rsidR="00574AC8" w:rsidRPr="002C3302">
        <w:rPr>
          <w:rFonts w:cs="Arial"/>
          <w:noProof/>
          <w:sz w:val="22"/>
          <w:szCs w:val="22"/>
        </w:rPr>
        <w:t>This</w:t>
      </w:r>
      <w:r w:rsidR="00574AC8">
        <w:rPr>
          <w:rFonts w:cs="Arial"/>
          <w:sz w:val="22"/>
          <w:szCs w:val="22"/>
        </w:rPr>
        <w:t xml:space="preserve"> </w:t>
      </w:r>
      <w:r w:rsidR="0003689D">
        <w:rPr>
          <w:rFonts w:cs="Arial"/>
          <w:sz w:val="22"/>
          <w:szCs w:val="22"/>
        </w:rPr>
        <w:t>is thought to</w:t>
      </w:r>
      <w:r w:rsidR="00574AC8">
        <w:rPr>
          <w:rFonts w:cs="Arial"/>
          <w:sz w:val="22"/>
          <w:szCs w:val="22"/>
        </w:rPr>
        <w:t xml:space="preserve"> be due to the changes in alignment and weight distribution that occur secondary to the OA process as well as accompanying pain symptoms </w:t>
      </w:r>
      <w:r w:rsidR="0003689D">
        <w:rPr>
          <w:rFonts w:cs="Arial"/>
          <w:sz w:val="22"/>
          <w:szCs w:val="22"/>
        </w:rPr>
        <w:t>[</w:t>
      </w:r>
      <w:r w:rsidR="00CB6CA9">
        <w:rPr>
          <w:rFonts w:cs="Arial"/>
          <w:sz w:val="22"/>
          <w:szCs w:val="22"/>
        </w:rPr>
        <w:t>Kraus 2013</w:t>
      </w:r>
      <w:r w:rsidR="0003689D">
        <w:rPr>
          <w:rFonts w:cs="Arial"/>
          <w:sz w:val="22"/>
          <w:szCs w:val="22"/>
        </w:rPr>
        <w:t>]</w:t>
      </w:r>
      <w:r w:rsidR="00497B35">
        <w:rPr>
          <w:rFonts w:cs="Arial"/>
          <w:sz w:val="22"/>
          <w:szCs w:val="22"/>
        </w:rPr>
        <w:t>.</w:t>
      </w:r>
      <w:r w:rsidR="0003689D">
        <w:rPr>
          <w:rFonts w:cs="Arial"/>
          <w:sz w:val="22"/>
          <w:szCs w:val="22"/>
        </w:rPr>
        <w:t xml:space="preserve"> </w:t>
      </w:r>
      <w:r w:rsidR="00497B35">
        <w:rPr>
          <w:rFonts w:cs="Arial"/>
          <w:sz w:val="22"/>
          <w:szCs w:val="22"/>
        </w:rPr>
        <w:t xml:space="preserve">  </w:t>
      </w:r>
    </w:p>
    <w:p w14:paraId="724F0CB2" w14:textId="77777777" w:rsidR="00AD5F70" w:rsidRPr="00E01B53" w:rsidRDefault="00AD5F70">
      <w:pPr>
        <w:spacing w:after="0" w:line="480" w:lineRule="auto"/>
        <w:rPr>
          <w:rFonts w:cs="Arial"/>
        </w:rPr>
      </w:pPr>
    </w:p>
    <w:p w14:paraId="7ECD6E3D" w14:textId="2A033D67" w:rsidR="00E2569C" w:rsidRPr="000E6A2B" w:rsidRDefault="00946EF9">
      <w:pPr>
        <w:spacing w:after="0" w:line="480" w:lineRule="auto"/>
        <w:rPr>
          <w:rFonts w:cs="Arial"/>
        </w:rPr>
      </w:pPr>
      <w:r>
        <w:rPr>
          <w:rFonts w:cs="Arial"/>
        </w:rPr>
        <w:t>T</w:t>
      </w:r>
      <w:r w:rsidR="00E2569C" w:rsidRPr="0062311E">
        <w:rPr>
          <w:rFonts w:cs="Arial"/>
        </w:rPr>
        <w:t>he overall prevalence of ankle pain (11.7%) is significantly highe</w:t>
      </w:r>
      <w:r w:rsidR="00E2569C" w:rsidRPr="00BF061C">
        <w:rPr>
          <w:rFonts w:cs="Arial"/>
        </w:rPr>
        <w:t xml:space="preserve">r </w:t>
      </w:r>
      <w:r w:rsidR="00FC4E4C">
        <w:rPr>
          <w:rFonts w:cs="Arial"/>
        </w:rPr>
        <w:t>than</w:t>
      </w:r>
      <w:r w:rsidR="00E2569C" w:rsidRPr="00BF061C">
        <w:rPr>
          <w:rFonts w:cs="Arial"/>
        </w:rPr>
        <w:t xml:space="preserve"> the prevalence of symptomatic, radiographic ankle OA (3.4%). </w:t>
      </w:r>
      <w:r w:rsidR="00F30391">
        <w:rPr>
          <w:rFonts w:cs="Arial"/>
        </w:rPr>
        <w:t xml:space="preserve">Comparing </w:t>
      </w:r>
      <w:r w:rsidR="005E02A6">
        <w:rPr>
          <w:rFonts w:cs="Arial"/>
        </w:rPr>
        <w:t>prevalence estimates for</w:t>
      </w:r>
      <w:r w:rsidR="00F30391">
        <w:rPr>
          <w:rFonts w:cs="Arial"/>
        </w:rPr>
        <w:t xml:space="preserve"> definitions of joint pain and symptomatic radiographic OA at the knee </w:t>
      </w:r>
      <w:r w:rsidR="005E02A6">
        <w:rPr>
          <w:rFonts w:cs="Arial"/>
        </w:rPr>
        <w:t xml:space="preserve">also </w:t>
      </w:r>
      <w:r w:rsidR="00F30391">
        <w:rPr>
          <w:rFonts w:cs="Arial"/>
        </w:rPr>
        <w:t xml:space="preserve">shows similar </w:t>
      </w:r>
      <w:r w:rsidR="00F30391" w:rsidRPr="0051792E">
        <w:rPr>
          <w:rFonts w:cs="Arial"/>
        </w:rPr>
        <w:t xml:space="preserve">trends </w:t>
      </w:r>
      <w:r w:rsidR="0051792E" w:rsidRPr="0051792E">
        <w:rPr>
          <w:rFonts w:cs="Arial"/>
        </w:rPr>
        <w:t>[</w:t>
      </w:r>
      <w:r w:rsidR="002B1000" w:rsidRPr="0051792E">
        <w:rPr>
          <w:rFonts w:cs="Arial"/>
        </w:rPr>
        <w:t>68</w:t>
      </w:r>
      <w:r w:rsidR="0051792E" w:rsidRPr="0051792E">
        <w:rPr>
          <w:rFonts w:cs="Arial"/>
        </w:rPr>
        <w:t>]</w:t>
      </w:r>
      <w:r w:rsidR="001A6F97" w:rsidRPr="0051792E">
        <w:rPr>
          <w:rFonts w:cs="Arial"/>
        </w:rPr>
        <w:t xml:space="preserve">. </w:t>
      </w:r>
      <w:r w:rsidR="00E2569C" w:rsidRPr="0051792E">
        <w:rPr>
          <w:rFonts w:cs="Arial"/>
        </w:rPr>
        <w:t>Similar</w:t>
      </w:r>
      <w:r w:rsidR="00E2569C" w:rsidRPr="00BF061C">
        <w:rPr>
          <w:rFonts w:cs="Arial"/>
        </w:rPr>
        <w:t xml:space="preserve"> results </w:t>
      </w:r>
      <w:r w:rsidR="00F30391">
        <w:rPr>
          <w:rFonts w:cs="Arial"/>
        </w:rPr>
        <w:t xml:space="preserve">for the ankle joint </w:t>
      </w:r>
      <w:r w:rsidR="00E2569C" w:rsidRPr="002C3302">
        <w:rPr>
          <w:rFonts w:cs="Arial"/>
          <w:noProof/>
        </w:rPr>
        <w:t>are also demonstrated</w:t>
      </w:r>
      <w:r w:rsidR="00E2569C" w:rsidRPr="00BF061C">
        <w:rPr>
          <w:rFonts w:cs="Arial"/>
        </w:rPr>
        <w:t xml:space="preserve"> in a study investigating the prevalence of ankle pain and self-reported OA in a population of retired footballers </w:t>
      </w:r>
      <w:r w:rsidR="003C19ED">
        <w:rPr>
          <w:rFonts w:cs="Arial"/>
        </w:rPr>
        <w:t>[</w:t>
      </w:r>
      <w:r w:rsidR="00537D58" w:rsidRPr="003C19ED">
        <w:rPr>
          <w:rFonts w:cs="Arial"/>
        </w:rPr>
        <w:t>1</w:t>
      </w:r>
      <w:r w:rsidR="00AF3761">
        <w:rPr>
          <w:rFonts w:cs="Arial"/>
        </w:rPr>
        <w:t>3</w:t>
      </w:r>
      <w:r w:rsidR="003C19ED">
        <w:rPr>
          <w:rFonts w:cs="Arial"/>
        </w:rPr>
        <w:t>]</w:t>
      </w:r>
      <w:r w:rsidR="00E2569C" w:rsidRPr="008B2BDC">
        <w:rPr>
          <w:rFonts w:cs="Arial"/>
        </w:rPr>
        <w:t xml:space="preserve">. It is possible that ankle pain may be attributable to </w:t>
      </w:r>
      <w:r w:rsidR="00FC4E4C">
        <w:rPr>
          <w:rFonts w:cs="Arial"/>
        </w:rPr>
        <w:t>other</w:t>
      </w:r>
      <w:r w:rsidR="00FC4E4C" w:rsidRPr="008B2BDC">
        <w:rPr>
          <w:rFonts w:cs="Arial"/>
        </w:rPr>
        <w:t xml:space="preserve"> </w:t>
      </w:r>
      <w:r w:rsidR="00E2569C" w:rsidRPr="008B2BDC">
        <w:rPr>
          <w:rFonts w:cs="Arial"/>
        </w:rPr>
        <w:t xml:space="preserve">pathologies occurring at the joint site or in surrounding structures, for </w:t>
      </w:r>
      <w:r w:rsidR="00E2569C" w:rsidRPr="002C3302">
        <w:rPr>
          <w:rFonts w:cs="Arial"/>
          <w:noProof/>
        </w:rPr>
        <w:t>example</w:t>
      </w:r>
      <w:r w:rsidR="00E2569C" w:rsidRPr="008B2BDC">
        <w:rPr>
          <w:rFonts w:cs="Arial"/>
        </w:rPr>
        <w:t xml:space="preserve"> ligamentous or tendon injury, ankle sprain, </w:t>
      </w:r>
      <w:r>
        <w:rPr>
          <w:rFonts w:cs="Arial"/>
        </w:rPr>
        <w:t xml:space="preserve">or </w:t>
      </w:r>
      <w:r w:rsidR="00E2569C" w:rsidRPr="008B2BDC">
        <w:rPr>
          <w:rFonts w:cs="Arial"/>
        </w:rPr>
        <w:t>referred pain from other areas. Howeve</w:t>
      </w:r>
      <w:r w:rsidR="00E2569C" w:rsidRPr="00E01B53">
        <w:rPr>
          <w:rFonts w:cs="Arial"/>
        </w:rPr>
        <w:t xml:space="preserve">r, it is also possible that pathophysiological changes are present but that the OA bony changes visible on radiographs are not yet present or detectable as this imaging method is known to be </w:t>
      </w:r>
      <w:r w:rsidR="00537D58" w:rsidRPr="00644F54">
        <w:rPr>
          <w:rFonts w:cs="Arial"/>
        </w:rPr>
        <w:t>les</w:t>
      </w:r>
      <w:r w:rsidR="00E2569C" w:rsidRPr="00D90F26">
        <w:rPr>
          <w:rFonts w:cs="Arial"/>
        </w:rPr>
        <w:t xml:space="preserve">s sensitive </w:t>
      </w:r>
      <w:r w:rsidR="00537D58" w:rsidRPr="00D90F26">
        <w:rPr>
          <w:rFonts w:cs="Arial"/>
        </w:rPr>
        <w:t>than</w:t>
      </w:r>
      <w:r w:rsidR="00E2569C" w:rsidRPr="000966F8">
        <w:rPr>
          <w:rFonts w:cs="Arial"/>
        </w:rPr>
        <w:t xml:space="preserve"> other </w:t>
      </w:r>
      <w:r w:rsidR="00E2569C" w:rsidRPr="0051792E">
        <w:rPr>
          <w:rFonts w:cs="Arial"/>
        </w:rPr>
        <w:t>imaging methods</w:t>
      </w:r>
      <w:r w:rsidR="000E6A2B" w:rsidRPr="0051792E">
        <w:rPr>
          <w:rFonts w:cs="Arial"/>
        </w:rPr>
        <w:t xml:space="preserve"> </w:t>
      </w:r>
      <w:r w:rsidR="0051792E" w:rsidRPr="0051792E">
        <w:rPr>
          <w:rFonts w:cs="Arial"/>
        </w:rPr>
        <w:t>[</w:t>
      </w:r>
      <w:r w:rsidR="005E02A6" w:rsidRPr="0051792E">
        <w:rPr>
          <w:rFonts w:cs="Arial"/>
        </w:rPr>
        <w:t>69</w:t>
      </w:r>
      <w:r w:rsidR="0051792E" w:rsidRPr="0051792E">
        <w:rPr>
          <w:rFonts w:cs="Arial"/>
        </w:rPr>
        <w:t>]</w:t>
      </w:r>
      <w:r w:rsidR="005E02A6" w:rsidRPr="0051792E">
        <w:rPr>
          <w:rFonts w:cs="Arial"/>
        </w:rPr>
        <w:t>.</w:t>
      </w:r>
      <w:r w:rsidR="00E2569C" w:rsidRPr="000E6A2B">
        <w:rPr>
          <w:rFonts w:cs="Arial"/>
        </w:rPr>
        <w:t xml:space="preserve"> </w:t>
      </w:r>
      <w:r w:rsidR="00604A63">
        <w:rPr>
          <w:rFonts w:cs="Arial"/>
        </w:rPr>
        <w:t xml:space="preserve">Other more </w:t>
      </w:r>
      <w:r w:rsidR="00604A63" w:rsidRPr="002C3302">
        <w:rPr>
          <w:rFonts w:cs="Arial"/>
          <w:noProof/>
        </w:rPr>
        <w:t xml:space="preserve">sensitive </w:t>
      </w:r>
      <w:r w:rsidR="00604A63" w:rsidRPr="002C3302">
        <w:rPr>
          <w:rFonts w:cs="Arial"/>
          <w:noProof/>
        </w:rPr>
        <w:lastRenderedPageBreak/>
        <w:t>imaging</w:t>
      </w:r>
      <w:r w:rsidR="00604A63">
        <w:rPr>
          <w:rFonts w:cs="Arial"/>
        </w:rPr>
        <w:t xml:space="preserve"> modalities such as Magnetic Resonance Imaging (MRI) that allow the visualisation of soft tissue as well </w:t>
      </w:r>
      <w:r w:rsidR="009E2C5C">
        <w:rPr>
          <w:rFonts w:cs="Arial"/>
        </w:rPr>
        <w:t xml:space="preserve">as </w:t>
      </w:r>
      <w:r w:rsidR="00604A63">
        <w:rPr>
          <w:rFonts w:cs="Arial"/>
        </w:rPr>
        <w:t xml:space="preserve">more detailed views of the </w:t>
      </w:r>
      <w:r w:rsidR="00604A63" w:rsidRPr="002C3302">
        <w:rPr>
          <w:rFonts w:cs="Arial"/>
          <w:noProof/>
        </w:rPr>
        <w:t xml:space="preserve">joint </w:t>
      </w:r>
      <w:r w:rsidR="00604A63">
        <w:rPr>
          <w:rFonts w:cs="Arial"/>
        </w:rPr>
        <w:t xml:space="preserve">may </w:t>
      </w:r>
      <w:r w:rsidR="009E2C5C">
        <w:rPr>
          <w:rFonts w:cs="Arial"/>
        </w:rPr>
        <w:t>identify</w:t>
      </w:r>
      <w:r w:rsidR="00604A63">
        <w:rPr>
          <w:rFonts w:cs="Arial"/>
        </w:rPr>
        <w:t xml:space="preserve"> higher prevalence estimates of ankle OA.</w:t>
      </w:r>
    </w:p>
    <w:p w14:paraId="74871F6C" w14:textId="77777777" w:rsidR="00E2569C" w:rsidRPr="000E6A2B" w:rsidRDefault="00E2569C" w:rsidP="00851726">
      <w:pPr>
        <w:spacing w:after="0" w:line="480" w:lineRule="auto"/>
        <w:rPr>
          <w:rFonts w:cs="Arial"/>
        </w:rPr>
      </w:pPr>
    </w:p>
    <w:p w14:paraId="5DA70A37" w14:textId="77777777" w:rsidR="00AD5F70" w:rsidRPr="000E6A2B" w:rsidRDefault="00AD5F70" w:rsidP="00851726">
      <w:pPr>
        <w:spacing w:after="0" w:line="480" w:lineRule="auto"/>
        <w:rPr>
          <w:rFonts w:cs="Arial"/>
          <w:vanish/>
        </w:rPr>
      </w:pPr>
    </w:p>
    <w:p w14:paraId="1A70F990" w14:textId="77777777" w:rsidR="008D2E5A" w:rsidRPr="000E6A2B" w:rsidRDefault="008D2E5A" w:rsidP="00851726">
      <w:pPr>
        <w:pStyle w:val="ListParagraph"/>
        <w:numPr>
          <w:ilvl w:val="0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7B22BC69" w14:textId="77777777" w:rsidR="008D2E5A" w:rsidRPr="000E6A2B" w:rsidRDefault="008D2E5A" w:rsidP="00851726">
      <w:pPr>
        <w:pStyle w:val="ListParagraph"/>
        <w:numPr>
          <w:ilvl w:val="0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7EA303B3" w14:textId="77777777" w:rsidR="008D2E5A" w:rsidRPr="000E6A2B" w:rsidRDefault="008D2E5A" w:rsidP="00851726">
      <w:pPr>
        <w:pStyle w:val="ListParagraph"/>
        <w:numPr>
          <w:ilvl w:val="0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4ED1D819" w14:textId="77777777" w:rsidR="008D2E5A" w:rsidRPr="000E6A2B" w:rsidRDefault="008D2E5A" w:rsidP="00851726">
      <w:pPr>
        <w:pStyle w:val="ListParagraph"/>
        <w:numPr>
          <w:ilvl w:val="0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635C0A7A" w14:textId="77777777" w:rsidR="008D2E5A" w:rsidRPr="000E6A2B" w:rsidRDefault="008D2E5A" w:rsidP="00851726">
      <w:pPr>
        <w:pStyle w:val="ListParagraph"/>
        <w:numPr>
          <w:ilvl w:val="0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5D0ACA87" w14:textId="77777777" w:rsidR="008D2E5A" w:rsidRPr="000E6A2B" w:rsidRDefault="008D2E5A" w:rsidP="00851726">
      <w:pPr>
        <w:pStyle w:val="ListParagraph"/>
        <w:numPr>
          <w:ilvl w:val="1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02087F94" w14:textId="77777777" w:rsidR="008D2E5A" w:rsidRPr="000E6A2B" w:rsidRDefault="008D2E5A" w:rsidP="00851726">
      <w:pPr>
        <w:pStyle w:val="ListParagraph"/>
        <w:numPr>
          <w:ilvl w:val="1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1B12FEC6" w14:textId="77777777" w:rsidR="008D2E5A" w:rsidRPr="000E6A2B" w:rsidRDefault="008D2E5A" w:rsidP="00851726">
      <w:pPr>
        <w:pStyle w:val="ListParagraph"/>
        <w:numPr>
          <w:ilvl w:val="1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42C4B9A3" w14:textId="77777777" w:rsidR="008D2E5A" w:rsidRPr="000E6A2B" w:rsidRDefault="008D2E5A" w:rsidP="00851726">
      <w:pPr>
        <w:pStyle w:val="ListParagraph"/>
        <w:numPr>
          <w:ilvl w:val="1"/>
          <w:numId w:val="7"/>
        </w:numPr>
        <w:spacing w:after="0" w:line="480" w:lineRule="auto"/>
        <w:ind w:left="0"/>
        <w:rPr>
          <w:rFonts w:cs="Arial"/>
          <w:vanish/>
        </w:rPr>
      </w:pPr>
    </w:p>
    <w:p w14:paraId="10128C8B" w14:textId="77777777" w:rsidR="008D2E5A" w:rsidRPr="000E6A2B" w:rsidRDefault="008D2E5A" w:rsidP="00851726">
      <w:pPr>
        <w:pStyle w:val="ListParagraph"/>
        <w:numPr>
          <w:ilvl w:val="0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1" w:name="_Toc421874637"/>
      <w:bookmarkStart w:id="2" w:name="_Toc421874759"/>
      <w:bookmarkStart w:id="3" w:name="_Toc421874963"/>
      <w:bookmarkStart w:id="4" w:name="_Toc421875412"/>
      <w:bookmarkEnd w:id="1"/>
      <w:bookmarkEnd w:id="2"/>
      <w:bookmarkEnd w:id="3"/>
      <w:bookmarkEnd w:id="4"/>
    </w:p>
    <w:p w14:paraId="32A65A4F" w14:textId="77777777" w:rsidR="008D2E5A" w:rsidRPr="000E6A2B" w:rsidRDefault="008D2E5A" w:rsidP="00851726">
      <w:pPr>
        <w:pStyle w:val="ListParagraph"/>
        <w:numPr>
          <w:ilvl w:val="0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5" w:name="_Toc421874638"/>
      <w:bookmarkStart w:id="6" w:name="_Toc421874760"/>
      <w:bookmarkStart w:id="7" w:name="_Toc421874964"/>
      <w:bookmarkStart w:id="8" w:name="_Toc421875413"/>
      <w:bookmarkEnd w:id="5"/>
      <w:bookmarkEnd w:id="6"/>
      <w:bookmarkEnd w:id="7"/>
      <w:bookmarkEnd w:id="8"/>
    </w:p>
    <w:p w14:paraId="32E349D0" w14:textId="77777777" w:rsidR="008D2E5A" w:rsidRPr="000E6A2B" w:rsidRDefault="008D2E5A" w:rsidP="00851726">
      <w:pPr>
        <w:pStyle w:val="ListParagraph"/>
        <w:numPr>
          <w:ilvl w:val="0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9" w:name="_Toc421874639"/>
      <w:bookmarkStart w:id="10" w:name="_Toc421874761"/>
      <w:bookmarkStart w:id="11" w:name="_Toc421874965"/>
      <w:bookmarkStart w:id="12" w:name="_Toc421875414"/>
      <w:bookmarkEnd w:id="9"/>
      <w:bookmarkEnd w:id="10"/>
      <w:bookmarkEnd w:id="11"/>
      <w:bookmarkEnd w:id="12"/>
    </w:p>
    <w:p w14:paraId="5493847B" w14:textId="77777777" w:rsidR="008D2E5A" w:rsidRPr="000E6A2B" w:rsidRDefault="008D2E5A" w:rsidP="00851726">
      <w:pPr>
        <w:pStyle w:val="ListParagraph"/>
        <w:numPr>
          <w:ilvl w:val="0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13" w:name="_Toc421874640"/>
      <w:bookmarkStart w:id="14" w:name="_Toc421874762"/>
      <w:bookmarkStart w:id="15" w:name="_Toc421874966"/>
      <w:bookmarkStart w:id="16" w:name="_Toc421875415"/>
      <w:bookmarkEnd w:id="13"/>
      <w:bookmarkEnd w:id="14"/>
      <w:bookmarkEnd w:id="15"/>
      <w:bookmarkEnd w:id="16"/>
    </w:p>
    <w:p w14:paraId="3A4E4D4F" w14:textId="77777777" w:rsidR="008D2E5A" w:rsidRPr="000E6A2B" w:rsidRDefault="008D2E5A" w:rsidP="00851726">
      <w:pPr>
        <w:pStyle w:val="ListParagraph"/>
        <w:numPr>
          <w:ilvl w:val="0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17" w:name="_Toc421874641"/>
      <w:bookmarkStart w:id="18" w:name="_Toc421874763"/>
      <w:bookmarkStart w:id="19" w:name="_Toc421874967"/>
      <w:bookmarkStart w:id="20" w:name="_Toc421875416"/>
      <w:bookmarkEnd w:id="17"/>
      <w:bookmarkEnd w:id="18"/>
      <w:bookmarkEnd w:id="19"/>
      <w:bookmarkEnd w:id="20"/>
    </w:p>
    <w:p w14:paraId="68F89561" w14:textId="77777777" w:rsidR="008D2E5A" w:rsidRPr="000E6A2B" w:rsidRDefault="008D2E5A" w:rsidP="00851726">
      <w:pPr>
        <w:pStyle w:val="ListParagraph"/>
        <w:numPr>
          <w:ilvl w:val="0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21" w:name="_Toc421874642"/>
      <w:bookmarkStart w:id="22" w:name="_Toc421874764"/>
      <w:bookmarkStart w:id="23" w:name="_Toc421874968"/>
      <w:bookmarkStart w:id="24" w:name="_Toc421875417"/>
      <w:bookmarkEnd w:id="21"/>
      <w:bookmarkEnd w:id="22"/>
      <w:bookmarkEnd w:id="23"/>
      <w:bookmarkEnd w:id="24"/>
    </w:p>
    <w:p w14:paraId="2387A798" w14:textId="77777777" w:rsidR="008D2E5A" w:rsidRPr="000E6A2B" w:rsidRDefault="008D2E5A" w:rsidP="00851726">
      <w:pPr>
        <w:pStyle w:val="ListParagraph"/>
        <w:numPr>
          <w:ilvl w:val="1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25" w:name="_Toc421874643"/>
      <w:bookmarkStart w:id="26" w:name="_Toc421874765"/>
      <w:bookmarkStart w:id="27" w:name="_Toc421874969"/>
      <w:bookmarkStart w:id="28" w:name="_Toc421875418"/>
      <w:bookmarkEnd w:id="25"/>
      <w:bookmarkEnd w:id="26"/>
      <w:bookmarkEnd w:id="27"/>
      <w:bookmarkEnd w:id="28"/>
    </w:p>
    <w:p w14:paraId="263547A4" w14:textId="77777777" w:rsidR="008D2E5A" w:rsidRPr="000E6A2B" w:rsidRDefault="008D2E5A" w:rsidP="00851726">
      <w:pPr>
        <w:pStyle w:val="ListParagraph"/>
        <w:numPr>
          <w:ilvl w:val="1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29" w:name="_Toc421874644"/>
      <w:bookmarkStart w:id="30" w:name="_Toc421874766"/>
      <w:bookmarkStart w:id="31" w:name="_Toc421874970"/>
      <w:bookmarkStart w:id="32" w:name="_Toc421875419"/>
      <w:bookmarkEnd w:id="29"/>
      <w:bookmarkEnd w:id="30"/>
      <w:bookmarkEnd w:id="31"/>
      <w:bookmarkEnd w:id="32"/>
    </w:p>
    <w:p w14:paraId="650A14C0" w14:textId="77777777" w:rsidR="008D2E5A" w:rsidRPr="000E6A2B" w:rsidRDefault="008D2E5A" w:rsidP="00851726">
      <w:pPr>
        <w:pStyle w:val="ListParagraph"/>
        <w:numPr>
          <w:ilvl w:val="1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33" w:name="_Toc421874645"/>
      <w:bookmarkStart w:id="34" w:name="_Toc421874767"/>
      <w:bookmarkStart w:id="35" w:name="_Toc421874971"/>
      <w:bookmarkStart w:id="36" w:name="_Toc421875420"/>
      <w:bookmarkEnd w:id="33"/>
      <w:bookmarkEnd w:id="34"/>
      <w:bookmarkEnd w:id="35"/>
      <w:bookmarkEnd w:id="36"/>
    </w:p>
    <w:p w14:paraId="4ECAF01A" w14:textId="77777777" w:rsidR="008D2E5A" w:rsidRPr="000E6A2B" w:rsidRDefault="008D2E5A" w:rsidP="00851726">
      <w:pPr>
        <w:pStyle w:val="ListParagraph"/>
        <w:numPr>
          <w:ilvl w:val="1"/>
          <w:numId w:val="8"/>
        </w:numPr>
        <w:spacing w:after="0" w:line="480" w:lineRule="auto"/>
        <w:ind w:left="0"/>
        <w:outlineLvl w:val="1"/>
        <w:rPr>
          <w:rFonts w:cs="Arial"/>
          <w:b/>
          <w:vanish/>
        </w:rPr>
      </w:pPr>
      <w:bookmarkStart w:id="37" w:name="_Toc421874646"/>
      <w:bookmarkStart w:id="38" w:name="_Toc421874768"/>
      <w:bookmarkStart w:id="39" w:name="_Toc421874972"/>
      <w:bookmarkStart w:id="40" w:name="_Toc421875421"/>
      <w:bookmarkEnd w:id="37"/>
      <w:bookmarkEnd w:id="38"/>
      <w:bookmarkEnd w:id="39"/>
      <w:bookmarkEnd w:id="40"/>
    </w:p>
    <w:p w14:paraId="35980AA8" w14:textId="2022E0BC" w:rsidR="00D56119" w:rsidRPr="00C13CEE" w:rsidRDefault="00F76CCD" w:rsidP="00851183">
      <w:pPr>
        <w:shd w:val="clear" w:color="auto" w:fill="FFFFFF"/>
        <w:spacing w:after="0" w:line="480" w:lineRule="auto"/>
        <w:rPr>
          <w:rFonts w:cs="Arial"/>
        </w:rPr>
      </w:pPr>
      <w:r w:rsidRPr="000E6A2B">
        <w:rPr>
          <w:rFonts w:cs="Arial"/>
        </w:rPr>
        <w:t xml:space="preserve">The strengths of this systematic review include a robust search strategy and application of inclusion and exclusion criteria. </w:t>
      </w:r>
      <w:r w:rsidRPr="002C3302">
        <w:rPr>
          <w:rFonts w:cs="Arial"/>
          <w:noProof/>
        </w:rPr>
        <w:t>In addition</w:t>
      </w:r>
      <w:r w:rsidRPr="000E6A2B">
        <w:rPr>
          <w:rFonts w:cs="Arial"/>
        </w:rPr>
        <w:t xml:space="preserve">, </w:t>
      </w:r>
      <w:r w:rsidRPr="002C3302">
        <w:rPr>
          <w:rFonts w:cs="Arial"/>
          <w:noProof/>
        </w:rPr>
        <w:t>translation</w:t>
      </w:r>
      <w:r w:rsidRPr="000E6A2B">
        <w:rPr>
          <w:rFonts w:cs="Arial"/>
        </w:rPr>
        <w:t xml:space="preserve"> </w:t>
      </w:r>
      <w:r w:rsidRPr="002C3302">
        <w:rPr>
          <w:rFonts w:cs="Arial"/>
          <w:noProof/>
        </w:rPr>
        <w:t>was used</w:t>
      </w:r>
      <w:r w:rsidRPr="000E6A2B">
        <w:rPr>
          <w:rFonts w:cs="Arial"/>
        </w:rPr>
        <w:t xml:space="preserve"> for non-English language papers rather than exc</w:t>
      </w:r>
      <w:r w:rsidRPr="00234440">
        <w:rPr>
          <w:rFonts w:cs="Arial"/>
        </w:rPr>
        <w:t>lusion</w:t>
      </w:r>
      <w:r w:rsidR="00F96BC7" w:rsidRPr="005C6E86">
        <w:rPr>
          <w:rFonts w:cs="Arial"/>
        </w:rPr>
        <w:t xml:space="preserve"> and </w:t>
      </w:r>
      <w:r w:rsidR="00F96BC7" w:rsidRPr="0095121A">
        <w:rPr>
          <w:rFonts w:cs="Arial"/>
          <w:color w:val="222222"/>
          <w:shd w:val="clear" w:color="auto" w:fill="FFFFFF"/>
        </w:rPr>
        <w:t xml:space="preserve">authors of the publications were contacted </w:t>
      </w:r>
      <w:r w:rsidR="0020471E">
        <w:rPr>
          <w:rFonts w:cs="Arial"/>
          <w:color w:val="222222"/>
          <w:shd w:val="clear" w:color="auto" w:fill="FFFFFF"/>
        </w:rPr>
        <w:t>where necessary</w:t>
      </w:r>
      <w:r w:rsidR="00F96BC7" w:rsidRPr="0095121A">
        <w:rPr>
          <w:rFonts w:cs="Arial"/>
          <w:color w:val="222222"/>
          <w:shd w:val="clear" w:color="auto" w:fill="FFFFFF"/>
        </w:rPr>
        <w:t xml:space="preserve"> to seek clarification</w:t>
      </w:r>
      <w:r w:rsidRPr="0062311E">
        <w:rPr>
          <w:rFonts w:cs="Arial"/>
        </w:rPr>
        <w:t>. However, this systematic review use</w:t>
      </w:r>
      <w:r w:rsidR="0020471E">
        <w:rPr>
          <w:rFonts w:cs="Arial"/>
        </w:rPr>
        <w:t>d</w:t>
      </w:r>
      <w:r w:rsidRPr="0062311E">
        <w:rPr>
          <w:rFonts w:cs="Arial"/>
        </w:rPr>
        <w:t xml:space="preserve"> a single reviewer for </w:t>
      </w:r>
      <w:r w:rsidRPr="002C3302">
        <w:rPr>
          <w:rFonts w:cs="Arial"/>
          <w:noProof/>
        </w:rPr>
        <w:t>title</w:t>
      </w:r>
      <w:r w:rsidRPr="0062311E">
        <w:rPr>
          <w:rFonts w:cs="Arial"/>
        </w:rPr>
        <w:t>, abstract and full</w:t>
      </w:r>
      <w:r w:rsidR="0020471E">
        <w:rPr>
          <w:rFonts w:cs="Arial"/>
        </w:rPr>
        <w:t>-</w:t>
      </w:r>
      <w:r w:rsidRPr="0062311E">
        <w:rPr>
          <w:rFonts w:cs="Arial"/>
        </w:rPr>
        <w:t>text screening as well as qualit</w:t>
      </w:r>
      <w:r w:rsidR="00537D58" w:rsidRPr="00BF061C">
        <w:rPr>
          <w:rFonts w:cs="Arial"/>
        </w:rPr>
        <w:t xml:space="preserve">y </w:t>
      </w:r>
      <w:r w:rsidR="00537D58" w:rsidRPr="00BF061C">
        <w:rPr>
          <w:rFonts w:cs="Arial"/>
        </w:rPr>
        <w:lastRenderedPageBreak/>
        <w:t>appraisal and data extraction, increasing</w:t>
      </w:r>
      <w:r w:rsidRPr="00BF061C">
        <w:rPr>
          <w:rFonts w:cs="Arial"/>
        </w:rPr>
        <w:t xml:space="preserve"> the risk of err</w:t>
      </w:r>
      <w:r w:rsidRPr="003A0550">
        <w:rPr>
          <w:rFonts w:cs="Arial"/>
        </w:rPr>
        <w:t>ors and bias</w:t>
      </w:r>
      <w:r w:rsidR="001B5A2B" w:rsidRPr="00C13CEE">
        <w:rPr>
          <w:rFonts w:cs="Arial"/>
        </w:rPr>
        <w:t>.</w:t>
      </w:r>
      <w:r w:rsidR="00851726" w:rsidRPr="00C13CEE">
        <w:rPr>
          <w:rFonts w:ascii="Arial" w:hAnsi="Arial" w:cs="Arial"/>
          <w:sz w:val="20"/>
          <w:szCs w:val="20"/>
        </w:rPr>
        <w:t xml:space="preserve"> </w:t>
      </w:r>
      <w:r w:rsidR="00851183" w:rsidRPr="00C13CEE">
        <w:rPr>
          <w:rFonts w:ascii="Arial" w:hAnsi="Arial" w:cs="Arial"/>
          <w:sz w:val="20"/>
          <w:szCs w:val="20"/>
        </w:rPr>
        <w:t>Additionally, p</w:t>
      </w:r>
      <w:r w:rsidR="00851183" w:rsidRPr="00C13CEE">
        <w:rPr>
          <w:rFonts w:cs="Arial"/>
        </w:rPr>
        <w:t xml:space="preserve">ublication bias </w:t>
      </w:r>
      <w:r w:rsidR="00851183" w:rsidRPr="002C3302">
        <w:rPr>
          <w:rFonts w:cs="Arial"/>
          <w:noProof/>
        </w:rPr>
        <w:t>was not considered</w:t>
      </w:r>
      <w:r w:rsidR="00851183" w:rsidRPr="00C13CEE">
        <w:rPr>
          <w:rFonts w:cs="Arial"/>
        </w:rPr>
        <w:t xml:space="preserve"> as </w:t>
      </w:r>
      <w:r w:rsidR="00851183" w:rsidRPr="00C13CEE">
        <w:rPr>
          <w:rFonts w:ascii="Arial" w:hAnsi="Arial" w:cs="Arial"/>
          <w:noProof/>
          <w:sz w:val="20"/>
          <w:szCs w:val="20"/>
        </w:rPr>
        <w:t xml:space="preserve">estimates of the prevalence of any condition are much less likely to be affected by publication bias as statistical significance is not a major consideration </w:t>
      </w:r>
      <w:r w:rsidR="00851183" w:rsidRPr="002C3302">
        <w:rPr>
          <w:rFonts w:ascii="Arial" w:hAnsi="Arial" w:cs="Arial"/>
          <w:noProof/>
          <w:sz w:val="20"/>
          <w:szCs w:val="20"/>
        </w:rPr>
        <w:t>and</w:t>
      </w:r>
      <w:r w:rsidR="00851183" w:rsidRPr="00C13CEE">
        <w:rPr>
          <w:rFonts w:ascii="Arial" w:hAnsi="Arial" w:cs="Arial"/>
          <w:noProof/>
          <w:sz w:val="20"/>
          <w:szCs w:val="20"/>
        </w:rPr>
        <w:t xml:space="preserve"> we were not able to undertake any meta-analysis due to </w:t>
      </w:r>
      <w:r w:rsidR="00851183" w:rsidRPr="002C3302">
        <w:rPr>
          <w:rFonts w:ascii="Arial" w:hAnsi="Arial" w:cs="Arial"/>
          <w:noProof/>
          <w:sz w:val="20"/>
          <w:szCs w:val="20"/>
        </w:rPr>
        <w:t>heterogeneity</w:t>
      </w:r>
      <w:r w:rsidR="00851183" w:rsidRPr="00C13CEE">
        <w:rPr>
          <w:rFonts w:ascii="Arial" w:hAnsi="Arial" w:cs="Arial"/>
          <w:noProof/>
          <w:sz w:val="20"/>
          <w:szCs w:val="20"/>
        </w:rPr>
        <w:t xml:space="preserve"> of the studies.</w:t>
      </w:r>
      <w:r w:rsidR="00851726" w:rsidRPr="00C13CEE">
        <w:rPr>
          <w:rFonts w:cs="Arial"/>
        </w:rPr>
        <w:t xml:space="preserve"> </w:t>
      </w:r>
    </w:p>
    <w:p w14:paraId="6487DCFF" w14:textId="77777777" w:rsidR="00D56119" w:rsidRPr="00C13CEE" w:rsidRDefault="00D56119">
      <w:pPr>
        <w:spacing w:after="0" w:line="480" w:lineRule="auto"/>
        <w:rPr>
          <w:rFonts w:cs="Arial"/>
        </w:rPr>
      </w:pPr>
    </w:p>
    <w:p w14:paraId="133D4FF6" w14:textId="630531E8" w:rsidR="001914FE" w:rsidRDefault="0024519D">
      <w:pPr>
        <w:spacing w:after="0" w:line="480" w:lineRule="auto"/>
        <w:rPr>
          <w:rFonts w:cs="Arial"/>
        </w:rPr>
      </w:pPr>
      <w:r w:rsidRPr="006B39AC">
        <w:rPr>
          <w:rFonts w:cs="Arial"/>
        </w:rPr>
        <w:t xml:space="preserve">The </w:t>
      </w:r>
      <w:r w:rsidR="00296965" w:rsidRPr="002C3302">
        <w:rPr>
          <w:rFonts w:cs="Arial"/>
          <w:noProof/>
        </w:rPr>
        <w:t>cross-sectional secondary</w:t>
      </w:r>
      <w:r w:rsidR="00296965" w:rsidRPr="006B39AC">
        <w:rPr>
          <w:rFonts w:cs="Arial"/>
        </w:rPr>
        <w:t xml:space="preserve"> analysis include</w:t>
      </w:r>
      <w:r w:rsidR="007D5FC3" w:rsidRPr="00EA6516">
        <w:rPr>
          <w:rFonts w:cs="Arial"/>
        </w:rPr>
        <w:t>d</w:t>
      </w:r>
      <w:r w:rsidR="00296965" w:rsidRPr="00EA6516">
        <w:rPr>
          <w:rFonts w:cs="Arial"/>
        </w:rPr>
        <w:t xml:space="preserve"> census sampling </w:t>
      </w:r>
      <w:r w:rsidR="007D5FC3" w:rsidRPr="00EA6516">
        <w:rPr>
          <w:rFonts w:cs="Arial"/>
        </w:rPr>
        <w:t>to</w:t>
      </w:r>
      <w:r w:rsidR="00296965" w:rsidRPr="00EA6516">
        <w:rPr>
          <w:rFonts w:cs="Arial"/>
        </w:rPr>
        <w:t xml:space="preserve"> recruit adults aged 50 years and over. </w:t>
      </w:r>
      <w:r w:rsidR="00296965" w:rsidRPr="002C3302">
        <w:rPr>
          <w:rFonts w:cs="Arial"/>
          <w:noProof/>
        </w:rPr>
        <w:t>Th</w:t>
      </w:r>
      <w:r w:rsidR="004751AC" w:rsidRPr="002C3302">
        <w:rPr>
          <w:rFonts w:cs="Arial"/>
          <w:noProof/>
        </w:rPr>
        <w:t>is</w:t>
      </w:r>
      <w:r w:rsidR="00FC4E4C">
        <w:rPr>
          <w:rFonts w:cs="Arial"/>
        </w:rPr>
        <w:t>,</w:t>
      </w:r>
      <w:r w:rsidR="004751AC" w:rsidRPr="004A3A53">
        <w:rPr>
          <w:rFonts w:cs="Arial"/>
        </w:rPr>
        <w:t xml:space="preserve"> along with th</w:t>
      </w:r>
      <w:r w:rsidR="00296965" w:rsidRPr="0058251C">
        <w:rPr>
          <w:rFonts w:cs="Arial"/>
        </w:rPr>
        <w:t>e large sample size and similar age and gender distributions to the National Census 2011</w:t>
      </w:r>
      <w:r w:rsidR="00FC4E4C">
        <w:rPr>
          <w:rFonts w:cs="Arial"/>
        </w:rPr>
        <w:t>,</w:t>
      </w:r>
      <w:r w:rsidR="00296965" w:rsidRPr="0058251C">
        <w:rPr>
          <w:rFonts w:cs="Arial"/>
        </w:rPr>
        <w:t xml:space="preserve"> gives greater confidence in</w:t>
      </w:r>
      <w:r w:rsidR="00296965" w:rsidRPr="008B2BDC">
        <w:rPr>
          <w:rFonts w:cs="Arial"/>
        </w:rPr>
        <w:t xml:space="preserve"> the generalizability of the results of this study</w:t>
      </w:r>
      <w:r w:rsidR="003C19ED">
        <w:rPr>
          <w:rFonts w:cs="Arial"/>
        </w:rPr>
        <w:t xml:space="preserve"> [</w:t>
      </w:r>
      <w:r w:rsidR="00F43064">
        <w:rPr>
          <w:rFonts w:cs="Arial"/>
        </w:rPr>
        <w:t>35</w:t>
      </w:r>
      <w:proofErr w:type="gramStart"/>
      <w:r w:rsidR="0018007E">
        <w:rPr>
          <w:rFonts w:cs="Arial"/>
        </w:rPr>
        <w:t>,</w:t>
      </w:r>
      <w:r w:rsidR="005E02A6">
        <w:rPr>
          <w:rFonts w:cs="Arial"/>
        </w:rPr>
        <w:t>70</w:t>
      </w:r>
      <w:proofErr w:type="gramEnd"/>
      <w:r w:rsidR="003C19ED">
        <w:rPr>
          <w:rFonts w:cs="Arial"/>
        </w:rPr>
        <w:t>]</w:t>
      </w:r>
      <w:r w:rsidR="00296965" w:rsidRPr="008B2BDC">
        <w:rPr>
          <w:rFonts w:cs="Arial"/>
        </w:rPr>
        <w:t xml:space="preserve">. </w:t>
      </w:r>
      <w:r w:rsidR="006642C9" w:rsidRPr="008B2BDC">
        <w:rPr>
          <w:rFonts w:cs="Arial"/>
        </w:rPr>
        <w:t>T</w:t>
      </w:r>
      <w:r w:rsidR="0031369D" w:rsidRPr="003C19ED">
        <w:rPr>
          <w:rFonts w:cs="Arial"/>
        </w:rPr>
        <w:t>he standardised methods that were used to obtain weight-bearing AP and lateral views of the ankle</w:t>
      </w:r>
      <w:r w:rsidR="006642C9" w:rsidRPr="003C19ED">
        <w:rPr>
          <w:rFonts w:cs="Arial"/>
        </w:rPr>
        <w:t xml:space="preserve"> and </w:t>
      </w:r>
      <w:r w:rsidR="00C609E9" w:rsidRPr="003C19ED">
        <w:rPr>
          <w:rFonts w:cs="Arial"/>
        </w:rPr>
        <w:t xml:space="preserve">the scoring system including </w:t>
      </w:r>
      <w:r w:rsidR="00C609E9" w:rsidRPr="00565E62">
        <w:rPr>
          <w:rFonts w:cs="Arial"/>
          <w:noProof/>
        </w:rPr>
        <w:t>atlas</w:t>
      </w:r>
      <w:r w:rsidR="00C609E9" w:rsidRPr="003C19ED">
        <w:rPr>
          <w:rFonts w:cs="Arial"/>
        </w:rPr>
        <w:t xml:space="preserve"> w</w:t>
      </w:r>
      <w:r w:rsidR="006642C9" w:rsidRPr="00E01B53">
        <w:rPr>
          <w:rFonts w:cs="Arial"/>
        </w:rPr>
        <w:t>ere</w:t>
      </w:r>
      <w:r w:rsidR="00C609E9" w:rsidRPr="00E01B53">
        <w:rPr>
          <w:rFonts w:cs="Arial"/>
        </w:rPr>
        <w:t xml:space="preserve"> fully specif</w:t>
      </w:r>
      <w:r w:rsidR="00C609E9" w:rsidRPr="00644F54">
        <w:rPr>
          <w:rFonts w:cs="Arial"/>
        </w:rPr>
        <w:t>ied</w:t>
      </w:r>
      <w:r w:rsidR="00AF6245" w:rsidRPr="00D90F26">
        <w:rPr>
          <w:rFonts w:cs="Arial"/>
        </w:rPr>
        <w:t>. A</w:t>
      </w:r>
      <w:r w:rsidR="00296965" w:rsidRPr="000966F8">
        <w:rPr>
          <w:rFonts w:cs="Arial"/>
        </w:rPr>
        <w:t xml:space="preserve"> combin</w:t>
      </w:r>
      <w:r w:rsidR="00AF6245" w:rsidRPr="00FE00F9">
        <w:rPr>
          <w:rFonts w:cs="Arial"/>
        </w:rPr>
        <w:t>ed symptomatic and radiographic case</w:t>
      </w:r>
      <w:r w:rsidR="00296965" w:rsidRPr="00FE00F9">
        <w:rPr>
          <w:rFonts w:cs="Arial"/>
        </w:rPr>
        <w:t xml:space="preserve"> definition</w:t>
      </w:r>
      <w:r w:rsidR="00AF6245" w:rsidRPr="00CE2BFB">
        <w:rPr>
          <w:rFonts w:cs="Arial"/>
        </w:rPr>
        <w:t xml:space="preserve"> was</w:t>
      </w:r>
      <w:r w:rsidR="00296965" w:rsidRPr="00CE2BFB">
        <w:rPr>
          <w:rFonts w:cs="Arial"/>
        </w:rPr>
        <w:t xml:space="preserve"> used and explicitly stated. </w:t>
      </w:r>
      <w:r w:rsidR="00A52CD4" w:rsidRPr="000E6A2B">
        <w:rPr>
          <w:rFonts w:cs="Arial"/>
        </w:rPr>
        <w:t>S</w:t>
      </w:r>
      <w:r w:rsidR="00296965" w:rsidRPr="000E6A2B">
        <w:rPr>
          <w:rFonts w:cs="Arial"/>
        </w:rPr>
        <w:t xml:space="preserve">tatistical methods used to account for missing data and </w:t>
      </w:r>
      <w:r w:rsidR="00296965" w:rsidRPr="00033AF0">
        <w:rPr>
          <w:rFonts w:cs="Arial"/>
          <w:noProof/>
        </w:rPr>
        <w:t>non-response</w:t>
      </w:r>
      <w:r w:rsidR="00296965" w:rsidRPr="000E6A2B">
        <w:rPr>
          <w:rFonts w:cs="Arial"/>
        </w:rPr>
        <w:t xml:space="preserve"> bias provided a full </w:t>
      </w:r>
      <w:r w:rsidR="00296965" w:rsidRPr="00033AF0">
        <w:rPr>
          <w:rFonts w:cs="Arial"/>
          <w:noProof/>
        </w:rPr>
        <w:t>dataset</w:t>
      </w:r>
      <w:r w:rsidR="00296965" w:rsidRPr="000E6A2B">
        <w:rPr>
          <w:rFonts w:cs="Arial"/>
        </w:rPr>
        <w:t xml:space="preserve"> for secondary analysis and allowed overall prevalence estimate</w:t>
      </w:r>
      <w:r w:rsidR="00296965" w:rsidRPr="001914FE">
        <w:rPr>
          <w:rFonts w:cs="Arial"/>
        </w:rPr>
        <w:t xml:space="preserve">s to </w:t>
      </w:r>
      <w:r w:rsidR="00296965" w:rsidRPr="002C3302">
        <w:rPr>
          <w:rFonts w:cs="Arial"/>
          <w:noProof/>
        </w:rPr>
        <w:t>be calculated</w:t>
      </w:r>
      <w:r w:rsidR="00296965" w:rsidRPr="001914FE">
        <w:rPr>
          <w:rFonts w:cs="Arial"/>
        </w:rPr>
        <w:t xml:space="preserve"> for the total eligible target population. </w:t>
      </w:r>
    </w:p>
    <w:p w14:paraId="275223A7" w14:textId="77777777" w:rsidR="001914FE" w:rsidRDefault="001914FE">
      <w:pPr>
        <w:spacing w:after="0" w:line="480" w:lineRule="auto"/>
        <w:rPr>
          <w:rFonts w:cs="Arial"/>
        </w:rPr>
      </w:pPr>
    </w:p>
    <w:p w14:paraId="75E9C1E2" w14:textId="058B9BEB" w:rsidR="002262E0" w:rsidRPr="008B2BDC" w:rsidRDefault="002262E0">
      <w:pPr>
        <w:spacing w:after="0" w:line="480" w:lineRule="auto"/>
        <w:rPr>
          <w:rFonts w:cs="Arial"/>
        </w:rPr>
      </w:pPr>
      <w:r w:rsidRPr="001914FE">
        <w:rPr>
          <w:rFonts w:cs="Arial"/>
        </w:rPr>
        <w:t xml:space="preserve">There are also </w:t>
      </w:r>
      <w:r w:rsidRPr="002C3302">
        <w:rPr>
          <w:rFonts w:cs="Arial"/>
          <w:noProof/>
        </w:rPr>
        <w:t>a number of</w:t>
      </w:r>
      <w:r w:rsidRPr="001914FE">
        <w:rPr>
          <w:rFonts w:cs="Arial"/>
        </w:rPr>
        <w:t xml:space="preserve"> limitations</w:t>
      </w:r>
      <w:r w:rsidR="003E1503">
        <w:rPr>
          <w:rFonts w:cs="Arial"/>
        </w:rPr>
        <w:t xml:space="preserve"> </w:t>
      </w:r>
      <w:r w:rsidRPr="001914FE">
        <w:rPr>
          <w:rFonts w:cs="Arial"/>
        </w:rPr>
        <w:t xml:space="preserve">which </w:t>
      </w:r>
      <w:r w:rsidR="004751AC" w:rsidRPr="001914FE">
        <w:rPr>
          <w:rFonts w:cs="Arial"/>
        </w:rPr>
        <w:t>should</w:t>
      </w:r>
      <w:r w:rsidRPr="002165F4">
        <w:rPr>
          <w:rFonts w:cs="Arial"/>
        </w:rPr>
        <w:t xml:space="preserve"> be acknowledged. </w:t>
      </w:r>
      <w:r w:rsidR="00FC4E4C">
        <w:rPr>
          <w:rFonts w:cs="Arial"/>
        </w:rPr>
        <w:t>Most importantly</w:t>
      </w:r>
      <w:r w:rsidRPr="002165F4">
        <w:rPr>
          <w:rFonts w:cs="Arial"/>
        </w:rPr>
        <w:t xml:space="preserve">, radiographic ankle data </w:t>
      </w:r>
      <w:r w:rsidR="00A53B52" w:rsidRPr="002C3302">
        <w:rPr>
          <w:rFonts w:cs="Arial"/>
          <w:noProof/>
        </w:rPr>
        <w:t>were</w:t>
      </w:r>
      <w:r w:rsidRPr="002C3302">
        <w:rPr>
          <w:rFonts w:cs="Arial"/>
          <w:noProof/>
        </w:rPr>
        <w:t xml:space="preserve"> only collected</w:t>
      </w:r>
      <w:r w:rsidRPr="002165F4">
        <w:rPr>
          <w:rFonts w:cs="Arial"/>
        </w:rPr>
        <w:t xml:space="preserve"> for those who reported pain in and around the foot in</w:t>
      </w:r>
      <w:r w:rsidRPr="00234440">
        <w:rPr>
          <w:rFonts w:cs="Arial"/>
        </w:rPr>
        <w:t xml:space="preserve"> the last year. </w:t>
      </w:r>
      <w:r w:rsidR="00E3174A">
        <w:rPr>
          <w:rFonts w:cs="Arial"/>
        </w:rPr>
        <w:t xml:space="preserve">It is possible that </w:t>
      </w:r>
      <w:r w:rsidR="003D6E31" w:rsidRPr="0062311E">
        <w:rPr>
          <w:rFonts w:cs="Arial"/>
        </w:rPr>
        <w:t xml:space="preserve">not all responders may have </w:t>
      </w:r>
      <w:r w:rsidR="00E3174A">
        <w:rPr>
          <w:rFonts w:cs="Arial"/>
        </w:rPr>
        <w:t>perceived the ankle as being part of the foot</w:t>
      </w:r>
      <w:r w:rsidR="003D6E31" w:rsidRPr="0062311E">
        <w:rPr>
          <w:rFonts w:cs="Arial"/>
        </w:rPr>
        <w:t xml:space="preserve">. </w:t>
      </w:r>
      <w:r w:rsidR="00F4639A" w:rsidRPr="00BF061C">
        <w:rPr>
          <w:rFonts w:cs="Arial"/>
        </w:rPr>
        <w:t>However</w:t>
      </w:r>
      <w:r w:rsidR="003D6E31" w:rsidRPr="00BF061C">
        <w:rPr>
          <w:rFonts w:cs="Arial"/>
        </w:rPr>
        <w:t xml:space="preserve">, </w:t>
      </w:r>
      <w:r w:rsidR="00F4639A" w:rsidRPr="00BB2641">
        <w:rPr>
          <w:rFonts w:cs="Arial"/>
        </w:rPr>
        <w:t>sensitivity</w:t>
      </w:r>
      <w:r w:rsidR="003D6E31" w:rsidRPr="00646484">
        <w:rPr>
          <w:rFonts w:cs="Arial"/>
        </w:rPr>
        <w:t xml:space="preserve"> </w:t>
      </w:r>
      <w:r w:rsidR="00F4639A" w:rsidRPr="00646484">
        <w:rPr>
          <w:rFonts w:cs="Arial"/>
        </w:rPr>
        <w:t>analysis</w:t>
      </w:r>
      <w:r w:rsidR="003D6E31" w:rsidRPr="003A0550">
        <w:rPr>
          <w:rFonts w:cs="Arial"/>
        </w:rPr>
        <w:t xml:space="preserve"> found that </w:t>
      </w:r>
      <w:r w:rsidR="00F4639A" w:rsidRPr="003A0550">
        <w:rPr>
          <w:rFonts w:cs="Arial"/>
        </w:rPr>
        <w:t>less than 2% of</w:t>
      </w:r>
      <w:r w:rsidRPr="003A0550">
        <w:rPr>
          <w:rFonts w:cs="Arial"/>
        </w:rPr>
        <w:t xml:space="preserve"> individuals who reported ankle pain on </w:t>
      </w:r>
      <w:r w:rsidR="00F4639A" w:rsidRPr="003A0550">
        <w:rPr>
          <w:rFonts w:cs="Arial"/>
        </w:rPr>
        <w:t xml:space="preserve">a </w:t>
      </w:r>
      <w:r w:rsidR="000703F8" w:rsidRPr="000A10CF">
        <w:rPr>
          <w:rFonts w:cs="Arial"/>
        </w:rPr>
        <w:t xml:space="preserve">whole </w:t>
      </w:r>
      <w:r w:rsidRPr="00477710">
        <w:rPr>
          <w:rFonts w:cs="Arial"/>
        </w:rPr>
        <w:t xml:space="preserve">body pain manikin in the last one month </w:t>
      </w:r>
      <w:r w:rsidR="00F4639A" w:rsidRPr="006B39AC">
        <w:rPr>
          <w:rFonts w:cs="Arial"/>
        </w:rPr>
        <w:t xml:space="preserve">did not </w:t>
      </w:r>
      <w:r w:rsidRPr="006B39AC">
        <w:rPr>
          <w:rFonts w:cs="Arial"/>
        </w:rPr>
        <w:t>report pain in or around the foot in the last year</w:t>
      </w:r>
      <w:r w:rsidR="000703F8" w:rsidRPr="00EA6516">
        <w:rPr>
          <w:rFonts w:cs="Arial"/>
        </w:rPr>
        <w:t xml:space="preserve"> (data not shown)</w:t>
      </w:r>
      <w:r w:rsidRPr="00EA6516">
        <w:rPr>
          <w:rFonts w:cs="Arial"/>
        </w:rPr>
        <w:t xml:space="preserve">. </w:t>
      </w:r>
      <w:r w:rsidR="005D178C">
        <w:rPr>
          <w:rFonts w:cs="Arial"/>
        </w:rPr>
        <w:t xml:space="preserve">Secondly, </w:t>
      </w:r>
      <w:r w:rsidR="005D178C" w:rsidRPr="002C3302">
        <w:rPr>
          <w:rFonts w:cs="Arial"/>
          <w:noProof/>
        </w:rPr>
        <w:t>previous</w:t>
      </w:r>
      <w:r w:rsidR="00CB6CA9">
        <w:rPr>
          <w:rFonts w:cs="Arial"/>
        </w:rPr>
        <w:t xml:space="preserve"> injury of the ankle</w:t>
      </w:r>
      <w:r w:rsidR="00452249">
        <w:rPr>
          <w:rFonts w:cs="Arial"/>
        </w:rPr>
        <w:t xml:space="preserve"> </w:t>
      </w:r>
      <w:r w:rsidR="005D178C" w:rsidRPr="002C3302">
        <w:rPr>
          <w:rFonts w:cs="Arial"/>
          <w:noProof/>
        </w:rPr>
        <w:t xml:space="preserve">was not </w:t>
      </w:r>
      <w:r w:rsidR="00717816" w:rsidRPr="002C3302">
        <w:rPr>
          <w:rFonts w:cs="Arial"/>
          <w:noProof/>
        </w:rPr>
        <w:t>examined</w:t>
      </w:r>
      <w:r w:rsidR="00717816">
        <w:rPr>
          <w:rFonts w:cs="Arial"/>
        </w:rPr>
        <w:t xml:space="preserve"> in this study</w:t>
      </w:r>
      <w:r w:rsidR="002C3302">
        <w:rPr>
          <w:rFonts w:cs="Arial"/>
        </w:rPr>
        <w:t>,</w:t>
      </w:r>
      <w:r w:rsidR="00A25126">
        <w:rPr>
          <w:rFonts w:cs="Arial"/>
        </w:rPr>
        <w:t xml:space="preserve"> </w:t>
      </w:r>
      <w:r w:rsidR="00A25126" w:rsidRPr="002C3302">
        <w:rPr>
          <w:rFonts w:cs="Arial"/>
          <w:noProof/>
        </w:rPr>
        <w:t>and</w:t>
      </w:r>
      <w:r w:rsidR="00A25126">
        <w:rPr>
          <w:rFonts w:cs="Arial"/>
        </w:rPr>
        <w:t xml:space="preserve"> </w:t>
      </w:r>
      <w:r w:rsidR="00612245">
        <w:rPr>
          <w:rFonts w:cs="Arial"/>
        </w:rPr>
        <w:t xml:space="preserve">so the prevalence of ankle OA attributable to this a potentially major risk factor for ankle OA could not be </w:t>
      </w:r>
      <w:r w:rsidR="00452249">
        <w:rPr>
          <w:rFonts w:cs="Arial"/>
        </w:rPr>
        <w:t>determined</w:t>
      </w:r>
      <w:r w:rsidR="00612245">
        <w:rPr>
          <w:rFonts w:cs="Arial"/>
        </w:rPr>
        <w:t xml:space="preserve"> [Saltzman 2005]</w:t>
      </w:r>
      <w:r w:rsidR="00452249">
        <w:rPr>
          <w:rFonts w:cs="Arial"/>
        </w:rPr>
        <w:t xml:space="preserve">. </w:t>
      </w:r>
      <w:r w:rsidR="002B72B9">
        <w:rPr>
          <w:rFonts w:cs="Arial"/>
        </w:rPr>
        <w:t>Thirdly</w:t>
      </w:r>
      <w:r w:rsidR="00687DD8" w:rsidRPr="00EA6516">
        <w:rPr>
          <w:rFonts w:cs="Arial"/>
        </w:rPr>
        <w:t xml:space="preserve">, the restricted number of variables used within the weighted logistic regression model may mean that other factors that could have influenced response to the initial baseline health survey questionnaire have </w:t>
      </w:r>
      <w:r w:rsidR="00687DD8" w:rsidRPr="004A3A53">
        <w:rPr>
          <w:rFonts w:cs="Arial"/>
        </w:rPr>
        <w:t xml:space="preserve">not </w:t>
      </w:r>
      <w:r w:rsidR="00687DD8" w:rsidRPr="002C3302">
        <w:rPr>
          <w:rFonts w:cs="Arial"/>
          <w:noProof/>
        </w:rPr>
        <w:t>been accounted</w:t>
      </w:r>
      <w:r w:rsidR="00687DD8" w:rsidRPr="004A3A53">
        <w:rPr>
          <w:rFonts w:cs="Arial"/>
        </w:rPr>
        <w:t xml:space="preserve"> </w:t>
      </w:r>
      <w:r w:rsidR="00687DD8" w:rsidRPr="002C3302">
        <w:rPr>
          <w:rFonts w:cs="Arial"/>
          <w:noProof/>
        </w:rPr>
        <w:t>for</w:t>
      </w:r>
      <w:r w:rsidR="00687DD8" w:rsidRPr="004A3A53">
        <w:rPr>
          <w:rFonts w:cs="Arial"/>
        </w:rPr>
        <w:t xml:space="preserve">. </w:t>
      </w:r>
      <w:r w:rsidR="002B72B9">
        <w:rPr>
          <w:rFonts w:cs="Arial"/>
        </w:rPr>
        <w:t>Fourthly,</w:t>
      </w:r>
      <w:r w:rsidR="002B72B9" w:rsidRPr="004A3A53">
        <w:rPr>
          <w:rFonts w:cs="Arial"/>
        </w:rPr>
        <w:t xml:space="preserve"> </w:t>
      </w:r>
      <w:r w:rsidR="007754FE" w:rsidRPr="004A3A53">
        <w:rPr>
          <w:rFonts w:cs="Arial"/>
        </w:rPr>
        <w:t>while the intra-</w:t>
      </w:r>
      <w:proofErr w:type="spellStart"/>
      <w:r w:rsidR="007754FE" w:rsidRPr="004A3A53">
        <w:rPr>
          <w:rFonts w:cs="Arial"/>
        </w:rPr>
        <w:t>rater</w:t>
      </w:r>
      <w:proofErr w:type="spellEnd"/>
      <w:r w:rsidR="007754FE" w:rsidRPr="004A3A53">
        <w:rPr>
          <w:rFonts w:cs="Arial"/>
        </w:rPr>
        <w:t xml:space="preserve"> </w:t>
      </w:r>
      <w:r w:rsidR="003A3610" w:rsidRPr="004A3A53">
        <w:rPr>
          <w:rFonts w:cs="Arial"/>
        </w:rPr>
        <w:t>agreement</w:t>
      </w:r>
      <w:r w:rsidR="006F322D" w:rsidRPr="004B5EC2">
        <w:rPr>
          <w:rFonts w:cs="Arial"/>
        </w:rPr>
        <w:t xml:space="preserve"> for the presence of ankle OA was </w:t>
      </w:r>
      <w:r w:rsidR="007B1478" w:rsidRPr="008B2BDC">
        <w:rPr>
          <w:rFonts w:cs="Arial"/>
        </w:rPr>
        <w:t>excellent, inter-rater</w:t>
      </w:r>
      <w:r w:rsidR="001D4A73" w:rsidRPr="008B2BDC">
        <w:rPr>
          <w:rFonts w:cs="Arial"/>
        </w:rPr>
        <w:t xml:space="preserve"> </w:t>
      </w:r>
      <w:r w:rsidR="003A3610" w:rsidRPr="008B2BDC">
        <w:rPr>
          <w:rFonts w:cs="Arial"/>
        </w:rPr>
        <w:t xml:space="preserve">agreement </w:t>
      </w:r>
      <w:r w:rsidR="001D4A73" w:rsidRPr="008B2BDC">
        <w:rPr>
          <w:rFonts w:cs="Arial"/>
        </w:rPr>
        <w:t>was found to be fair. Th</w:t>
      </w:r>
      <w:r w:rsidR="00047065" w:rsidRPr="008B2BDC">
        <w:rPr>
          <w:rFonts w:cs="Arial"/>
        </w:rPr>
        <w:t>e</w:t>
      </w:r>
      <w:r w:rsidR="007C352C" w:rsidRPr="008B2BDC">
        <w:rPr>
          <w:rFonts w:cs="Arial"/>
        </w:rPr>
        <w:t xml:space="preserve"> markedly lower</w:t>
      </w:r>
      <w:r w:rsidR="00047065" w:rsidRPr="008B2BDC">
        <w:rPr>
          <w:rFonts w:cs="Arial"/>
        </w:rPr>
        <w:t xml:space="preserve"> inter-rater </w:t>
      </w:r>
      <w:r w:rsidR="007C352C" w:rsidRPr="008B2BDC">
        <w:rPr>
          <w:rFonts w:cs="Arial"/>
        </w:rPr>
        <w:t xml:space="preserve">agreement </w:t>
      </w:r>
      <w:r w:rsidR="001D4A73" w:rsidRPr="008B2BDC">
        <w:rPr>
          <w:rFonts w:cs="Arial"/>
        </w:rPr>
        <w:t xml:space="preserve">is </w:t>
      </w:r>
      <w:r w:rsidR="00047065" w:rsidRPr="008B2BDC">
        <w:rPr>
          <w:rFonts w:cs="Arial"/>
        </w:rPr>
        <w:t>comparable or</w:t>
      </w:r>
      <w:r w:rsidR="00FC5C10" w:rsidRPr="008B2BDC">
        <w:rPr>
          <w:rFonts w:cs="Arial"/>
        </w:rPr>
        <w:t xml:space="preserve"> </w:t>
      </w:r>
      <w:r w:rsidR="00703C05" w:rsidRPr="008B2BDC">
        <w:rPr>
          <w:rFonts w:cs="Arial"/>
        </w:rPr>
        <w:t>on</w:t>
      </w:r>
      <w:r w:rsidR="005709CB" w:rsidRPr="008B2BDC">
        <w:rPr>
          <w:rFonts w:cs="Arial"/>
        </w:rPr>
        <w:t>ly slightly lower than</w:t>
      </w:r>
      <w:r w:rsidR="00FB7AAF" w:rsidRPr="008B2BDC">
        <w:rPr>
          <w:rFonts w:cs="Arial"/>
        </w:rPr>
        <w:t xml:space="preserve"> </w:t>
      </w:r>
      <w:r w:rsidR="00FB7AAF" w:rsidRPr="002C3302">
        <w:rPr>
          <w:rFonts w:cs="Arial"/>
          <w:noProof/>
        </w:rPr>
        <w:t>agreement</w:t>
      </w:r>
      <w:r w:rsidR="00FB7AAF" w:rsidRPr="008B2BDC">
        <w:rPr>
          <w:rFonts w:cs="Arial"/>
        </w:rPr>
        <w:t xml:space="preserve"> </w:t>
      </w:r>
      <w:r w:rsidR="00A3076F" w:rsidRPr="008B2BDC">
        <w:rPr>
          <w:rFonts w:cs="Arial"/>
        </w:rPr>
        <w:t xml:space="preserve">that has been previously reported </w:t>
      </w:r>
      <w:r w:rsidR="00FB7AAF" w:rsidRPr="008B2BDC">
        <w:rPr>
          <w:rFonts w:cs="Arial"/>
        </w:rPr>
        <w:t xml:space="preserve">in </w:t>
      </w:r>
      <w:r w:rsidR="005709CB" w:rsidRPr="008B2BDC">
        <w:rPr>
          <w:rFonts w:cs="Arial"/>
        </w:rPr>
        <w:t>a recently developed</w:t>
      </w:r>
      <w:r w:rsidR="00745F86" w:rsidRPr="008B2BDC">
        <w:rPr>
          <w:rFonts w:cs="Arial"/>
        </w:rPr>
        <w:t xml:space="preserve"> ankle atlas </w:t>
      </w:r>
      <w:r w:rsidR="003C19ED">
        <w:rPr>
          <w:rFonts w:cs="Arial"/>
        </w:rPr>
        <w:t>[</w:t>
      </w:r>
      <w:r w:rsidR="005E02A6">
        <w:rPr>
          <w:rFonts w:cs="Arial"/>
        </w:rPr>
        <w:t>71</w:t>
      </w:r>
      <w:r w:rsidR="003C19ED">
        <w:rPr>
          <w:rFonts w:cs="Arial"/>
        </w:rPr>
        <w:t>]</w:t>
      </w:r>
      <w:r w:rsidR="00745F86" w:rsidRPr="008B2BDC">
        <w:rPr>
          <w:rFonts w:cs="Arial"/>
        </w:rPr>
        <w:t xml:space="preserve">, </w:t>
      </w:r>
      <w:r w:rsidR="007B1478" w:rsidRPr="008B2BDC">
        <w:rPr>
          <w:rFonts w:cs="Arial"/>
        </w:rPr>
        <w:t xml:space="preserve">the original </w:t>
      </w:r>
      <w:r w:rsidR="00FB7AAF" w:rsidRPr="003C19ED">
        <w:rPr>
          <w:rFonts w:cs="Arial"/>
        </w:rPr>
        <w:t xml:space="preserve">foot </w:t>
      </w:r>
      <w:r w:rsidR="007B1478" w:rsidRPr="00565E62">
        <w:rPr>
          <w:rFonts w:cs="Arial"/>
          <w:noProof/>
        </w:rPr>
        <w:t>atlas</w:t>
      </w:r>
      <w:r w:rsidR="003C19ED">
        <w:rPr>
          <w:rFonts w:cs="Arial"/>
        </w:rPr>
        <w:t xml:space="preserve"> [</w:t>
      </w:r>
      <w:r w:rsidR="00F43064">
        <w:rPr>
          <w:rFonts w:cs="Arial"/>
        </w:rPr>
        <w:t>40</w:t>
      </w:r>
      <w:r w:rsidR="003C19ED">
        <w:rPr>
          <w:rFonts w:cs="Arial"/>
        </w:rPr>
        <w:t>]</w:t>
      </w:r>
      <w:r w:rsidR="00745F86" w:rsidRPr="008B2BDC">
        <w:rPr>
          <w:rFonts w:cs="Arial"/>
        </w:rPr>
        <w:t xml:space="preserve"> and </w:t>
      </w:r>
      <w:r w:rsidR="00FC5C10" w:rsidRPr="008B2BDC">
        <w:rPr>
          <w:rFonts w:cs="Arial"/>
        </w:rPr>
        <w:t xml:space="preserve">the </w:t>
      </w:r>
      <w:r w:rsidR="007878E9" w:rsidRPr="003C19ED">
        <w:rPr>
          <w:rFonts w:cs="Arial"/>
        </w:rPr>
        <w:t>assessment of foot</w:t>
      </w:r>
      <w:r w:rsidR="00FC5C10" w:rsidRPr="003C19ED">
        <w:rPr>
          <w:rFonts w:cs="Arial"/>
        </w:rPr>
        <w:t xml:space="preserve"> OA </w:t>
      </w:r>
      <w:r w:rsidR="007878E9" w:rsidRPr="003C19ED">
        <w:rPr>
          <w:rFonts w:cs="Arial"/>
        </w:rPr>
        <w:t xml:space="preserve">in the same </w:t>
      </w:r>
      <w:r w:rsidR="009E01A0" w:rsidRPr="003C19ED">
        <w:rPr>
          <w:rFonts w:cs="Arial"/>
        </w:rPr>
        <w:lastRenderedPageBreak/>
        <w:t>population.</w:t>
      </w:r>
      <w:r w:rsidR="00FF3C98" w:rsidRPr="003C19ED">
        <w:rPr>
          <w:rFonts w:cs="Arial"/>
        </w:rPr>
        <w:t xml:space="preserve"> Th</w:t>
      </w:r>
      <w:r w:rsidR="00A3076F" w:rsidRPr="003C19ED">
        <w:rPr>
          <w:rFonts w:cs="Arial"/>
        </w:rPr>
        <w:t>e</w:t>
      </w:r>
      <w:r w:rsidR="00FF3C98" w:rsidRPr="003C19ED">
        <w:rPr>
          <w:rFonts w:cs="Arial"/>
        </w:rPr>
        <w:t xml:space="preserve"> </w:t>
      </w:r>
      <w:r w:rsidR="00CB31D0" w:rsidRPr="003C19ED">
        <w:rPr>
          <w:rFonts w:cs="Arial"/>
        </w:rPr>
        <w:t>inter-</w:t>
      </w:r>
      <w:r w:rsidR="00A3076F" w:rsidRPr="003C19ED">
        <w:rPr>
          <w:rFonts w:cs="Arial"/>
        </w:rPr>
        <w:t>rater agreement</w:t>
      </w:r>
      <w:r w:rsidR="00CB31D0" w:rsidRPr="003C19ED">
        <w:rPr>
          <w:rFonts w:cs="Arial"/>
        </w:rPr>
        <w:t xml:space="preserve"> does vary at</w:t>
      </w:r>
      <w:r w:rsidR="00FF3C98" w:rsidRPr="003C19ED">
        <w:rPr>
          <w:rFonts w:cs="Arial"/>
        </w:rPr>
        <w:t xml:space="preserve"> large joint sites such as the hip and knee</w:t>
      </w:r>
      <w:r w:rsidR="003C19ED">
        <w:rPr>
          <w:rFonts w:cs="Arial"/>
        </w:rPr>
        <w:t xml:space="preserve"> [</w:t>
      </w:r>
      <w:r w:rsidR="0018007E">
        <w:rPr>
          <w:rFonts w:cs="Arial"/>
        </w:rPr>
        <w:t>7</w:t>
      </w:r>
      <w:r w:rsidR="005E02A6">
        <w:rPr>
          <w:rFonts w:cs="Arial"/>
        </w:rPr>
        <w:t>2</w:t>
      </w:r>
      <w:proofErr w:type="gramStart"/>
      <w:r w:rsidR="005E02A6">
        <w:rPr>
          <w:rFonts w:cs="Arial"/>
        </w:rPr>
        <w:t>,73</w:t>
      </w:r>
      <w:proofErr w:type="gramEnd"/>
      <w:r w:rsidR="003C19ED">
        <w:rPr>
          <w:rFonts w:cs="Arial"/>
        </w:rPr>
        <w:t>]</w:t>
      </w:r>
      <w:r w:rsidR="00E16B61" w:rsidRPr="008B2BDC">
        <w:rPr>
          <w:rFonts w:cs="Arial"/>
        </w:rPr>
        <w:t>, but also in other small joint sites such as the hands</w:t>
      </w:r>
      <w:r w:rsidR="003C19ED">
        <w:rPr>
          <w:rFonts w:cs="Arial"/>
        </w:rPr>
        <w:t xml:space="preserve"> [</w:t>
      </w:r>
      <w:r w:rsidR="005E02A6">
        <w:rPr>
          <w:rFonts w:cs="Arial"/>
        </w:rPr>
        <w:t>74</w:t>
      </w:r>
      <w:r w:rsidR="003C19ED">
        <w:rPr>
          <w:rFonts w:cs="Arial"/>
        </w:rPr>
        <w:t>]</w:t>
      </w:r>
      <w:r w:rsidR="00E16B61" w:rsidRPr="008B2BDC">
        <w:rPr>
          <w:rFonts w:cs="Arial"/>
        </w:rPr>
        <w:t>.</w:t>
      </w:r>
      <w:r w:rsidR="00502AF9" w:rsidRPr="008B2BDC">
        <w:rPr>
          <w:rFonts w:cs="Arial"/>
        </w:rPr>
        <w:t xml:space="preserve"> </w:t>
      </w:r>
      <w:r w:rsidR="00CB31D0" w:rsidRPr="003C19ED">
        <w:rPr>
          <w:rFonts w:cs="Arial"/>
        </w:rPr>
        <w:t>Howeve</w:t>
      </w:r>
      <w:r w:rsidR="00502AF9" w:rsidRPr="003C19ED">
        <w:rPr>
          <w:rFonts w:cs="Arial"/>
        </w:rPr>
        <w:t>r</w:t>
      </w:r>
      <w:r w:rsidR="00CB31D0" w:rsidRPr="003C19ED">
        <w:rPr>
          <w:rFonts w:cs="Arial"/>
        </w:rPr>
        <w:t>, the ankle may</w:t>
      </w:r>
      <w:r w:rsidR="00A30050" w:rsidRPr="003C19ED">
        <w:rPr>
          <w:rFonts w:cs="Arial"/>
        </w:rPr>
        <w:t xml:space="preserve"> </w:t>
      </w:r>
      <w:r w:rsidR="00CB31D0" w:rsidRPr="003C19ED">
        <w:rPr>
          <w:rFonts w:cs="Arial"/>
        </w:rPr>
        <w:t xml:space="preserve">be </w:t>
      </w:r>
      <w:r w:rsidR="00FF0BA9" w:rsidRPr="003C19ED">
        <w:rPr>
          <w:rFonts w:cs="Arial"/>
        </w:rPr>
        <w:t>particular</w:t>
      </w:r>
      <w:r w:rsidR="00CB31D0" w:rsidRPr="003C19ED">
        <w:rPr>
          <w:rFonts w:cs="Arial"/>
        </w:rPr>
        <w:t>ly</w:t>
      </w:r>
      <w:r w:rsidR="00FF0BA9" w:rsidRPr="003C19ED">
        <w:rPr>
          <w:rFonts w:cs="Arial"/>
        </w:rPr>
        <w:t xml:space="preserve"> challenging </w:t>
      </w:r>
      <w:r w:rsidR="00F91218">
        <w:rPr>
          <w:rFonts w:cs="Arial"/>
        </w:rPr>
        <w:t xml:space="preserve">to score </w:t>
      </w:r>
      <w:r w:rsidR="00FF0BA9" w:rsidRPr="003C19ED">
        <w:rPr>
          <w:rFonts w:cs="Arial"/>
        </w:rPr>
        <w:t>due</w:t>
      </w:r>
      <w:r w:rsidR="0034484E" w:rsidRPr="003C19ED">
        <w:rPr>
          <w:rFonts w:cs="Arial"/>
        </w:rPr>
        <w:t xml:space="preserve"> </w:t>
      </w:r>
      <w:r w:rsidR="00966D21">
        <w:rPr>
          <w:rFonts w:cs="Arial"/>
        </w:rPr>
        <w:t xml:space="preserve">to </w:t>
      </w:r>
      <w:r w:rsidR="0034484E" w:rsidRPr="003C19ED">
        <w:rPr>
          <w:rFonts w:cs="Arial"/>
        </w:rPr>
        <w:t xml:space="preserve">difficulties eliminating </w:t>
      </w:r>
      <w:proofErr w:type="spellStart"/>
      <w:r w:rsidR="00FF0BA9" w:rsidRPr="003C19ED">
        <w:rPr>
          <w:rFonts w:cs="Arial"/>
        </w:rPr>
        <w:t>talar</w:t>
      </w:r>
      <w:proofErr w:type="spellEnd"/>
      <w:r w:rsidR="00FF0BA9" w:rsidRPr="003C19ED">
        <w:rPr>
          <w:rFonts w:cs="Arial"/>
        </w:rPr>
        <w:t xml:space="preserve"> tilt and </w:t>
      </w:r>
      <w:r w:rsidR="00A73E1D" w:rsidRPr="00033AF0">
        <w:rPr>
          <w:rFonts w:cs="Arial"/>
          <w:noProof/>
        </w:rPr>
        <w:t>rotation</w:t>
      </w:r>
      <w:r w:rsidR="00966D21">
        <w:rPr>
          <w:rFonts w:cs="Arial"/>
        </w:rPr>
        <w:t xml:space="preserve"> </w:t>
      </w:r>
      <w:r w:rsidR="00966D21" w:rsidRPr="002C3302">
        <w:rPr>
          <w:rFonts w:cs="Arial"/>
          <w:noProof/>
        </w:rPr>
        <w:t>and</w:t>
      </w:r>
      <w:r w:rsidR="0034484E" w:rsidRPr="003C19ED">
        <w:rPr>
          <w:rFonts w:cs="Arial"/>
        </w:rPr>
        <w:t xml:space="preserve"> </w:t>
      </w:r>
      <w:r w:rsidR="00680865" w:rsidRPr="003C19ED">
        <w:rPr>
          <w:rFonts w:cs="Arial"/>
        </w:rPr>
        <w:t xml:space="preserve">it has </w:t>
      </w:r>
      <w:r w:rsidR="00680865" w:rsidRPr="002C3302">
        <w:rPr>
          <w:rFonts w:cs="Arial"/>
          <w:noProof/>
        </w:rPr>
        <w:t>been noted</w:t>
      </w:r>
      <w:r w:rsidR="00680865" w:rsidRPr="003C19ED">
        <w:rPr>
          <w:rFonts w:cs="Arial"/>
        </w:rPr>
        <w:t xml:space="preserve"> that </w:t>
      </w:r>
      <w:r w:rsidR="0030661B">
        <w:rPr>
          <w:rFonts w:cs="Arial"/>
        </w:rPr>
        <w:t>the</w:t>
      </w:r>
      <w:r w:rsidR="0030661B" w:rsidRPr="003C19ED">
        <w:rPr>
          <w:rFonts w:cs="Arial"/>
        </w:rPr>
        <w:t xml:space="preserve"> </w:t>
      </w:r>
      <w:r w:rsidR="00A73E1D" w:rsidRPr="003C19ED">
        <w:rPr>
          <w:rFonts w:cs="Arial"/>
        </w:rPr>
        <w:t>levels</w:t>
      </w:r>
      <w:r w:rsidR="008226EC" w:rsidRPr="003C19ED">
        <w:rPr>
          <w:rFonts w:cs="Arial"/>
        </w:rPr>
        <w:t xml:space="preserve"> </w:t>
      </w:r>
      <w:r w:rsidR="00A73E1D" w:rsidRPr="003C19ED">
        <w:rPr>
          <w:rFonts w:cs="Arial"/>
        </w:rPr>
        <w:t xml:space="preserve">of severity </w:t>
      </w:r>
      <w:r w:rsidR="00662DF2" w:rsidRPr="003C19ED">
        <w:rPr>
          <w:rFonts w:cs="Arial"/>
        </w:rPr>
        <w:t xml:space="preserve">can </w:t>
      </w:r>
      <w:r w:rsidR="0030661B">
        <w:rPr>
          <w:rFonts w:cs="Arial"/>
        </w:rPr>
        <w:t xml:space="preserve">vary </w:t>
      </w:r>
      <w:r w:rsidR="003676FC" w:rsidRPr="003C19ED">
        <w:rPr>
          <w:rFonts w:cs="Arial"/>
        </w:rPr>
        <w:t xml:space="preserve">across </w:t>
      </w:r>
      <w:r w:rsidR="002165F4">
        <w:rPr>
          <w:rFonts w:cs="Arial"/>
        </w:rPr>
        <w:t xml:space="preserve">different regions of </w:t>
      </w:r>
      <w:r w:rsidR="003676FC" w:rsidRPr="003C19ED">
        <w:rPr>
          <w:rFonts w:cs="Arial"/>
        </w:rPr>
        <w:t xml:space="preserve">the </w:t>
      </w:r>
      <w:r w:rsidR="00316C02" w:rsidRPr="003C19ED">
        <w:rPr>
          <w:rFonts w:cs="Arial"/>
        </w:rPr>
        <w:t>joint</w:t>
      </w:r>
      <w:r w:rsidR="002165F4">
        <w:rPr>
          <w:rFonts w:cs="Arial"/>
        </w:rPr>
        <w:t xml:space="preserve"> [</w:t>
      </w:r>
      <w:r w:rsidR="005E02A6">
        <w:rPr>
          <w:rFonts w:cs="Arial"/>
        </w:rPr>
        <w:t>71</w:t>
      </w:r>
      <w:r w:rsidR="003C19ED">
        <w:rPr>
          <w:rFonts w:cs="Arial"/>
        </w:rPr>
        <w:t>]</w:t>
      </w:r>
      <w:r w:rsidR="003676FC" w:rsidRPr="008B2BDC">
        <w:rPr>
          <w:rFonts w:cs="Arial"/>
        </w:rPr>
        <w:t xml:space="preserve">. </w:t>
      </w:r>
      <w:r w:rsidR="00F26074" w:rsidRPr="008B2BDC">
        <w:rPr>
          <w:rFonts w:cs="Arial"/>
        </w:rPr>
        <w:t>A</w:t>
      </w:r>
      <w:r w:rsidR="00CA2032" w:rsidRPr="003C19ED">
        <w:rPr>
          <w:rFonts w:cs="Arial"/>
        </w:rPr>
        <w:t>s</w:t>
      </w:r>
      <w:r w:rsidR="00D56277" w:rsidRPr="003C19ED">
        <w:rPr>
          <w:rFonts w:cs="Arial"/>
        </w:rPr>
        <w:t xml:space="preserve"> </w:t>
      </w:r>
      <w:r w:rsidR="00C133A9" w:rsidRPr="003C19ED">
        <w:rPr>
          <w:rFonts w:cs="Arial"/>
        </w:rPr>
        <w:t>the</w:t>
      </w:r>
      <w:r w:rsidR="005B6C67" w:rsidRPr="003C19ED">
        <w:rPr>
          <w:rFonts w:cs="Arial"/>
        </w:rPr>
        <w:t xml:space="preserve"> second</w:t>
      </w:r>
      <w:r w:rsidR="00C133A9" w:rsidRPr="003C19ED">
        <w:rPr>
          <w:rFonts w:cs="Arial"/>
        </w:rPr>
        <w:t xml:space="preserve"> assessor</w:t>
      </w:r>
      <w:r w:rsidR="002D27AC" w:rsidRPr="003C19ED">
        <w:rPr>
          <w:rFonts w:cs="Arial"/>
        </w:rPr>
        <w:t xml:space="preserve"> </w:t>
      </w:r>
      <w:r w:rsidR="00CA2032" w:rsidRPr="003C19ED">
        <w:rPr>
          <w:rFonts w:cs="Arial"/>
        </w:rPr>
        <w:t xml:space="preserve">scored radiographs </w:t>
      </w:r>
      <w:r w:rsidR="00932890" w:rsidRPr="003C19ED">
        <w:rPr>
          <w:rFonts w:cs="Arial"/>
        </w:rPr>
        <w:t xml:space="preserve">only </w:t>
      </w:r>
      <w:r w:rsidR="00CA2032" w:rsidRPr="003C19ED">
        <w:rPr>
          <w:rFonts w:cs="Arial"/>
        </w:rPr>
        <w:t xml:space="preserve">for reliability purposes </w:t>
      </w:r>
      <w:r w:rsidR="00932890" w:rsidRPr="003C19ED">
        <w:rPr>
          <w:rFonts w:cs="Arial"/>
        </w:rPr>
        <w:t xml:space="preserve">and </w:t>
      </w:r>
      <w:r w:rsidR="004C2482">
        <w:rPr>
          <w:rFonts w:cs="Arial"/>
        </w:rPr>
        <w:t xml:space="preserve">only scores from </w:t>
      </w:r>
      <w:r w:rsidR="008422E7">
        <w:rPr>
          <w:rFonts w:cs="Arial"/>
        </w:rPr>
        <w:t>a</w:t>
      </w:r>
      <w:r w:rsidR="00932890" w:rsidRPr="003C19ED">
        <w:rPr>
          <w:rFonts w:cs="Arial"/>
        </w:rPr>
        <w:t xml:space="preserve"> single reader</w:t>
      </w:r>
      <w:r w:rsidR="004C2482">
        <w:rPr>
          <w:rFonts w:cs="Arial"/>
        </w:rPr>
        <w:t>,</w:t>
      </w:r>
      <w:r w:rsidR="00932890" w:rsidRPr="003C19ED">
        <w:rPr>
          <w:rFonts w:cs="Arial"/>
        </w:rPr>
        <w:t xml:space="preserve"> </w:t>
      </w:r>
      <w:r w:rsidR="004C2482">
        <w:rPr>
          <w:rFonts w:cs="Arial"/>
        </w:rPr>
        <w:t xml:space="preserve">who </w:t>
      </w:r>
      <w:r w:rsidR="001A1069" w:rsidRPr="003C19ED">
        <w:rPr>
          <w:rFonts w:cs="Arial"/>
        </w:rPr>
        <w:t xml:space="preserve">had </w:t>
      </w:r>
      <w:r w:rsidR="002D27AC" w:rsidRPr="002C3302">
        <w:rPr>
          <w:rFonts w:cs="Arial"/>
          <w:noProof/>
        </w:rPr>
        <w:t>excellent</w:t>
      </w:r>
      <w:r w:rsidR="002D27AC" w:rsidRPr="00E01B53">
        <w:rPr>
          <w:rFonts w:cs="Arial"/>
        </w:rPr>
        <w:t xml:space="preserve"> </w:t>
      </w:r>
      <w:r w:rsidR="005B6C67" w:rsidRPr="00E01B53">
        <w:rPr>
          <w:rFonts w:cs="Arial"/>
        </w:rPr>
        <w:t>intra-</w:t>
      </w:r>
      <w:proofErr w:type="spellStart"/>
      <w:r w:rsidR="005B6C67" w:rsidRPr="00E01B53">
        <w:rPr>
          <w:rFonts w:cs="Arial"/>
        </w:rPr>
        <w:t>rater</w:t>
      </w:r>
      <w:proofErr w:type="spellEnd"/>
      <w:r w:rsidR="005B6C67" w:rsidRPr="00E01B53">
        <w:rPr>
          <w:rFonts w:cs="Arial"/>
        </w:rPr>
        <w:t xml:space="preserve"> </w:t>
      </w:r>
      <w:r w:rsidR="002D27AC" w:rsidRPr="00644F54">
        <w:rPr>
          <w:rFonts w:cs="Arial"/>
        </w:rPr>
        <w:t>agr</w:t>
      </w:r>
      <w:r w:rsidR="005640C3" w:rsidRPr="00D90F26">
        <w:rPr>
          <w:rFonts w:cs="Arial"/>
        </w:rPr>
        <w:t>eement</w:t>
      </w:r>
      <w:r w:rsidR="004C2482">
        <w:rPr>
          <w:rFonts w:cs="Arial"/>
        </w:rPr>
        <w:t xml:space="preserve">, were </w:t>
      </w:r>
      <w:r w:rsidR="004C2482" w:rsidRPr="003C19ED">
        <w:rPr>
          <w:rFonts w:cs="Arial"/>
        </w:rPr>
        <w:t>used for the main analysis</w:t>
      </w:r>
      <w:r w:rsidR="008422E7">
        <w:rPr>
          <w:rFonts w:cs="Arial"/>
        </w:rPr>
        <w:t>,</w:t>
      </w:r>
      <w:r w:rsidR="00AE6DE8" w:rsidRPr="000E6A2B">
        <w:rPr>
          <w:rFonts w:cs="Arial"/>
        </w:rPr>
        <w:t xml:space="preserve"> </w:t>
      </w:r>
      <w:r w:rsidR="00F26074" w:rsidRPr="000E6A2B">
        <w:rPr>
          <w:rFonts w:cs="Arial"/>
        </w:rPr>
        <w:t xml:space="preserve">differences in interpretation of the atlas </w:t>
      </w:r>
      <w:r w:rsidR="00FC4E4C">
        <w:rPr>
          <w:rFonts w:cs="Arial"/>
        </w:rPr>
        <w:t>would not</w:t>
      </w:r>
      <w:r w:rsidR="00FC4E4C" w:rsidRPr="000E6A2B">
        <w:rPr>
          <w:rFonts w:cs="Arial"/>
        </w:rPr>
        <w:t xml:space="preserve"> </w:t>
      </w:r>
      <w:r w:rsidR="00F26074" w:rsidRPr="000E6A2B">
        <w:rPr>
          <w:rFonts w:cs="Arial"/>
        </w:rPr>
        <w:t xml:space="preserve">have </w:t>
      </w:r>
      <w:r w:rsidR="00807A4D" w:rsidRPr="000E6A2B">
        <w:rPr>
          <w:rFonts w:cs="Arial"/>
        </w:rPr>
        <w:t xml:space="preserve">led to </w:t>
      </w:r>
      <w:r w:rsidR="00807A4D" w:rsidRPr="002C3302">
        <w:rPr>
          <w:rFonts w:cs="Arial"/>
          <w:noProof/>
        </w:rPr>
        <w:t>differential</w:t>
      </w:r>
      <w:r w:rsidR="00807A4D" w:rsidRPr="000E6A2B">
        <w:rPr>
          <w:rFonts w:cs="Arial"/>
        </w:rPr>
        <w:t xml:space="preserve"> classification</w:t>
      </w:r>
      <w:r w:rsidR="008226EC" w:rsidRPr="001914FE">
        <w:rPr>
          <w:rFonts w:cs="Arial"/>
        </w:rPr>
        <w:t xml:space="preserve"> of ankle OA</w:t>
      </w:r>
      <w:r w:rsidR="008422E7">
        <w:rPr>
          <w:rFonts w:cs="Arial"/>
        </w:rPr>
        <w:t xml:space="preserve"> within the study</w:t>
      </w:r>
      <w:r w:rsidR="00AE6DE8" w:rsidRPr="002165F4">
        <w:rPr>
          <w:rFonts w:cs="Arial"/>
        </w:rPr>
        <w:t>.</w:t>
      </w:r>
      <w:r w:rsidR="00F26074" w:rsidRPr="002165F4">
        <w:rPr>
          <w:rFonts w:cs="Arial"/>
        </w:rPr>
        <w:t xml:space="preserve"> </w:t>
      </w:r>
      <w:r w:rsidR="00FC4E4C">
        <w:rPr>
          <w:rFonts w:cs="Arial"/>
        </w:rPr>
        <w:t>However, given that</w:t>
      </w:r>
      <w:r w:rsidR="00F26074" w:rsidRPr="002165F4">
        <w:rPr>
          <w:rFonts w:cs="Arial"/>
        </w:rPr>
        <w:t xml:space="preserve"> the single main asse</w:t>
      </w:r>
      <w:r w:rsidR="00807A4D" w:rsidRPr="002165F4">
        <w:rPr>
          <w:rFonts w:cs="Arial"/>
        </w:rPr>
        <w:t>ss</w:t>
      </w:r>
      <w:r w:rsidR="00F26074" w:rsidRPr="002165F4">
        <w:rPr>
          <w:rFonts w:cs="Arial"/>
        </w:rPr>
        <w:t xml:space="preserve">or was </w:t>
      </w:r>
      <w:r w:rsidR="00807A4D" w:rsidRPr="002165F4">
        <w:rPr>
          <w:rFonts w:cs="Arial"/>
        </w:rPr>
        <w:t>more conservative in their approach to scoring</w:t>
      </w:r>
      <w:r w:rsidR="00FC4E4C">
        <w:rPr>
          <w:rFonts w:cs="Arial"/>
        </w:rPr>
        <w:t>,</w:t>
      </w:r>
      <w:r w:rsidR="00807A4D" w:rsidRPr="002165F4">
        <w:rPr>
          <w:rFonts w:cs="Arial"/>
        </w:rPr>
        <w:t xml:space="preserve"> the population prevalence estimates </w:t>
      </w:r>
      <w:r w:rsidR="00FC4E4C">
        <w:rPr>
          <w:rFonts w:cs="Arial"/>
        </w:rPr>
        <w:t>may</w:t>
      </w:r>
      <w:r w:rsidR="00FC4E4C" w:rsidRPr="002165F4">
        <w:rPr>
          <w:rFonts w:cs="Arial"/>
        </w:rPr>
        <w:t xml:space="preserve"> </w:t>
      </w:r>
      <w:r w:rsidR="00807A4D" w:rsidRPr="002165F4">
        <w:rPr>
          <w:rFonts w:cs="Arial"/>
        </w:rPr>
        <w:t>have been underestimated.</w:t>
      </w:r>
      <w:r w:rsidR="00A73E1D" w:rsidRPr="002165F4">
        <w:rPr>
          <w:rFonts w:cs="Arial"/>
        </w:rPr>
        <w:t xml:space="preserve"> </w:t>
      </w:r>
      <w:r w:rsidR="00687DD8" w:rsidRPr="002165F4">
        <w:rPr>
          <w:rFonts w:cs="Arial"/>
        </w:rPr>
        <w:t>Additionally, a</w:t>
      </w:r>
      <w:r w:rsidRPr="002165F4">
        <w:rPr>
          <w:rFonts w:cs="Arial"/>
        </w:rPr>
        <w:t xml:space="preserve">lthough the CASF study population </w:t>
      </w:r>
      <w:r w:rsidR="00F4639A" w:rsidRPr="002165F4">
        <w:rPr>
          <w:rFonts w:cs="Arial"/>
        </w:rPr>
        <w:t>has</w:t>
      </w:r>
      <w:r w:rsidR="009C06D3" w:rsidRPr="002165F4">
        <w:rPr>
          <w:rFonts w:cs="Arial"/>
        </w:rPr>
        <w:t xml:space="preserve"> </w:t>
      </w:r>
      <w:r w:rsidR="00F4639A" w:rsidRPr="002165F4">
        <w:rPr>
          <w:rFonts w:cs="Arial"/>
        </w:rPr>
        <w:t>been shown to be</w:t>
      </w:r>
      <w:r w:rsidRPr="002165F4">
        <w:rPr>
          <w:rFonts w:cs="Arial"/>
        </w:rPr>
        <w:t xml:space="preserve"> representative of the UK general population, there is </w:t>
      </w:r>
      <w:r w:rsidRPr="00565E62">
        <w:rPr>
          <w:rFonts w:cs="Arial"/>
          <w:noProof/>
        </w:rPr>
        <w:t>under</w:t>
      </w:r>
      <w:r w:rsidR="00565E62" w:rsidRPr="00565E62">
        <w:rPr>
          <w:rFonts w:cs="Arial"/>
          <w:noProof/>
        </w:rPr>
        <w:t>-</w:t>
      </w:r>
      <w:r w:rsidRPr="00565E62">
        <w:rPr>
          <w:rFonts w:cs="Arial"/>
          <w:noProof/>
        </w:rPr>
        <w:t>representation</w:t>
      </w:r>
      <w:r w:rsidRPr="002165F4">
        <w:rPr>
          <w:rFonts w:cs="Arial"/>
        </w:rPr>
        <w:t xml:space="preserve"> of ethnic minority groups when compared to proportio</w:t>
      </w:r>
      <w:r w:rsidR="006C6A79" w:rsidRPr="002165F4">
        <w:rPr>
          <w:rFonts w:cs="Arial"/>
        </w:rPr>
        <w:t>ns in the overall UK population</w:t>
      </w:r>
      <w:r w:rsidR="003C19ED">
        <w:rPr>
          <w:rFonts w:cs="Arial"/>
        </w:rPr>
        <w:t xml:space="preserve"> [</w:t>
      </w:r>
      <w:r w:rsidR="005E02A6">
        <w:rPr>
          <w:rFonts w:cs="Arial"/>
        </w:rPr>
        <w:t>70</w:t>
      </w:r>
      <w:r w:rsidR="003C19ED">
        <w:rPr>
          <w:rFonts w:cs="Arial"/>
        </w:rPr>
        <w:t>]</w:t>
      </w:r>
      <w:r w:rsidRPr="008B2BDC">
        <w:rPr>
          <w:rFonts w:cs="Arial"/>
        </w:rPr>
        <w:t xml:space="preserve">. </w:t>
      </w:r>
    </w:p>
    <w:p w14:paraId="2807AFF3" w14:textId="641EBB14" w:rsidR="002262E0" w:rsidRPr="00E01B53" w:rsidRDefault="002262E0" w:rsidP="00A30050">
      <w:pPr>
        <w:spacing w:after="0" w:line="480" w:lineRule="auto"/>
        <w:rPr>
          <w:rFonts w:cs="Arial"/>
        </w:rPr>
      </w:pPr>
    </w:p>
    <w:p w14:paraId="243C72C6" w14:textId="2FFA1940" w:rsidR="00F43064" w:rsidRDefault="00D46585" w:rsidP="00845CD4">
      <w:pPr>
        <w:spacing w:after="0" w:line="480" w:lineRule="auto"/>
        <w:rPr>
          <w:rFonts w:cs="Arial"/>
          <w:b/>
          <w:sz w:val="28"/>
          <w:szCs w:val="28"/>
        </w:rPr>
      </w:pPr>
      <w:r w:rsidRPr="00644F54">
        <w:rPr>
          <w:rFonts w:cs="Arial"/>
        </w:rPr>
        <w:t>In summary, f</w:t>
      </w:r>
      <w:r w:rsidR="00C91789" w:rsidRPr="00D90F26">
        <w:rPr>
          <w:rFonts w:cs="Arial"/>
        </w:rPr>
        <w:t>rom the findings of th</w:t>
      </w:r>
      <w:r w:rsidR="001F70AA" w:rsidRPr="000E6A2B">
        <w:rPr>
          <w:rFonts w:cs="Arial"/>
        </w:rPr>
        <w:t xml:space="preserve">e systematic </w:t>
      </w:r>
      <w:r w:rsidR="001F70AA" w:rsidRPr="0052768F">
        <w:rPr>
          <w:rFonts w:cs="Arial"/>
          <w:noProof/>
        </w:rPr>
        <w:t>review</w:t>
      </w:r>
      <w:r w:rsidR="001F70AA" w:rsidRPr="000E6A2B">
        <w:rPr>
          <w:rFonts w:cs="Arial"/>
        </w:rPr>
        <w:t xml:space="preserve"> </w:t>
      </w:r>
      <w:r w:rsidR="00C91789" w:rsidRPr="000E6A2B">
        <w:rPr>
          <w:rFonts w:cs="Arial"/>
        </w:rPr>
        <w:t xml:space="preserve">it </w:t>
      </w:r>
      <w:r w:rsidR="001F70AA" w:rsidRPr="000E6A2B">
        <w:rPr>
          <w:rFonts w:cs="Arial"/>
        </w:rPr>
        <w:t>can be</w:t>
      </w:r>
      <w:r w:rsidR="00C91789" w:rsidRPr="000E6A2B">
        <w:rPr>
          <w:rFonts w:cs="Arial"/>
        </w:rPr>
        <w:t xml:space="preserve"> conclude</w:t>
      </w:r>
      <w:r w:rsidR="001F70AA" w:rsidRPr="00F573F8">
        <w:rPr>
          <w:rFonts w:cs="Arial"/>
        </w:rPr>
        <w:t>d</w:t>
      </w:r>
      <w:r w:rsidR="00C91789" w:rsidRPr="00B10472">
        <w:rPr>
          <w:rFonts w:cs="Arial"/>
        </w:rPr>
        <w:t xml:space="preserve"> that there</w:t>
      </w:r>
      <w:r w:rsidR="00C91789" w:rsidRPr="001914FE">
        <w:rPr>
          <w:rFonts w:cs="Arial"/>
        </w:rPr>
        <w:t xml:space="preserve"> is a lack of existing </w:t>
      </w:r>
      <w:r w:rsidR="00250DDA" w:rsidRPr="00234440">
        <w:rPr>
          <w:rFonts w:cs="Arial"/>
        </w:rPr>
        <w:t>research on</w:t>
      </w:r>
      <w:r w:rsidR="00C91789" w:rsidRPr="00234440">
        <w:rPr>
          <w:rFonts w:cs="Arial"/>
        </w:rPr>
        <w:t xml:space="preserve"> ankle OA within </w:t>
      </w:r>
      <w:r w:rsidR="00250DDA" w:rsidRPr="0095121A">
        <w:rPr>
          <w:rFonts w:cs="Arial"/>
        </w:rPr>
        <w:t xml:space="preserve">the </w:t>
      </w:r>
      <w:r w:rsidR="00D32C20" w:rsidRPr="0052768F">
        <w:rPr>
          <w:rFonts w:cs="Arial"/>
          <w:noProof/>
        </w:rPr>
        <w:t>community</w:t>
      </w:r>
      <w:r w:rsidR="00D32C20">
        <w:rPr>
          <w:rFonts w:cs="Arial"/>
        </w:rPr>
        <w:t>-dwelling</w:t>
      </w:r>
      <w:r w:rsidR="00C91789" w:rsidRPr="0095121A">
        <w:rPr>
          <w:rFonts w:cs="Arial"/>
        </w:rPr>
        <w:t xml:space="preserve"> setting and </w:t>
      </w:r>
      <w:r w:rsidR="005F6BEA" w:rsidRPr="0095121A">
        <w:rPr>
          <w:rFonts w:cs="Arial"/>
        </w:rPr>
        <w:t xml:space="preserve">great heterogeneity </w:t>
      </w:r>
      <w:r w:rsidR="005F6BEA" w:rsidRPr="0052768F">
        <w:rPr>
          <w:rFonts w:cs="Arial"/>
          <w:noProof/>
        </w:rPr>
        <w:t>was seen</w:t>
      </w:r>
      <w:r w:rsidR="005F6BEA" w:rsidRPr="0095121A">
        <w:rPr>
          <w:rFonts w:cs="Arial"/>
        </w:rPr>
        <w:t xml:space="preserve"> between these existing studies in the radiographic assessment and definitions for ankle OA that </w:t>
      </w:r>
      <w:r w:rsidR="005F6BEA" w:rsidRPr="0052768F">
        <w:rPr>
          <w:rFonts w:cs="Arial"/>
          <w:noProof/>
        </w:rPr>
        <w:t>were used</w:t>
      </w:r>
      <w:r w:rsidR="005F6BEA" w:rsidRPr="0095121A">
        <w:rPr>
          <w:rFonts w:cs="Arial"/>
        </w:rPr>
        <w:t xml:space="preserve">. </w:t>
      </w:r>
      <w:r w:rsidR="00C80EA9">
        <w:rPr>
          <w:rFonts w:cs="Arial"/>
        </w:rPr>
        <w:t>A</w:t>
      </w:r>
      <w:r w:rsidR="00250DDA" w:rsidRPr="003A0550">
        <w:rPr>
          <w:rFonts w:cs="Arial"/>
        </w:rPr>
        <w:t>nkle pain affected</w:t>
      </w:r>
      <w:r w:rsidR="0024022C" w:rsidRPr="003A0550">
        <w:rPr>
          <w:rFonts w:cs="Arial"/>
        </w:rPr>
        <w:t xml:space="preserve"> </w:t>
      </w:r>
      <w:r w:rsidR="000D0A5C" w:rsidRPr="003A0550">
        <w:rPr>
          <w:rFonts w:cs="Arial"/>
        </w:rPr>
        <w:t xml:space="preserve">one in </w:t>
      </w:r>
      <w:r w:rsidR="00C42FE6" w:rsidRPr="00477710">
        <w:rPr>
          <w:rFonts w:cs="Arial"/>
        </w:rPr>
        <w:t>nine</w:t>
      </w:r>
      <w:r w:rsidR="0024022C" w:rsidRPr="006B39AC">
        <w:rPr>
          <w:rFonts w:cs="Arial"/>
        </w:rPr>
        <w:t xml:space="preserve"> individuals</w:t>
      </w:r>
      <w:r w:rsidR="00C80EA9">
        <w:rPr>
          <w:rFonts w:cs="Arial"/>
        </w:rPr>
        <w:t xml:space="preserve"> in a community-based sample of older adults whereas</w:t>
      </w:r>
      <w:r w:rsidR="0024022C" w:rsidRPr="006B39AC">
        <w:rPr>
          <w:rFonts w:cs="Arial"/>
        </w:rPr>
        <w:t xml:space="preserve"> symptomatic radiographic ankle OA</w:t>
      </w:r>
      <w:r w:rsidR="000D0A5C" w:rsidRPr="00EA6516">
        <w:rPr>
          <w:rFonts w:cs="Arial"/>
        </w:rPr>
        <w:t xml:space="preserve"> occurred much less frequently </w:t>
      </w:r>
      <w:r w:rsidR="00740265" w:rsidRPr="00EA6516">
        <w:rPr>
          <w:rFonts w:cs="Arial"/>
        </w:rPr>
        <w:t>affecting</w:t>
      </w:r>
      <w:r w:rsidR="000D0A5C" w:rsidRPr="0083331F">
        <w:rPr>
          <w:rFonts w:cs="Arial"/>
        </w:rPr>
        <w:t xml:space="preserve"> approximately one in 29 </w:t>
      </w:r>
      <w:r w:rsidR="00740265" w:rsidRPr="00B71424">
        <w:rPr>
          <w:rFonts w:cs="Arial"/>
        </w:rPr>
        <w:t xml:space="preserve">individuals. </w:t>
      </w:r>
      <w:r w:rsidR="00664820">
        <w:rPr>
          <w:rFonts w:cs="Arial"/>
        </w:rPr>
        <w:t>Radiographic j</w:t>
      </w:r>
      <w:r w:rsidR="00FC4E4C">
        <w:rPr>
          <w:rFonts w:cs="Arial"/>
        </w:rPr>
        <w:t>oint</w:t>
      </w:r>
      <w:r w:rsidR="00FC4E4C" w:rsidRPr="00B71424">
        <w:rPr>
          <w:rFonts w:cs="Arial"/>
        </w:rPr>
        <w:t xml:space="preserve"> </w:t>
      </w:r>
      <w:r w:rsidR="00740265" w:rsidRPr="00B71424">
        <w:rPr>
          <w:rFonts w:cs="Arial"/>
        </w:rPr>
        <w:t>changes therefore only explain a small proportion of those with pain</w:t>
      </w:r>
      <w:r w:rsidR="00FC4E4C">
        <w:rPr>
          <w:rFonts w:cs="Arial"/>
        </w:rPr>
        <w:t>,</w:t>
      </w:r>
      <w:r w:rsidR="00845CD4">
        <w:rPr>
          <w:rFonts w:cs="Arial"/>
        </w:rPr>
        <w:t xml:space="preserve"> f</w:t>
      </w:r>
      <w:r w:rsidR="00845CD4" w:rsidRPr="00365272">
        <w:rPr>
          <w:rFonts w:cs="Arial"/>
          <w:color w:val="FF0000"/>
        </w:rPr>
        <w:t>urther investigations of the prevalence of ankle OA using more sensitive imaging modalities are warranted</w:t>
      </w:r>
      <w:r w:rsidR="003E626A" w:rsidRPr="004B5EC2">
        <w:rPr>
          <w:rFonts w:cs="Arial"/>
        </w:rPr>
        <w:t>.</w:t>
      </w:r>
      <w:r w:rsidR="00F43064">
        <w:rPr>
          <w:rFonts w:cs="Arial"/>
          <w:b/>
          <w:sz w:val="28"/>
          <w:szCs w:val="28"/>
        </w:rPr>
        <w:br w:type="page"/>
      </w:r>
    </w:p>
    <w:p w14:paraId="13C5A7E3" w14:textId="023772D1" w:rsidR="00987C30" w:rsidRPr="00A577E3" w:rsidRDefault="00520E77" w:rsidP="00280628">
      <w:pPr>
        <w:spacing w:line="480" w:lineRule="auto"/>
        <w:rPr>
          <w:rFonts w:cs="Arial"/>
          <w:b/>
          <w:sz w:val="36"/>
          <w:szCs w:val="36"/>
        </w:rPr>
      </w:pPr>
      <w:r w:rsidRPr="00A577E3">
        <w:rPr>
          <w:rFonts w:cs="Arial"/>
          <w:b/>
          <w:sz w:val="36"/>
          <w:szCs w:val="36"/>
        </w:rPr>
        <w:lastRenderedPageBreak/>
        <w:t>A</w:t>
      </w:r>
      <w:r w:rsidR="00A81B3E" w:rsidRPr="00A577E3">
        <w:rPr>
          <w:rFonts w:cs="Arial"/>
          <w:b/>
          <w:sz w:val="36"/>
          <w:szCs w:val="36"/>
        </w:rPr>
        <w:t>cknowledgments</w:t>
      </w:r>
    </w:p>
    <w:p w14:paraId="20C669B0" w14:textId="57911751" w:rsidR="00987C30" w:rsidRPr="00280628" w:rsidRDefault="00987C30" w:rsidP="00280628">
      <w:pPr>
        <w:spacing w:after="0" w:line="480" w:lineRule="auto"/>
      </w:pPr>
      <w:r w:rsidRPr="00280628">
        <w:t>We would like to thank the administrative, health informatics</w:t>
      </w:r>
      <w:r w:rsidR="000256C9" w:rsidRPr="00280628">
        <w:t xml:space="preserve">, systematic review support </w:t>
      </w:r>
      <w:r w:rsidRPr="00280628">
        <w:t xml:space="preserve">and research nurse teams at </w:t>
      </w:r>
      <w:proofErr w:type="spellStart"/>
      <w:r w:rsidRPr="00280628">
        <w:t>Keele</w:t>
      </w:r>
      <w:proofErr w:type="spellEnd"/>
      <w:r w:rsidRPr="00280628">
        <w:t xml:space="preserve"> University’s Arthritis R</w:t>
      </w:r>
      <w:r w:rsidR="000256C9" w:rsidRPr="00280628">
        <w:t xml:space="preserve">esearch UK Primary Care Centre, in </w:t>
      </w:r>
      <w:r w:rsidR="000256C9" w:rsidRPr="0052768F">
        <w:rPr>
          <w:noProof/>
        </w:rPr>
        <w:t>particular</w:t>
      </w:r>
      <w:r w:rsidR="000256C9" w:rsidRPr="00280628">
        <w:t xml:space="preserve"> Professor Danielle </w:t>
      </w:r>
      <w:r w:rsidR="00195F26" w:rsidRPr="00280628">
        <w:t xml:space="preserve">van der </w:t>
      </w:r>
      <w:proofErr w:type="spellStart"/>
      <w:r w:rsidR="00195F26" w:rsidRPr="00280628">
        <w:t>Windt</w:t>
      </w:r>
      <w:proofErr w:type="spellEnd"/>
      <w:r w:rsidR="00195F26" w:rsidRPr="00280628">
        <w:t xml:space="preserve"> for her translational skills during the systematic review. We would also like to thank </w:t>
      </w:r>
      <w:r w:rsidRPr="00280628">
        <w:t xml:space="preserve">the staff of the participating general practices and the Haywood Hospital, particularly Dr </w:t>
      </w:r>
      <w:proofErr w:type="spellStart"/>
      <w:r w:rsidRPr="00280628">
        <w:t>Saklatvala</w:t>
      </w:r>
      <w:proofErr w:type="spellEnd"/>
      <w:r w:rsidRPr="00280628">
        <w:t xml:space="preserve">, Carole Jackson and the radiographers at the Department of Radiography. </w:t>
      </w:r>
      <w:r w:rsidR="00E62F0D">
        <w:t xml:space="preserve">We would also like to thank Dr </w:t>
      </w:r>
      <w:proofErr w:type="spellStart"/>
      <w:r w:rsidR="00E62F0D">
        <w:t>Saklatvala</w:t>
      </w:r>
      <w:proofErr w:type="spellEnd"/>
      <w:r w:rsidR="00E62F0D">
        <w:t xml:space="preserve"> for assistance in reviewing the radiogr</w:t>
      </w:r>
      <w:r w:rsidR="001A0EC8">
        <w:t>ap</w:t>
      </w:r>
      <w:r w:rsidR="00E62F0D">
        <w:t xml:space="preserve">hic </w:t>
      </w:r>
      <w:r w:rsidR="001A0EC8">
        <w:t xml:space="preserve">images that </w:t>
      </w:r>
      <w:r w:rsidR="001A0EC8" w:rsidRPr="0052768F">
        <w:rPr>
          <w:noProof/>
        </w:rPr>
        <w:t>were incorporated</w:t>
      </w:r>
      <w:r w:rsidR="001A0EC8">
        <w:t xml:space="preserve"> into the classification of ankle OA atlas.</w:t>
      </w:r>
    </w:p>
    <w:p w14:paraId="76D13D95" w14:textId="77777777" w:rsidR="00987C30" w:rsidRPr="00280628" w:rsidRDefault="00987C30" w:rsidP="00280628">
      <w:pPr>
        <w:spacing w:after="0" w:line="480" w:lineRule="auto"/>
        <w:rPr>
          <w:b/>
        </w:rPr>
      </w:pPr>
    </w:p>
    <w:p w14:paraId="54346341" w14:textId="488C836F" w:rsidR="00987C30" w:rsidRPr="00A577E3" w:rsidRDefault="00987C30" w:rsidP="00280628">
      <w:pPr>
        <w:spacing w:after="0" w:line="480" w:lineRule="auto"/>
        <w:rPr>
          <w:b/>
          <w:sz w:val="36"/>
          <w:szCs w:val="36"/>
        </w:rPr>
      </w:pPr>
      <w:r w:rsidRPr="00A577E3">
        <w:rPr>
          <w:b/>
          <w:sz w:val="36"/>
          <w:szCs w:val="36"/>
        </w:rPr>
        <w:t>C</w:t>
      </w:r>
      <w:r w:rsidR="002240CD" w:rsidRPr="00A577E3">
        <w:rPr>
          <w:b/>
          <w:sz w:val="36"/>
          <w:szCs w:val="36"/>
        </w:rPr>
        <w:t>onflict of Interest Statement</w:t>
      </w:r>
    </w:p>
    <w:p w14:paraId="78D0A4A1" w14:textId="77777777" w:rsidR="00987C30" w:rsidRPr="00280628" w:rsidRDefault="00987C30" w:rsidP="00280628">
      <w:pPr>
        <w:spacing w:after="0" w:line="480" w:lineRule="auto"/>
        <w:rPr>
          <w:rFonts w:cs="Arial"/>
          <w:lang w:eastAsia="en-GB"/>
        </w:rPr>
      </w:pPr>
      <w:r w:rsidRPr="00280628">
        <w:rPr>
          <w:rFonts w:cs="Arial"/>
          <w:lang w:eastAsia="en-GB"/>
        </w:rPr>
        <w:t>The authors declare no conflicts of interest.</w:t>
      </w:r>
    </w:p>
    <w:p w14:paraId="7748A387" w14:textId="77777777" w:rsidR="00987C30" w:rsidRPr="00280628" w:rsidRDefault="00987C30" w:rsidP="00280628">
      <w:pPr>
        <w:spacing w:after="0" w:line="480" w:lineRule="auto"/>
        <w:rPr>
          <w:rFonts w:cs="Arial"/>
          <w:lang w:eastAsia="en-GB"/>
        </w:rPr>
      </w:pPr>
    </w:p>
    <w:p w14:paraId="38B679BD" w14:textId="56807E7B" w:rsidR="00987C30" w:rsidRPr="00A577E3" w:rsidRDefault="00987C30" w:rsidP="00280628">
      <w:pPr>
        <w:spacing w:after="0" w:line="480" w:lineRule="auto"/>
        <w:rPr>
          <w:b/>
          <w:sz w:val="36"/>
          <w:szCs w:val="36"/>
        </w:rPr>
      </w:pPr>
      <w:r w:rsidRPr="00A577E3">
        <w:rPr>
          <w:b/>
          <w:sz w:val="36"/>
          <w:szCs w:val="36"/>
        </w:rPr>
        <w:t>F</w:t>
      </w:r>
      <w:r w:rsidR="00051500" w:rsidRPr="00A577E3">
        <w:rPr>
          <w:b/>
          <w:sz w:val="36"/>
          <w:szCs w:val="36"/>
        </w:rPr>
        <w:t>unding Statement</w:t>
      </w:r>
    </w:p>
    <w:p w14:paraId="4B691FB3" w14:textId="279F8CCB" w:rsidR="00987C30" w:rsidRDefault="00987C30" w:rsidP="00280628">
      <w:pPr>
        <w:spacing w:after="0" w:line="480" w:lineRule="auto"/>
      </w:pPr>
      <w:r w:rsidRPr="0052768F">
        <w:rPr>
          <w:noProof/>
        </w:rPr>
        <w:t>This work is supported by programme grants</w:t>
      </w:r>
      <w:r w:rsidRPr="00280628">
        <w:t xml:space="preserve"> awarded Arthritis Research UK (Grant code: 18174), and NHS service support through the West Midlands CLRN. The funders had no role in the study design; data collection, analysis or interpretation; in the writing of the paper; or in the decision to submit the paper for publication.</w:t>
      </w:r>
      <w:r w:rsidR="004329D4">
        <w:t xml:space="preserve"> HBM is currently a National Health and Medical Research Council of Australia Senior Research Fellow (ID: 1020925).</w:t>
      </w:r>
    </w:p>
    <w:p w14:paraId="1AF20047" w14:textId="77777777" w:rsidR="00520E77" w:rsidRPr="00280628" w:rsidRDefault="00520E77" w:rsidP="00280628">
      <w:pPr>
        <w:spacing w:line="480" w:lineRule="auto"/>
        <w:rPr>
          <w:rFonts w:cs="Arial"/>
          <w:b/>
        </w:rPr>
      </w:pPr>
      <w:r w:rsidRPr="00280628">
        <w:rPr>
          <w:rFonts w:cs="Arial"/>
          <w:b/>
        </w:rPr>
        <w:br w:type="page"/>
      </w:r>
    </w:p>
    <w:p w14:paraId="6B923120" w14:textId="77777777" w:rsidR="004076FD" w:rsidRPr="00A577E3" w:rsidRDefault="004076FD" w:rsidP="004076FD">
      <w:pPr>
        <w:tabs>
          <w:tab w:val="left" w:pos="426"/>
        </w:tabs>
        <w:spacing w:after="0" w:line="480" w:lineRule="auto"/>
        <w:rPr>
          <w:rFonts w:cs="Arial"/>
          <w:b/>
          <w:sz w:val="36"/>
          <w:szCs w:val="36"/>
        </w:rPr>
      </w:pPr>
      <w:r w:rsidRPr="00A577E3">
        <w:rPr>
          <w:rFonts w:cs="Arial"/>
          <w:b/>
          <w:sz w:val="36"/>
          <w:szCs w:val="36"/>
        </w:rPr>
        <w:lastRenderedPageBreak/>
        <w:t>References</w:t>
      </w:r>
    </w:p>
    <w:p w14:paraId="62737D07" w14:textId="17B534B3" w:rsidR="004076FD" w:rsidRPr="001C58F0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</w:rPr>
      </w:pPr>
      <w:r w:rsidRPr="008A21C3">
        <w:t xml:space="preserve">Murray CJ, </w:t>
      </w:r>
      <w:proofErr w:type="spellStart"/>
      <w:r w:rsidRPr="008A21C3">
        <w:t>Vos</w:t>
      </w:r>
      <w:proofErr w:type="spellEnd"/>
      <w:r w:rsidRPr="008A21C3">
        <w:t xml:space="preserve"> T, Lozano R, </w:t>
      </w:r>
      <w:proofErr w:type="spellStart"/>
      <w:r w:rsidRPr="008A21C3">
        <w:t>Naghavi</w:t>
      </w:r>
      <w:proofErr w:type="spellEnd"/>
      <w:r w:rsidRPr="008A21C3">
        <w:t xml:space="preserve"> M, Flaxman AD, Michaud </w:t>
      </w:r>
      <w:r w:rsidR="00017F5E" w:rsidRPr="008A21C3">
        <w:t>C,</w:t>
      </w:r>
      <w:r w:rsidR="00017F5E">
        <w:t xml:space="preserve"> et al.</w:t>
      </w:r>
      <w:r>
        <w:t xml:space="preserve"> </w:t>
      </w:r>
      <w:r w:rsidRPr="008A21C3">
        <w:t>Disability-adjusted life years (</w:t>
      </w:r>
      <w:r w:rsidRPr="00056C31">
        <w:t xml:space="preserve">DALYs) for 291 diseases and injuries in 21 regions, 1990–2010: a systematic analysis for the Global Burden of Disease Study. </w:t>
      </w:r>
      <w:r w:rsidRPr="007539AA">
        <w:rPr>
          <w:iCs/>
        </w:rPr>
        <w:t>Lancet</w:t>
      </w:r>
      <w:r>
        <w:rPr>
          <w:iCs/>
        </w:rPr>
        <w:t>. 2010</w:t>
      </w:r>
      <w:r w:rsidRPr="009D79F7">
        <w:rPr>
          <w:iCs/>
        </w:rPr>
        <w:t>;</w:t>
      </w:r>
      <w:r w:rsidRPr="00056C31">
        <w:rPr>
          <w:i/>
          <w:iCs/>
        </w:rPr>
        <w:t xml:space="preserve"> </w:t>
      </w:r>
      <w:r w:rsidRPr="00056C31">
        <w:t>380(9859): 2197-2223.</w:t>
      </w:r>
    </w:p>
    <w:p w14:paraId="03905EAC" w14:textId="0FF7233B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 xml:space="preserve">Woolf </w:t>
      </w:r>
      <w:r w:rsidRPr="008A21C3">
        <w:t>A</w:t>
      </w:r>
      <w:r>
        <w:t>D</w:t>
      </w:r>
      <w:r w:rsidR="003546E6">
        <w:t>,</w:t>
      </w:r>
      <w:r>
        <w:t xml:space="preserve"> </w:t>
      </w:r>
      <w:proofErr w:type="spellStart"/>
      <w:r w:rsidRPr="008A21C3">
        <w:t>Pfleger</w:t>
      </w:r>
      <w:proofErr w:type="spellEnd"/>
      <w:r w:rsidRPr="008A21C3">
        <w:t xml:space="preserve"> B. </w:t>
      </w:r>
      <w:r w:rsidRPr="007539AA">
        <w:t xml:space="preserve">Burden of major musculoskeletal conditions. </w:t>
      </w:r>
      <w:r w:rsidRPr="007539AA">
        <w:rPr>
          <w:iCs/>
        </w:rPr>
        <w:t xml:space="preserve">Bulletin of the World Health Organization. 2003; </w:t>
      </w:r>
      <w:r w:rsidRPr="007539AA">
        <w:t>81(9): 646-656.</w:t>
      </w:r>
      <w:r w:rsidRPr="00056C31">
        <w:t xml:space="preserve"> </w:t>
      </w:r>
    </w:p>
    <w:p w14:paraId="548C99E4" w14:textId="53015251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>Thom</w:t>
      </w:r>
      <w:r w:rsidRPr="00BB33EB">
        <w:t>as RH</w:t>
      </w:r>
      <w:r w:rsidR="003546E6">
        <w:t>,</w:t>
      </w:r>
      <w:r w:rsidRPr="00BB33EB">
        <w:t xml:space="preserve"> Daniels TR. Ankle arthritis. </w:t>
      </w:r>
      <w:r w:rsidRPr="00BB33EB">
        <w:rPr>
          <w:iCs/>
        </w:rPr>
        <w:t>J</w:t>
      </w:r>
      <w:r w:rsidR="00D90BCF">
        <w:rPr>
          <w:iCs/>
        </w:rPr>
        <w:t xml:space="preserve"> Bone </w:t>
      </w:r>
      <w:r w:rsidRPr="00BB33EB">
        <w:rPr>
          <w:iCs/>
        </w:rPr>
        <w:t xml:space="preserve">Joint </w:t>
      </w:r>
      <w:proofErr w:type="spellStart"/>
      <w:r w:rsidRPr="00BB33EB">
        <w:rPr>
          <w:iCs/>
        </w:rPr>
        <w:t>Surg</w:t>
      </w:r>
      <w:proofErr w:type="spellEnd"/>
      <w:r w:rsidRPr="00BB33EB">
        <w:rPr>
          <w:iCs/>
        </w:rPr>
        <w:t xml:space="preserve"> Am</w:t>
      </w:r>
      <w:r w:rsidR="00D90BCF">
        <w:rPr>
          <w:iCs/>
        </w:rPr>
        <w:t>.</w:t>
      </w:r>
      <w:r w:rsidRPr="00BB33EB">
        <w:rPr>
          <w:iCs/>
        </w:rPr>
        <w:t xml:space="preserve"> 2003;</w:t>
      </w:r>
      <w:r>
        <w:rPr>
          <w:i/>
          <w:iCs/>
        </w:rPr>
        <w:t xml:space="preserve"> </w:t>
      </w:r>
      <w:r w:rsidRPr="00056C31">
        <w:t>85-</w:t>
      </w:r>
      <w:proofErr w:type="gramStart"/>
      <w:r w:rsidR="00017F5E" w:rsidRPr="00056C31">
        <w:t>A(</w:t>
      </w:r>
      <w:proofErr w:type="gramEnd"/>
      <w:r w:rsidRPr="00056C31">
        <w:t xml:space="preserve">5): 923-936. </w:t>
      </w:r>
    </w:p>
    <w:p w14:paraId="30F89C84" w14:textId="0CB978C9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>
        <w:t>Picavet</w:t>
      </w:r>
      <w:proofErr w:type="spellEnd"/>
      <w:r>
        <w:t xml:space="preserve"> H</w:t>
      </w:r>
      <w:r w:rsidRPr="008A21C3">
        <w:t>SJ</w:t>
      </w:r>
      <w:r w:rsidR="003546E6">
        <w:t>,</w:t>
      </w:r>
      <w:r>
        <w:t xml:space="preserve"> Schouten J</w:t>
      </w:r>
      <w:r w:rsidRPr="008A21C3">
        <w:t>SA</w:t>
      </w:r>
      <w:r>
        <w:t xml:space="preserve">G. </w:t>
      </w:r>
      <w:r w:rsidRPr="008A21C3">
        <w:t xml:space="preserve">Musculoskeletal pain in the Netherlands: </w:t>
      </w:r>
      <w:proofErr w:type="spellStart"/>
      <w:r w:rsidRPr="008A21C3">
        <w:t>prevalences</w:t>
      </w:r>
      <w:proofErr w:type="spellEnd"/>
      <w:r w:rsidRPr="008A21C3">
        <w:t xml:space="preserve">, consequences and risk groups, the DMC 3-study. </w:t>
      </w:r>
      <w:r w:rsidRPr="00BB33EB">
        <w:rPr>
          <w:iCs/>
        </w:rPr>
        <w:t>Pain</w:t>
      </w:r>
      <w:r w:rsidRPr="00BB33EB">
        <w:t>.</w:t>
      </w:r>
      <w:r>
        <w:t xml:space="preserve"> 2003;</w:t>
      </w:r>
      <w:r w:rsidRPr="00056C31">
        <w:t xml:space="preserve"> 102(1): 167-178. </w:t>
      </w:r>
    </w:p>
    <w:p w14:paraId="4C9941E1" w14:textId="7960DD16" w:rsidR="004076FD" w:rsidRPr="00056C31" w:rsidRDefault="004076FD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Dunn JE, Link C</w:t>
      </w:r>
      <w:r w:rsidRPr="008A21C3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Felson</w:t>
      </w:r>
      <w:proofErr w:type="spellEnd"/>
      <w:r w:rsidRPr="008A21C3">
        <w:rPr>
          <w:rFonts w:asciiTheme="minorHAnsi" w:hAnsiTheme="minorHAnsi"/>
          <w:sz w:val="22"/>
          <w:szCs w:val="22"/>
        </w:rPr>
        <w:t xml:space="preserve"> DT, </w:t>
      </w:r>
      <w:proofErr w:type="spellStart"/>
      <w:r>
        <w:rPr>
          <w:rFonts w:asciiTheme="minorHAnsi" w:hAnsiTheme="minorHAnsi"/>
          <w:sz w:val="22"/>
          <w:szCs w:val="22"/>
        </w:rPr>
        <w:t>Crincoli</w:t>
      </w:r>
      <w:proofErr w:type="spellEnd"/>
      <w:r>
        <w:rPr>
          <w:rFonts w:asciiTheme="minorHAnsi" w:hAnsiTheme="minorHAnsi"/>
          <w:sz w:val="22"/>
          <w:szCs w:val="22"/>
        </w:rPr>
        <w:t xml:space="preserve"> M</w:t>
      </w:r>
      <w:r w:rsidRPr="008A21C3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Keysor</w:t>
      </w:r>
      <w:proofErr w:type="spellEnd"/>
      <w:r w:rsidRPr="008A21C3">
        <w:rPr>
          <w:rFonts w:asciiTheme="minorHAnsi" w:hAnsiTheme="minorHAnsi"/>
          <w:sz w:val="22"/>
          <w:szCs w:val="22"/>
        </w:rPr>
        <w:t xml:space="preserve"> J</w:t>
      </w:r>
      <w:r>
        <w:rPr>
          <w:rFonts w:asciiTheme="minorHAnsi" w:hAnsiTheme="minorHAnsi"/>
          <w:sz w:val="22"/>
          <w:szCs w:val="22"/>
        </w:rPr>
        <w:t xml:space="preserve">J, </w:t>
      </w:r>
      <w:proofErr w:type="spellStart"/>
      <w:r>
        <w:rPr>
          <w:rFonts w:asciiTheme="minorHAnsi" w:hAnsiTheme="minorHAnsi"/>
          <w:sz w:val="22"/>
          <w:szCs w:val="22"/>
        </w:rPr>
        <w:t>McKinlay</w:t>
      </w:r>
      <w:proofErr w:type="spellEnd"/>
      <w:r>
        <w:rPr>
          <w:rFonts w:asciiTheme="minorHAnsi" w:hAnsiTheme="minorHAnsi"/>
          <w:sz w:val="22"/>
          <w:szCs w:val="22"/>
        </w:rPr>
        <w:t xml:space="preserve"> J</w:t>
      </w:r>
      <w:r w:rsidRPr="008A21C3">
        <w:rPr>
          <w:rFonts w:asciiTheme="minorHAnsi" w:hAnsiTheme="minorHAnsi"/>
          <w:sz w:val="22"/>
          <w:szCs w:val="22"/>
        </w:rPr>
        <w:t xml:space="preserve">B. Prevalence of foot and ankle conditions in a </w:t>
      </w:r>
      <w:proofErr w:type="spellStart"/>
      <w:r w:rsidRPr="008A21C3">
        <w:rPr>
          <w:rFonts w:asciiTheme="minorHAnsi" w:hAnsiTheme="minorHAnsi"/>
          <w:sz w:val="22"/>
          <w:szCs w:val="22"/>
        </w:rPr>
        <w:t>multiethnic</w:t>
      </w:r>
      <w:proofErr w:type="spellEnd"/>
      <w:r w:rsidRPr="008A21C3">
        <w:rPr>
          <w:rFonts w:asciiTheme="minorHAnsi" w:hAnsiTheme="minorHAnsi"/>
          <w:sz w:val="22"/>
          <w:szCs w:val="22"/>
        </w:rPr>
        <w:t xml:space="preserve"> </w:t>
      </w:r>
      <w:r w:rsidRPr="00056C31">
        <w:rPr>
          <w:rFonts w:asciiTheme="minorHAnsi" w:hAnsiTheme="minorHAnsi" w:cs="Calibri"/>
          <w:sz w:val="22"/>
          <w:szCs w:val="22"/>
        </w:rPr>
        <w:t xml:space="preserve">163 </w:t>
      </w:r>
      <w:r w:rsidRPr="00056C31">
        <w:rPr>
          <w:rFonts w:asciiTheme="minorHAnsi" w:hAnsiTheme="minorHAnsi"/>
          <w:sz w:val="22"/>
          <w:szCs w:val="22"/>
        </w:rPr>
        <w:t xml:space="preserve">community sample of older adults. </w:t>
      </w:r>
      <w:r w:rsidRPr="00BB33EB">
        <w:rPr>
          <w:rFonts w:asciiTheme="minorHAnsi" w:hAnsiTheme="minorHAnsi"/>
          <w:iCs/>
          <w:sz w:val="22"/>
          <w:szCs w:val="22"/>
        </w:rPr>
        <w:t xml:space="preserve">Am J </w:t>
      </w:r>
      <w:proofErr w:type="spellStart"/>
      <w:r w:rsidRPr="00BB33EB">
        <w:rPr>
          <w:rFonts w:asciiTheme="minorHAnsi" w:hAnsiTheme="minorHAnsi"/>
          <w:iCs/>
          <w:sz w:val="22"/>
          <w:szCs w:val="22"/>
        </w:rPr>
        <w:t>Epidemiol</w:t>
      </w:r>
      <w:proofErr w:type="spellEnd"/>
      <w:r>
        <w:rPr>
          <w:rFonts w:asciiTheme="minorHAnsi" w:hAnsiTheme="minorHAnsi"/>
          <w:sz w:val="22"/>
          <w:szCs w:val="22"/>
        </w:rPr>
        <w:t>. 2004;</w:t>
      </w:r>
      <w:r w:rsidRPr="00056C31">
        <w:rPr>
          <w:rFonts w:asciiTheme="minorHAnsi" w:hAnsiTheme="minorHAnsi"/>
          <w:sz w:val="22"/>
          <w:szCs w:val="22"/>
        </w:rPr>
        <w:t xml:space="preserve"> 159(5): 491-498. </w:t>
      </w:r>
    </w:p>
    <w:p w14:paraId="2E812AFB" w14:textId="3FA1B6E9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</w:rPr>
      </w:pPr>
      <w:proofErr w:type="spellStart"/>
      <w:r>
        <w:t>Dagenais</w:t>
      </w:r>
      <w:proofErr w:type="spellEnd"/>
      <w:r w:rsidRPr="008A21C3">
        <w:t xml:space="preserve"> S</w:t>
      </w:r>
      <w:r>
        <w:t xml:space="preserve">, </w:t>
      </w:r>
      <w:proofErr w:type="spellStart"/>
      <w:r>
        <w:t>Garbedian</w:t>
      </w:r>
      <w:proofErr w:type="spellEnd"/>
      <w:r w:rsidRPr="008A21C3">
        <w:t xml:space="preserve"> S</w:t>
      </w:r>
      <w:r>
        <w:t>, Wai E</w:t>
      </w:r>
      <w:r w:rsidRPr="008A21C3">
        <w:t xml:space="preserve">K. Systematic review of the prevalence of radiographic primary hip osteoarthritis. </w:t>
      </w:r>
      <w:proofErr w:type="spellStart"/>
      <w:r w:rsidRPr="00BB33EB">
        <w:rPr>
          <w:iCs/>
        </w:rPr>
        <w:t>Clin</w:t>
      </w:r>
      <w:proofErr w:type="spellEnd"/>
      <w:r w:rsidRPr="00BB33EB">
        <w:rPr>
          <w:iCs/>
        </w:rPr>
        <w:t xml:space="preserve"> </w:t>
      </w:r>
      <w:proofErr w:type="spellStart"/>
      <w:r w:rsidRPr="00BB33EB">
        <w:rPr>
          <w:iCs/>
        </w:rPr>
        <w:t>Orthop</w:t>
      </w:r>
      <w:proofErr w:type="spellEnd"/>
      <w:r w:rsidRPr="00BB33EB">
        <w:rPr>
          <w:iCs/>
        </w:rPr>
        <w:t xml:space="preserve"> </w:t>
      </w:r>
      <w:proofErr w:type="spellStart"/>
      <w:r w:rsidRPr="00BB33EB">
        <w:rPr>
          <w:iCs/>
        </w:rPr>
        <w:t>Relat</w:t>
      </w:r>
      <w:proofErr w:type="spellEnd"/>
      <w:r w:rsidRPr="00BB33EB">
        <w:rPr>
          <w:iCs/>
        </w:rPr>
        <w:t xml:space="preserve"> Res</w:t>
      </w:r>
      <w:r>
        <w:t>. 2009;</w:t>
      </w:r>
      <w:r w:rsidRPr="00056C31">
        <w:t xml:space="preserve"> 467(3): 623-637.</w:t>
      </w:r>
      <w:r w:rsidRPr="00056C31">
        <w:rPr>
          <w:rFonts w:cs="Arial"/>
        </w:rPr>
        <w:t xml:space="preserve"> </w:t>
      </w:r>
    </w:p>
    <w:p w14:paraId="2C5ABBA6" w14:textId="52276065" w:rsidR="004076FD" w:rsidRPr="001C58F0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</w:rPr>
      </w:pPr>
      <w:proofErr w:type="spellStart"/>
      <w:r>
        <w:t>Schiphof</w:t>
      </w:r>
      <w:proofErr w:type="spellEnd"/>
      <w:r>
        <w:t xml:space="preserve"> D, Boers M, </w:t>
      </w:r>
      <w:proofErr w:type="spellStart"/>
      <w:r>
        <w:t>Bierma-Zeinstra</w:t>
      </w:r>
      <w:proofErr w:type="spellEnd"/>
      <w:r>
        <w:t xml:space="preserve"> SM. </w:t>
      </w:r>
      <w:r w:rsidRPr="008A21C3">
        <w:t xml:space="preserve">Differences in descriptions of </w:t>
      </w:r>
      <w:proofErr w:type="spellStart"/>
      <w:r w:rsidRPr="008A21C3">
        <w:t>Kellgren</w:t>
      </w:r>
      <w:proofErr w:type="spellEnd"/>
      <w:r w:rsidRPr="008A21C3">
        <w:t xml:space="preserve"> and Lawrence grades of knee osteoarthritis</w:t>
      </w:r>
      <w:r w:rsidRPr="00BB33EB">
        <w:t xml:space="preserve">. </w:t>
      </w:r>
      <w:r w:rsidRPr="00BB33EB">
        <w:rPr>
          <w:iCs/>
        </w:rPr>
        <w:t xml:space="preserve">Ann Rheum Dis. 2008; </w:t>
      </w:r>
      <w:r w:rsidRPr="00BB33EB">
        <w:t>67(</w:t>
      </w:r>
      <w:r w:rsidRPr="008A21C3">
        <w:t>7): 1034-1036.</w:t>
      </w:r>
    </w:p>
    <w:p w14:paraId="2FDD8854" w14:textId="3B8A18C7" w:rsidR="004076FD" w:rsidRPr="00D67D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>Marshall M</w:t>
      </w:r>
      <w:r w:rsidRPr="008A21C3">
        <w:t xml:space="preserve">, </w:t>
      </w:r>
      <w:proofErr w:type="spellStart"/>
      <w:r w:rsidRPr="008A21C3">
        <w:t>Dziedzic</w:t>
      </w:r>
      <w:proofErr w:type="spellEnd"/>
      <w:r>
        <w:t xml:space="preserve"> KS, van der </w:t>
      </w:r>
      <w:proofErr w:type="spellStart"/>
      <w:r>
        <w:t>Windt</w:t>
      </w:r>
      <w:proofErr w:type="spellEnd"/>
      <w:r>
        <w:t xml:space="preserve"> DA, Hay E</w:t>
      </w:r>
      <w:r w:rsidRPr="008A21C3">
        <w:t xml:space="preserve">M. A systematic search and narrative review of radiographic definitions of hand osteoarthritis in population-based studies. </w:t>
      </w:r>
      <w:r w:rsidRPr="00D67D31">
        <w:rPr>
          <w:iCs/>
        </w:rPr>
        <w:t xml:space="preserve">Osteoarthritis </w:t>
      </w:r>
      <w:r w:rsidR="009B1E0C">
        <w:rPr>
          <w:iCs/>
        </w:rPr>
        <w:t>C</w:t>
      </w:r>
      <w:r w:rsidRPr="00D67D31">
        <w:rPr>
          <w:iCs/>
        </w:rPr>
        <w:t>artilage</w:t>
      </w:r>
      <w:r>
        <w:rPr>
          <w:iCs/>
        </w:rPr>
        <w:t>. 2008</w:t>
      </w:r>
      <w:r w:rsidRPr="00D67D31">
        <w:t xml:space="preserve">; 16(2): 219-226. </w:t>
      </w:r>
    </w:p>
    <w:p w14:paraId="24B9B012" w14:textId="77777777" w:rsidR="0032717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>Trivedi B, Marshall M</w:t>
      </w:r>
      <w:r w:rsidRPr="008A21C3">
        <w:t>, Belcher</w:t>
      </w:r>
      <w:r>
        <w:t xml:space="preserve"> J, Roddy</w:t>
      </w:r>
      <w:r w:rsidRPr="008A21C3">
        <w:t xml:space="preserve"> E. A systematic review of radiographic definitions of foot osteoarthritis in population-based studies</w:t>
      </w:r>
      <w:r w:rsidRPr="00153DC4">
        <w:t xml:space="preserve">. </w:t>
      </w:r>
      <w:r>
        <w:rPr>
          <w:iCs/>
        </w:rPr>
        <w:t>Osteoarthritis Cartilage. 2010;</w:t>
      </w:r>
      <w:r w:rsidRPr="00153DC4">
        <w:rPr>
          <w:iCs/>
        </w:rPr>
        <w:t xml:space="preserve"> </w:t>
      </w:r>
      <w:r w:rsidRPr="00153DC4">
        <w:t>18(8</w:t>
      </w:r>
      <w:r w:rsidRPr="00056C31">
        <w:t>): 1027-1035.</w:t>
      </w:r>
    </w:p>
    <w:p w14:paraId="682CCF38" w14:textId="77777777" w:rsidR="00327171" w:rsidRPr="00D467C1" w:rsidRDefault="00327171" w:rsidP="00327171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8A21C3">
        <w:t>P</w:t>
      </w:r>
      <w:r>
        <w:t>anush</w:t>
      </w:r>
      <w:proofErr w:type="spellEnd"/>
      <w:r>
        <w:t xml:space="preserve"> RS, Schmidt C, Caldwell JR, </w:t>
      </w:r>
      <w:r w:rsidRPr="00D467C1">
        <w:t xml:space="preserve">Edwards NL, Longley S, </w:t>
      </w:r>
      <w:proofErr w:type="spellStart"/>
      <w:r w:rsidRPr="00D467C1">
        <w:t>Yonker</w:t>
      </w:r>
      <w:proofErr w:type="spellEnd"/>
      <w:r w:rsidRPr="00D467C1">
        <w:t xml:space="preserve"> R</w:t>
      </w:r>
      <w:r>
        <w:t>,</w:t>
      </w:r>
      <w:r w:rsidRPr="00D467C1">
        <w:t xml:space="preserve"> et al. Is running associated with degenerative joint disease</w:t>
      </w:r>
      <w:proofErr w:type="gramStart"/>
      <w:r w:rsidRPr="00D467C1">
        <w:t>?.</w:t>
      </w:r>
      <w:proofErr w:type="gramEnd"/>
      <w:r w:rsidRPr="00D467C1">
        <w:t xml:space="preserve"> </w:t>
      </w:r>
      <w:r>
        <w:rPr>
          <w:iCs/>
        </w:rPr>
        <w:t>JAMA</w:t>
      </w:r>
      <w:r w:rsidRPr="00D467C1">
        <w:rPr>
          <w:iCs/>
        </w:rPr>
        <w:t>. 1986</w:t>
      </w:r>
      <w:r w:rsidRPr="00D467C1">
        <w:t xml:space="preserve">; 255(9): 1152-1154. </w:t>
      </w:r>
    </w:p>
    <w:p w14:paraId="271E3EE7" w14:textId="0ED4750F" w:rsidR="00327171" w:rsidRPr="00056C31" w:rsidRDefault="00327171" w:rsidP="00327171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8A21C3">
        <w:t>Brodelius</w:t>
      </w:r>
      <w:proofErr w:type="spellEnd"/>
      <w:r w:rsidRPr="008A21C3">
        <w:t xml:space="preserve"> A. </w:t>
      </w:r>
      <w:r w:rsidRPr="001956E1">
        <w:t xml:space="preserve">Osteoarthrosis of the </w:t>
      </w:r>
      <w:proofErr w:type="spellStart"/>
      <w:r w:rsidRPr="001956E1">
        <w:t>talar</w:t>
      </w:r>
      <w:proofErr w:type="spellEnd"/>
      <w:r w:rsidRPr="001956E1">
        <w:t xml:space="preserve"> joints in footballers and ballet dancers. </w:t>
      </w:r>
      <w:proofErr w:type="spellStart"/>
      <w:r w:rsidRPr="001956E1">
        <w:rPr>
          <w:iCs/>
        </w:rPr>
        <w:t>Acta</w:t>
      </w:r>
      <w:proofErr w:type="spellEnd"/>
      <w:r w:rsidRPr="001956E1">
        <w:rPr>
          <w:iCs/>
        </w:rPr>
        <w:t xml:space="preserve"> </w:t>
      </w:r>
      <w:proofErr w:type="spellStart"/>
      <w:r w:rsidRPr="001956E1">
        <w:rPr>
          <w:iCs/>
        </w:rPr>
        <w:t>Orthop</w:t>
      </w:r>
      <w:proofErr w:type="spellEnd"/>
      <w:r w:rsidRPr="001956E1">
        <w:rPr>
          <w:iCs/>
        </w:rPr>
        <w:t>. 1961</w:t>
      </w:r>
      <w:r w:rsidRPr="001956E1">
        <w:t>; 30(1-4): 309-314.</w:t>
      </w:r>
      <w:r w:rsidRPr="00056C31">
        <w:t xml:space="preserve"> </w:t>
      </w:r>
    </w:p>
    <w:p w14:paraId="4FE07FD0" w14:textId="28BDC768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lastRenderedPageBreak/>
        <w:t xml:space="preserve">Adamson J, </w:t>
      </w:r>
      <w:proofErr w:type="spellStart"/>
      <w:r>
        <w:t>Ebrahim</w:t>
      </w:r>
      <w:proofErr w:type="spellEnd"/>
      <w:r>
        <w:t xml:space="preserve"> S, Dieppe P,</w:t>
      </w:r>
      <w:r w:rsidRPr="008A21C3">
        <w:t xml:space="preserve"> </w:t>
      </w:r>
      <w:r>
        <w:t>Hunt</w:t>
      </w:r>
      <w:r w:rsidRPr="008A21C3">
        <w:t xml:space="preserve"> K. Prevalence and risk factors for joint pain among men and women in the West of Scotland Twenty-07 study</w:t>
      </w:r>
      <w:r w:rsidRPr="00153DC4">
        <w:t xml:space="preserve">. </w:t>
      </w:r>
      <w:r w:rsidRPr="00153DC4">
        <w:rPr>
          <w:iCs/>
        </w:rPr>
        <w:t>Ann Rheum Dis</w:t>
      </w:r>
      <w:r>
        <w:t>. 2006;</w:t>
      </w:r>
      <w:r w:rsidRPr="00153DC4">
        <w:t xml:space="preserve"> 65(4</w:t>
      </w:r>
      <w:r w:rsidRPr="00056C31">
        <w:t xml:space="preserve">): 520-524. </w:t>
      </w:r>
    </w:p>
    <w:p w14:paraId="72943882" w14:textId="602CF103" w:rsidR="004076FD" w:rsidRPr="007F6EEC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</w:rPr>
      </w:pPr>
      <w:r>
        <w:t xml:space="preserve">Drawer S, Fuller CW. </w:t>
      </w:r>
      <w:r w:rsidRPr="008A21C3">
        <w:t xml:space="preserve">Propensity for osteoarthritis and lower limb joint pain in retired </w:t>
      </w:r>
      <w:r w:rsidRPr="007F6EEC">
        <w:t xml:space="preserve">professional soccer players. </w:t>
      </w:r>
      <w:r w:rsidR="00771815">
        <w:rPr>
          <w:iCs/>
        </w:rPr>
        <w:t>Br J</w:t>
      </w:r>
      <w:r w:rsidRPr="007F6EEC">
        <w:rPr>
          <w:iCs/>
        </w:rPr>
        <w:t xml:space="preserve"> Sports Med. 2001</w:t>
      </w:r>
      <w:r w:rsidRPr="007F6EEC">
        <w:t>; 35(6): 402-408.</w:t>
      </w:r>
    </w:p>
    <w:p w14:paraId="3B48CD49" w14:textId="77777777" w:rsidR="004076FD" w:rsidRPr="009A5E1E" w:rsidRDefault="004076FD" w:rsidP="009E3EFD">
      <w:pPr>
        <w:pStyle w:val="CommentText"/>
        <w:numPr>
          <w:ilvl w:val="0"/>
          <w:numId w:val="10"/>
        </w:numPr>
        <w:spacing w:after="0" w:line="480" w:lineRule="auto"/>
        <w:ind w:left="501"/>
        <w:rPr>
          <w:sz w:val="22"/>
          <w:szCs w:val="22"/>
        </w:rPr>
      </w:pPr>
      <w:r w:rsidRPr="009A5E1E">
        <w:rPr>
          <w:sz w:val="22"/>
          <w:szCs w:val="22"/>
        </w:rPr>
        <w:t xml:space="preserve">Wells GA, </w:t>
      </w:r>
      <w:proofErr w:type="spellStart"/>
      <w:r w:rsidRPr="009A5E1E">
        <w:rPr>
          <w:sz w:val="22"/>
          <w:szCs w:val="22"/>
        </w:rPr>
        <w:t>Shea</w:t>
      </w:r>
      <w:proofErr w:type="spellEnd"/>
      <w:r w:rsidRPr="009A5E1E">
        <w:rPr>
          <w:sz w:val="22"/>
          <w:szCs w:val="22"/>
        </w:rPr>
        <w:t xml:space="preserve"> B, O’Connell D, Peterson J, Welch V, </w:t>
      </w:r>
      <w:proofErr w:type="spellStart"/>
      <w:r w:rsidRPr="009A5E1E">
        <w:rPr>
          <w:sz w:val="22"/>
          <w:szCs w:val="22"/>
        </w:rPr>
        <w:t>Losos</w:t>
      </w:r>
      <w:proofErr w:type="spellEnd"/>
      <w:r w:rsidRPr="009A5E1E">
        <w:rPr>
          <w:sz w:val="22"/>
          <w:szCs w:val="22"/>
        </w:rPr>
        <w:t xml:space="preserve"> M, et al. The Newcastle-Ottawa Scale (NOS) for assessing the quality of nonrandomised studies in meta-analyses. 2014. Available: </w:t>
      </w:r>
      <w:hyperlink r:id="rId10" w:history="1">
        <w:r w:rsidRPr="009A5E1E">
          <w:rPr>
            <w:rStyle w:val="Hyperlink"/>
            <w:sz w:val="22"/>
            <w:szCs w:val="22"/>
          </w:rPr>
          <w:t>http://www.ohri.ca/programs/clinical_epidemiology/oxford.asp</w:t>
        </w:r>
      </w:hyperlink>
    </w:p>
    <w:p w14:paraId="72F83F4F" w14:textId="01216655" w:rsidR="004076FD" w:rsidRPr="00056C31" w:rsidRDefault="004076FD" w:rsidP="009E3E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7F6EEC">
        <w:t>Armenis</w:t>
      </w:r>
      <w:proofErr w:type="spellEnd"/>
      <w:r w:rsidRPr="007F6EEC">
        <w:t xml:space="preserve"> E, Pefanis N, </w:t>
      </w:r>
      <w:proofErr w:type="spellStart"/>
      <w:r w:rsidRPr="007F6EEC">
        <w:t>Tsiganos</w:t>
      </w:r>
      <w:proofErr w:type="spellEnd"/>
      <w:r w:rsidRPr="007F6EEC">
        <w:t xml:space="preserve"> G, </w:t>
      </w:r>
      <w:proofErr w:type="spellStart"/>
      <w:r w:rsidRPr="007F6EEC">
        <w:t>Karagounis</w:t>
      </w:r>
      <w:proofErr w:type="spellEnd"/>
      <w:r w:rsidRPr="007F6EEC">
        <w:t xml:space="preserve"> P, </w:t>
      </w:r>
      <w:proofErr w:type="spellStart"/>
      <w:r w:rsidRPr="007F6EEC">
        <w:t>Baltopoulos</w:t>
      </w:r>
      <w:proofErr w:type="spellEnd"/>
      <w:r w:rsidRPr="007F6EEC">
        <w:t xml:space="preserve"> P. Osteoarthritis of the ankle and foot complex in former Greek soccer players. </w:t>
      </w:r>
      <w:r w:rsidRPr="007F6EEC">
        <w:rPr>
          <w:iCs/>
        </w:rPr>
        <w:t>Foot Ankle</w:t>
      </w:r>
      <w:r w:rsidRPr="00D74EA9">
        <w:rPr>
          <w:iCs/>
        </w:rPr>
        <w:t xml:space="preserve"> Spec</w:t>
      </w:r>
      <w:r w:rsidRPr="00D74EA9">
        <w:t>. 2011</w:t>
      </w:r>
      <w:r>
        <w:t>;</w:t>
      </w:r>
      <w:r w:rsidRPr="00056C31">
        <w:t xml:space="preserve"> 4(6): 338-343. </w:t>
      </w:r>
    </w:p>
    <w:p w14:paraId="38A1B914" w14:textId="223B80CE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 w:rsidRPr="00F84018">
        <w:t xml:space="preserve">Schmitt H, </w:t>
      </w:r>
      <w:proofErr w:type="spellStart"/>
      <w:r w:rsidRPr="00F84018">
        <w:t>Thielie</w:t>
      </w:r>
      <w:proofErr w:type="spellEnd"/>
      <w:r w:rsidRPr="00F84018">
        <w:t xml:space="preserve"> J</w:t>
      </w:r>
      <w:r w:rsidRPr="008A21C3">
        <w:t xml:space="preserve">, </w:t>
      </w:r>
      <w:proofErr w:type="spellStart"/>
      <w:r w:rsidRPr="008A21C3">
        <w:t>Brocai</w:t>
      </w:r>
      <w:proofErr w:type="spellEnd"/>
      <w:r>
        <w:t xml:space="preserve"> DRC,</w:t>
      </w:r>
      <w:r w:rsidRPr="008A21C3">
        <w:t xml:space="preserve"> </w:t>
      </w:r>
      <w:proofErr w:type="spellStart"/>
      <w:r w:rsidRPr="008A21C3">
        <w:t>Ewerbeck</w:t>
      </w:r>
      <w:proofErr w:type="spellEnd"/>
      <w:r w:rsidRPr="008A21C3">
        <w:t xml:space="preserve"> V. </w:t>
      </w:r>
      <w:proofErr w:type="spellStart"/>
      <w:r w:rsidRPr="008A21C3">
        <w:t>Spätschäden</w:t>
      </w:r>
      <w:proofErr w:type="spellEnd"/>
      <w:r w:rsidRPr="008A21C3">
        <w:t xml:space="preserve"> am </w:t>
      </w:r>
      <w:proofErr w:type="spellStart"/>
      <w:r w:rsidRPr="008A21C3">
        <w:t>Bewegungsapparat</w:t>
      </w:r>
      <w:proofErr w:type="spellEnd"/>
      <w:r w:rsidRPr="008A21C3">
        <w:t xml:space="preserve"> </w:t>
      </w:r>
      <w:proofErr w:type="spellStart"/>
      <w:r w:rsidRPr="008A21C3">
        <w:t>bei</w:t>
      </w:r>
      <w:proofErr w:type="spellEnd"/>
      <w:r w:rsidRPr="008A21C3">
        <w:t xml:space="preserve"> </w:t>
      </w:r>
      <w:proofErr w:type="spellStart"/>
      <w:r w:rsidRPr="008A21C3">
        <w:t>ehemaligen</w:t>
      </w:r>
      <w:proofErr w:type="spellEnd"/>
      <w:r w:rsidRPr="008A21C3">
        <w:t xml:space="preserve"> </w:t>
      </w:r>
      <w:proofErr w:type="spellStart"/>
      <w:r w:rsidRPr="008A21C3">
        <w:t>Hochleistungsweit</w:t>
      </w:r>
      <w:proofErr w:type="spellEnd"/>
      <w:r w:rsidRPr="008A21C3">
        <w:t>- und –</w:t>
      </w:r>
      <w:proofErr w:type="spellStart"/>
      <w:r w:rsidRPr="008A21C3">
        <w:t>dreispringern</w:t>
      </w:r>
      <w:proofErr w:type="spellEnd"/>
      <w:r w:rsidRPr="008A21C3">
        <w:t xml:space="preserve">: </w:t>
      </w:r>
      <w:r w:rsidRPr="00F84018">
        <w:t xml:space="preserve">Late sequelae in former elite long and triple jumpers. </w:t>
      </w:r>
      <w:proofErr w:type="spellStart"/>
      <w:r w:rsidRPr="00F84018">
        <w:rPr>
          <w:iCs/>
        </w:rPr>
        <w:t>Aktuelle</w:t>
      </w:r>
      <w:proofErr w:type="spellEnd"/>
      <w:r w:rsidRPr="00F84018">
        <w:rPr>
          <w:iCs/>
        </w:rPr>
        <w:t xml:space="preserve"> </w:t>
      </w:r>
      <w:proofErr w:type="spellStart"/>
      <w:r w:rsidRPr="00F84018">
        <w:rPr>
          <w:iCs/>
        </w:rPr>
        <w:t>Traumatol</w:t>
      </w:r>
      <w:proofErr w:type="spellEnd"/>
      <w:r w:rsidRPr="00F84018">
        <w:rPr>
          <w:iCs/>
        </w:rPr>
        <w:t xml:space="preserve">. 2004; </w:t>
      </w:r>
      <w:r w:rsidRPr="00F84018">
        <w:t>34(2): 87-91.</w:t>
      </w:r>
      <w:r w:rsidRPr="00056C31">
        <w:t xml:space="preserve"> </w:t>
      </w:r>
    </w:p>
    <w:p w14:paraId="2F460604" w14:textId="773806CC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 w:rsidRPr="00270CD7">
        <w:t>Schmitt H, Lemke JM</w:t>
      </w:r>
      <w:r>
        <w:t xml:space="preserve">, </w:t>
      </w:r>
      <w:proofErr w:type="spellStart"/>
      <w:r>
        <w:t>Brocai</w:t>
      </w:r>
      <w:proofErr w:type="spellEnd"/>
      <w:r>
        <w:t xml:space="preserve"> DR, </w:t>
      </w:r>
      <w:proofErr w:type="spellStart"/>
      <w:r>
        <w:t>Parsch</w:t>
      </w:r>
      <w:proofErr w:type="spellEnd"/>
      <w:r w:rsidRPr="008A21C3">
        <w:t xml:space="preserve"> D. Degenerative changes in the ankle in former elite high </w:t>
      </w:r>
      <w:r w:rsidRPr="00270CD7">
        <w:t xml:space="preserve">jumpers. </w:t>
      </w:r>
      <w:proofErr w:type="spellStart"/>
      <w:r w:rsidRPr="00270CD7">
        <w:rPr>
          <w:iCs/>
        </w:rPr>
        <w:t>Clin</w:t>
      </w:r>
      <w:proofErr w:type="spellEnd"/>
      <w:r w:rsidRPr="00270CD7">
        <w:rPr>
          <w:iCs/>
        </w:rPr>
        <w:t xml:space="preserve"> J Sport Med. 2003; </w:t>
      </w:r>
      <w:r w:rsidRPr="00270CD7">
        <w:t>13(1</w:t>
      </w:r>
      <w:r w:rsidRPr="00056C31">
        <w:t xml:space="preserve">): 6-10. </w:t>
      </w:r>
    </w:p>
    <w:p w14:paraId="2C618173" w14:textId="2674C08F" w:rsidR="004076FD" w:rsidRPr="00D467C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</w:rPr>
      </w:pPr>
      <w:r>
        <w:t xml:space="preserve">Gross P, Marti </w:t>
      </w:r>
      <w:r w:rsidRPr="008A21C3">
        <w:t xml:space="preserve">B. Risk of degenerative ankle joint disease in volleyball players: study of former elite </w:t>
      </w:r>
      <w:r w:rsidRPr="00270CD7">
        <w:t xml:space="preserve">athletes. </w:t>
      </w:r>
      <w:proofErr w:type="spellStart"/>
      <w:r w:rsidRPr="00270CD7">
        <w:rPr>
          <w:iCs/>
        </w:rPr>
        <w:t>Int</w:t>
      </w:r>
      <w:proofErr w:type="spellEnd"/>
      <w:r w:rsidRPr="00270CD7">
        <w:rPr>
          <w:iCs/>
        </w:rPr>
        <w:t xml:space="preserve"> J Sports </w:t>
      </w:r>
      <w:r w:rsidRPr="00D467C1">
        <w:rPr>
          <w:iCs/>
        </w:rPr>
        <w:t xml:space="preserve">Med. 1999; </w:t>
      </w:r>
      <w:r w:rsidRPr="00D467C1">
        <w:t>20(1): 58-63.</w:t>
      </w:r>
    </w:p>
    <w:p w14:paraId="33AFE2E2" w14:textId="6BFF01C6" w:rsidR="004076FD" w:rsidRPr="00D467C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D467C1">
        <w:t>Teitz</w:t>
      </w:r>
      <w:proofErr w:type="spellEnd"/>
      <w:r w:rsidRPr="00D467C1">
        <w:t xml:space="preserve"> CC, </w:t>
      </w:r>
      <w:proofErr w:type="spellStart"/>
      <w:r w:rsidRPr="00D467C1">
        <w:t>Kilcoyne</w:t>
      </w:r>
      <w:proofErr w:type="spellEnd"/>
      <w:r w:rsidRPr="00D467C1">
        <w:t xml:space="preserve"> RF. Premature osteoarthrosis in professional dancers. </w:t>
      </w:r>
      <w:proofErr w:type="spellStart"/>
      <w:r w:rsidRPr="00D467C1">
        <w:rPr>
          <w:iCs/>
        </w:rPr>
        <w:t>Clin</w:t>
      </w:r>
      <w:proofErr w:type="spellEnd"/>
      <w:r w:rsidRPr="00D467C1">
        <w:rPr>
          <w:iCs/>
        </w:rPr>
        <w:t xml:space="preserve"> J Sport Med. 1998</w:t>
      </w:r>
      <w:r w:rsidRPr="00D467C1">
        <w:t xml:space="preserve">; 8(4): 255-259. </w:t>
      </w:r>
    </w:p>
    <w:p w14:paraId="7D9FC43A" w14:textId="13E10D64" w:rsidR="004076FD" w:rsidRPr="00D467C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</w:rPr>
      </w:pPr>
      <w:proofErr w:type="gramStart"/>
      <w:r w:rsidRPr="00D467C1">
        <w:t>van</w:t>
      </w:r>
      <w:proofErr w:type="gramEnd"/>
      <w:r w:rsidRPr="00D467C1">
        <w:t xml:space="preserve"> </w:t>
      </w:r>
      <w:proofErr w:type="spellStart"/>
      <w:r w:rsidRPr="00D467C1">
        <w:t>Dijk</w:t>
      </w:r>
      <w:proofErr w:type="spellEnd"/>
      <w:r w:rsidRPr="00D467C1">
        <w:t xml:space="preserve"> CN, Lim LS, </w:t>
      </w:r>
      <w:proofErr w:type="spellStart"/>
      <w:r w:rsidRPr="00D467C1">
        <w:t>Poortman</w:t>
      </w:r>
      <w:proofErr w:type="spellEnd"/>
      <w:r w:rsidRPr="00D467C1">
        <w:t xml:space="preserve"> A, </w:t>
      </w:r>
      <w:proofErr w:type="spellStart"/>
      <w:r w:rsidRPr="00D467C1">
        <w:t>Strübbe</w:t>
      </w:r>
      <w:proofErr w:type="spellEnd"/>
      <w:r w:rsidRPr="00D467C1">
        <w:t xml:space="preserve"> EH, Marti RK. Degenerative joint disease in female ballet dancers. </w:t>
      </w:r>
      <w:r w:rsidRPr="00D467C1">
        <w:rPr>
          <w:iCs/>
        </w:rPr>
        <w:t>Am J Sports Med. 1995</w:t>
      </w:r>
      <w:r w:rsidRPr="00D467C1">
        <w:t>; 23(3): 295-300.</w:t>
      </w:r>
    </w:p>
    <w:p w14:paraId="7537D3E3" w14:textId="0B42A92F" w:rsidR="004076FD" w:rsidRPr="00D467C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D467C1">
        <w:t>Knobloch</w:t>
      </w:r>
      <w:proofErr w:type="spellEnd"/>
      <w:r w:rsidRPr="00D467C1">
        <w:t xml:space="preserve"> M, Marti B, </w:t>
      </w:r>
      <w:proofErr w:type="spellStart"/>
      <w:r w:rsidRPr="00D467C1">
        <w:t>Biedert</w:t>
      </w:r>
      <w:proofErr w:type="spellEnd"/>
      <w:r w:rsidRPr="00D467C1">
        <w:t xml:space="preserve"> R, </w:t>
      </w:r>
      <w:proofErr w:type="spellStart"/>
      <w:proofErr w:type="gramStart"/>
      <w:r w:rsidRPr="00D467C1">
        <w:t>Howald</w:t>
      </w:r>
      <w:proofErr w:type="spellEnd"/>
      <w:proofErr w:type="gramEnd"/>
      <w:r w:rsidRPr="00D467C1">
        <w:t xml:space="preserve"> H. Risk of arthrosis of the upper ankle joint in long distance runners: controlled follow-up of former elite athletes. </w:t>
      </w:r>
      <w:proofErr w:type="spellStart"/>
      <w:r w:rsidRPr="00D467C1">
        <w:rPr>
          <w:iCs/>
        </w:rPr>
        <w:t>Sportverletz</w:t>
      </w:r>
      <w:proofErr w:type="spellEnd"/>
      <w:r w:rsidRPr="00D467C1">
        <w:rPr>
          <w:iCs/>
        </w:rPr>
        <w:t xml:space="preserve"> </w:t>
      </w:r>
      <w:proofErr w:type="spellStart"/>
      <w:r w:rsidRPr="00D467C1">
        <w:rPr>
          <w:iCs/>
        </w:rPr>
        <w:t>Sportschaden</w:t>
      </w:r>
      <w:proofErr w:type="spellEnd"/>
      <w:r w:rsidRPr="00D467C1">
        <w:rPr>
          <w:iCs/>
        </w:rPr>
        <w:t>. 1990</w:t>
      </w:r>
      <w:r w:rsidRPr="00D467C1">
        <w:t xml:space="preserve">; 4(4): 175-179. </w:t>
      </w:r>
    </w:p>
    <w:p w14:paraId="79C89E2D" w14:textId="652CF2E9" w:rsidR="004076FD" w:rsidRPr="00017F5E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</w:rPr>
      </w:pPr>
      <w:proofErr w:type="spellStart"/>
      <w:r w:rsidRPr="00D467C1">
        <w:t>Konradsen</w:t>
      </w:r>
      <w:proofErr w:type="spellEnd"/>
      <w:r w:rsidRPr="00D467C1">
        <w:t xml:space="preserve"> L, Hansen EMB, </w:t>
      </w:r>
      <w:proofErr w:type="spellStart"/>
      <w:r w:rsidRPr="00D467C1">
        <w:t>Søndergaard</w:t>
      </w:r>
      <w:proofErr w:type="spellEnd"/>
      <w:r w:rsidRPr="00D467C1">
        <w:t xml:space="preserve"> L. Long distance running and osteoarthrosis. </w:t>
      </w:r>
      <w:r w:rsidRPr="00D467C1">
        <w:rPr>
          <w:iCs/>
        </w:rPr>
        <w:t xml:space="preserve">Am </w:t>
      </w:r>
      <w:r w:rsidRPr="00017F5E">
        <w:rPr>
          <w:iCs/>
        </w:rPr>
        <w:t>J Sports Med. 1990</w:t>
      </w:r>
      <w:r w:rsidRPr="00017F5E">
        <w:t>; 18(4): 379-381.</w:t>
      </w:r>
    </w:p>
    <w:p w14:paraId="20692826" w14:textId="5E6EA76A" w:rsidR="004076FD" w:rsidRPr="00D467C1" w:rsidRDefault="004076FD" w:rsidP="00D467C1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017F5E">
        <w:t>Andersson</w:t>
      </w:r>
      <w:proofErr w:type="spellEnd"/>
      <w:r w:rsidR="00D467C1" w:rsidRPr="00017F5E">
        <w:t xml:space="preserve"> S, Nilsson B, Hessel T, </w:t>
      </w:r>
      <w:proofErr w:type="spellStart"/>
      <w:r w:rsidR="00D467C1" w:rsidRPr="00017F5E">
        <w:t>Saraste</w:t>
      </w:r>
      <w:proofErr w:type="spellEnd"/>
      <w:r w:rsidR="00D467C1" w:rsidRPr="00017F5E">
        <w:t xml:space="preserve"> M, </w:t>
      </w:r>
      <w:proofErr w:type="spellStart"/>
      <w:r w:rsidR="00D467C1" w:rsidRPr="00017F5E">
        <w:t>Noren</w:t>
      </w:r>
      <w:proofErr w:type="spellEnd"/>
      <w:r w:rsidR="00D467C1" w:rsidRPr="00017F5E">
        <w:t xml:space="preserve"> A, Stevens-Anderson ANN</w:t>
      </w:r>
      <w:r w:rsidR="00A57856">
        <w:t>,</w:t>
      </w:r>
      <w:r w:rsidR="00D467C1" w:rsidRPr="00017F5E">
        <w:t xml:space="preserve"> et al.</w:t>
      </w:r>
      <w:r w:rsidRPr="00017F5E">
        <w:t xml:space="preserve"> Degenerative joint disease in ballet</w:t>
      </w:r>
      <w:r w:rsidRPr="00D467C1">
        <w:t xml:space="preserve"> dancers. </w:t>
      </w:r>
      <w:proofErr w:type="spellStart"/>
      <w:r w:rsidRPr="00D467C1">
        <w:rPr>
          <w:iCs/>
        </w:rPr>
        <w:t>Clin</w:t>
      </w:r>
      <w:proofErr w:type="spellEnd"/>
      <w:r w:rsidRPr="00D467C1">
        <w:rPr>
          <w:iCs/>
        </w:rPr>
        <w:t xml:space="preserve"> </w:t>
      </w:r>
      <w:proofErr w:type="spellStart"/>
      <w:r w:rsidRPr="00D467C1">
        <w:rPr>
          <w:iCs/>
        </w:rPr>
        <w:t>Orthop</w:t>
      </w:r>
      <w:proofErr w:type="spellEnd"/>
      <w:r w:rsidR="00C772D8">
        <w:rPr>
          <w:iCs/>
        </w:rPr>
        <w:t xml:space="preserve"> </w:t>
      </w:r>
      <w:proofErr w:type="spellStart"/>
      <w:r w:rsidRPr="00D467C1">
        <w:rPr>
          <w:iCs/>
        </w:rPr>
        <w:t>Relat</w:t>
      </w:r>
      <w:proofErr w:type="spellEnd"/>
      <w:r w:rsidRPr="00D467C1">
        <w:rPr>
          <w:iCs/>
        </w:rPr>
        <w:t xml:space="preserve"> Res</w:t>
      </w:r>
      <w:r w:rsidR="00D467C1" w:rsidRPr="00D467C1">
        <w:rPr>
          <w:iCs/>
        </w:rPr>
        <w:t>. 1989</w:t>
      </w:r>
      <w:r w:rsidRPr="00D467C1">
        <w:t xml:space="preserve">; </w:t>
      </w:r>
      <w:r w:rsidRPr="00D467C1">
        <w:rPr>
          <w:iCs/>
        </w:rPr>
        <w:t>238</w:t>
      </w:r>
      <w:r w:rsidRPr="00D467C1">
        <w:t xml:space="preserve">: 233-236. </w:t>
      </w:r>
    </w:p>
    <w:p w14:paraId="1BC81335" w14:textId="01AF270E" w:rsidR="004076FD" w:rsidRPr="00D467C1" w:rsidRDefault="00D467C1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 w:rsidRPr="00D467C1">
        <w:lastRenderedPageBreak/>
        <w:t xml:space="preserve">Adams ID. </w:t>
      </w:r>
      <w:r w:rsidR="004076FD" w:rsidRPr="00D467C1">
        <w:t xml:space="preserve">Osteoarthrosis and sport. </w:t>
      </w:r>
      <w:r w:rsidR="004076FD" w:rsidRPr="00D467C1">
        <w:rPr>
          <w:iCs/>
        </w:rPr>
        <w:t xml:space="preserve">J R </w:t>
      </w:r>
      <w:proofErr w:type="spellStart"/>
      <w:r w:rsidR="004076FD" w:rsidRPr="00D467C1">
        <w:rPr>
          <w:iCs/>
        </w:rPr>
        <w:t>Soc</w:t>
      </w:r>
      <w:proofErr w:type="spellEnd"/>
      <w:r w:rsidR="004076FD" w:rsidRPr="00D467C1">
        <w:rPr>
          <w:iCs/>
        </w:rPr>
        <w:t xml:space="preserve"> Med</w:t>
      </w:r>
      <w:r w:rsidR="001956E1">
        <w:rPr>
          <w:iCs/>
        </w:rPr>
        <w:t>. 1979</w:t>
      </w:r>
      <w:r w:rsidR="004076FD" w:rsidRPr="00D467C1">
        <w:rPr>
          <w:iCs/>
        </w:rPr>
        <w:t xml:space="preserve">; </w:t>
      </w:r>
      <w:r w:rsidR="004076FD" w:rsidRPr="00D467C1">
        <w:t xml:space="preserve">72(3): 185. </w:t>
      </w:r>
    </w:p>
    <w:p w14:paraId="65958E20" w14:textId="19CEF552" w:rsidR="004076FD" w:rsidRPr="00017F5E" w:rsidRDefault="001956E1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 xml:space="preserve">Murray-Leslie CF, </w:t>
      </w:r>
      <w:proofErr w:type="spellStart"/>
      <w:r>
        <w:t>Lintott</w:t>
      </w:r>
      <w:proofErr w:type="spellEnd"/>
      <w:r>
        <w:t xml:space="preserve"> DJ, Wright V. </w:t>
      </w:r>
      <w:r w:rsidR="004076FD" w:rsidRPr="00D467C1">
        <w:t xml:space="preserve">The knees and ankles in sport and veteran military parachutists. </w:t>
      </w:r>
      <w:r w:rsidR="004076FD" w:rsidRPr="00D467C1">
        <w:rPr>
          <w:iCs/>
        </w:rPr>
        <w:t>Ann</w:t>
      </w:r>
      <w:r w:rsidR="004076FD" w:rsidRPr="00017F5E">
        <w:rPr>
          <w:iCs/>
        </w:rPr>
        <w:t xml:space="preserve"> Rheum Dis</w:t>
      </w:r>
      <w:r w:rsidR="00D467C1" w:rsidRPr="00017F5E">
        <w:rPr>
          <w:iCs/>
        </w:rPr>
        <w:t>. 197</w:t>
      </w:r>
      <w:r w:rsidRPr="00017F5E">
        <w:rPr>
          <w:iCs/>
        </w:rPr>
        <w:t>7</w:t>
      </w:r>
      <w:r w:rsidR="004076FD" w:rsidRPr="00017F5E">
        <w:t xml:space="preserve">; 36(4): 327-331. </w:t>
      </w:r>
    </w:p>
    <w:p w14:paraId="357A5278" w14:textId="695E2239" w:rsidR="004076FD" w:rsidRPr="00017F5E" w:rsidRDefault="00D467C1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017F5E">
        <w:t>Vincelette</w:t>
      </w:r>
      <w:proofErr w:type="spellEnd"/>
      <w:r w:rsidRPr="00017F5E">
        <w:t xml:space="preserve"> P</w:t>
      </w:r>
      <w:r w:rsidR="004076FD" w:rsidRPr="00017F5E">
        <w:t xml:space="preserve">, </w:t>
      </w:r>
      <w:proofErr w:type="spellStart"/>
      <w:r w:rsidRPr="00017F5E">
        <w:t>Laurin</w:t>
      </w:r>
      <w:proofErr w:type="spellEnd"/>
      <w:r w:rsidRPr="00017F5E">
        <w:t xml:space="preserve"> CA, Levesque HP</w:t>
      </w:r>
      <w:r w:rsidR="004076FD" w:rsidRPr="00017F5E">
        <w:t xml:space="preserve">. The footballer's ankle and foot. </w:t>
      </w:r>
      <w:r w:rsidR="004076FD" w:rsidRPr="00017F5E">
        <w:rPr>
          <w:iCs/>
        </w:rPr>
        <w:t xml:space="preserve">Can Med </w:t>
      </w:r>
      <w:proofErr w:type="spellStart"/>
      <w:r w:rsidR="004076FD" w:rsidRPr="00017F5E">
        <w:rPr>
          <w:iCs/>
        </w:rPr>
        <w:t>Assoc</w:t>
      </w:r>
      <w:proofErr w:type="spellEnd"/>
      <w:r w:rsidR="004076FD" w:rsidRPr="00017F5E">
        <w:rPr>
          <w:iCs/>
        </w:rPr>
        <w:t xml:space="preserve"> J</w:t>
      </w:r>
      <w:r w:rsidR="001956E1" w:rsidRPr="00017F5E">
        <w:rPr>
          <w:iCs/>
        </w:rPr>
        <w:t xml:space="preserve">. </w:t>
      </w:r>
      <w:r w:rsidRPr="00017F5E">
        <w:rPr>
          <w:iCs/>
        </w:rPr>
        <w:t>1972</w:t>
      </w:r>
      <w:r w:rsidR="004076FD" w:rsidRPr="00017F5E">
        <w:t xml:space="preserve">; 107(9): 872. </w:t>
      </w:r>
    </w:p>
    <w:p w14:paraId="7FEE14BD" w14:textId="5F1D697B" w:rsidR="004076FD" w:rsidRPr="00056C31" w:rsidRDefault="001956E1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 xml:space="preserve">Carroll GJ, </w:t>
      </w:r>
      <w:proofErr w:type="spellStart"/>
      <w:r>
        <w:t>Breidahl</w:t>
      </w:r>
      <w:proofErr w:type="spellEnd"/>
      <w:r>
        <w:t xml:space="preserve"> WH, Bulsara MK, Olynyk JK. </w:t>
      </w:r>
      <w:r w:rsidR="004076FD" w:rsidRPr="008A21C3">
        <w:t xml:space="preserve">Hereditary </w:t>
      </w:r>
      <w:r w:rsidR="004076FD" w:rsidRPr="001956E1">
        <w:t xml:space="preserve">Haemochromatosis is characterized by a clinically definable </w:t>
      </w:r>
      <w:proofErr w:type="spellStart"/>
      <w:r w:rsidR="004076FD" w:rsidRPr="001956E1">
        <w:t>arthropathy</w:t>
      </w:r>
      <w:proofErr w:type="spellEnd"/>
      <w:r w:rsidR="004076FD" w:rsidRPr="001956E1">
        <w:t xml:space="preserve"> that correlates with iron load. </w:t>
      </w:r>
      <w:r w:rsidR="004076FD" w:rsidRPr="001956E1">
        <w:rPr>
          <w:iCs/>
        </w:rPr>
        <w:t>Arthritis Rheum</w:t>
      </w:r>
      <w:r w:rsidRPr="001956E1">
        <w:rPr>
          <w:iCs/>
        </w:rPr>
        <w:t>. 2011</w:t>
      </w:r>
      <w:r w:rsidR="004076FD" w:rsidRPr="001956E1">
        <w:rPr>
          <w:iCs/>
        </w:rPr>
        <w:t xml:space="preserve">; </w:t>
      </w:r>
      <w:r w:rsidR="004076FD" w:rsidRPr="001956E1">
        <w:t>63(1): 286-294.</w:t>
      </w:r>
      <w:r w:rsidR="004076FD" w:rsidRPr="00056C31">
        <w:t xml:space="preserve"> </w:t>
      </w:r>
    </w:p>
    <w:p w14:paraId="6B9E8B2C" w14:textId="5026A44E" w:rsidR="004076FD" w:rsidRPr="001956E1" w:rsidRDefault="001956E1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>
        <w:t>Muehleman</w:t>
      </w:r>
      <w:proofErr w:type="spellEnd"/>
      <w:r>
        <w:t xml:space="preserve"> C, </w:t>
      </w:r>
      <w:proofErr w:type="spellStart"/>
      <w:r>
        <w:t>Bareither</w:t>
      </w:r>
      <w:proofErr w:type="spellEnd"/>
      <w:r>
        <w:t xml:space="preserve"> D, </w:t>
      </w:r>
      <w:proofErr w:type="spellStart"/>
      <w:r>
        <w:t>Huch</w:t>
      </w:r>
      <w:proofErr w:type="spellEnd"/>
      <w:r>
        <w:t xml:space="preserve"> K, Cole AA, </w:t>
      </w:r>
      <w:proofErr w:type="spellStart"/>
      <w:r>
        <w:t>Kuettner</w:t>
      </w:r>
      <w:proofErr w:type="spellEnd"/>
      <w:r>
        <w:t xml:space="preserve"> KE.</w:t>
      </w:r>
      <w:r w:rsidR="004076FD" w:rsidRPr="008A21C3">
        <w:t xml:space="preserve"> Prevalence of degenerative morphological changes in the joint</w:t>
      </w:r>
      <w:r w:rsidR="004076FD" w:rsidRPr="00056C31">
        <w:t xml:space="preserve">s of the lower extremity. </w:t>
      </w:r>
      <w:r w:rsidR="004076FD" w:rsidRPr="001956E1">
        <w:rPr>
          <w:iCs/>
        </w:rPr>
        <w:t>Osteoarthritis Cartilage</w:t>
      </w:r>
      <w:r w:rsidRPr="001956E1">
        <w:rPr>
          <w:iCs/>
        </w:rPr>
        <w:t>. 1997</w:t>
      </w:r>
      <w:r w:rsidR="004076FD" w:rsidRPr="001956E1">
        <w:rPr>
          <w:iCs/>
        </w:rPr>
        <w:t xml:space="preserve">; </w:t>
      </w:r>
      <w:r w:rsidR="004076FD" w:rsidRPr="001956E1">
        <w:t xml:space="preserve">5(1): 23-37. </w:t>
      </w:r>
    </w:p>
    <w:p w14:paraId="3C4E0235" w14:textId="41767BCB" w:rsidR="004076FD" w:rsidRPr="001956E1" w:rsidRDefault="001956E1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1956E1">
        <w:t>Jenyo</w:t>
      </w:r>
      <w:proofErr w:type="spellEnd"/>
      <w:r w:rsidRPr="001956E1">
        <w:t xml:space="preserve"> MS, </w:t>
      </w:r>
      <w:proofErr w:type="spellStart"/>
      <w:r w:rsidRPr="001956E1">
        <w:t>Bamidele</w:t>
      </w:r>
      <w:proofErr w:type="spellEnd"/>
      <w:r w:rsidRPr="001956E1">
        <w:t xml:space="preserve"> JO, </w:t>
      </w:r>
      <w:proofErr w:type="spellStart"/>
      <w:r w:rsidR="004076FD" w:rsidRPr="001956E1">
        <w:t>A</w:t>
      </w:r>
      <w:r w:rsidRPr="001956E1">
        <w:t>debimpe</w:t>
      </w:r>
      <w:proofErr w:type="spellEnd"/>
      <w:r w:rsidRPr="001956E1">
        <w:t xml:space="preserve"> WO. </w:t>
      </w:r>
      <w:r w:rsidR="004076FD" w:rsidRPr="001956E1">
        <w:t xml:space="preserve">Pattern of arthralgia in an urban community in Southwestern Nigeria. </w:t>
      </w:r>
      <w:r w:rsidR="004076FD" w:rsidRPr="001956E1">
        <w:rPr>
          <w:iCs/>
        </w:rPr>
        <w:t xml:space="preserve">Ann </w:t>
      </w:r>
      <w:proofErr w:type="spellStart"/>
      <w:r w:rsidR="004076FD" w:rsidRPr="001956E1">
        <w:rPr>
          <w:iCs/>
        </w:rPr>
        <w:t>Afr</w:t>
      </w:r>
      <w:proofErr w:type="spellEnd"/>
      <w:r w:rsidR="004076FD" w:rsidRPr="001956E1">
        <w:rPr>
          <w:iCs/>
        </w:rPr>
        <w:t xml:space="preserve"> Med</w:t>
      </w:r>
      <w:r w:rsidRPr="001956E1">
        <w:rPr>
          <w:iCs/>
        </w:rPr>
        <w:t>. 2014</w:t>
      </w:r>
      <w:r w:rsidR="004076FD" w:rsidRPr="001956E1">
        <w:rPr>
          <w:iCs/>
        </w:rPr>
        <w:t xml:space="preserve">; </w:t>
      </w:r>
      <w:r w:rsidR="004076FD" w:rsidRPr="001956E1">
        <w:t>13(2): 65-70.</w:t>
      </w:r>
    </w:p>
    <w:p w14:paraId="6CD43EA8" w14:textId="539CD3D5" w:rsidR="0090635F" w:rsidRDefault="0090635F" w:rsidP="000E2763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0E2763">
        <w:rPr>
          <w:rFonts w:ascii="Arial" w:hAnsi="Arial" w:cs="Arial"/>
          <w:color w:val="222222"/>
          <w:sz w:val="20"/>
          <w:szCs w:val="20"/>
          <w:shd w:val="clear" w:color="auto" w:fill="FFFFFF"/>
        </w:rPr>
        <w:t>Iosifidis</w:t>
      </w:r>
      <w:proofErr w:type="spellEnd"/>
      <w:r w:rsidRPr="000E276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MI</w:t>
      </w:r>
      <w:r w:rsidRPr="0007084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07084D">
        <w:rPr>
          <w:rFonts w:ascii="Arial" w:hAnsi="Arial" w:cs="Arial"/>
          <w:color w:val="222222"/>
          <w:sz w:val="20"/>
          <w:szCs w:val="20"/>
          <w:shd w:val="clear" w:color="auto" w:fill="FFFFFF"/>
        </w:rPr>
        <w:t>Tsarouhas</w:t>
      </w:r>
      <w:proofErr w:type="spellEnd"/>
      <w:r w:rsidRPr="00A84D6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A., </w:t>
      </w:r>
      <w:proofErr w:type="spellStart"/>
      <w:r w:rsidRPr="00A84D6E">
        <w:rPr>
          <w:rFonts w:ascii="Arial" w:hAnsi="Arial" w:cs="Arial"/>
          <w:color w:val="222222"/>
          <w:sz w:val="20"/>
          <w:szCs w:val="20"/>
          <w:shd w:val="clear" w:color="auto" w:fill="FFFFFF"/>
        </w:rPr>
        <w:t>Fylaktou</w:t>
      </w:r>
      <w:proofErr w:type="spellEnd"/>
      <w:r w:rsidRPr="00A84D6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 </w:t>
      </w:r>
      <w:r w:rsidRPr="003945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Lower limb clinical and radiographic osteoarthritis in former elite male athletes. </w:t>
      </w:r>
      <w:r w:rsidRPr="000E2763">
        <w:rPr>
          <w:rFonts w:ascii="Arial" w:hAnsi="Arial" w:cs="Arial"/>
          <w:color w:val="222222"/>
          <w:sz w:val="20"/>
          <w:szCs w:val="20"/>
          <w:shd w:val="clear" w:color="auto" w:fill="FFFFFF"/>
        </w:rPr>
        <w:t>Knee Surgery, Sports Traumatology, Arthroscopy</w:t>
      </w:r>
      <w:r w:rsidR="000E2763" w:rsidRPr="000E2763">
        <w:rPr>
          <w:rFonts w:ascii="Arial" w:hAnsi="Arial" w:cs="Arial"/>
          <w:color w:val="222222"/>
          <w:sz w:val="20"/>
          <w:szCs w:val="20"/>
          <w:shd w:val="clear" w:color="auto" w:fill="FFFFFF"/>
        </w:rPr>
        <w:t>. 2015</w:t>
      </w:r>
      <w:r w:rsidRPr="000E2763">
        <w:rPr>
          <w:rFonts w:ascii="Arial" w:hAnsi="Arial" w:cs="Arial"/>
          <w:color w:val="222222"/>
          <w:sz w:val="20"/>
          <w:szCs w:val="20"/>
          <w:shd w:val="clear" w:color="auto" w:fill="FFFFFF"/>
        </w:rPr>
        <w:t>; 23(9):</w:t>
      </w:r>
      <w:r w:rsidR="000E2763" w:rsidRPr="000E276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0E2763">
        <w:rPr>
          <w:rFonts w:ascii="Arial" w:hAnsi="Arial" w:cs="Arial"/>
          <w:color w:val="222222"/>
          <w:sz w:val="20"/>
          <w:szCs w:val="20"/>
          <w:shd w:val="clear" w:color="auto" w:fill="FFFFFF"/>
        </w:rPr>
        <w:t>2528-35.</w:t>
      </w:r>
    </w:p>
    <w:p w14:paraId="17B78266" w14:textId="7CD9A9EB" w:rsidR="004076FD" w:rsidRPr="00056C31" w:rsidRDefault="004076FD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8A21C3">
        <w:t>Kellgren</w:t>
      </w:r>
      <w:proofErr w:type="spellEnd"/>
      <w:r w:rsidRPr="008A21C3">
        <w:t xml:space="preserve"> JH</w:t>
      </w:r>
      <w:r w:rsidR="001956E1">
        <w:t>, Lawrence JS.</w:t>
      </w:r>
      <w:r w:rsidRPr="008A21C3">
        <w:t xml:space="preserve"> </w:t>
      </w:r>
      <w:r w:rsidRPr="001C58F0">
        <w:rPr>
          <w:i/>
          <w:iCs/>
        </w:rPr>
        <w:t>The epidemiology of chronic rheumatism: atlas of standard radiographs of arthritis volume 2</w:t>
      </w:r>
      <w:r w:rsidRPr="00056C31">
        <w:t>.</w:t>
      </w:r>
      <w:r w:rsidR="00222130">
        <w:t xml:space="preserve"> </w:t>
      </w:r>
      <w:r w:rsidR="001956E1">
        <w:t>Oxford: Blackwell Scientific</w:t>
      </w:r>
      <w:r w:rsidR="00222130">
        <w:t>. 1963.</w:t>
      </w:r>
      <w:r w:rsidR="00FC07C8">
        <w:t xml:space="preserve"> </w:t>
      </w:r>
    </w:p>
    <w:p w14:paraId="7612400B" w14:textId="534C90BE" w:rsidR="004076FD" w:rsidRPr="00E01B53" w:rsidRDefault="001956E1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 xml:space="preserve">Scranton PE, McDermott JE. </w:t>
      </w:r>
      <w:r w:rsidR="004076FD" w:rsidRPr="008A21C3">
        <w:t xml:space="preserve">Anterior </w:t>
      </w:r>
      <w:proofErr w:type="spellStart"/>
      <w:r w:rsidR="004076FD" w:rsidRPr="001956E1">
        <w:t>tibial</w:t>
      </w:r>
      <w:proofErr w:type="spellEnd"/>
      <w:r w:rsidR="004076FD" w:rsidRPr="001956E1">
        <w:t xml:space="preserve"> spurs: a comparison of open versus arthroscopic debridement. </w:t>
      </w:r>
      <w:r w:rsidR="004076FD" w:rsidRPr="001956E1">
        <w:rPr>
          <w:iCs/>
        </w:rPr>
        <w:t>J Foot Ankle Surg</w:t>
      </w:r>
      <w:r w:rsidRPr="001956E1">
        <w:rPr>
          <w:iCs/>
        </w:rPr>
        <w:t>. 1992</w:t>
      </w:r>
      <w:r w:rsidR="004076FD" w:rsidRPr="001956E1">
        <w:rPr>
          <w:iCs/>
        </w:rPr>
        <w:t xml:space="preserve">; </w:t>
      </w:r>
      <w:r w:rsidR="004076FD" w:rsidRPr="001956E1">
        <w:t>13(3): 125-129.</w:t>
      </w:r>
    </w:p>
    <w:p w14:paraId="352FE0A8" w14:textId="3657A77D" w:rsidR="004076FD" w:rsidRPr="00E01B53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>
        <w:t>Bargon</w:t>
      </w:r>
      <w:proofErr w:type="spellEnd"/>
      <w:r>
        <w:t xml:space="preserve"> G. </w:t>
      </w:r>
      <w:proofErr w:type="spellStart"/>
      <w:r w:rsidR="004076FD" w:rsidRPr="008A21C3">
        <w:t>Röntgen</w:t>
      </w:r>
      <w:proofErr w:type="spellEnd"/>
      <w:r w:rsidR="004076FD" w:rsidRPr="008A21C3">
        <w:t xml:space="preserve"> </w:t>
      </w:r>
      <w:proofErr w:type="spellStart"/>
      <w:r w:rsidR="004076FD" w:rsidRPr="008A21C3">
        <w:t>Morphologische</w:t>
      </w:r>
      <w:proofErr w:type="spellEnd"/>
      <w:r w:rsidR="004076FD" w:rsidRPr="00222130">
        <w:t xml:space="preserve"> </w:t>
      </w:r>
      <w:proofErr w:type="spellStart"/>
      <w:r w:rsidR="004076FD" w:rsidRPr="00222130">
        <w:t>Gradeinteilung</w:t>
      </w:r>
      <w:proofErr w:type="spellEnd"/>
      <w:r w:rsidR="004076FD" w:rsidRPr="00222130">
        <w:t xml:space="preserve"> der </w:t>
      </w:r>
      <w:proofErr w:type="spellStart"/>
      <w:r w:rsidR="004076FD" w:rsidRPr="00222130">
        <w:t>posttraumatischen</w:t>
      </w:r>
      <w:proofErr w:type="spellEnd"/>
      <w:r w:rsidR="004076FD" w:rsidRPr="00222130">
        <w:t xml:space="preserve"> </w:t>
      </w:r>
      <w:proofErr w:type="spellStart"/>
      <w:r w:rsidR="004076FD" w:rsidRPr="00222130">
        <w:t>im</w:t>
      </w:r>
      <w:proofErr w:type="spellEnd"/>
      <w:r w:rsidR="004076FD" w:rsidRPr="00222130">
        <w:t xml:space="preserve"> </w:t>
      </w:r>
      <w:proofErr w:type="spellStart"/>
      <w:r w:rsidR="004076FD" w:rsidRPr="00222130">
        <w:t>oberen</w:t>
      </w:r>
      <w:proofErr w:type="spellEnd"/>
      <w:r w:rsidR="004076FD" w:rsidRPr="00222130">
        <w:t xml:space="preserve"> </w:t>
      </w:r>
      <w:proofErr w:type="spellStart"/>
      <w:r w:rsidR="004076FD" w:rsidRPr="00222130">
        <w:t>Sprunggelenk</w:t>
      </w:r>
      <w:proofErr w:type="spellEnd"/>
      <w:r w:rsidR="004076FD" w:rsidRPr="00222130">
        <w:t xml:space="preserve">. </w:t>
      </w:r>
      <w:proofErr w:type="spellStart"/>
      <w:r w:rsidR="004076FD" w:rsidRPr="00222130">
        <w:rPr>
          <w:iCs/>
        </w:rPr>
        <w:t>Unfallheilkunde</w:t>
      </w:r>
      <w:proofErr w:type="spellEnd"/>
      <w:r w:rsidRPr="00222130">
        <w:rPr>
          <w:iCs/>
        </w:rPr>
        <w:t>. 1978</w:t>
      </w:r>
      <w:r w:rsidR="004076FD" w:rsidRPr="00222130">
        <w:rPr>
          <w:iCs/>
        </w:rPr>
        <w:t xml:space="preserve">; </w:t>
      </w:r>
      <w:r w:rsidR="004076FD" w:rsidRPr="00222130">
        <w:t>133: 28-34</w:t>
      </w:r>
    </w:p>
    <w:p w14:paraId="08CA4DD9" w14:textId="7FAE81A1" w:rsidR="004076FD" w:rsidRPr="00E01B53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 xml:space="preserve">Roddy E, Myers H, Thomas MJ, Marshall M, </w:t>
      </w:r>
      <w:proofErr w:type="spellStart"/>
      <w:r>
        <w:t>D’Cruz</w:t>
      </w:r>
      <w:proofErr w:type="spellEnd"/>
      <w:r>
        <w:t xml:space="preserve"> D, </w:t>
      </w:r>
      <w:proofErr w:type="spellStart"/>
      <w:r>
        <w:t>Menz</w:t>
      </w:r>
      <w:proofErr w:type="spellEnd"/>
      <w:r>
        <w:t xml:space="preserve"> </w:t>
      </w:r>
      <w:r w:rsidRPr="00222130">
        <w:t>HB</w:t>
      </w:r>
      <w:r w:rsidR="00A57856">
        <w:t>,</w:t>
      </w:r>
      <w:r w:rsidRPr="00222130">
        <w:t xml:space="preserve"> et al. </w:t>
      </w:r>
      <w:r w:rsidR="004076FD" w:rsidRPr="00222130">
        <w:t xml:space="preserve">The clinical assessment study of the foot (CASF): study protocol for a prospective observational study of foot pain and foot osteoarthritis in the general population. </w:t>
      </w:r>
      <w:r w:rsidR="004076FD" w:rsidRPr="00222130">
        <w:rPr>
          <w:iCs/>
        </w:rPr>
        <w:t>J Foot Ankle Res</w:t>
      </w:r>
      <w:r w:rsidRPr="00222130">
        <w:rPr>
          <w:iCs/>
        </w:rPr>
        <w:t>. 2011</w:t>
      </w:r>
      <w:r w:rsidR="004076FD" w:rsidRPr="00222130">
        <w:rPr>
          <w:iCs/>
        </w:rPr>
        <w:t xml:space="preserve">; </w:t>
      </w:r>
      <w:r w:rsidR="004076FD" w:rsidRPr="00222130">
        <w:t>4(1): 22</w:t>
      </w:r>
      <w:r w:rsidR="004076FD" w:rsidRPr="00E01B53">
        <w:t>.</w:t>
      </w:r>
    </w:p>
    <w:p w14:paraId="541935E1" w14:textId="67F5E21F" w:rsidR="004076FD" w:rsidRPr="00222130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>Roddy E, Thomas MJ, Marshall M</w:t>
      </w:r>
      <w:r w:rsidRPr="00222130">
        <w:t xml:space="preserve">, </w:t>
      </w:r>
      <w:proofErr w:type="spellStart"/>
      <w:r w:rsidRPr="00222130">
        <w:t>Rathod</w:t>
      </w:r>
      <w:proofErr w:type="spellEnd"/>
      <w:r w:rsidRPr="00222130">
        <w:t xml:space="preserve"> T, Myers H, </w:t>
      </w:r>
      <w:proofErr w:type="spellStart"/>
      <w:r w:rsidRPr="00222130">
        <w:t>Menz</w:t>
      </w:r>
      <w:proofErr w:type="spellEnd"/>
      <w:r w:rsidRPr="00222130">
        <w:t xml:space="preserve"> HB</w:t>
      </w:r>
      <w:r w:rsidR="00A57856">
        <w:t>,</w:t>
      </w:r>
      <w:r w:rsidRPr="00222130">
        <w:t xml:space="preserve"> et al.</w:t>
      </w:r>
      <w:r w:rsidR="004076FD" w:rsidRPr="00222130">
        <w:t xml:space="preserve"> The population prevalence of symptomatic radiographic foot osteoarthritis in community-dwelling older adults: cross-sectional findings from the clinical assessment study of the foot. </w:t>
      </w:r>
      <w:r w:rsidR="004076FD" w:rsidRPr="00222130">
        <w:rPr>
          <w:iCs/>
        </w:rPr>
        <w:t>Ann Rheum Dis</w:t>
      </w:r>
      <w:r w:rsidRPr="00222130">
        <w:rPr>
          <w:iCs/>
        </w:rPr>
        <w:t>. 2015</w:t>
      </w:r>
      <w:r w:rsidR="004076FD" w:rsidRPr="00222130">
        <w:rPr>
          <w:iCs/>
        </w:rPr>
        <w:t xml:space="preserve">; </w:t>
      </w:r>
      <w:r w:rsidR="004076FD" w:rsidRPr="00222130">
        <w:t>74(1) 156-163.</w:t>
      </w:r>
    </w:p>
    <w:p w14:paraId="6634CD7B" w14:textId="0721891B" w:rsidR="004076FD" w:rsidRPr="00222130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 w:rsidRPr="00222130">
        <w:t>Ware Jr</w:t>
      </w:r>
      <w:r w:rsidR="004076FD" w:rsidRPr="00222130">
        <w:t xml:space="preserve"> J</w:t>
      </w:r>
      <w:r w:rsidRPr="00222130">
        <w:t xml:space="preserve">E, </w:t>
      </w:r>
      <w:proofErr w:type="spellStart"/>
      <w:r w:rsidRPr="00222130">
        <w:t>Kosinski</w:t>
      </w:r>
      <w:proofErr w:type="spellEnd"/>
      <w:r w:rsidRPr="00222130">
        <w:t xml:space="preserve"> M, Keller SD. </w:t>
      </w:r>
      <w:r w:rsidR="004076FD" w:rsidRPr="00222130">
        <w:t xml:space="preserve">A 12-Item Short-Form Health Survey: construction of scales and preliminary tests of reliability and validity. </w:t>
      </w:r>
      <w:r w:rsidR="004076FD" w:rsidRPr="00222130">
        <w:rPr>
          <w:iCs/>
        </w:rPr>
        <w:t>Med Care</w:t>
      </w:r>
      <w:r w:rsidRPr="00222130">
        <w:rPr>
          <w:iCs/>
        </w:rPr>
        <w:t>. 1996</w:t>
      </w:r>
      <w:r w:rsidR="004076FD" w:rsidRPr="00222130">
        <w:rPr>
          <w:iCs/>
        </w:rPr>
        <w:t xml:space="preserve">; </w:t>
      </w:r>
      <w:r w:rsidR="004076FD" w:rsidRPr="00222130">
        <w:t>34(3): 220-233.</w:t>
      </w:r>
    </w:p>
    <w:p w14:paraId="12BBD23C" w14:textId="3C238F04" w:rsidR="004076FD" w:rsidRPr="00222130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 w:rsidRPr="00222130">
        <w:lastRenderedPageBreak/>
        <w:t>Zigmond</w:t>
      </w:r>
      <w:proofErr w:type="spellEnd"/>
      <w:r w:rsidRPr="00222130">
        <w:t xml:space="preserve"> AS, </w:t>
      </w:r>
      <w:proofErr w:type="spellStart"/>
      <w:r w:rsidRPr="00222130">
        <w:t>Snaith</w:t>
      </w:r>
      <w:proofErr w:type="spellEnd"/>
      <w:r w:rsidRPr="00222130">
        <w:t xml:space="preserve"> RP. </w:t>
      </w:r>
      <w:r w:rsidR="004076FD" w:rsidRPr="00222130">
        <w:t xml:space="preserve">The hospital anxiety and depression scale. </w:t>
      </w:r>
      <w:proofErr w:type="spellStart"/>
      <w:r w:rsidR="004076FD" w:rsidRPr="00222130">
        <w:rPr>
          <w:iCs/>
        </w:rPr>
        <w:t>Acta</w:t>
      </w:r>
      <w:proofErr w:type="spellEnd"/>
      <w:r w:rsidR="004076FD" w:rsidRPr="00222130">
        <w:rPr>
          <w:iCs/>
        </w:rPr>
        <w:t xml:space="preserve"> </w:t>
      </w:r>
      <w:proofErr w:type="spellStart"/>
      <w:r w:rsidR="004076FD" w:rsidRPr="00222130">
        <w:rPr>
          <w:iCs/>
        </w:rPr>
        <w:t>Psychiatr</w:t>
      </w:r>
      <w:proofErr w:type="spellEnd"/>
      <w:r w:rsidR="004076FD" w:rsidRPr="00222130">
        <w:rPr>
          <w:iCs/>
        </w:rPr>
        <w:t xml:space="preserve"> Scand</w:t>
      </w:r>
      <w:r w:rsidRPr="00222130">
        <w:rPr>
          <w:iCs/>
        </w:rPr>
        <w:t>. 1983</w:t>
      </w:r>
      <w:r w:rsidR="004076FD" w:rsidRPr="00222130">
        <w:rPr>
          <w:iCs/>
        </w:rPr>
        <w:t xml:space="preserve">; </w:t>
      </w:r>
      <w:r w:rsidR="004076FD" w:rsidRPr="00222130">
        <w:t>67(6): 361-370.</w:t>
      </w:r>
    </w:p>
    <w:p w14:paraId="4A7D0683" w14:textId="6998BDDE" w:rsidR="004076FD" w:rsidRPr="00E01B53" w:rsidRDefault="00222130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Garrow</w:t>
      </w:r>
      <w:proofErr w:type="spellEnd"/>
      <w:r>
        <w:rPr>
          <w:rFonts w:asciiTheme="minorHAnsi" w:hAnsiTheme="minorHAnsi"/>
          <w:sz w:val="22"/>
          <w:szCs w:val="22"/>
        </w:rPr>
        <w:t xml:space="preserve"> AP, </w:t>
      </w:r>
      <w:proofErr w:type="spellStart"/>
      <w:r>
        <w:rPr>
          <w:rFonts w:asciiTheme="minorHAnsi" w:hAnsiTheme="minorHAnsi"/>
          <w:sz w:val="22"/>
          <w:szCs w:val="22"/>
        </w:rPr>
        <w:t>Papageorgiou</w:t>
      </w:r>
      <w:proofErr w:type="spellEnd"/>
      <w:r>
        <w:rPr>
          <w:rFonts w:asciiTheme="minorHAnsi" w:hAnsiTheme="minorHAnsi"/>
          <w:sz w:val="22"/>
          <w:szCs w:val="22"/>
        </w:rPr>
        <w:t xml:space="preserve"> AC, </w:t>
      </w:r>
      <w:proofErr w:type="spellStart"/>
      <w:r>
        <w:rPr>
          <w:rFonts w:asciiTheme="minorHAnsi" w:hAnsiTheme="minorHAnsi"/>
          <w:sz w:val="22"/>
          <w:szCs w:val="22"/>
        </w:rPr>
        <w:t>Silman</w:t>
      </w:r>
      <w:proofErr w:type="spellEnd"/>
      <w:r>
        <w:rPr>
          <w:rFonts w:asciiTheme="minorHAnsi" w:hAnsiTheme="minorHAnsi"/>
          <w:sz w:val="22"/>
          <w:szCs w:val="22"/>
        </w:rPr>
        <w:t xml:space="preserve"> AJ, Thomas E, Jayson MI, Macfarlane GJ.</w:t>
      </w:r>
      <w:r w:rsidR="004076FD" w:rsidRPr="008A21C3">
        <w:rPr>
          <w:rFonts w:asciiTheme="minorHAnsi" w:hAnsiTheme="minorHAnsi"/>
          <w:sz w:val="22"/>
          <w:szCs w:val="22"/>
        </w:rPr>
        <w:t xml:space="preserve"> Development and validation of a questionnaire to assess disabling foot pain.</w:t>
      </w:r>
      <w:r w:rsidR="004076FD" w:rsidRPr="00222130">
        <w:rPr>
          <w:rFonts w:asciiTheme="minorHAnsi" w:hAnsiTheme="minorHAnsi"/>
          <w:sz w:val="22"/>
          <w:szCs w:val="22"/>
        </w:rPr>
        <w:t xml:space="preserve"> </w:t>
      </w:r>
      <w:r w:rsidR="004076FD" w:rsidRPr="00222130">
        <w:rPr>
          <w:rFonts w:asciiTheme="minorHAnsi" w:hAnsiTheme="minorHAnsi"/>
          <w:iCs/>
          <w:sz w:val="22"/>
          <w:szCs w:val="22"/>
        </w:rPr>
        <w:t>Pain</w:t>
      </w:r>
      <w:r w:rsidRPr="00222130">
        <w:rPr>
          <w:rFonts w:asciiTheme="minorHAnsi" w:hAnsiTheme="minorHAnsi"/>
          <w:iCs/>
          <w:sz w:val="22"/>
          <w:szCs w:val="22"/>
        </w:rPr>
        <w:t>. 2000</w:t>
      </w:r>
      <w:r w:rsidR="004076FD" w:rsidRPr="00222130">
        <w:rPr>
          <w:rFonts w:asciiTheme="minorHAnsi" w:hAnsiTheme="minorHAnsi"/>
          <w:iCs/>
          <w:sz w:val="22"/>
          <w:szCs w:val="22"/>
        </w:rPr>
        <w:t xml:space="preserve">; </w:t>
      </w:r>
      <w:r w:rsidR="004076FD" w:rsidRPr="00222130">
        <w:rPr>
          <w:rFonts w:asciiTheme="minorHAnsi" w:hAnsiTheme="minorHAnsi"/>
          <w:sz w:val="22"/>
          <w:szCs w:val="22"/>
        </w:rPr>
        <w:t xml:space="preserve">85(1): 107-113. </w:t>
      </w:r>
    </w:p>
    <w:p w14:paraId="396FAAB4" w14:textId="23B8DC78" w:rsidR="004076FD" w:rsidRPr="00E01B53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Garrow</w:t>
      </w:r>
      <w:proofErr w:type="spellEnd"/>
      <w:r>
        <w:rPr>
          <w:rFonts w:cs="Arial"/>
          <w:color w:val="000000"/>
        </w:rPr>
        <w:t xml:space="preserve"> AP, </w:t>
      </w:r>
      <w:proofErr w:type="spellStart"/>
      <w:r>
        <w:rPr>
          <w:rFonts w:cs="Arial"/>
          <w:color w:val="000000"/>
        </w:rPr>
        <w:t>Silman</w:t>
      </w:r>
      <w:proofErr w:type="spellEnd"/>
      <w:r>
        <w:rPr>
          <w:rFonts w:cs="Arial"/>
          <w:color w:val="000000"/>
        </w:rPr>
        <w:t xml:space="preserve"> AJ, Macfarlane GJ. </w:t>
      </w:r>
      <w:r w:rsidR="004076FD" w:rsidRPr="001C58F0">
        <w:rPr>
          <w:rFonts w:cs="Arial"/>
          <w:color w:val="000000"/>
        </w:rPr>
        <w:t xml:space="preserve">The Cheshire Foot Pain and Disability Survey: a population survey assessing prevalence and </w:t>
      </w:r>
      <w:r w:rsidR="004076FD" w:rsidRPr="00222130">
        <w:rPr>
          <w:rFonts w:cs="Arial"/>
          <w:color w:val="000000"/>
        </w:rPr>
        <w:t xml:space="preserve">associations. </w:t>
      </w:r>
      <w:r w:rsidR="004076FD" w:rsidRPr="00222130">
        <w:rPr>
          <w:rFonts w:cs="Arial"/>
          <w:iCs/>
          <w:color w:val="000000"/>
        </w:rPr>
        <w:t>Pain</w:t>
      </w:r>
      <w:r w:rsidRPr="00222130">
        <w:rPr>
          <w:rFonts w:cs="Arial"/>
          <w:iCs/>
          <w:color w:val="000000"/>
        </w:rPr>
        <w:t>. 2004</w:t>
      </w:r>
      <w:r w:rsidR="004076FD" w:rsidRPr="00222130">
        <w:rPr>
          <w:rFonts w:cs="Arial"/>
          <w:iCs/>
          <w:color w:val="000000"/>
        </w:rPr>
        <w:t xml:space="preserve">; </w:t>
      </w:r>
      <w:r w:rsidR="004076FD" w:rsidRPr="00222130">
        <w:rPr>
          <w:rFonts w:cs="Arial"/>
          <w:color w:val="000000"/>
        </w:rPr>
        <w:t>110(1): 378-384.</w:t>
      </w:r>
    </w:p>
    <w:p w14:paraId="0BF49070" w14:textId="487E0611" w:rsidR="004076FD" w:rsidRPr="00222130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>
        <w:t>Menz</w:t>
      </w:r>
      <w:proofErr w:type="spellEnd"/>
      <w:r>
        <w:t xml:space="preserve"> HB, </w:t>
      </w:r>
      <w:proofErr w:type="spellStart"/>
      <w:r>
        <w:t>Munteanu</w:t>
      </w:r>
      <w:proofErr w:type="spellEnd"/>
      <w:r>
        <w:t xml:space="preserve"> SE, Landorf KB, </w:t>
      </w:r>
      <w:proofErr w:type="spellStart"/>
      <w:r>
        <w:t>Zammit</w:t>
      </w:r>
      <w:proofErr w:type="spellEnd"/>
      <w:r>
        <w:t xml:space="preserve"> GV, </w:t>
      </w:r>
      <w:proofErr w:type="spellStart"/>
      <w:r>
        <w:t>Cicuttini</w:t>
      </w:r>
      <w:proofErr w:type="spellEnd"/>
      <w:r>
        <w:t xml:space="preserve"> FM.</w:t>
      </w:r>
      <w:r w:rsidR="004076FD" w:rsidRPr="008A21C3">
        <w:t xml:space="preserve"> Radiographic classification of osteoarthritis in commonly affected joints of the foot</w:t>
      </w:r>
      <w:r w:rsidR="004076FD" w:rsidRPr="00222130">
        <w:t xml:space="preserve">. </w:t>
      </w:r>
      <w:r w:rsidR="004076FD" w:rsidRPr="00222130">
        <w:rPr>
          <w:iCs/>
        </w:rPr>
        <w:t>Osteoarthritis Cartilage</w:t>
      </w:r>
      <w:r w:rsidRPr="00222130">
        <w:rPr>
          <w:iCs/>
        </w:rPr>
        <w:t>. 2007</w:t>
      </w:r>
      <w:r w:rsidR="004076FD" w:rsidRPr="00222130">
        <w:rPr>
          <w:iCs/>
        </w:rPr>
        <w:t xml:space="preserve">; </w:t>
      </w:r>
      <w:r w:rsidR="004076FD" w:rsidRPr="00222130">
        <w:t>15</w:t>
      </w:r>
      <w:r w:rsidR="004076FD" w:rsidRPr="00E01B53">
        <w:t>(11): 1333-1338.</w:t>
      </w:r>
    </w:p>
    <w:p w14:paraId="4055D262" w14:textId="76FFB334" w:rsidR="004076FD" w:rsidRPr="00222130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 w:rsidRPr="00222130">
        <w:t>Muller S, Roddy E.</w:t>
      </w:r>
      <w:r w:rsidR="004076FD" w:rsidRPr="00222130">
        <w:t xml:space="preserve"> A </w:t>
      </w:r>
      <w:proofErr w:type="spellStart"/>
      <w:r w:rsidR="004076FD" w:rsidRPr="00222130">
        <w:t>rasch</w:t>
      </w:r>
      <w:proofErr w:type="spellEnd"/>
      <w:r w:rsidR="004076FD" w:rsidRPr="00222130">
        <w:t xml:space="preserve"> analysis of the Manchester foot pain and disability index. </w:t>
      </w:r>
      <w:r w:rsidR="004076FD" w:rsidRPr="00222130">
        <w:rPr>
          <w:iCs/>
        </w:rPr>
        <w:t>J Foot Ankle Res</w:t>
      </w:r>
      <w:r w:rsidRPr="00222130">
        <w:rPr>
          <w:iCs/>
        </w:rPr>
        <w:t>. 2009</w:t>
      </w:r>
      <w:r w:rsidR="004076FD" w:rsidRPr="00222130">
        <w:rPr>
          <w:iCs/>
        </w:rPr>
        <w:t xml:space="preserve">; </w:t>
      </w:r>
      <w:r w:rsidR="004076FD" w:rsidRPr="00222130">
        <w:t>30(2): 29.</w:t>
      </w:r>
    </w:p>
    <w:p w14:paraId="3774CE32" w14:textId="78776EF6" w:rsidR="004076FD" w:rsidRPr="00222130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>
        <w:t xml:space="preserve">Rubin DB. </w:t>
      </w:r>
      <w:r w:rsidR="004076FD" w:rsidRPr="00E01B53">
        <w:rPr>
          <w:i/>
          <w:iCs/>
        </w:rPr>
        <w:t xml:space="preserve">Multiple imputation for nonresponse in surveys. </w:t>
      </w:r>
      <w:r w:rsidR="004076FD" w:rsidRPr="00222130">
        <w:t>New Jersey: John Wiley &amp; Sons.</w:t>
      </w:r>
      <w:r w:rsidRPr="00222130">
        <w:t xml:space="preserve"> 2004.</w:t>
      </w:r>
    </w:p>
    <w:p w14:paraId="171730C7" w14:textId="178F2C92" w:rsidR="004076FD" w:rsidRPr="00222130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 w:rsidRPr="00222130">
        <w:t>Spector TD, Cooper C.</w:t>
      </w:r>
      <w:r w:rsidR="004076FD" w:rsidRPr="00222130">
        <w:t xml:space="preserve"> Radiographic assessment of osteoarthritis </w:t>
      </w:r>
      <w:r>
        <w:t xml:space="preserve">in population studies: whither </w:t>
      </w:r>
      <w:proofErr w:type="spellStart"/>
      <w:r>
        <w:t>K</w:t>
      </w:r>
      <w:r w:rsidR="004076FD" w:rsidRPr="00222130">
        <w:t>ellgren</w:t>
      </w:r>
      <w:proofErr w:type="spellEnd"/>
      <w:r w:rsidR="004076FD" w:rsidRPr="00222130">
        <w:t xml:space="preserve"> and</w:t>
      </w:r>
      <w:r>
        <w:t xml:space="preserve"> L</w:t>
      </w:r>
      <w:r w:rsidR="004076FD" w:rsidRPr="00222130">
        <w:t xml:space="preserve">awrence? </w:t>
      </w:r>
      <w:r w:rsidR="004076FD" w:rsidRPr="00222130">
        <w:rPr>
          <w:iCs/>
        </w:rPr>
        <w:t>Osteoarthritis Cartilage</w:t>
      </w:r>
      <w:r w:rsidRPr="00222130">
        <w:rPr>
          <w:iCs/>
        </w:rPr>
        <w:t>. 1993</w:t>
      </w:r>
      <w:r w:rsidR="004076FD" w:rsidRPr="00222130">
        <w:rPr>
          <w:iCs/>
        </w:rPr>
        <w:t xml:space="preserve">; </w:t>
      </w:r>
      <w:r w:rsidR="004076FD" w:rsidRPr="00222130">
        <w:t>1(4): 203-206.</w:t>
      </w:r>
    </w:p>
    <w:p w14:paraId="6FB7093F" w14:textId="00695AEE" w:rsidR="004076FD" w:rsidRPr="006011EE" w:rsidRDefault="00222130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proofErr w:type="spellStart"/>
      <w:r>
        <w:t>Kallman</w:t>
      </w:r>
      <w:proofErr w:type="spellEnd"/>
      <w:r>
        <w:t xml:space="preserve"> DA, </w:t>
      </w:r>
      <w:proofErr w:type="spellStart"/>
      <w:r>
        <w:t>Wigley</w:t>
      </w:r>
      <w:proofErr w:type="spellEnd"/>
      <w:r>
        <w:t xml:space="preserve"> FM, Scott WW, Hochberg MC, Tobin JD. </w:t>
      </w:r>
      <w:r w:rsidR="004076FD" w:rsidRPr="008A21C3">
        <w:t>New radiographic grading scales for osteoarthritis of the hand. Reliability for determining prevalence and pr</w:t>
      </w:r>
      <w:r w:rsidR="004076FD" w:rsidRPr="00222130">
        <w:t xml:space="preserve">ogression. </w:t>
      </w:r>
      <w:r w:rsidR="004076FD" w:rsidRPr="00222130">
        <w:rPr>
          <w:iCs/>
        </w:rPr>
        <w:t>Arthritis Rheum</w:t>
      </w:r>
      <w:r w:rsidRPr="006011EE">
        <w:rPr>
          <w:iCs/>
        </w:rPr>
        <w:t>. 1989</w:t>
      </w:r>
      <w:r w:rsidR="004076FD" w:rsidRPr="006011EE">
        <w:rPr>
          <w:iCs/>
        </w:rPr>
        <w:t xml:space="preserve">; </w:t>
      </w:r>
      <w:r w:rsidR="004076FD" w:rsidRPr="006011EE">
        <w:t>32(12): 1584-1591.</w:t>
      </w:r>
    </w:p>
    <w:p w14:paraId="5BEAB69D" w14:textId="6628EBF7" w:rsidR="004076FD" w:rsidRPr="00056C31" w:rsidRDefault="006011EE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</w:pPr>
      <w:r w:rsidRPr="006011EE">
        <w:t>Altman RD, Gold G.</w:t>
      </w:r>
      <w:r w:rsidR="004076FD" w:rsidRPr="006011EE">
        <w:t xml:space="preserve"> Atlas of individual radiographic features in osteoarthritis, revised. </w:t>
      </w:r>
      <w:r w:rsidR="004076FD" w:rsidRPr="006011EE">
        <w:rPr>
          <w:iCs/>
        </w:rPr>
        <w:t>Osteoarthritis Cartilage</w:t>
      </w:r>
      <w:r w:rsidRPr="006011EE">
        <w:rPr>
          <w:iCs/>
        </w:rPr>
        <w:t>. 2007</w:t>
      </w:r>
      <w:r w:rsidR="004076FD" w:rsidRPr="006011EE">
        <w:rPr>
          <w:iCs/>
        </w:rPr>
        <w:t xml:space="preserve">; </w:t>
      </w:r>
      <w:r w:rsidR="004076FD" w:rsidRPr="006011EE">
        <w:t>15: A1-A56</w:t>
      </w:r>
      <w:r w:rsidR="004076FD" w:rsidRPr="00056C31">
        <w:t>.</w:t>
      </w:r>
    </w:p>
    <w:p w14:paraId="566C8145" w14:textId="18E8C2CA" w:rsidR="004076FD" w:rsidRPr="001C58F0" w:rsidRDefault="00910922" w:rsidP="004076FD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ind w:left="567" w:hanging="425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Burnett SJHD, Hart DJ, Cooper C, Spector TD.</w:t>
      </w:r>
      <w:r w:rsidR="004076FD" w:rsidRPr="001C58F0">
        <w:rPr>
          <w:rFonts w:cs="Arial"/>
          <w:color w:val="222222"/>
          <w:shd w:val="clear" w:color="auto" w:fill="FFFFFF"/>
        </w:rPr>
        <w:t xml:space="preserve"> A radiographic atlas of osteoarthritis.</w:t>
      </w:r>
      <w:r>
        <w:rPr>
          <w:rFonts w:cs="Arial"/>
          <w:color w:val="222222"/>
          <w:shd w:val="clear" w:color="auto" w:fill="FFFFFF"/>
        </w:rPr>
        <w:t xml:space="preserve"> 1994.</w:t>
      </w:r>
      <w:r w:rsidR="008C4975">
        <w:rPr>
          <w:rFonts w:cs="Arial"/>
          <w:color w:val="222222"/>
          <w:shd w:val="clear" w:color="auto" w:fill="FFFFFF"/>
        </w:rPr>
        <w:t xml:space="preserve"> </w:t>
      </w:r>
    </w:p>
    <w:p w14:paraId="1BA824E9" w14:textId="72D05DB9" w:rsidR="004076FD" w:rsidRPr="00E01B53" w:rsidRDefault="002C3A4C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Jordan JM, </w:t>
      </w:r>
      <w:proofErr w:type="spellStart"/>
      <w:r>
        <w:rPr>
          <w:rFonts w:asciiTheme="minorHAnsi" w:hAnsiTheme="minorHAnsi"/>
          <w:sz w:val="22"/>
          <w:szCs w:val="22"/>
        </w:rPr>
        <w:t>Helmick</w:t>
      </w:r>
      <w:proofErr w:type="spellEnd"/>
      <w:r>
        <w:rPr>
          <w:rFonts w:asciiTheme="minorHAnsi" w:hAnsiTheme="minorHAnsi"/>
          <w:sz w:val="22"/>
          <w:szCs w:val="22"/>
        </w:rPr>
        <w:t xml:space="preserve"> CG, Renner JB, Luta G, </w:t>
      </w:r>
      <w:proofErr w:type="spellStart"/>
      <w:r>
        <w:rPr>
          <w:rFonts w:asciiTheme="minorHAnsi" w:hAnsiTheme="minorHAnsi"/>
          <w:sz w:val="22"/>
          <w:szCs w:val="22"/>
        </w:rPr>
        <w:t>Dragomir</w:t>
      </w:r>
      <w:proofErr w:type="spellEnd"/>
      <w:r>
        <w:rPr>
          <w:rFonts w:asciiTheme="minorHAnsi" w:hAnsiTheme="minorHAnsi"/>
          <w:sz w:val="22"/>
          <w:szCs w:val="22"/>
        </w:rPr>
        <w:t xml:space="preserve"> AD, Woodard J. </w:t>
      </w:r>
      <w:r w:rsidR="004076FD" w:rsidRPr="008A21C3">
        <w:rPr>
          <w:rFonts w:asciiTheme="minorHAnsi" w:hAnsiTheme="minorHAnsi"/>
          <w:sz w:val="22"/>
          <w:szCs w:val="22"/>
        </w:rPr>
        <w:t>Prevalence</w:t>
      </w:r>
      <w:r w:rsidR="004076FD" w:rsidRPr="00E01B53">
        <w:rPr>
          <w:rFonts w:asciiTheme="minorHAnsi" w:hAnsiTheme="minorHAnsi"/>
          <w:sz w:val="22"/>
          <w:szCs w:val="22"/>
        </w:rPr>
        <w:t xml:space="preserve"> of hip symptoms and radiographic and symptomatic hip osteoarthritis in African Americans and Caucasians: the </w:t>
      </w:r>
      <w:r w:rsidR="004076FD" w:rsidRPr="00E01B53">
        <w:rPr>
          <w:rFonts w:asciiTheme="minorHAnsi" w:hAnsiTheme="minorHAnsi" w:cs="Calibri"/>
          <w:sz w:val="22"/>
          <w:szCs w:val="22"/>
        </w:rPr>
        <w:t xml:space="preserve">170 </w:t>
      </w:r>
      <w:r w:rsidR="004076FD" w:rsidRPr="00E01B53">
        <w:rPr>
          <w:rFonts w:asciiTheme="minorHAnsi" w:hAnsiTheme="minorHAnsi"/>
          <w:sz w:val="22"/>
          <w:szCs w:val="22"/>
        </w:rPr>
        <w:t xml:space="preserve">Johnston County </w:t>
      </w:r>
      <w:r w:rsidR="004076FD" w:rsidRPr="002C3A4C">
        <w:rPr>
          <w:rFonts w:asciiTheme="minorHAnsi" w:hAnsiTheme="minorHAnsi"/>
          <w:sz w:val="22"/>
          <w:szCs w:val="22"/>
        </w:rPr>
        <w:t xml:space="preserve">Osteoarthritis Project. </w:t>
      </w:r>
      <w:r w:rsidR="004076FD" w:rsidRPr="002C3A4C">
        <w:rPr>
          <w:rFonts w:asciiTheme="minorHAnsi" w:hAnsiTheme="minorHAnsi"/>
          <w:iCs/>
          <w:sz w:val="22"/>
          <w:szCs w:val="22"/>
        </w:rPr>
        <w:t xml:space="preserve">J </w:t>
      </w:r>
      <w:proofErr w:type="spellStart"/>
      <w:r w:rsidR="004076FD" w:rsidRPr="002C3A4C">
        <w:rPr>
          <w:rFonts w:asciiTheme="minorHAnsi" w:hAnsiTheme="minorHAnsi"/>
          <w:iCs/>
          <w:sz w:val="22"/>
          <w:szCs w:val="22"/>
        </w:rPr>
        <w:t>Rheumatol</w:t>
      </w:r>
      <w:proofErr w:type="spellEnd"/>
      <w:r w:rsidRPr="002C3A4C">
        <w:rPr>
          <w:rFonts w:asciiTheme="minorHAnsi" w:hAnsiTheme="minorHAnsi"/>
          <w:iCs/>
          <w:sz w:val="22"/>
          <w:szCs w:val="22"/>
        </w:rPr>
        <w:t>. 2009</w:t>
      </w:r>
      <w:r w:rsidR="004076FD" w:rsidRPr="002C3A4C">
        <w:rPr>
          <w:rFonts w:asciiTheme="minorHAnsi" w:hAnsiTheme="minorHAnsi"/>
          <w:sz w:val="22"/>
          <w:szCs w:val="22"/>
        </w:rPr>
        <w:t>; 36(4): 809-15.</w:t>
      </w:r>
    </w:p>
    <w:p w14:paraId="1C9CC741" w14:textId="44756319" w:rsidR="004076FD" w:rsidRPr="002C3A4C" w:rsidRDefault="002C3A4C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Dillon CF, </w:t>
      </w:r>
      <w:proofErr w:type="spellStart"/>
      <w:r>
        <w:rPr>
          <w:rFonts w:asciiTheme="minorHAnsi" w:hAnsiTheme="minorHAnsi"/>
          <w:sz w:val="22"/>
          <w:szCs w:val="22"/>
        </w:rPr>
        <w:t>Rasch</w:t>
      </w:r>
      <w:proofErr w:type="spellEnd"/>
      <w:r>
        <w:rPr>
          <w:rFonts w:asciiTheme="minorHAnsi" w:hAnsiTheme="minorHAnsi"/>
          <w:sz w:val="22"/>
          <w:szCs w:val="22"/>
        </w:rPr>
        <w:t xml:space="preserve"> EK, </w:t>
      </w:r>
      <w:proofErr w:type="spellStart"/>
      <w:r>
        <w:rPr>
          <w:rFonts w:asciiTheme="minorHAnsi" w:hAnsiTheme="minorHAnsi"/>
          <w:sz w:val="22"/>
          <w:szCs w:val="22"/>
        </w:rPr>
        <w:t>Gu</w:t>
      </w:r>
      <w:proofErr w:type="spellEnd"/>
      <w:r>
        <w:rPr>
          <w:rFonts w:asciiTheme="minorHAnsi" w:hAnsiTheme="minorHAnsi"/>
          <w:sz w:val="22"/>
          <w:szCs w:val="22"/>
        </w:rPr>
        <w:t xml:space="preserve"> Q, Hirsch R.</w:t>
      </w:r>
      <w:r w:rsidR="004076FD" w:rsidRPr="008A21C3">
        <w:rPr>
          <w:rFonts w:asciiTheme="minorHAnsi" w:hAnsiTheme="minorHAnsi"/>
          <w:sz w:val="22"/>
          <w:szCs w:val="22"/>
        </w:rPr>
        <w:t xml:space="preserve"> Prevalence of knee osteoarthritis in the United States: arthritis data from the Third National Health and Nutr</w:t>
      </w:r>
      <w:r w:rsidR="004076FD" w:rsidRPr="002C3A4C">
        <w:rPr>
          <w:rFonts w:asciiTheme="minorHAnsi" w:hAnsiTheme="minorHAnsi"/>
          <w:sz w:val="22"/>
          <w:szCs w:val="22"/>
        </w:rPr>
        <w:t xml:space="preserve">ition Examination Survey 1991–1994. </w:t>
      </w:r>
      <w:r w:rsidR="004076FD" w:rsidRPr="002C3A4C">
        <w:rPr>
          <w:rFonts w:asciiTheme="minorHAnsi" w:hAnsiTheme="minorHAnsi"/>
          <w:iCs/>
          <w:sz w:val="22"/>
          <w:szCs w:val="22"/>
        </w:rPr>
        <w:t xml:space="preserve">J </w:t>
      </w:r>
      <w:proofErr w:type="spellStart"/>
      <w:r w:rsidR="004076FD" w:rsidRPr="002C3A4C">
        <w:rPr>
          <w:rFonts w:asciiTheme="minorHAnsi" w:hAnsiTheme="minorHAnsi"/>
          <w:iCs/>
          <w:sz w:val="22"/>
          <w:szCs w:val="22"/>
        </w:rPr>
        <w:t>Rheumatol</w:t>
      </w:r>
      <w:proofErr w:type="spellEnd"/>
      <w:r w:rsidRPr="002C3A4C">
        <w:rPr>
          <w:rFonts w:asciiTheme="minorHAnsi" w:hAnsiTheme="minorHAnsi"/>
          <w:iCs/>
          <w:sz w:val="22"/>
          <w:szCs w:val="22"/>
        </w:rPr>
        <w:t>. 2006</w:t>
      </w:r>
      <w:r w:rsidR="004076FD" w:rsidRPr="002C3A4C">
        <w:rPr>
          <w:rFonts w:asciiTheme="minorHAnsi" w:hAnsiTheme="minorHAnsi"/>
          <w:sz w:val="22"/>
          <w:szCs w:val="22"/>
        </w:rPr>
        <w:t>; 33(11):2271-2279.</w:t>
      </w:r>
    </w:p>
    <w:p w14:paraId="4594BC77" w14:textId="2793EB2D" w:rsidR="004076FD" w:rsidRPr="002C3A4C" w:rsidRDefault="002C3A4C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2C3A4C">
        <w:rPr>
          <w:rFonts w:asciiTheme="minorHAnsi" w:hAnsiTheme="minorHAnsi"/>
          <w:sz w:val="22"/>
          <w:szCs w:val="22"/>
        </w:rPr>
        <w:lastRenderedPageBreak/>
        <w:t xml:space="preserve">Hiller CE, Nightingale EJ, Raymond J, </w:t>
      </w:r>
      <w:proofErr w:type="spellStart"/>
      <w:r w:rsidRPr="002C3A4C">
        <w:rPr>
          <w:rFonts w:asciiTheme="minorHAnsi" w:hAnsiTheme="minorHAnsi"/>
          <w:sz w:val="22"/>
          <w:szCs w:val="22"/>
        </w:rPr>
        <w:t>Kilbreath</w:t>
      </w:r>
      <w:proofErr w:type="spellEnd"/>
      <w:r w:rsidRPr="002C3A4C">
        <w:rPr>
          <w:rFonts w:asciiTheme="minorHAnsi" w:hAnsiTheme="minorHAnsi"/>
          <w:sz w:val="22"/>
          <w:szCs w:val="22"/>
        </w:rPr>
        <w:t xml:space="preserve"> SL, Burns J, Black DA</w:t>
      </w:r>
      <w:r w:rsidR="004076FD" w:rsidRPr="002C3A4C">
        <w:rPr>
          <w:rFonts w:asciiTheme="minorHAnsi" w:hAnsiTheme="minorHAnsi"/>
          <w:sz w:val="22"/>
          <w:szCs w:val="22"/>
        </w:rPr>
        <w:t xml:space="preserve">. Prevalence and impact of chronic musculoskeletal ankle disorders in the community. </w:t>
      </w:r>
      <w:r w:rsidR="004076FD" w:rsidRPr="002C3A4C">
        <w:rPr>
          <w:rFonts w:asciiTheme="minorHAnsi" w:hAnsiTheme="minorHAnsi"/>
          <w:iCs/>
          <w:sz w:val="22"/>
          <w:szCs w:val="22"/>
        </w:rPr>
        <w:t xml:space="preserve">Arch Phys Med </w:t>
      </w:r>
      <w:proofErr w:type="spellStart"/>
      <w:r w:rsidR="004076FD" w:rsidRPr="002C3A4C">
        <w:rPr>
          <w:rFonts w:asciiTheme="minorHAnsi" w:hAnsiTheme="minorHAnsi"/>
          <w:iCs/>
          <w:sz w:val="22"/>
          <w:szCs w:val="22"/>
        </w:rPr>
        <w:t>Rehab</w:t>
      </w:r>
      <w:r w:rsidR="005E3175">
        <w:rPr>
          <w:rFonts w:asciiTheme="minorHAnsi" w:hAnsiTheme="minorHAnsi"/>
          <w:iCs/>
          <w:sz w:val="22"/>
          <w:szCs w:val="22"/>
        </w:rPr>
        <w:t>il</w:t>
      </w:r>
      <w:proofErr w:type="spellEnd"/>
      <w:r w:rsidRPr="002C3A4C">
        <w:rPr>
          <w:rFonts w:asciiTheme="minorHAnsi" w:hAnsiTheme="minorHAnsi"/>
          <w:iCs/>
          <w:sz w:val="22"/>
          <w:szCs w:val="22"/>
        </w:rPr>
        <w:t>. 2012</w:t>
      </w:r>
      <w:r w:rsidR="004076FD" w:rsidRPr="002C3A4C">
        <w:rPr>
          <w:rFonts w:asciiTheme="minorHAnsi" w:hAnsiTheme="minorHAnsi"/>
          <w:sz w:val="22"/>
          <w:szCs w:val="22"/>
        </w:rPr>
        <w:t>; 93(10): 1801-1807.</w:t>
      </w:r>
    </w:p>
    <w:p w14:paraId="760EEF61" w14:textId="29702A87" w:rsidR="004076FD" w:rsidRPr="00E01B53" w:rsidRDefault="004076FD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8A21C3">
        <w:rPr>
          <w:rFonts w:asciiTheme="minorHAnsi" w:hAnsiTheme="minorHAnsi"/>
          <w:sz w:val="22"/>
          <w:szCs w:val="22"/>
        </w:rPr>
        <w:t>Pereira</w:t>
      </w:r>
      <w:r w:rsidR="002C3A4C">
        <w:rPr>
          <w:rFonts w:asciiTheme="minorHAnsi" w:hAnsiTheme="minorHAnsi"/>
          <w:sz w:val="22"/>
          <w:szCs w:val="22"/>
        </w:rPr>
        <w:t xml:space="preserve"> D, </w:t>
      </w:r>
      <w:proofErr w:type="spellStart"/>
      <w:r w:rsidR="002C3A4C">
        <w:rPr>
          <w:rFonts w:asciiTheme="minorHAnsi" w:hAnsiTheme="minorHAnsi"/>
          <w:sz w:val="22"/>
          <w:szCs w:val="22"/>
        </w:rPr>
        <w:t>Peleteiro</w:t>
      </w:r>
      <w:proofErr w:type="spellEnd"/>
      <w:r w:rsidR="002C3A4C">
        <w:rPr>
          <w:rFonts w:asciiTheme="minorHAnsi" w:hAnsiTheme="minorHAnsi"/>
          <w:sz w:val="22"/>
          <w:szCs w:val="22"/>
        </w:rPr>
        <w:t xml:space="preserve"> B, Araujo J, </w:t>
      </w:r>
      <w:proofErr w:type="spellStart"/>
      <w:r w:rsidR="002C3A4C">
        <w:rPr>
          <w:rFonts w:asciiTheme="minorHAnsi" w:hAnsiTheme="minorHAnsi"/>
          <w:sz w:val="22"/>
          <w:szCs w:val="22"/>
        </w:rPr>
        <w:t>Branco</w:t>
      </w:r>
      <w:proofErr w:type="spellEnd"/>
      <w:r w:rsidR="002C3A4C">
        <w:rPr>
          <w:rFonts w:asciiTheme="minorHAnsi" w:hAnsiTheme="minorHAnsi"/>
          <w:sz w:val="22"/>
          <w:szCs w:val="22"/>
        </w:rPr>
        <w:t xml:space="preserve"> J, Santos R, Ramos E.</w:t>
      </w:r>
      <w:r w:rsidRPr="008A21C3">
        <w:rPr>
          <w:rFonts w:asciiTheme="minorHAnsi" w:hAnsiTheme="minorHAnsi"/>
          <w:sz w:val="22"/>
          <w:szCs w:val="22"/>
        </w:rPr>
        <w:t xml:space="preserve"> The effect of osteoarthritis definition on prevalence and incidence estimates: a systematic review</w:t>
      </w:r>
      <w:r w:rsidRPr="002C3A4C">
        <w:rPr>
          <w:rFonts w:asciiTheme="minorHAnsi" w:hAnsiTheme="minorHAnsi"/>
          <w:sz w:val="22"/>
          <w:szCs w:val="22"/>
        </w:rPr>
        <w:t xml:space="preserve">. </w:t>
      </w:r>
      <w:r w:rsidRPr="002C3A4C">
        <w:rPr>
          <w:rFonts w:asciiTheme="minorHAnsi" w:hAnsiTheme="minorHAnsi"/>
          <w:iCs/>
          <w:sz w:val="22"/>
          <w:szCs w:val="22"/>
        </w:rPr>
        <w:t>Osteoarthritis Cartilage</w:t>
      </w:r>
      <w:r w:rsidR="002C3A4C" w:rsidRPr="002C3A4C">
        <w:rPr>
          <w:rFonts w:asciiTheme="minorHAnsi" w:hAnsiTheme="minorHAnsi"/>
          <w:iCs/>
          <w:sz w:val="22"/>
          <w:szCs w:val="22"/>
        </w:rPr>
        <w:t>. 2011</w:t>
      </w:r>
      <w:r w:rsidRPr="002C3A4C">
        <w:rPr>
          <w:rFonts w:asciiTheme="minorHAnsi" w:hAnsiTheme="minorHAnsi"/>
          <w:iCs/>
          <w:sz w:val="22"/>
          <w:szCs w:val="22"/>
        </w:rPr>
        <w:t xml:space="preserve">; </w:t>
      </w:r>
      <w:r w:rsidRPr="002C3A4C">
        <w:rPr>
          <w:rFonts w:asciiTheme="minorHAnsi" w:hAnsiTheme="minorHAnsi"/>
          <w:sz w:val="22"/>
          <w:szCs w:val="22"/>
        </w:rPr>
        <w:t>19(11</w:t>
      </w:r>
      <w:r w:rsidRPr="00E01B53">
        <w:rPr>
          <w:rFonts w:asciiTheme="minorHAnsi" w:hAnsiTheme="minorHAnsi"/>
          <w:sz w:val="22"/>
          <w:szCs w:val="22"/>
        </w:rPr>
        <w:t>): 1270-1285.</w:t>
      </w:r>
    </w:p>
    <w:p w14:paraId="36024763" w14:textId="283D48FF" w:rsidR="004076FD" w:rsidRPr="00E01B53" w:rsidRDefault="002C3A4C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Marshall M, Peat G, Nicholls E, van der </w:t>
      </w:r>
      <w:proofErr w:type="spellStart"/>
      <w:r>
        <w:rPr>
          <w:rFonts w:asciiTheme="minorHAnsi" w:hAnsiTheme="minorHAnsi"/>
          <w:sz w:val="22"/>
          <w:szCs w:val="22"/>
        </w:rPr>
        <w:t>Windt</w:t>
      </w:r>
      <w:proofErr w:type="spellEnd"/>
      <w:r>
        <w:rPr>
          <w:rFonts w:asciiTheme="minorHAnsi" w:hAnsiTheme="minorHAnsi"/>
          <w:sz w:val="22"/>
          <w:szCs w:val="22"/>
        </w:rPr>
        <w:t xml:space="preserve"> D, Myers H, </w:t>
      </w:r>
      <w:proofErr w:type="spellStart"/>
      <w:r>
        <w:rPr>
          <w:rFonts w:asciiTheme="minorHAnsi" w:hAnsiTheme="minorHAnsi"/>
          <w:sz w:val="22"/>
          <w:szCs w:val="22"/>
        </w:rPr>
        <w:t>Dziedzic</w:t>
      </w:r>
      <w:proofErr w:type="spellEnd"/>
      <w:r>
        <w:rPr>
          <w:rFonts w:asciiTheme="minorHAnsi" w:hAnsiTheme="minorHAnsi"/>
          <w:sz w:val="22"/>
          <w:szCs w:val="22"/>
        </w:rPr>
        <w:t xml:space="preserve"> K. </w:t>
      </w:r>
      <w:r w:rsidR="004076FD" w:rsidRPr="008A21C3">
        <w:rPr>
          <w:rFonts w:asciiTheme="minorHAnsi" w:hAnsiTheme="minorHAnsi"/>
          <w:sz w:val="22"/>
          <w:szCs w:val="22"/>
        </w:rPr>
        <w:t>Subsets of symptomatic hand osteoarthritis in community-d</w:t>
      </w:r>
      <w:r w:rsidR="004076FD" w:rsidRPr="002C3A4C">
        <w:rPr>
          <w:rFonts w:asciiTheme="minorHAnsi" w:hAnsiTheme="minorHAnsi"/>
          <w:sz w:val="22"/>
          <w:szCs w:val="22"/>
        </w:rPr>
        <w:t xml:space="preserve">welling older adults in the United Kingdom: prevalence, inter-relationships, risk factor profiles and clinical characteristics at baseline and 3-years. </w:t>
      </w:r>
      <w:r w:rsidR="004076FD" w:rsidRPr="002C3A4C">
        <w:rPr>
          <w:rFonts w:asciiTheme="minorHAnsi" w:hAnsiTheme="minorHAnsi"/>
          <w:iCs/>
          <w:sz w:val="22"/>
          <w:szCs w:val="22"/>
        </w:rPr>
        <w:t xml:space="preserve">Osteoarthritis </w:t>
      </w:r>
      <w:r w:rsidR="005E3175">
        <w:rPr>
          <w:rFonts w:asciiTheme="minorHAnsi" w:hAnsiTheme="minorHAnsi"/>
          <w:iCs/>
          <w:sz w:val="22"/>
          <w:szCs w:val="22"/>
        </w:rPr>
        <w:t>C</w:t>
      </w:r>
      <w:r w:rsidR="004076FD" w:rsidRPr="002C3A4C">
        <w:rPr>
          <w:rFonts w:asciiTheme="minorHAnsi" w:hAnsiTheme="minorHAnsi"/>
          <w:iCs/>
          <w:sz w:val="22"/>
          <w:szCs w:val="22"/>
        </w:rPr>
        <w:t>artilage</w:t>
      </w:r>
      <w:r w:rsidRPr="002C3A4C">
        <w:rPr>
          <w:rFonts w:asciiTheme="minorHAnsi" w:hAnsiTheme="minorHAnsi"/>
          <w:iCs/>
          <w:sz w:val="22"/>
          <w:szCs w:val="22"/>
        </w:rPr>
        <w:t>. 2013</w:t>
      </w:r>
      <w:r w:rsidR="004076FD" w:rsidRPr="00E01B53">
        <w:rPr>
          <w:rFonts w:asciiTheme="minorHAnsi" w:hAnsiTheme="minorHAnsi"/>
          <w:sz w:val="22"/>
          <w:szCs w:val="22"/>
        </w:rPr>
        <w:t>; 21(11): 1674-1684.</w:t>
      </w:r>
    </w:p>
    <w:p w14:paraId="10797137" w14:textId="7ADBE8B7" w:rsidR="004076FD" w:rsidRPr="00E01B53" w:rsidRDefault="004076FD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proofErr w:type="spellStart"/>
      <w:r w:rsidRPr="008A21C3">
        <w:rPr>
          <w:rFonts w:asciiTheme="minorHAnsi" w:hAnsiTheme="minorHAnsi"/>
          <w:sz w:val="22"/>
          <w:szCs w:val="22"/>
        </w:rPr>
        <w:t>Weatherall</w:t>
      </w:r>
      <w:proofErr w:type="spellEnd"/>
      <w:r w:rsidR="002C3A4C">
        <w:rPr>
          <w:rFonts w:asciiTheme="minorHAnsi" w:hAnsiTheme="minorHAnsi"/>
          <w:sz w:val="22"/>
          <w:szCs w:val="22"/>
        </w:rPr>
        <w:t xml:space="preserve"> JM, </w:t>
      </w:r>
      <w:proofErr w:type="spellStart"/>
      <w:r w:rsidR="002C3A4C">
        <w:rPr>
          <w:rFonts w:asciiTheme="minorHAnsi" w:hAnsiTheme="minorHAnsi"/>
          <w:sz w:val="22"/>
          <w:szCs w:val="22"/>
        </w:rPr>
        <w:t>Mroczek</w:t>
      </w:r>
      <w:proofErr w:type="spellEnd"/>
      <w:r w:rsidR="002C3A4C">
        <w:rPr>
          <w:rFonts w:asciiTheme="minorHAnsi" w:hAnsiTheme="minorHAnsi"/>
          <w:sz w:val="22"/>
          <w:szCs w:val="22"/>
        </w:rPr>
        <w:t xml:space="preserve"> K, </w:t>
      </w:r>
      <w:proofErr w:type="spellStart"/>
      <w:r w:rsidR="002C3A4C">
        <w:rPr>
          <w:rFonts w:asciiTheme="minorHAnsi" w:hAnsiTheme="minorHAnsi"/>
          <w:sz w:val="22"/>
          <w:szCs w:val="22"/>
        </w:rPr>
        <w:t>Mclaurin</w:t>
      </w:r>
      <w:proofErr w:type="spellEnd"/>
      <w:r w:rsidR="002C3A4C">
        <w:rPr>
          <w:rFonts w:asciiTheme="minorHAnsi" w:hAnsiTheme="minorHAnsi"/>
          <w:sz w:val="22"/>
          <w:szCs w:val="22"/>
        </w:rPr>
        <w:t xml:space="preserve"> T, Ding B, </w:t>
      </w:r>
      <w:proofErr w:type="spellStart"/>
      <w:r w:rsidR="002C3A4C">
        <w:rPr>
          <w:rFonts w:asciiTheme="minorHAnsi" w:hAnsiTheme="minorHAnsi"/>
          <w:sz w:val="22"/>
          <w:szCs w:val="22"/>
        </w:rPr>
        <w:t>Tejwani</w:t>
      </w:r>
      <w:proofErr w:type="spellEnd"/>
      <w:r w:rsidRPr="002C3A4C">
        <w:rPr>
          <w:rFonts w:asciiTheme="minorHAnsi" w:hAnsiTheme="minorHAnsi"/>
          <w:sz w:val="22"/>
          <w:szCs w:val="22"/>
        </w:rPr>
        <w:t xml:space="preserve"> N. Post-traumatic ankle arthritis. </w:t>
      </w:r>
      <w:r w:rsidRPr="002C3A4C">
        <w:rPr>
          <w:rFonts w:asciiTheme="minorHAnsi" w:hAnsiTheme="minorHAnsi"/>
          <w:iCs/>
          <w:sz w:val="22"/>
          <w:szCs w:val="22"/>
        </w:rPr>
        <w:t>Bulletin of the Hospital for Joint Diseases (New York)</w:t>
      </w:r>
      <w:r w:rsidR="002C3A4C" w:rsidRPr="002C3A4C">
        <w:rPr>
          <w:rFonts w:asciiTheme="minorHAnsi" w:hAnsiTheme="minorHAnsi"/>
          <w:iCs/>
          <w:sz w:val="22"/>
          <w:szCs w:val="22"/>
        </w:rPr>
        <w:t>. 2013</w:t>
      </w:r>
      <w:r w:rsidRPr="002C3A4C">
        <w:rPr>
          <w:rFonts w:asciiTheme="minorHAnsi" w:hAnsiTheme="minorHAnsi"/>
          <w:iCs/>
          <w:sz w:val="22"/>
          <w:szCs w:val="22"/>
        </w:rPr>
        <w:t xml:space="preserve">; </w:t>
      </w:r>
      <w:r w:rsidRPr="002C3A4C">
        <w:rPr>
          <w:rFonts w:asciiTheme="minorHAnsi" w:hAnsiTheme="minorHAnsi"/>
          <w:sz w:val="22"/>
          <w:szCs w:val="22"/>
        </w:rPr>
        <w:t>71</w:t>
      </w:r>
      <w:r w:rsidRPr="00E01B53">
        <w:rPr>
          <w:rFonts w:asciiTheme="minorHAnsi" w:hAnsiTheme="minorHAnsi"/>
          <w:sz w:val="22"/>
          <w:szCs w:val="22"/>
        </w:rPr>
        <w:t>: 104-112.</w:t>
      </w:r>
    </w:p>
    <w:p w14:paraId="775D1C9C" w14:textId="5AB15764" w:rsidR="004076FD" w:rsidRPr="00E01B53" w:rsidRDefault="002C3A4C" w:rsidP="00155B51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Bartley EJ, </w:t>
      </w:r>
      <w:proofErr w:type="spellStart"/>
      <w:r>
        <w:rPr>
          <w:rFonts w:asciiTheme="minorHAnsi" w:hAnsiTheme="minorHAnsi"/>
          <w:sz w:val="22"/>
          <w:szCs w:val="22"/>
        </w:rPr>
        <w:t>Fillingim</w:t>
      </w:r>
      <w:proofErr w:type="spellEnd"/>
      <w:r>
        <w:rPr>
          <w:rFonts w:asciiTheme="minorHAnsi" w:hAnsiTheme="minorHAnsi"/>
          <w:sz w:val="22"/>
          <w:szCs w:val="22"/>
        </w:rPr>
        <w:t xml:space="preserve"> R</w:t>
      </w:r>
      <w:r w:rsidR="004076FD" w:rsidRPr="008A21C3">
        <w:rPr>
          <w:rFonts w:asciiTheme="minorHAnsi" w:hAnsiTheme="minorHAnsi"/>
          <w:sz w:val="22"/>
          <w:szCs w:val="22"/>
        </w:rPr>
        <w:t xml:space="preserve">B. Sex </w:t>
      </w:r>
      <w:r w:rsidR="004076FD" w:rsidRPr="002C3A4C">
        <w:rPr>
          <w:rFonts w:asciiTheme="minorHAnsi" w:hAnsiTheme="minorHAnsi"/>
          <w:sz w:val="22"/>
          <w:szCs w:val="22"/>
        </w:rPr>
        <w:t xml:space="preserve">differences in pain: a brief review of clinical and experimental findings. </w:t>
      </w:r>
      <w:r w:rsidR="00744D3A">
        <w:rPr>
          <w:rFonts w:asciiTheme="minorHAnsi" w:hAnsiTheme="minorHAnsi"/>
          <w:iCs/>
          <w:sz w:val="22"/>
          <w:szCs w:val="22"/>
        </w:rPr>
        <w:t>Br</w:t>
      </w:r>
      <w:r w:rsidR="004076FD" w:rsidRPr="002C3A4C">
        <w:rPr>
          <w:rFonts w:asciiTheme="minorHAnsi" w:hAnsiTheme="minorHAnsi"/>
          <w:iCs/>
          <w:sz w:val="22"/>
          <w:szCs w:val="22"/>
        </w:rPr>
        <w:t xml:space="preserve"> J </w:t>
      </w:r>
      <w:proofErr w:type="spellStart"/>
      <w:r w:rsidR="004076FD" w:rsidRPr="002C3A4C">
        <w:rPr>
          <w:rFonts w:asciiTheme="minorHAnsi" w:hAnsiTheme="minorHAnsi"/>
          <w:iCs/>
          <w:sz w:val="22"/>
          <w:szCs w:val="22"/>
        </w:rPr>
        <w:t>Anaesth</w:t>
      </w:r>
      <w:proofErr w:type="spellEnd"/>
      <w:r w:rsidRPr="002C3A4C">
        <w:rPr>
          <w:rFonts w:asciiTheme="minorHAnsi" w:hAnsiTheme="minorHAnsi"/>
          <w:iCs/>
          <w:sz w:val="22"/>
          <w:szCs w:val="22"/>
        </w:rPr>
        <w:t>. 2013</w:t>
      </w:r>
      <w:r w:rsidR="004076FD" w:rsidRPr="002C3A4C">
        <w:rPr>
          <w:rFonts w:asciiTheme="minorHAnsi" w:hAnsiTheme="minorHAnsi"/>
          <w:sz w:val="22"/>
          <w:szCs w:val="22"/>
        </w:rPr>
        <w:t>;</w:t>
      </w:r>
      <w:r w:rsidR="004076FD" w:rsidRPr="00E01B53">
        <w:rPr>
          <w:rFonts w:asciiTheme="minorHAnsi" w:hAnsiTheme="minorHAnsi"/>
          <w:sz w:val="22"/>
          <w:szCs w:val="22"/>
        </w:rPr>
        <w:t xml:space="preserve"> 111(1): 52-58.</w:t>
      </w:r>
    </w:p>
    <w:p w14:paraId="4A1F77AB" w14:textId="019776BA" w:rsidR="004076FD" w:rsidRPr="00056C31" w:rsidRDefault="004076FD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8A21C3">
        <w:rPr>
          <w:rFonts w:asciiTheme="minorHAnsi" w:hAnsiTheme="minorHAnsi"/>
          <w:sz w:val="22"/>
          <w:szCs w:val="22"/>
        </w:rPr>
        <w:t>Thomas</w:t>
      </w:r>
      <w:r w:rsidR="002C3A4C">
        <w:rPr>
          <w:rFonts w:asciiTheme="minorHAnsi" w:hAnsiTheme="minorHAnsi"/>
          <w:sz w:val="22"/>
          <w:szCs w:val="22"/>
        </w:rPr>
        <w:t xml:space="preserve"> M</w:t>
      </w:r>
      <w:r w:rsidRPr="008A21C3">
        <w:rPr>
          <w:rFonts w:asciiTheme="minorHAnsi" w:hAnsiTheme="minorHAnsi"/>
          <w:sz w:val="22"/>
          <w:szCs w:val="22"/>
        </w:rPr>
        <w:t>J</w:t>
      </w:r>
      <w:r w:rsidR="002C3A4C">
        <w:rPr>
          <w:rFonts w:asciiTheme="minorHAnsi" w:hAnsiTheme="minorHAnsi"/>
          <w:sz w:val="22"/>
          <w:szCs w:val="22"/>
        </w:rPr>
        <w:t xml:space="preserve">, Roddy E, Zhang W, </w:t>
      </w:r>
      <w:proofErr w:type="spellStart"/>
      <w:r w:rsidR="002C3A4C">
        <w:rPr>
          <w:rFonts w:asciiTheme="minorHAnsi" w:hAnsiTheme="minorHAnsi"/>
          <w:sz w:val="22"/>
          <w:szCs w:val="22"/>
        </w:rPr>
        <w:t>Menz</w:t>
      </w:r>
      <w:proofErr w:type="spellEnd"/>
      <w:r w:rsidR="002C3A4C">
        <w:rPr>
          <w:rFonts w:asciiTheme="minorHAnsi" w:hAnsiTheme="minorHAnsi"/>
          <w:sz w:val="22"/>
          <w:szCs w:val="22"/>
        </w:rPr>
        <w:t xml:space="preserve"> HB</w:t>
      </w:r>
      <w:r w:rsidR="002C0A72">
        <w:rPr>
          <w:rFonts w:asciiTheme="minorHAnsi" w:hAnsiTheme="minorHAnsi"/>
          <w:sz w:val="22"/>
          <w:szCs w:val="22"/>
        </w:rPr>
        <w:t>, Hannan MT, Peat GM.</w:t>
      </w:r>
      <w:r w:rsidRPr="008A21C3">
        <w:rPr>
          <w:rFonts w:asciiTheme="minorHAnsi" w:hAnsiTheme="minorHAnsi"/>
          <w:sz w:val="22"/>
          <w:szCs w:val="22"/>
        </w:rPr>
        <w:t xml:space="preserve"> The population prevalence of foot and ankle pain in middle and old age: a systematic </w:t>
      </w:r>
      <w:r w:rsidRPr="002C0A72">
        <w:rPr>
          <w:rFonts w:asciiTheme="minorHAnsi" w:hAnsiTheme="minorHAnsi"/>
          <w:sz w:val="22"/>
          <w:szCs w:val="22"/>
        </w:rPr>
        <w:t xml:space="preserve">review. </w:t>
      </w:r>
      <w:r w:rsidRPr="002C0A72">
        <w:rPr>
          <w:rFonts w:asciiTheme="minorHAnsi" w:hAnsiTheme="minorHAnsi"/>
          <w:iCs/>
          <w:sz w:val="22"/>
          <w:szCs w:val="22"/>
        </w:rPr>
        <w:t>Pain</w:t>
      </w:r>
      <w:r w:rsidR="002C0A72" w:rsidRPr="002C0A72">
        <w:rPr>
          <w:rFonts w:asciiTheme="minorHAnsi" w:hAnsiTheme="minorHAnsi"/>
          <w:iCs/>
          <w:sz w:val="22"/>
          <w:szCs w:val="22"/>
        </w:rPr>
        <w:t>. 2011</w:t>
      </w:r>
      <w:r w:rsidRPr="002C0A72">
        <w:rPr>
          <w:rFonts w:asciiTheme="minorHAnsi" w:hAnsiTheme="minorHAnsi"/>
          <w:sz w:val="22"/>
          <w:szCs w:val="22"/>
        </w:rPr>
        <w:t>;</w:t>
      </w:r>
      <w:r w:rsidRPr="00056C31">
        <w:rPr>
          <w:rFonts w:asciiTheme="minorHAnsi" w:hAnsiTheme="minorHAnsi"/>
          <w:sz w:val="22"/>
          <w:szCs w:val="22"/>
        </w:rPr>
        <w:t xml:space="preserve"> 152(12): 2870-2880.</w:t>
      </w:r>
    </w:p>
    <w:p w14:paraId="343EC3A6" w14:textId="74BF6387" w:rsidR="004076FD" w:rsidRPr="00E01B53" w:rsidRDefault="002C0A72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Andersson</w:t>
      </w:r>
      <w:proofErr w:type="spellEnd"/>
      <w:r>
        <w:rPr>
          <w:rFonts w:asciiTheme="minorHAnsi" w:hAnsiTheme="minorHAnsi"/>
          <w:sz w:val="22"/>
          <w:szCs w:val="22"/>
        </w:rPr>
        <w:t xml:space="preserve"> HI, </w:t>
      </w:r>
      <w:proofErr w:type="spellStart"/>
      <w:r>
        <w:rPr>
          <w:rFonts w:asciiTheme="minorHAnsi" w:hAnsiTheme="minorHAnsi"/>
          <w:sz w:val="22"/>
          <w:szCs w:val="22"/>
        </w:rPr>
        <w:t>Ejlertsson</w:t>
      </w:r>
      <w:proofErr w:type="spellEnd"/>
      <w:r>
        <w:rPr>
          <w:rFonts w:asciiTheme="minorHAnsi" w:hAnsiTheme="minorHAnsi"/>
          <w:sz w:val="22"/>
          <w:szCs w:val="22"/>
        </w:rPr>
        <w:t xml:space="preserve"> G,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Leden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I, Rosenberg </w:t>
      </w:r>
      <w:r w:rsidR="004076FD" w:rsidRPr="008A21C3">
        <w:rPr>
          <w:rFonts w:asciiTheme="minorHAnsi" w:hAnsiTheme="minorHAnsi"/>
          <w:sz w:val="22"/>
          <w:szCs w:val="22"/>
        </w:rPr>
        <w:t>C. Chronic pain in a geographically defined general population: studies of diffe</w:t>
      </w:r>
      <w:r w:rsidR="004076FD" w:rsidRPr="002C0A72">
        <w:rPr>
          <w:rFonts w:asciiTheme="minorHAnsi" w:hAnsiTheme="minorHAnsi"/>
          <w:sz w:val="22"/>
          <w:szCs w:val="22"/>
        </w:rPr>
        <w:t xml:space="preserve">rences in age, gender, social class, and pain localization. </w:t>
      </w:r>
      <w:proofErr w:type="spellStart"/>
      <w:r w:rsidR="004076FD" w:rsidRPr="002C0A72">
        <w:rPr>
          <w:rFonts w:asciiTheme="minorHAnsi" w:hAnsiTheme="minorHAnsi"/>
          <w:iCs/>
          <w:sz w:val="22"/>
          <w:szCs w:val="22"/>
        </w:rPr>
        <w:t>Clin</w:t>
      </w:r>
      <w:proofErr w:type="spellEnd"/>
      <w:r w:rsidR="004076FD" w:rsidRPr="002C0A72">
        <w:rPr>
          <w:rFonts w:asciiTheme="minorHAnsi" w:hAnsiTheme="minorHAnsi"/>
          <w:iCs/>
          <w:sz w:val="22"/>
          <w:szCs w:val="22"/>
        </w:rPr>
        <w:t xml:space="preserve"> J Pain</w:t>
      </w:r>
      <w:r w:rsidRPr="002C0A72">
        <w:rPr>
          <w:rFonts w:asciiTheme="minorHAnsi" w:hAnsiTheme="minorHAnsi"/>
          <w:iCs/>
          <w:sz w:val="22"/>
          <w:szCs w:val="22"/>
        </w:rPr>
        <w:t>. 1993</w:t>
      </w:r>
      <w:r w:rsidR="004076FD" w:rsidRPr="002C0A72">
        <w:rPr>
          <w:rFonts w:asciiTheme="minorHAnsi" w:hAnsiTheme="minorHAnsi"/>
          <w:sz w:val="22"/>
          <w:szCs w:val="22"/>
        </w:rPr>
        <w:t>; 9(</w:t>
      </w:r>
      <w:r w:rsidR="004076FD" w:rsidRPr="00E01B53">
        <w:rPr>
          <w:rFonts w:asciiTheme="minorHAnsi" w:hAnsiTheme="minorHAnsi"/>
          <w:sz w:val="22"/>
          <w:szCs w:val="22"/>
        </w:rPr>
        <w:t>3): 174-182.</w:t>
      </w:r>
    </w:p>
    <w:p w14:paraId="66E479B0" w14:textId="7EB2F742" w:rsidR="004076FD" w:rsidRPr="00E01B53" w:rsidRDefault="002C0A72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Adamson J, </w:t>
      </w:r>
      <w:proofErr w:type="spellStart"/>
      <w:r>
        <w:rPr>
          <w:rFonts w:asciiTheme="minorHAnsi" w:hAnsiTheme="minorHAnsi"/>
          <w:sz w:val="22"/>
          <w:szCs w:val="22"/>
        </w:rPr>
        <w:t>Ebrahim</w:t>
      </w:r>
      <w:proofErr w:type="spellEnd"/>
      <w:r>
        <w:rPr>
          <w:rFonts w:asciiTheme="minorHAnsi" w:hAnsiTheme="minorHAnsi"/>
          <w:sz w:val="22"/>
          <w:szCs w:val="22"/>
        </w:rPr>
        <w:t xml:space="preserve"> S, Dieppe P, Hunt K.</w:t>
      </w:r>
      <w:r w:rsidR="004076FD" w:rsidRPr="008A21C3">
        <w:rPr>
          <w:rFonts w:asciiTheme="minorHAnsi" w:hAnsiTheme="minorHAnsi"/>
          <w:sz w:val="22"/>
          <w:szCs w:val="22"/>
        </w:rPr>
        <w:t xml:space="preserve"> Prevalence and risk factors for joint pain among men and women in the West of Scotland Twenty-07 study</w:t>
      </w:r>
      <w:r w:rsidR="004076FD" w:rsidRPr="002C0A72">
        <w:rPr>
          <w:rFonts w:asciiTheme="minorHAnsi" w:hAnsiTheme="minorHAnsi"/>
          <w:sz w:val="22"/>
          <w:szCs w:val="22"/>
        </w:rPr>
        <w:t xml:space="preserve">. </w:t>
      </w:r>
      <w:r w:rsidR="004076FD" w:rsidRPr="002C0A72">
        <w:rPr>
          <w:rFonts w:asciiTheme="minorHAnsi" w:hAnsiTheme="minorHAnsi"/>
          <w:iCs/>
          <w:sz w:val="22"/>
          <w:szCs w:val="22"/>
        </w:rPr>
        <w:t>Ann Rheum Dis</w:t>
      </w:r>
      <w:r w:rsidRPr="002C0A72">
        <w:rPr>
          <w:rFonts w:asciiTheme="minorHAnsi" w:hAnsiTheme="minorHAnsi"/>
          <w:iCs/>
          <w:sz w:val="22"/>
          <w:szCs w:val="22"/>
        </w:rPr>
        <w:t>. 2006</w:t>
      </w:r>
      <w:r w:rsidR="004076FD" w:rsidRPr="002C0A72">
        <w:rPr>
          <w:rFonts w:asciiTheme="minorHAnsi" w:hAnsiTheme="minorHAnsi"/>
          <w:sz w:val="22"/>
          <w:szCs w:val="22"/>
        </w:rPr>
        <w:t>; 65</w:t>
      </w:r>
      <w:r w:rsidR="004076FD" w:rsidRPr="00E01B53">
        <w:rPr>
          <w:rFonts w:asciiTheme="minorHAnsi" w:hAnsiTheme="minorHAnsi"/>
          <w:sz w:val="22"/>
          <w:szCs w:val="22"/>
        </w:rPr>
        <w:t>(4): 520-524.</w:t>
      </w:r>
    </w:p>
    <w:p w14:paraId="661D5297" w14:textId="3B00C497" w:rsidR="004076FD" w:rsidRPr="00E01B53" w:rsidRDefault="004076FD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8A21C3">
        <w:rPr>
          <w:rFonts w:asciiTheme="minorHAnsi" w:hAnsiTheme="minorHAnsi"/>
          <w:sz w:val="22"/>
          <w:szCs w:val="22"/>
        </w:rPr>
        <w:t>W</w:t>
      </w:r>
      <w:r w:rsidR="002C0A72">
        <w:rPr>
          <w:rFonts w:asciiTheme="minorHAnsi" w:hAnsiTheme="minorHAnsi"/>
          <w:sz w:val="22"/>
          <w:szCs w:val="22"/>
        </w:rPr>
        <w:t>ilder FV, Barrett JP,</w:t>
      </w:r>
      <w:r w:rsidR="002C0A72" w:rsidRPr="002C0A72">
        <w:rPr>
          <w:rFonts w:asciiTheme="minorHAnsi" w:hAnsiTheme="minorHAnsi"/>
          <w:sz w:val="22"/>
          <w:szCs w:val="22"/>
        </w:rPr>
        <w:t xml:space="preserve"> Farina EJ</w:t>
      </w:r>
      <w:r w:rsidRPr="002C0A72">
        <w:rPr>
          <w:rFonts w:asciiTheme="minorHAnsi" w:hAnsiTheme="minorHAnsi"/>
          <w:sz w:val="22"/>
          <w:szCs w:val="22"/>
        </w:rPr>
        <w:t xml:space="preserve">. Joint-specific prevalence of osteoarthritis of the hand. </w:t>
      </w:r>
      <w:r w:rsidRPr="002C0A72">
        <w:rPr>
          <w:rFonts w:asciiTheme="minorHAnsi" w:hAnsiTheme="minorHAnsi"/>
          <w:iCs/>
          <w:sz w:val="22"/>
          <w:szCs w:val="22"/>
        </w:rPr>
        <w:t>Osteoarthritis Cartilage</w:t>
      </w:r>
      <w:r w:rsidR="002C0A72" w:rsidRPr="002C0A72">
        <w:rPr>
          <w:rFonts w:asciiTheme="minorHAnsi" w:hAnsiTheme="minorHAnsi"/>
          <w:iCs/>
          <w:sz w:val="22"/>
          <w:szCs w:val="22"/>
        </w:rPr>
        <w:t>. 2006</w:t>
      </w:r>
      <w:r w:rsidRPr="002C0A72">
        <w:rPr>
          <w:rFonts w:asciiTheme="minorHAnsi" w:hAnsiTheme="minorHAnsi"/>
          <w:sz w:val="22"/>
          <w:szCs w:val="22"/>
        </w:rPr>
        <w:t>; 14</w:t>
      </w:r>
      <w:r w:rsidRPr="00E01B53">
        <w:rPr>
          <w:rFonts w:asciiTheme="minorHAnsi" w:hAnsiTheme="minorHAnsi"/>
          <w:sz w:val="22"/>
          <w:szCs w:val="22"/>
        </w:rPr>
        <w:t>(9): 953-957.</w:t>
      </w:r>
    </w:p>
    <w:p w14:paraId="0DF65C27" w14:textId="259D8676" w:rsidR="004076FD" w:rsidRPr="00E01B53" w:rsidRDefault="002C0A72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Srikanth VK, Fryer JL, </w:t>
      </w:r>
      <w:proofErr w:type="spellStart"/>
      <w:r w:rsidRPr="002C0A72">
        <w:rPr>
          <w:rFonts w:asciiTheme="minorHAnsi" w:hAnsiTheme="minorHAnsi"/>
          <w:sz w:val="22"/>
          <w:szCs w:val="22"/>
        </w:rPr>
        <w:t>Zhai</w:t>
      </w:r>
      <w:proofErr w:type="spellEnd"/>
      <w:r w:rsidRPr="002C0A72">
        <w:rPr>
          <w:rFonts w:asciiTheme="minorHAnsi" w:hAnsiTheme="minorHAnsi"/>
          <w:sz w:val="22"/>
          <w:szCs w:val="22"/>
        </w:rPr>
        <w:t xml:space="preserve"> G, </w:t>
      </w:r>
      <w:proofErr w:type="spellStart"/>
      <w:r w:rsidRPr="002C0A72">
        <w:rPr>
          <w:rFonts w:asciiTheme="minorHAnsi" w:hAnsiTheme="minorHAnsi"/>
          <w:sz w:val="22"/>
          <w:szCs w:val="22"/>
        </w:rPr>
        <w:t>Winzenberg</w:t>
      </w:r>
      <w:proofErr w:type="spellEnd"/>
      <w:r w:rsidRPr="002C0A72">
        <w:rPr>
          <w:rFonts w:asciiTheme="minorHAnsi" w:hAnsiTheme="minorHAnsi"/>
          <w:sz w:val="22"/>
          <w:szCs w:val="22"/>
        </w:rPr>
        <w:t xml:space="preserve"> TM, Hosmer D, Jones </w:t>
      </w:r>
      <w:r w:rsidR="004076FD" w:rsidRPr="002C0A72">
        <w:rPr>
          <w:rFonts w:asciiTheme="minorHAnsi" w:hAnsiTheme="minorHAnsi"/>
          <w:sz w:val="22"/>
          <w:szCs w:val="22"/>
        </w:rPr>
        <w:t xml:space="preserve">G. A meta-analysis of sex differences prevalence, incidence and severity of osteoarthritis. </w:t>
      </w:r>
      <w:r w:rsidR="004076FD" w:rsidRPr="002C0A72">
        <w:rPr>
          <w:rFonts w:asciiTheme="minorHAnsi" w:hAnsiTheme="minorHAnsi"/>
          <w:iCs/>
          <w:sz w:val="22"/>
          <w:szCs w:val="22"/>
        </w:rPr>
        <w:t>Osteoarthritis Cartilage</w:t>
      </w:r>
      <w:r w:rsidRPr="002C0A72">
        <w:rPr>
          <w:rFonts w:asciiTheme="minorHAnsi" w:hAnsiTheme="minorHAnsi"/>
          <w:iCs/>
          <w:sz w:val="22"/>
          <w:szCs w:val="22"/>
        </w:rPr>
        <w:t>. 2005</w:t>
      </w:r>
      <w:r w:rsidR="004076FD" w:rsidRPr="002C0A72">
        <w:rPr>
          <w:rFonts w:asciiTheme="minorHAnsi" w:hAnsiTheme="minorHAnsi"/>
          <w:iCs/>
          <w:sz w:val="22"/>
          <w:szCs w:val="22"/>
        </w:rPr>
        <w:t xml:space="preserve">; </w:t>
      </w:r>
      <w:r w:rsidR="004076FD" w:rsidRPr="002C0A72">
        <w:rPr>
          <w:rFonts w:asciiTheme="minorHAnsi" w:hAnsiTheme="minorHAnsi"/>
          <w:sz w:val="22"/>
          <w:szCs w:val="22"/>
        </w:rPr>
        <w:t>13(9): 769-781.</w:t>
      </w:r>
    </w:p>
    <w:p w14:paraId="3F39E9DB" w14:textId="0380CFDD" w:rsidR="004076FD" w:rsidRPr="00CC3116" w:rsidRDefault="00C6173C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017F5E">
        <w:rPr>
          <w:rFonts w:asciiTheme="minorHAnsi" w:hAnsiTheme="minorHAnsi"/>
          <w:sz w:val="22"/>
          <w:szCs w:val="22"/>
        </w:rPr>
        <w:t>Doherty C, Delahunt E, Caulfield B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Hertel</w:t>
      </w:r>
      <w:proofErr w:type="spellEnd"/>
      <w:r>
        <w:rPr>
          <w:rFonts w:asciiTheme="minorHAnsi" w:hAnsiTheme="minorHAnsi"/>
          <w:sz w:val="22"/>
          <w:szCs w:val="22"/>
        </w:rPr>
        <w:t xml:space="preserve"> J</w:t>
      </w:r>
      <w:r w:rsidR="00CC3116">
        <w:rPr>
          <w:rFonts w:asciiTheme="minorHAnsi" w:hAnsiTheme="minorHAnsi"/>
          <w:sz w:val="22"/>
          <w:szCs w:val="22"/>
        </w:rPr>
        <w:t xml:space="preserve">, </w:t>
      </w:r>
      <w:r w:rsidR="00CC3116" w:rsidRPr="00CC3116">
        <w:rPr>
          <w:rFonts w:asciiTheme="minorHAnsi" w:hAnsiTheme="minorHAnsi"/>
          <w:sz w:val="22"/>
          <w:szCs w:val="22"/>
        </w:rPr>
        <w:t xml:space="preserve">Ryan J, </w:t>
      </w:r>
      <w:proofErr w:type="spellStart"/>
      <w:r w:rsidR="00CC3116" w:rsidRPr="00CC3116">
        <w:rPr>
          <w:rFonts w:asciiTheme="minorHAnsi" w:hAnsiTheme="minorHAnsi"/>
          <w:sz w:val="22"/>
          <w:szCs w:val="22"/>
        </w:rPr>
        <w:t>Bleakley</w:t>
      </w:r>
      <w:proofErr w:type="spellEnd"/>
      <w:r w:rsidR="004076FD" w:rsidRPr="00CC3116">
        <w:rPr>
          <w:rFonts w:asciiTheme="minorHAnsi" w:hAnsiTheme="minorHAnsi"/>
          <w:sz w:val="22"/>
          <w:szCs w:val="22"/>
        </w:rPr>
        <w:t xml:space="preserve"> C. The incidence and prevalence of ankle sprain injury: a systematic review and meta-analysis of prospective epidemiological studies. </w:t>
      </w:r>
      <w:r w:rsidR="004076FD" w:rsidRPr="00CC3116">
        <w:rPr>
          <w:rFonts w:asciiTheme="minorHAnsi" w:hAnsiTheme="minorHAnsi"/>
          <w:iCs/>
          <w:sz w:val="22"/>
          <w:szCs w:val="22"/>
        </w:rPr>
        <w:t>Sports Med</w:t>
      </w:r>
      <w:r w:rsidR="00CC3116" w:rsidRPr="00CC3116">
        <w:rPr>
          <w:rFonts w:asciiTheme="minorHAnsi" w:hAnsiTheme="minorHAnsi"/>
          <w:iCs/>
          <w:sz w:val="22"/>
          <w:szCs w:val="22"/>
        </w:rPr>
        <w:t>. 2014</w:t>
      </w:r>
      <w:r w:rsidR="004076FD" w:rsidRPr="00CC3116">
        <w:rPr>
          <w:rFonts w:asciiTheme="minorHAnsi" w:hAnsiTheme="minorHAnsi"/>
          <w:sz w:val="22"/>
          <w:szCs w:val="22"/>
        </w:rPr>
        <w:t>; 44(1): 123-140.</w:t>
      </w:r>
    </w:p>
    <w:p w14:paraId="2BCD5E69" w14:textId="667F3921" w:rsidR="004076FD" w:rsidRPr="00CC3116" w:rsidRDefault="00CC3116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CC311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lastRenderedPageBreak/>
        <w:t xml:space="preserve">Nix S, Smith M, </w:t>
      </w:r>
      <w:proofErr w:type="spellStart"/>
      <w:proofErr w:type="gramStart"/>
      <w:r w:rsidRPr="00CC311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Vicenzino</w:t>
      </w:r>
      <w:proofErr w:type="spellEnd"/>
      <w:proofErr w:type="gramEnd"/>
      <w:r w:rsidRPr="00CC311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B.</w:t>
      </w:r>
      <w:r w:rsidR="004076FD" w:rsidRPr="00CC311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Prevalence of hallux valgus in the general population: a systematic review and meta-analysis.</w:t>
      </w:r>
      <w:r w:rsidR="004076FD" w:rsidRPr="00CC3116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J </w:t>
      </w:r>
      <w:r w:rsidR="003D6F18">
        <w:rPr>
          <w:rFonts w:asciiTheme="minorHAnsi" w:hAnsiTheme="minorHAnsi"/>
          <w:iCs/>
          <w:sz w:val="22"/>
          <w:szCs w:val="22"/>
        </w:rPr>
        <w:t>F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oot </w:t>
      </w:r>
      <w:r w:rsidR="003D6F18">
        <w:rPr>
          <w:rFonts w:asciiTheme="minorHAnsi" w:hAnsiTheme="minorHAnsi"/>
          <w:iCs/>
          <w:sz w:val="22"/>
          <w:szCs w:val="22"/>
        </w:rPr>
        <w:t>A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nkle </w:t>
      </w:r>
      <w:r w:rsidR="003D6F18">
        <w:rPr>
          <w:rFonts w:asciiTheme="minorHAnsi" w:hAnsiTheme="minorHAnsi"/>
          <w:iCs/>
          <w:sz w:val="22"/>
          <w:szCs w:val="22"/>
        </w:rPr>
        <w:t>R</w:t>
      </w:r>
      <w:r w:rsidR="004076FD" w:rsidRPr="00CC3116">
        <w:rPr>
          <w:rFonts w:asciiTheme="minorHAnsi" w:hAnsiTheme="minorHAnsi"/>
          <w:iCs/>
          <w:sz w:val="22"/>
          <w:szCs w:val="22"/>
        </w:rPr>
        <w:t>es</w:t>
      </w:r>
      <w:r w:rsidRPr="00CC3116">
        <w:rPr>
          <w:rFonts w:asciiTheme="minorHAnsi" w:hAnsiTheme="minorHAnsi"/>
          <w:iCs/>
          <w:sz w:val="22"/>
          <w:szCs w:val="22"/>
        </w:rPr>
        <w:t>. 2010</w:t>
      </w:r>
      <w:r w:rsidR="004076FD" w:rsidRPr="00CC3116">
        <w:rPr>
          <w:rFonts w:asciiTheme="minorHAnsi" w:hAnsiTheme="minorHAnsi"/>
          <w:iCs/>
          <w:sz w:val="22"/>
          <w:szCs w:val="22"/>
        </w:rPr>
        <w:t>; 3</w:t>
      </w:r>
      <w:r w:rsidR="004076FD" w:rsidRPr="00CC3116">
        <w:rPr>
          <w:rFonts w:asciiTheme="minorHAnsi" w:hAnsiTheme="minorHAnsi"/>
          <w:sz w:val="22"/>
          <w:szCs w:val="22"/>
        </w:rPr>
        <w:t>(1): 1.</w:t>
      </w:r>
    </w:p>
    <w:p w14:paraId="00ABB28C" w14:textId="66B4048F" w:rsidR="004076FD" w:rsidRPr="00E01B53" w:rsidRDefault="00CC3116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Roman-Blas JA, Castaneda S, Largo R, </w:t>
      </w:r>
      <w:proofErr w:type="gramStart"/>
      <w:r>
        <w:rPr>
          <w:rFonts w:asciiTheme="minorHAnsi" w:hAnsiTheme="minorHAnsi"/>
          <w:sz w:val="22"/>
          <w:szCs w:val="22"/>
        </w:rPr>
        <w:t>Herrero</w:t>
      </w:r>
      <w:proofErr w:type="gramEnd"/>
      <w:r>
        <w:rPr>
          <w:rFonts w:asciiTheme="minorHAnsi" w:hAnsiTheme="minorHAnsi"/>
          <w:sz w:val="22"/>
          <w:szCs w:val="22"/>
        </w:rPr>
        <w:t>-</w:t>
      </w:r>
      <w:proofErr w:type="spellStart"/>
      <w:r>
        <w:rPr>
          <w:rFonts w:asciiTheme="minorHAnsi" w:hAnsiTheme="minorHAnsi"/>
          <w:sz w:val="22"/>
          <w:szCs w:val="22"/>
        </w:rPr>
        <w:t>Beu</w:t>
      </w:r>
      <w:r w:rsidRPr="00CC3116">
        <w:rPr>
          <w:rFonts w:asciiTheme="minorHAnsi" w:hAnsiTheme="minorHAnsi"/>
          <w:sz w:val="22"/>
          <w:szCs w:val="22"/>
        </w:rPr>
        <w:t>mont</w:t>
      </w:r>
      <w:proofErr w:type="spellEnd"/>
      <w:r w:rsidR="004076FD" w:rsidRPr="00CC3116">
        <w:rPr>
          <w:rFonts w:asciiTheme="minorHAnsi" w:hAnsiTheme="minorHAnsi"/>
          <w:sz w:val="22"/>
          <w:szCs w:val="22"/>
        </w:rPr>
        <w:t xml:space="preserve"> G. Osteoarthritis associated with </w:t>
      </w:r>
      <w:proofErr w:type="spellStart"/>
      <w:r w:rsidR="004076FD" w:rsidRPr="00CC3116">
        <w:rPr>
          <w:rFonts w:asciiTheme="minorHAnsi" w:hAnsiTheme="minorHAnsi"/>
          <w:sz w:val="22"/>
          <w:szCs w:val="22"/>
        </w:rPr>
        <w:t>estrogen</w:t>
      </w:r>
      <w:proofErr w:type="spellEnd"/>
      <w:r w:rsidR="004076FD" w:rsidRPr="00CC3116">
        <w:rPr>
          <w:rFonts w:asciiTheme="minorHAnsi" w:hAnsiTheme="minorHAnsi"/>
          <w:sz w:val="22"/>
          <w:szCs w:val="22"/>
        </w:rPr>
        <w:t xml:space="preserve"> deficiency. 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Arthritis Res </w:t>
      </w:r>
      <w:proofErr w:type="spellStart"/>
      <w:r w:rsidR="004076FD" w:rsidRPr="00CC3116">
        <w:rPr>
          <w:rFonts w:asciiTheme="minorHAnsi" w:hAnsiTheme="minorHAnsi"/>
          <w:iCs/>
          <w:sz w:val="22"/>
          <w:szCs w:val="22"/>
        </w:rPr>
        <w:t>Ther</w:t>
      </w:r>
      <w:proofErr w:type="spellEnd"/>
      <w:r w:rsidRPr="00CC3116">
        <w:rPr>
          <w:rFonts w:asciiTheme="minorHAnsi" w:hAnsiTheme="minorHAnsi"/>
          <w:iCs/>
          <w:sz w:val="22"/>
          <w:szCs w:val="22"/>
        </w:rPr>
        <w:t>. 2009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; </w:t>
      </w:r>
      <w:r w:rsidR="004076FD" w:rsidRPr="00CC3116">
        <w:rPr>
          <w:rFonts w:asciiTheme="minorHAnsi" w:hAnsiTheme="minorHAnsi"/>
          <w:sz w:val="22"/>
          <w:szCs w:val="22"/>
        </w:rPr>
        <w:t>11</w:t>
      </w:r>
      <w:r w:rsidR="004076FD" w:rsidRPr="00E01B53">
        <w:rPr>
          <w:rFonts w:asciiTheme="minorHAnsi" w:hAnsiTheme="minorHAnsi"/>
          <w:sz w:val="22"/>
          <w:szCs w:val="22"/>
        </w:rPr>
        <w:t>(5): 241.</w:t>
      </w:r>
    </w:p>
    <w:p w14:paraId="55ED5483" w14:textId="0E04A553" w:rsidR="004076FD" w:rsidRPr="00E01B53" w:rsidRDefault="00CC3116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Guillemin F, Rat AC, </w:t>
      </w:r>
      <w:proofErr w:type="spellStart"/>
      <w:r w:rsidR="004076FD" w:rsidRPr="008A21C3">
        <w:rPr>
          <w:rFonts w:asciiTheme="minorHAnsi" w:hAnsiTheme="minorHAnsi"/>
          <w:sz w:val="22"/>
          <w:szCs w:val="22"/>
        </w:rPr>
        <w:t>Mazi</w:t>
      </w:r>
      <w:r>
        <w:rPr>
          <w:rFonts w:asciiTheme="minorHAnsi" w:hAnsiTheme="minorHAnsi"/>
          <w:sz w:val="22"/>
          <w:szCs w:val="22"/>
        </w:rPr>
        <w:t>eres</w:t>
      </w:r>
      <w:proofErr w:type="spellEnd"/>
      <w:r>
        <w:rPr>
          <w:rFonts w:asciiTheme="minorHAnsi" w:hAnsiTheme="minorHAnsi"/>
          <w:sz w:val="22"/>
          <w:szCs w:val="22"/>
        </w:rPr>
        <w:t xml:space="preserve"> B, </w:t>
      </w:r>
      <w:proofErr w:type="spellStart"/>
      <w:r>
        <w:rPr>
          <w:rFonts w:asciiTheme="minorHAnsi" w:hAnsiTheme="minorHAnsi"/>
          <w:sz w:val="22"/>
          <w:szCs w:val="22"/>
        </w:rPr>
        <w:t>Pouchot</w:t>
      </w:r>
      <w:proofErr w:type="spellEnd"/>
      <w:r>
        <w:rPr>
          <w:rFonts w:asciiTheme="minorHAnsi" w:hAnsiTheme="minorHAnsi"/>
          <w:sz w:val="22"/>
          <w:szCs w:val="22"/>
        </w:rPr>
        <w:t xml:space="preserve"> J, </w:t>
      </w:r>
      <w:proofErr w:type="spellStart"/>
      <w:r>
        <w:rPr>
          <w:rFonts w:asciiTheme="minorHAnsi" w:hAnsiTheme="minorHAnsi"/>
          <w:sz w:val="22"/>
          <w:szCs w:val="22"/>
        </w:rPr>
        <w:t>Fautrel</w:t>
      </w:r>
      <w:proofErr w:type="spellEnd"/>
      <w:r>
        <w:rPr>
          <w:rFonts w:asciiTheme="minorHAnsi" w:hAnsiTheme="minorHAnsi"/>
          <w:sz w:val="22"/>
          <w:szCs w:val="22"/>
        </w:rPr>
        <w:t xml:space="preserve"> B, </w:t>
      </w:r>
      <w:proofErr w:type="spellStart"/>
      <w:r>
        <w:rPr>
          <w:rFonts w:asciiTheme="minorHAnsi" w:hAnsiTheme="minorHAnsi"/>
          <w:sz w:val="22"/>
          <w:szCs w:val="22"/>
        </w:rPr>
        <w:t>Euller</w:t>
      </w:r>
      <w:proofErr w:type="spellEnd"/>
      <w:r>
        <w:rPr>
          <w:rFonts w:asciiTheme="minorHAnsi" w:hAnsiTheme="minorHAnsi"/>
          <w:sz w:val="22"/>
          <w:szCs w:val="22"/>
        </w:rPr>
        <w:t>-Ziegler</w:t>
      </w:r>
      <w:r w:rsidR="004076FD" w:rsidRPr="008A21C3">
        <w:rPr>
          <w:rFonts w:asciiTheme="minorHAnsi" w:hAnsiTheme="minorHAnsi"/>
          <w:sz w:val="22"/>
          <w:szCs w:val="22"/>
        </w:rPr>
        <w:t xml:space="preserve"> L.</w:t>
      </w:r>
      <w:r w:rsidR="004076FD" w:rsidRPr="00E01B53">
        <w:rPr>
          <w:rFonts w:asciiTheme="minorHAnsi" w:hAnsiTheme="minorHAnsi"/>
          <w:sz w:val="22"/>
          <w:szCs w:val="22"/>
        </w:rPr>
        <w:t xml:space="preserve"> Prevalence of symptomatic hip and knee osteoarthritis: a two-phase population-based survey. </w:t>
      </w:r>
      <w:r w:rsidR="004076FD" w:rsidRPr="00CC3116">
        <w:rPr>
          <w:rFonts w:asciiTheme="minorHAnsi" w:hAnsiTheme="minorHAnsi"/>
          <w:iCs/>
          <w:sz w:val="22"/>
          <w:szCs w:val="22"/>
        </w:rPr>
        <w:t>Osteoarthritis Cartilage</w:t>
      </w:r>
      <w:r w:rsidRPr="00CC3116">
        <w:rPr>
          <w:rFonts w:asciiTheme="minorHAnsi" w:hAnsiTheme="minorHAnsi"/>
          <w:iCs/>
          <w:sz w:val="22"/>
          <w:szCs w:val="22"/>
        </w:rPr>
        <w:t>. 2011</w:t>
      </w:r>
      <w:r w:rsidR="004076FD" w:rsidRPr="00CC3116">
        <w:rPr>
          <w:rFonts w:asciiTheme="minorHAnsi" w:hAnsiTheme="minorHAnsi"/>
          <w:sz w:val="22"/>
          <w:szCs w:val="22"/>
        </w:rPr>
        <w:t>; 19(11): 1314-1322.</w:t>
      </w:r>
    </w:p>
    <w:p w14:paraId="0CD01384" w14:textId="674A63C4" w:rsidR="004076FD" w:rsidRPr="001C58F0" w:rsidRDefault="00CC3116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Jordan JM, </w:t>
      </w:r>
      <w:proofErr w:type="spellStart"/>
      <w:r>
        <w:rPr>
          <w:rFonts w:asciiTheme="minorHAnsi" w:hAnsiTheme="minorHAnsi"/>
          <w:sz w:val="22"/>
          <w:szCs w:val="22"/>
        </w:rPr>
        <w:t>Helmick</w:t>
      </w:r>
      <w:proofErr w:type="spellEnd"/>
      <w:r>
        <w:rPr>
          <w:rFonts w:asciiTheme="minorHAnsi" w:hAnsiTheme="minorHAnsi"/>
          <w:sz w:val="22"/>
          <w:szCs w:val="22"/>
        </w:rPr>
        <w:t xml:space="preserve"> CG, Renner JB, Luta G, </w:t>
      </w:r>
      <w:proofErr w:type="spellStart"/>
      <w:r>
        <w:rPr>
          <w:rFonts w:asciiTheme="minorHAnsi" w:hAnsiTheme="minorHAnsi"/>
          <w:sz w:val="22"/>
          <w:szCs w:val="22"/>
        </w:rPr>
        <w:t>Dragomir</w:t>
      </w:r>
      <w:proofErr w:type="spellEnd"/>
      <w:r>
        <w:rPr>
          <w:rFonts w:asciiTheme="minorHAnsi" w:hAnsiTheme="minorHAnsi"/>
          <w:sz w:val="22"/>
          <w:szCs w:val="22"/>
        </w:rPr>
        <w:t xml:space="preserve"> AD, Woodard J.</w:t>
      </w:r>
      <w:r w:rsidR="004076FD" w:rsidRPr="008A21C3">
        <w:rPr>
          <w:rFonts w:asciiTheme="minorHAnsi" w:hAnsiTheme="minorHAnsi"/>
          <w:sz w:val="22"/>
          <w:szCs w:val="22"/>
        </w:rPr>
        <w:t xml:space="preserve"> Prevalence of knee symptoms and radiographic and symptomatic knee osteoarthritis in African Ameri</w:t>
      </w:r>
      <w:r w:rsidR="004076FD" w:rsidRPr="00056C31">
        <w:rPr>
          <w:rFonts w:asciiTheme="minorHAnsi" w:hAnsiTheme="minorHAnsi"/>
          <w:sz w:val="22"/>
          <w:szCs w:val="22"/>
        </w:rPr>
        <w:t>cans and Caucasians: the Johnston County Osteoarthritis Project</w:t>
      </w:r>
      <w:r w:rsidR="004076FD" w:rsidRPr="00CC3116">
        <w:rPr>
          <w:rFonts w:asciiTheme="minorHAnsi" w:hAnsiTheme="minorHAnsi"/>
          <w:sz w:val="22"/>
          <w:szCs w:val="22"/>
        </w:rPr>
        <w:t xml:space="preserve">. 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J </w:t>
      </w:r>
      <w:proofErr w:type="spellStart"/>
      <w:r w:rsidR="004076FD" w:rsidRPr="00CC3116">
        <w:rPr>
          <w:rFonts w:asciiTheme="minorHAnsi" w:hAnsiTheme="minorHAnsi"/>
          <w:iCs/>
          <w:sz w:val="22"/>
          <w:szCs w:val="22"/>
        </w:rPr>
        <w:t>Rheumatol</w:t>
      </w:r>
      <w:proofErr w:type="spellEnd"/>
      <w:r w:rsidRPr="00CC3116">
        <w:rPr>
          <w:rFonts w:asciiTheme="minorHAnsi" w:hAnsiTheme="minorHAnsi"/>
          <w:iCs/>
          <w:sz w:val="22"/>
          <w:szCs w:val="22"/>
        </w:rPr>
        <w:t>. 2007</w:t>
      </w:r>
      <w:r w:rsidR="004076FD" w:rsidRPr="00CC3116">
        <w:rPr>
          <w:rFonts w:asciiTheme="minorHAnsi" w:hAnsiTheme="minorHAnsi"/>
          <w:sz w:val="22"/>
          <w:szCs w:val="22"/>
        </w:rPr>
        <w:t>:</w:t>
      </w:r>
      <w:r w:rsidR="004076FD" w:rsidRPr="00E01B53">
        <w:rPr>
          <w:rFonts w:asciiTheme="minorHAnsi" w:hAnsiTheme="minorHAnsi"/>
          <w:sz w:val="22"/>
          <w:szCs w:val="22"/>
        </w:rPr>
        <w:t xml:space="preserve"> 34(1): 172-180.</w:t>
      </w:r>
    </w:p>
    <w:p w14:paraId="25895970" w14:textId="6CAE1A4F" w:rsidR="004076FD" w:rsidRPr="00CC3116" w:rsidRDefault="00CC3116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Arden N, </w:t>
      </w:r>
      <w:proofErr w:type="spellStart"/>
      <w:r>
        <w:rPr>
          <w:rFonts w:asciiTheme="minorHAnsi" w:hAnsiTheme="minorHAnsi"/>
          <w:sz w:val="22"/>
          <w:szCs w:val="22"/>
        </w:rPr>
        <w:t>Nevitt</w:t>
      </w:r>
      <w:proofErr w:type="spellEnd"/>
      <w:r>
        <w:rPr>
          <w:rFonts w:asciiTheme="minorHAnsi" w:hAnsiTheme="minorHAnsi"/>
          <w:sz w:val="22"/>
          <w:szCs w:val="22"/>
        </w:rPr>
        <w:t xml:space="preserve"> M</w:t>
      </w:r>
      <w:r w:rsidR="004076FD" w:rsidRPr="008A21C3">
        <w:rPr>
          <w:rFonts w:asciiTheme="minorHAnsi" w:hAnsiTheme="minorHAnsi"/>
          <w:sz w:val="22"/>
          <w:szCs w:val="22"/>
        </w:rPr>
        <w:t xml:space="preserve">C. Osteoarthritis: </w:t>
      </w:r>
      <w:r w:rsidR="004076FD" w:rsidRPr="00CC3116">
        <w:rPr>
          <w:rFonts w:asciiTheme="minorHAnsi" w:hAnsiTheme="minorHAnsi"/>
          <w:sz w:val="22"/>
          <w:szCs w:val="22"/>
        </w:rPr>
        <w:t xml:space="preserve">epidemiology. 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Best </w:t>
      </w:r>
      <w:proofErr w:type="spellStart"/>
      <w:r w:rsidR="004076FD" w:rsidRPr="00CC3116">
        <w:rPr>
          <w:rFonts w:asciiTheme="minorHAnsi" w:hAnsiTheme="minorHAnsi"/>
          <w:iCs/>
          <w:sz w:val="22"/>
          <w:szCs w:val="22"/>
        </w:rPr>
        <w:t>Pract</w:t>
      </w:r>
      <w:proofErr w:type="spellEnd"/>
      <w:r w:rsidR="004076FD" w:rsidRPr="00CC3116">
        <w:rPr>
          <w:rFonts w:asciiTheme="minorHAnsi" w:hAnsiTheme="minorHAnsi"/>
          <w:iCs/>
          <w:sz w:val="22"/>
          <w:szCs w:val="22"/>
        </w:rPr>
        <w:t xml:space="preserve"> Res </w:t>
      </w:r>
      <w:proofErr w:type="spellStart"/>
      <w:r w:rsidR="004076FD" w:rsidRPr="00CC3116">
        <w:rPr>
          <w:rFonts w:asciiTheme="minorHAnsi" w:hAnsiTheme="minorHAnsi"/>
          <w:iCs/>
          <w:sz w:val="22"/>
          <w:szCs w:val="22"/>
        </w:rPr>
        <w:t>Clin</w:t>
      </w:r>
      <w:proofErr w:type="spellEnd"/>
      <w:r w:rsidR="004076FD" w:rsidRPr="00CC3116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="004076FD" w:rsidRPr="00CC3116">
        <w:rPr>
          <w:rFonts w:asciiTheme="minorHAnsi" w:hAnsiTheme="minorHAnsi"/>
          <w:iCs/>
          <w:sz w:val="22"/>
          <w:szCs w:val="22"/>
        </w:rPr>
        <w:t>Rheumatol</w:t>
      </w:r>
      <w:proofErr w:type="spellEnd"/>
      <w:r w:rsidRPr="00CC3116">
        <w:rPr>
          <w:rFonts w:asciiTheme="minorHAnsi" w:hAnsiTheme="minorHAnsi"/>
          <w:sz w:val="22"/>
          <w:szCs w:val="22"/>
        </w:rPr>
        <w:t>. 2006;</w:t>
      </w:r>
      <w:r w:rsidR="004076FD" w:rsidRPr="00CC3116">
        <w:rPr>
          <w:rFonts w:asciiTheme="minorHAnsi" w:hAnsiTheme="minorHAnsi"/>
          <w:sz w:val="22"/>
          <w:szCs w:val="22"/>
        </w:rPr>
        <w:t xml:space="preserve"> 20(1): 3-25.</w:t>
      </w:r>
    </w:p>
    <w:p w14:paraId="2138F727" w14:textId="672465AD" w:rsidR="004076FD" w:rsidRPr="00E01B53" w:rsidRDefault="00CC3116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Bagge</w:t>
      </w:r>
      <w:proofErr w:type="spellEnd"/>
      <w:r w:rsidR="004076FD" w:rsidRPr="008A21C3">
        <w:rPr>
          <w:rFonts w:asciiTheme="minorHAnsi" w:hAnsiTheme="minorHAnsi"/>
          <w:sz w:val="22"/>
          <w:szCs w:val="22"/>
        </w:rPr>
        <w:t xml:space="preserve"> E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Bjelle</w:t>
      </w:r>
      <w:proofErr w:type="spellEnd"/>
      <w:r>
        <w:rPr>
          <w:rFonts w:asciiTheme="minorHAnsi" w:hAnsiTheme="minorHAnsi"/>
          <w:sz w:val="22"/>
          <w:szCs w:val="22"/>
        </w:rPr>
        <w:t xml:space="preserve"> A, Eden S, </w:t>
      </w:r>
      <w:proofErr w:type="spellStart"/>
      <w:r>
        <w:rPr>
          <w:rFonts w:asciiTheme="minorHAnsi" w:hAnsiTheme="minorHAnsi"/>
          <w:sz w:val="22"/>
          <w:szCs w:val="22"/>
        </w:rPr>
        <w:t>Svanborg</w:t>
      </w:r>
      <w:proofErr w:type="spellEnd"/>
      <w:r>
        <w:rPr>
          <w:rFonts w:asciiTheme="minorHAnsi" w:hAnsiTheme="minorHAnsi"/>
          <w:sz w:val="22"/>
          <w:szCs w:val="22"/>
        </w:rPr>
        <w:t xml:space="preserve"> A. </w:t>
      </w:r>
      <w:r w:rsidR="004076FD" w:rsidRPr="008A21C3">
        <w:rPr>
          <w:rFonts w:asciiTheme="minorHAnsi" w:hAnsiTheme="minorHAnsi"/>
          <w:sz w:val="22"/>
          <w:szCs w:val="22"/>
        </w:rPr>
        <w:t xml:space="preserve">Osteoarthritis in the elderly: clinical and radiological findings in 79 and </w:t>
      </w:r>
      <w:r w:rsidR="004076FD" w:rsidRPr="00CC3116">
        <w:rPr>
          <w:rFonts w:asciiTheme="minorHAnsi" w:hAnsiTheme="minorHAnsi"/>
          <w:sz w:val="22"/>
          <w:szCs w:val="22"/>
        </w:rPr>
        <w:t xml:space="preserve">85 year olds. </w:t>
      </w:r>
      <w:r w:rsidR="004076FD" w:rsidRPr="00CC3116">
        <w:rPr>
          <w:rFonts w:asciiTheme="minorHAnsi" w:hAnsiTheme="minorHAnsi"/>
          <w:iCs/>
          <w:sz w:val="22"/>
          <w:szCs w:val="22"/>
        </w:rPr>
        <w:t>Ann Rheum Dis</w:t>
      </w:r>
      <w:r w:rsidRPr="00CC3116">
        <w:rPr>
          <w:rFonts w:asciiTheme="minorHAnsi" w:hAnsiTheme="minorHAnsi"/>
          <w:iCs/>
          <w:sz w:val="22"/>
          <w:szCs w:val="22"/>
        </w:rPr>
        <w:t>. 1991</w:t>
      </w:r>
      <w:r w:rsidR="004076FD" w:rsidRPr="00CC3116">
        <w:rPr>
          <w:rFonts w:asciiTheme="minorHAnsi" w:hAnsiTheme="minorHAnsi"/>
          <w:sz w:val="22"/>
          <w:szCs w:val="22"/>
        </w:rPr>
        <w:t>; 50(8): 535</w:t>
      </w:r>
      <w:r w:rsidR="004076FD" w:rsidRPr="00E01B53">
        <w:rPr>
          <w:rFonts w:asciiTheme="minorHAnsi" w:hAnsiTheme="minorHAnsi"/>
          <w:sz w:val="22"/>
          <w:szCs w:val="22"/>
        </w:rPr>
        <w:t>-539.</w:t>
      </w:r>
    </w:p>
    <w:p w14:paraId="216E685D" w14:textId="749E63CF" w:rsidR="004076FD" w:rsidRPr="00E01B53" w:rsidRDefault="004076FD" w:rsidP="004076FD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8A21C3">
        <w:rPr>
          <w:rFonts w:asciiTheme="minorHAnsi" w:hAnsiTheme="minorHAnsi"/>
          <w:sz w:val="22"/>
          <w:szCs w:val="22"/>
        </w:rPr>
        <w:t>Thomas</w:t>
      </w:r>
      <w:r w:rsidR="00CC3116">
        <w:rPr>
          <w:rFonts w:asciiTheme="minorHAnsi" w:hAnsiTheme="minorHAnsi"/>
          <w:sz w:val="22"/>
          <w:szCs w:val="22"/>
        </w:rPr>
        <w:t xml:space="preserve"> E, Peat</w:t>
      </w:r>
      <w:r w:rsidRPr="008A21C3">
        <w:rPr>
          <w:rFonts w:asciiTheme="minorHAnsi" w:hAnsiTheme="minorHAnsi"/>
          <w:sz w:val="22"/>
          <w:szCs w:val="22"/>
        </w:rPr>
        <w:t xml:space="preserve"> G</w:t>
      </w:r>
      <w:r w:rsidR="00CC3116">
        <w:rPr>
          <w:rFonts w:asciiTheme="minorHAnsi" w:hAnsiTheme="minorHAnsi"/>
          <w:sz w:val="22"/>
          <w:szCs w:val="22"/>
        </w:rPr>
        <w:t xml:space="preserve">, Harris L, </w:t>
      </w:r>
      <w:proofErr w:type="spellStart"/>
      <w:r w:rsidR="00CC3116">
        <w:rPr>
          <w:rFonts w:asciiTheme="minorHAnsi" w:hAnsiTheme="minorHAnsi"/>
          <w:sz w:val="22"/>
          <w:szCs w:val="22"/>
        </w:rPr>
        <w:t>Wilkie</w:t>
      </w:r>
      <w:proofErr w:type="spellEnd"/>
      <w:r w:rsidR="00CC3116">
        <w:rPr>
          <w:rFonts w:asciiTheme="minorHAnsi" w:hAnsiTheme="minorHAnsi"/>
          <w:sz w:val="22"/>
          <w:szCs w:val="22"/>
        </w:rPr>
        <w:t xml:space="preserve"> R, Croft P</w:t>
      </w:r>
      <w:r w:rsidRPr="008A21C3">
        <w:rPr>
          <w:rFonts w:asciiTheme="minorHAnsi" w:hAnsiTheme="minorHAnsi"/>
          <w:sz w:val="22"/>
          <w:szCs w:val="22"/>
        </w:rPr>
        <w:t xml:space="preserve">R. The prevalence of pain and pain interference in a general population of older adults: cross-sectional findings from the North Staffordshire Osteoarthritis </w:t>
      </w:r>
      <w:r w:rsidRPr="00CC3116">
        <w:rPr>
          <w:rFonts w:asciiTheme="minorHAnsi" w:hAnsiTheme="minorHAnsi"/>
          <w:sz w:val="22"/>
          <w:szCs w:val="22"/>
        </w:rPr>
        <w:t>Project (</w:t>
      </w:r>
      <w:proofErr w:type="spellStart"/>
      <w:r w:rsidRPr="00CC3116">
        <w:rPr>
          <w:rFonts w:asciiTheme="minorHAnsi" w:hAnsiTheme="minorHAnsi"/>
          <w:sz w:val="22"/>
          <w:szCs w:val="22"/>
        </w:rPr>
        <w:t>NorStOP</w:t>
      </w:r>
      <w:proofErr w:type="spellEnd"/>
      <w:r w:rsidRPr="00CC3116">
        <w:rPr>
          <w:rFonts w:asciiTheme="minorHAnsi" w:hAnsiTheme="minorHAnsi"/>
          <w:sz w:val="22"/>
          <w:szCs w:val="22"/>
        </w:rPr>
        <w:t xml:space="preserve">). </w:t>
      </w:r>
      <w:r w:rsidRPr="00CC3116">
        <w:rPr>
          <w:rFonts w:asciiTheme="minorHAnsi" w:hAnsiTheme="minorHAnsi"/>
          <w:iCs/>
          <w:sz w:val="22"/>
          <w:szCs w:val="22"/>
        </w:rPr>
        <w:t>Pain</w:t>
      </w:r>
      <w:r w:rsidR="00CC3116" w:rsidRPr="00CC3116">
        <w:rPr>
          <w:rFonts w:asciiTheme="minorHAnsi" w:hAnsiTheme="minorHAnsi"/>
          <w:iCs/>
          <w:sz w:val="22"/>
          <w:szCs w:val="22"/>
        </w:rPr>
        <w:t>. 2004</w:t>
      </w:r>
      <w:r w:rsidRPr="00CC3116">
        <w:rPr>
          <w:rFonts w:asciiTheme="minorHAnsi" w:hAnsiTheme="minorHAnsi"/>
          <w:sz w:val="22"/>
          <w:szCs w:val="22"/>
        </w:rPr>
        <w:t>; 110(1):</w:t>
      </w:r>
      <w:r w:rsidRPr="00E01B53">
        <w:rPr>
          <w:rFonts w:asciiTheme="minorHAnsi" w:hAnsiTheme="minorHAnsi"/>
          <w:sz w:val="22"/>
          <w:szCs w:val="22"/>
        </w:rPr>
        <w:t xml:space="preserve"> 361-368.</w:t>
      </w:r>
    </w:p>
    <w:p w14:paraId="42475682" w14:textId="77777777" w:rsidR="00E56953" w:rsidRDefault="00CC3116" w:rsidP="00E56953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Bergman S, </w:t>
      </w:r>
      <w:proofErr w:type="spellStart"/>
      <w:r>
        <w:rPr>
          <w:rFonts w:asciiTheme="minorHAnsi" w:hAnsiTheme="minorHAnsi"/>
          <w:sz w:val="22"/>
          <w:szCs w:val="22"/>
        </w:rPr>
        <w:t>Herrström</w:t>
      </w:r>
      <w:proofErr w:type="spellEnd"/>
      <w:r>
        <w:rPr>
          <w:rFonts w:asciiTheme="minorHAnsi" w:hAnsiTheme="minorHAnsi"/>
          <w:sz w:val="22"/>
          <w:szCs w:val="22"/>
        </w:rPr>
        <w:t xml:space="preserve"> P, </w:t>
      </w:r>
      <w:proofErr w:type="spellStart"/>
      <w:r>
        <w:rPr>
          <w:rFonts w:asciiTheme="minorHAnsi" w:hAnsiTheme="minorHAnsi"/>
          <w:sz w:val="22"/>
          <w:szCs w:val="22"/>
        </w:rPr>
        <w:t>Högström</w:t>
      </w:r>
      <w:proofErr w:type="spellEnd"/>
      <w:r>
        <w:rPr>
          <w:rFonts w:asciiTheme="minorHAnsi" w:hAnsiTheme="minorHAnsi"/>
          <w:sz w:val="22"/>
          <w:szCs w:val="22"/>
        </w:rPr>
        <w:t xml:space="preserve"> K, </w:t>
      </w:r>
      <w:proofErr w:type="spellStart"/>
      <w:r>
        <w:rPr>
          <w:rFonts w:asciiTheme="minorHAnsi" w:hAnsiTheme="minorHAnsi"/>
          <w:sz w:val="22"/>
          <w:szCs w:val="22"/>
        </w:rPr>
        <w:t>Petersson</w:t>
      </w:r>
      <w:proofErr w:type="spellEnd"/>
      <w:r>
        <w:rPr>
          <w:rFonts w:asciiTheme="minorHAnsi" w:hAnsiTheme="minorHAnsi"/>
          <w:sz w:val="22"/>
          <w:szCs w:val="22"/>
        </w:rPr>
        <w:t xml:space="preserve"> IF, </w:t>
      </w:r>
      <w:proofErr w:type="spellStart"/>
      <w:r>
        <w:rPr>
          <w:rFonts w:asciiTheme="minorHAnsi" w:hAnsiTheme="minorHAnsi"/>
          <w:sz w:val="22"/>
          <w:szCs w:val="22"/>
        </w:rPr>
        <w:t>Svensson</w:t>
      </w:r>
      <w:proofErr w:type="spellEnd"/>
      <w:r>
        <w:rPr>
          <w:rFonts w:asciiTheme="minorHAnsi" w:hAnsiTheme="minorHAnsi"/>
          <w:sz w:val="22"/>
          <w:szCs w:val="22"/>
        </w:rPr>
        <w:t xml:space="preserve"> B, </w:t>
      </w:r>
      <w:proofErr w:type="spellStart"/>
      <w:r>
        <w:rPr>
          <w:rFonts w:asciiTheme="minorHAnsi" w:hAnsiTheme="minorHAnsi"/>
          <w:sz w:val="22"/>
          <w:szCs w:val="22"/>
        </w:rPr>
        <w:t>Jacobsson</w:t>
      </w:r>
      <w:proofErr w:type="spellEnd"/>
      <w:r>
        <w:rPr>
          <w:rFonts w:asciiTheme="minorHAnsi" w:hAnsiTheme="minorHAnsi"/>
          <w:sz w:val="22"/>
          <w:szCs w:val="22"/>
        </w:rPr>
        <w:t xml:space="preserve"> L</w:t>
      </w:r>
      <w:r w:rsidR="004076FD" w:rsidRPr="008A21C3">
        <w:rPr>
          <w:rFonts w:asciiTheme="minorHAnsi" w:hAnsiTheme="minorHAnsi"/>
          <w:sz w:val="22"/>
          <w:szCs w:val="22"/>
        </w:rPr>
        <w:t xml:space="preserve">T. Chronic musculoskeletal pain, prevalence </w:t>
      </w:r>
      <w:r w:rsidR="004076FD" w:rsidRPr="00CC3116">
        <w:rPr>
          <w:rFonts w:asciiTheme="minorHAnsi" w:hAnsiTheme="minorHAnsi"/>
          <w:sz w:val="22"/>
          <w:szCs w:val="22"/>
        </w:rPr>
        <w:t xml:space="preserve">rates, and sociodemographic associations in a Swedish population study. 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J </w:t>
      </w:r>
      <w:proofErr w:type="spellStart"/>
      <w:r w:rsidR="004076FD" w:rsidRPr="00CC3116">
        <w:rPr>
          <w:rFonts w:asciiTheme="minorHAnsi" w:hAnsiTheme="minorHAnsi"/>
          <w:iCs/>
          <w:sz w:val="22"/>
          <w:szCs w:val="22"/>
        </w:rPr>
        <w:t>Rheumatol</w:t>
      </w:r>
      <w:proofErr w:type="spellEnd"/>
      <w:r w:rsidRPr="00CC3116">
        <w:rPr>
          <w:rFonts w:asciiTheme="minorHAnsi" w:hAnsiTheme="minorHAnsi"/>
          <w:iCs/>
          <w:sz w:val="22"/>
          <w:szCs w:val="22"/>
        </w:rPr>
        <w:t>. 2001</w:t>
      </w:r>
      <w:r w:rsidR="004076FD" w:rsidRPr="00CC3116">
        <w:rPr>
          <w:rFonts w:asciiTheme="minorHAnsi" w:hAnsiTheme="minorHAnsi"/>
          <w:iCs/>
          <w:sz w:val="22"/>
          <w:szCs w:val="22"/>
        </w:rPr>
        <w:t xml:space="preserve">; </w:t>
      </w:r>
      <w:r w:rsidR="004076FD" w:rsidRPr="00CC3116">
        <w:rPr>
          <w:rFonts w:asciiTheme="minorHAnsi" w:hAnsiTheme="minorHAnsi"/>
          <w:sz w:val="22"/>
          <w:szCs w:val="22"/>
        </w:rPr>
        <w:t>28(6): 1369</w:t>
      </w:r>
      <w:r w:rsidR="004076FD" w:rsidRPr="00E01B53">
        <w:rPr>
          <w:rFonts w:asciiTheme="minorHAnsi" w:hAnsiTheme="minorHAnsi"/>
          <w:sz w:val="22"/>
          <w:szCs w:val="22"/>
        </w:rPr>
        <w:t>-1377.</w:t>
      </w:r>
    </w:p>
    <w:p w14:paraId="35947ED5" w14:textId="77777777" w:rsidR="00E56953" w:rsidRDefault="00FD3135" w:rsidP="00E56953">
      <w:pPr>
        <w:pStyle w:val="Default"/>
        <w:tabs>
          <w:tab w:val="left" w:pos="567"/>
        </w:tabs>
        <w:spacing w:line="480" w:lineRule="auto"/>
        <w:ind w:left="567" w:hanging="567"/>
        <w:rPr>
          <w:rFonts w:asciiTheme="minorHAnsi" w:hAnsiTheme="minorHAnsi"/>
          <w:sz w:val="22"/>
          <w:szCs w:val="22"/>
        </w:rPr>
      </w:pPr>
      <w:r w:rsidRPr="00E56953">
        <w:rPr>
          <w:rFonts w:asciiTheme="minorHAnsi" w:hAnsiTheme="minorHAnsi"/>
          <w:bCs/>
          <w:sz w:val="22"/>
          <w:szCs w:val="22"/>
        </w:rPr>
        <w:t>Saltzman</w:t>
      </w:r>
      <w:r w:rsidRPr="00E56953">
        <w:rPr>
          <w:rFonts w:asciiTheme="minorHAnsi" w:hAnsiTheme="minorHAnsi"/>
          <w:sz w:val="22"/>
          <w:szCs w:val="22"/>
        </w:rPr>
        <w:t xml:space="preserve"> CL, </w:t>
      </w:r>
      <w:proofErr w:type="spellStart"/>
      <w:r w:rsidRPr="00E56953">
        <w:rPr>
          <w:rFonts w:asciiTheme="minorHAnsi" w:hAnsiTheme="minorHAnsi"/>
          <w:sz w:val="22"/>
          <w:szCs w:val="22"/>
        </w:rPr>
        <w:t>Salamon</w:t>
      </w:r>
      <w:proofErr w:type="spellEnd"/>
      <w:r w:rsidRPr="00E56953">
        <w:rPr>
          <w:rFonts w:asciiTheme="minorHAnsi" w:hAnsiTheme="minorHAnsi"/>
          <w:sz w:val="22"/>
          <w:szCs w:val="22"/>
        </w:rPr>
        <w:t xml:space="preserve"> ML, Blanchard GM, Huff T, Hayes A, </w:t>
      </w:r>
      <w:proofErr w:type="spellStart"/>
      <w:r w:rsidRPr="00E56953">
        <w:rPr>
          <w:rFonts w:asciiTheme="minorHAnsi" w:hAnsiTheme="minorHAnsi"/>
          <w:sz w:val="22"/>
          <w:szCs w:val="22"/>
        </w:rPr>
        <w:t>Buckwalter</w:t>
      </w:r>
      <w:proofErr w:type="spellEnd"/>
      <w:r w:rsidRPr="00E56953">
        <w:rPr>
          <w:rFonts w:asciiTheme="minorHAnsi" w:hAnsiTheme="minorHAnsi"/>
          <w:sz w:val="22"/>
          <w:szCs w:val="22"/>
        </w:rPr>
        <w:t xml:space="preserve"> JA, </w:t>
      </w:r>
      <w:r w:rsidR="00E56953" w:rsidRPr="00E56953">
        <w:rPr>
          <w:rFonts w:asciiTheme="minorHAnsi" w:hAnsiTheme="minorHAnsi"/>
          <w:sz w:val="22"/>
          <w:szCs w:val="22"/>
        </w:rPr>
        <w:t>et al</w:t>
      </w:r>
      <w:r w:rsidRPr="00E56953">
        <w:rPr>
          <w:rFonts w:asciiTheme="minorHAnsi" w:hAnsiTheme="minorHAnsi"/>
          <w:sz w:val="22"/>
          <w:szCs w:val="22"/>
        </w:rPr>
        <w:t>. Epidemiology of </w:t>
      </w:r>
      <w:r w:rsidRPr="00E56953">
        <w:rPr>
          <w:rFonts w:asciiTheme="minorHAnsi" w:hAnsiTheme="minorHAnsi"/>
          <w:bCs/>
          <w:sz w:val="22"/>
          <w:szCs w:val="22"/>
        </w:rPr>
        <w:t>ankle</w:t>
      </w:r>
      <w:r w:rsidRPr="00E56953">
        <w:rPr>
          <w:rFonts w:asciiTheme="minorHAnsi" w:hAnsiTheme="minorHAnsi"/>
          <w:sz w:val="22"/>
          <w:szCs w:val="22"/>
        </w:rPr>
        <w:t xml:space="preserve"> arthritis: report of a consecutive series of 639 patients from a tertiary orthopaedic </w:t>
      </w:r>
      <w:proofErr w:type="spellStart"/>
      <w:r w:rsidRPr="00E56953">
        <w:rPr>
          <w:rFonts w:asciiTheme="minorHAnsi" w:hAnsiTheme="minorHAnsi"/>
          <w:sz w:val="22"/>
          <w:szCs w:val="22"/>
        </w:rPr>
        <w:t>center</w:t>
      </w:r>
      <w:proofErr w:type="spellEnd"/>
      <w:r w:rsidRPr="00E56953">
        <w:rPr>
          <w:rFonts w:asciiTheme="minorHAnsi" w:hAnsiTheme="minorHAnsi"/>
          <w:sz w:val="22"/>
          <w:szCs w:val="22"/>
        </w:rPr>
        <w:t xml:space="preserve">. </w:t>
      </w:r>
      <w:r w:rsidRPr="00E56953">
        <w:rPr>
          <w:rStyle w:val="jrnl"/>
          <w:rFonts w:asciiTheme="minorHAnsi" w:hAnsiTheme="minorHAnsi"/>
          <w:sz w:val="22"/>
          <w:szCs w:val="22"/>
        </w:rPr>
        <w:t xml:space="preserve">Iowa </w:t>
      </w:r>
      <w:proofErr w:type="spellStart"/>
      <w:r w:rsidRPr="00E56953">
        <w:rPr>
          <w:rStyle w:val="jrnl"/>
          <w:rFonts w:asciiTheme="minorHAnsi" w:hAnsiTheme="minorHAnsi"/>
          <w:sz w:val="22"/>
          <w:szCs w:val="22"/>
        </w:rPr>
        <w:t>Orthop</w:t>
      </w:r>
      <w:proofErr w:type="spellEnd"/>
      <w:r w:rsidRPr="00E56953">
        <w:rPr>
          <w:rStyle w:val="jrnl"/>
          <w:rFonts w:asciiTheme="minorHAnsi" w:hAnsiTheme="minorHAnsi"/>
          <w:sz w:val="22"/>
          <w:szCs w:val="22"/>
        </w:rPr>
        <w:t xml:space="preserve"> J</w:t>
      </w:r>
      <w:r w:rsidRPr="00E56953">
        <w:rPr>
          <w:rFonts w:asciiTheme="minorHAnsi" w:hAnsiTheme="minorHAnsi"/>
          <w:sz w:val="22"/>
          <w:szCs w:val="22"/>
        </w:rPr>
        <w:t>. </w:t>
      </w:r>
      <w:r w:rsidRPr="00E56953">
        <w:rPr>
          <w:rFonts w:asciiTheme="minorHAnsi" w:hAnsiTheme="minorHAnsi"/>
          <w:bCs/>
          <w:sz w:val="22"/>
          <w:szCs w:val="22"/>
        </w:rPr>
        <w:t>2005</w:t>
      </w:r>
      <w:r w:rsidRPr="00E56953">
        <w:rPr>
          <w:rFonts w:asciiTheme="minorHAnsi" w:hAnsiTheme="minorHAnsi"/>
          <w:sz w:val="22"/>
          <w:szCs w:val="22"/>
        </w:rPr>
        <w:t>;</w:t>
      </w:r>
      <w:r w:rsidR="00E56953" w:rsidRPr="00E56953">
        <w:rPr>
          <w:rFonts w:asciiTheme="minorHAnsi" w:hAnsiTheme="minorHAnsi"/>
          <w:sz w:val="22"/>
          <w:szCs w:val="22"/>
        </w:rPr>
        <w:t xml:space="preserve"> </w:t>
      </w:r>
      <w:r w:rsidRPr="00E56953">
        <w:rPr>
          <w:rFonts w:asciiTheme="minorHAnsi" w:hAnsiTheme="minorHAnsi"/>
          <w:sz w:val="22"/>
          <w:szCs w:val="22"/>
        </w:rPr>
        <w:t>25:</w:t>
      </w:r>
      <w:r w:rsidR="00E56953" w:rsidRPr="00E56953">
        <w:rPr>
          <w:rFonts w:asciiTheme="minorHAnsi" w:hAnsiTheme="minorHAnsi"/>
          <w:sz w:val="22"/>
          <w:szCs w:val="22"/>
        </w:rPr>
        <w:t xml:space="preserve"> </w:t>
      </w:r>
      <w:r w:rsidRPr="00E56953">
        <w:rPr>
          <w:rFonts w:asciiTheme="minorHAnsi" w:hAnsiTheme="minorHAnsi"/>
          <w:sz w:val="22"/>
          <w:szCs w:val="22"/>
        </w:rPr>
        <w:t>44-6.</w:t>
      </w:r>
    </w:p>
    <w:p w14:paraId="5872EA29" w14:textId="1CD28321" w:rsidR="00FD3135" w:rsidRPr="00E56E8E" w:rsidRDefault="00FD3135" w:rsidP="00E56953">
      <w:pPr>
        <w:pStyle w:val="Default"/>
        <w:tabs>
          <w:tab w:val="left" w:pos="567"/>
        </w:tabs>
        <w:spacing w:line="480" w:lineRule="auto"/>
        <w:ind w:left="567" w:hanging="567"/>
        <w:rPr>
          <w:rFonts w:asciiTheme="minorHAnsi" w:hAnsiTheme="minorHAnsi"/>
          <w:sz w:val="22"/>
          <w:szCs w:val="22"/>
        </w:rPr>
      </w:pPr>
      <w:r w:rsidRPr="00E56E8E">
        <w:rPr>
          <w:rFonts w:asciiTheme="minorHAnsi" w:hAnsiTheme="minorHAnsi"/>
          <w:bCs/>
          <w:sz w:val="22"/>
          <w:szCs w:val="22"/>
        </w:rPr>
        <w:t>Kraus</w:t>
      </w:r>
      <w:r w:rsidRPr="00E56E8E">
        <w:rPr>
          <w:rFonts w:asciiTheme="minorHAnsi" w:hAnsiTheme="minorHAnsi"/>
          <w:sz w:val="22"/>
          <w:szCs w:val="22"/>
        </w:rPr>
        <w:t xml:space="preserve"> VB, Worrell TW, Renner JB, Coleman RE, Pieper CF. </w:t>
      </w:r>
      <w:hyperlink r:id="rId11" w:history="1">
        <w:r w:rsidRPr="00E56E8E">
          <w:rPr>
            <w:rStyle w:val="Hyperlink"/>
            <w:rFonts w:asciiTheme="minorHAnsi" w:hAnsiTheme="minorHAnsi"/>
            <w:color w:val="642A8F"/>
            <w:sz w:val="22"/>
            <w:szCs w:val="22"/>
          </w:rPr>
          <w:t>High prevalence of contralateral </w:t>
        </w:r>
        <w:r w:rsidRPr="00E56E8E">
          <w:rPr>
            <w:rStyle w:val="Hyperlink"/>
            <w:rFonts w:asciiTheme="minorHAnsi" w:hAnsiTheme="minorHAnsi"/>
            <w:bCs/>
            <w:color w:val="642A8F"/>
            <w:sz w:val="22"/>
            <w:szCs w:val="22"/>
          </w:rPr>
          <w:t>ankle</w:t>
        </w:r>
        <w:r w:rsidRPr="00E56E8E">
          <w:rPr>
            <w:rStyle w:val="Hyperlink"/>
            <w:rFonts w:asciiTheme="minorHAnsi" w:hAnsiTheme="minorHAnsi"/>
            <w:color w:val="642A8F"/>
            <w:sz w:val="22"/>
            <w:szCs w:val="22"/>
          </w:rPr>
          <w:t> abnormalities in association with knee </w:t>
        </w:r>
        <w:r w:rsidRPr="00E56E8E">
          <w:rPr>
            <w:rStyle w:val="Hyperlink"/>
            <w:rFonts w:asciiTheme="minorHAnsi" w:hAnsiTheme="minorHAnsi"/>
            <w:bCs/>
            <w:color w:val="642A8F"/>
            <w:sz w:val="22"/>
            <w:szCs w:val="22"/>
          </w:rPr>
          <w:t>osteoarthritis</w:t>
        </w:r>
        <w:r w:rsidRPr="00E56E8E">
          <w:rPr>
            <w:rStyle w:val="Hyperlink"/>
            <w:rFonts w:asciiTheme="minorHAnsi" w:hAnsiTheme="minorHAnsi"/>
            <w:color w:val="642A8F"/>
            <w:sz w:val="22"/>
            <w:szCs w:val="22"/>
          </w:rPr>
          <w:t> and malalignment.</w:t>
        </w:r>
      </w:hyperlink>
      <w:r w:rsidRPr="00E56E8E">
        <w:rPr>
          <w:rFonts w:asciiTheme="minorHAnsi" w:hAnsiTheme="minorHAnsi"/>
          <w:sz w:val="22"/>
          <w:szCs w:val="22"/>
        </w:rPr>
        <w:t xml:space="preserve"> </w:t>
      </w:r>
      <w:r w:rsidRPr="00E56E8E">
        <w:rPr>
          <w:rStyle w:val="jrnl"/>
          <w:rFonts w:asciiTheme="minorHAnsi" w:hAnsiTheme="minorHAnsi"/>
          <w:bCs/>
          <w:sz w:val="22"/>
          <w:szCs w:val="22"/>
        </w:rPr>
        <w:t>Osteoarthritis</w:t>
      </w:r>
      <w:r w:rsidRPr="00E56E8E">
        <w:rPr>
          <w:rStyle w:val="jrnl"/>
          <w:rFonts w:asciiTheme="minorHAnsi" w:hAnsiTheme="minorHAnsi"/>
          <w:sz w:val="22"/>
          <w:szCs w:val="22"/>
        </w:rPr>
        <w:t> Cartilage</w:t>
      </w:r>
      <w:r w:rsidRPr="00E56E8E">
        <w:rPr>
          <w:rFonts w:asciiTheme="minorHAnsi" w:hAnsiTheme="minorHAnsi"/>
          <w:sz w:val="22"/>
          <w:szCs w:val="22"/>
        </w:rPr>
        <w:t>. 2013;</w:t>
      </w:r>
      <w:r w:rsidR="00E56953">
        <w:rPr>
          <w:rFonts w:asciiTheme="minorHAnsi" w:hAnsiTheme="minorHAnsi"/>
          <w:sz w:val="22"/>
          <w:szCs w:val="22"/>
        </w:rPr>
        <w:t xml:space="preserve"> </w:t>
      </w:r>
      <w:r w:rsidRPr="00E56E8E">
        <w:rPr>
          <w:rFonts w:asciiTheme="minorHAnsi" w:hAnsiTheme="minorHAnsi"/>
          <w:sz w:val="22"/>
          <w:szCs w:val="22"/>
        </w:rPr>
        <w:t>21(11):</w:t>
      </w:r>
      <w:r w:rsidR="00E56953">
        <w:rPr>
          <w:rFonts w:asciiTheme="minorHAnsi" w:hAnsiTheme="minorHAnsi"/>
          <w:sz w:val="22"/>
          <w:szCs w:val="22"/>
        </w:rPr>
        <w:t xml:space="preserve"> </w:t>
      </w:r>
      <w:r w:rsidRPr="00E56E8E">
        <w:rPr>
          <w:rFonts w:asciiTheme="minorHAnsi" w:hAnsiTheme="minorHAnsi"/>
          <w:sz w:val="22"/>
          <w:szCs w:val="22"/>
        </w:rPr>
        <w:t>1693-9.</w:t>
      </w:r>
    </w:p>
    <w:p w14:paraId="4572F839" w14:textId="7B016096" w:rsidR="004076FD" w:rsidRPr="00FD3135" w:rsidRDefault="00FD3135" w:rsidP="00FD3135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FD3135">
        <w:rPr>
          <w:rFonts w:asciiTheme="minorHAnsi" w:hAnsiTheme="minorHAnsi"/>
          <w:sz w:val="22"/>
          <w:szCs w:val="22"/>
        </w:rPr>
        <w:t xml:space="preserve"> </w:t>
      </w:r>
      <w:r w:rsidR="004076FD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Peat G, </w:t>
      </w:r>
      <w:proofErr w:type="spellStart"/>
      <w:r w:rsidR="004076FD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McCarney</w:t>
      </w:r>
      <w:proofErr w:type="spellEnd"/>
      <w:r w:rsidR="004076FD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R, Croft P. Knee pain and osteoarthritis in older adults: a review of community burden and current use of primary health care. Ann </w:t>
      </w:r>
      <w:r w:rsidR="000252CE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Rheum</w:t>
      </w:r>
      <w:r w:rsidR="004076FD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0252CE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D</w:t>
      </w:r>
      <w:r w:rsidR="004076FD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is. 2001;</w:t>
      </w:r>
      <w:r w:rsidR="00CC3116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4076FD" w:rsidRPr="00FD313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60(2):91-7.</w:t>
      </w:r>
    </w:p>
    <w:p w14:paraId="66A98011" w14:textId="5388FC96" w:rsidR="004076FD" w:rsidRPr="00D13859" w:rsidRDefault="004076FD" w:rsidP="00931560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 w:rsidRPr="00D13859">
        <w:rPr>
          <w:rFonts w:asciiTheme="minorHAnsi" w:hAnsiTheme="minorHAnsi"/>
          <w:sz w:val="22"/>
          <w:szCs w:val="22"/>
        </w:rPr>
        <w:lastRenderedPageBreak/>
        <w:t>Braun HJ, Gold GE. Diagnosis of Oste</w:t>
      </w:r>
      <w:r w:rsidR="00CC3116">
        <w:rPr>
          <w:rFonts w:asciiTheme="minorHAnsi" w:hAnsiTheme="minorHAnsi"/>
          <w:sz w:val="22"/>
          <w:szCs w:val="22"/>
        </w:rPr>
        <w:t>oarthritis: Imaging. Bone. 2012;</w:t>
      </w:r>
      <w:r w:rsidRPr="00D13859">
        <w:rPr>
          <w:rFonts w:asciiTheme="minorHAnsi" w:hAnsiTheme="minorHAnsi"/>
          <w:sz w:val="22"/>
          <w:szCs w:val="22"/>
        </w:rPr>
        <w:t xml:space="preserve"> 51(2):278-288.</w:t>
      </w:r>
      <w:r w:rsidR="00926524">
        <w:rPr>
          <w:rFonts w:asciiTheme="minorHAnsi" w:hAnsiTheme="minorHAnsi"/>
          <w:sz w:val="22"/>
          <w:szCs w:val="22"/>
        </w:rPr>
        <w:t xml:space="preserve"> </w:t>
      </w:r>
    </w:p>
    <w:p w14:paraId="0FA2F275" w14:textId="7405BB08" w:rsidR="004076FD" w:rsidRPr="00931560" w:rsidRDefault="004076FD" w:rsidP="00926524">
      <w:pPr>
        <w:pStyle w:val="Default"/>
        <w:tabs>
          <w:tab w:val="left" w:pos="567"/>
        </w:tabs>
        <w:spacing w:line="480" w:lineRule="auto"/>
        <w:ind w:left="567"/>
        <w:rPr>
          <w:rFonts w:asciiTheme="minorHAnsi" w:hAnsiTheme="minorHAnsi"/>
          <w:color w:val="auto"/>
          <w:sz w:val="22"/>
          <w:szCs w:val="22"/>
        </w:rPr>
      </w:pPr>
      <w:r w:rsidRPr="009A5E1E">
        <w:rPr>
          <w:rFonts w:asciiTheme="minorHAnsi" w:hAnsiTheme="minorHAnsi"/>
          <w:color w:val="auto"/>
          <w:sz w:val="22"/>
          <w:szCs w:val="22"/>
        </w:rPr>
        <w:t xml:space="preserve">Office for National Statistics. </w:t>
      </w:r>
      <w:r w:rsidRPr="009A5E1E">
        <w:rPr>
          <w:rFonts w:asciiTheme="minorHAnsi" w:hAnsiTheme="minorHAnsi"/>
          <w:iCs/>
          <w:color w:val="auto"/>
          <w:sz w:val="22"/>
          <w:szCs w:val="22"/>
        </w:rPr>
        <w:t>2011 Census Statistics</w:t>
      </w:r>
      <w:r w:rsidRPr="009A5E1E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CC3116" w:rsidRPr="009A5E1E">
        <w:rPr>
          <w:rFonts w:asciiTheme="minorHAnsi" w:hAnsiTheme="minorHAnsi"/>
          <w:color w:val="auto"/>
          <w:sz w:val="22"/>
          <w:szCs w:val="22"/>
        </w:rPr>
        <w:t xml:space="preserve">2011. </w:t>
      </w:r>
      <w:r w:rsidRPr="009A5E1E">
        <w:rPr>
          <w:rFonts w:asciiTheme="minorHAnsi" w:hAnsiTheme="minorHAnsi"/>
          <w:color w:val="auto"/>
          <w:sz w:val="22"/>
          <w:szCs w:val="22"/>
        </w:rPr>
        <w:t xml:space="preserve">Available from: </w:t>
      </w:r>
      <w:r w:rsidRPr="00931560">
        <w:rPr>
          <w:rFonts w:asciiTheme="minorHAnsi" w:hAnsiTheme="minorHAnsi"/>
          <w:color w:val="auto"/>
          <w:sz w:val="22"/>
          <w:szCs w:val="22"/>
        </w:rPr>
        <w:t>https://www.nomisweb.co.uk/</w:t>
      </w:r>
    </w:p>
    <w:p w14:paraId="793C23A7" w14:textId="54B9F9C4" w:rsidR="004076FD" w:rsidRPr="00017F5E" w:rsidRDefault="00CC3116" w:rsidP="00FD3135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Kraus VB, </w:t>
      </w: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Kilfoil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TM, Hash TW</w:t>
      </w:r>
      <w:r w:rsid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, McDaniel, G, Renner JB, </w:t>
      </w:r>
      <w:proofErr w:type="spellStart"/>
      <w:r w:rsid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Carrino</w:t>
      </w:r>
      <w:proofErr w:type="spellEnd"/>
      <w:r w:rsid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JA.</w:t>
      </w:r>
      <w:r w:rsidR="004076FD" w:rsidRPr="008A21C3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Atlas of radiographic features of osteoarthritis of the ank</w:t>
      </w:r>
      <w:r w:rsidR="004076FD" w:rsidRPr="00E01B53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le and </w:t>
      </w:r>
      <w:proofErr w:type="spellStart"/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hindfoot</w:t>
      </w:r>
      <w:proofErr w:type="spellEnd"/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.</w:t>
      </w:r>
      <w:r w:rsidR="004076FD" w:rsidRPr="00017F5E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="004076FD" w:rsidRPr="00017F5E">
        <w:rPr>
          <w:rFonts w:asciiTheme="minorHAnsi" w:hAnsiTheme="minorHAnsi"/>
          <w:iCs/>
          <w:sz w:val="22"/>
          <w:szCs w:val="22"/>
        </w:rPr>
        <w:t>Osteoarthritis Cartilage</w:t>
      </w:r>
      <w:r w:rsidR="00017F5E" w:rsidRPr="00017F5E">
        <w:rPr>
          <w:rFonts w:asciiTheme="minorHAnsi" w:hAnsiTheme="minorHAnsi"/>
          <w:iCs/>
          <w:sz w:val="22"/>
          <w:szCs w:val="22"/>
        </w:rPr>
        <w:t>. 2015</w:t>
      </w:r>
      <w:r w:rsidR="004076FD" w:rsidRPr="00017F5E">
        <w:rPr>
          <w:rFonts w:asciiTheme="minorHAnsi" w:hAnsiTheme="minorHAnsi"/>
          <w:sz w:val="22"/>
          <w:szCs w:val="22"/>
        </w:rPr>
        <w:t xml:space="preserve">; </w:t>
      </w:r>
      <w:r w:rsidR="004076FD" w:rsidRPr="00017F5E">
        <w:rPr>
          <w:rFonts w:asciiTheme="minorHAnsi" w:hAnsiTheme="minorHAnsi"/>
          <w:iCs/>
          <w:sz w:val="22"/>
          <w:szCs w:val="22"/>
        </w:rPr>
        <w:t>23</w:t>
      </w:r>
      <w:r w:rsidR="004076FD" w:rsidRPr="00017F5E">
        <w:rPr>
          <w:rFonts w:asciiTheme="minorHAnsi" w:hAnsiTheme="minorHAnsi"/>
          <w:sz w:val="22"/>
          <w:szCs w:val="22"/>
        </w:rPr>
        <w:t>(12): 2059-2085.</w:t>
      </w:r>
    </w:p>
    <w:p w14:paraId="1330C3DE" w14:textId="18405E1A" w:rsidR="004076FD" w:rsidRPr="001C58F0" w:rsidRDefault="00017F5E" w:rsidP="00FD3135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Reijman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M</w:t>
      </w:r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,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Hazes JMW, Pols HAP</w:t>
      </w:r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Be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rnsen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RMD, </w:t>
      </w: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Koes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BW, </w:t>
      </w:r>
      <w:proofErr w:type="spellStart"/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Bierma-Zeinstra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SMA. </w:t>
      </w:r>
      <w:r w:rsidR="004076FD" w:rsidRPr="008A21C3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Validity and reliability of three definitions of hip osteoarth</w:t>
      </w:r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ritis: cross sectional and longitudinal approach.</w:t>
      </w:r>
      <w:r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4076FD" w:rsidRPr="00017F5E">
        <w:rPr>
          <w:rFonts w:asciiTheme="minorHAnsi" w:hAnsiTheme="minorHAnsi"/>
          <w:iCs/>
          <w:sz w:val="22"/>
          <w:szCs w:val="22"/>
        </w:rPr>
        <w:t>Ann</w:t>
      </w:r>
      <w:r w:rsidR="00764A57">
        <w:rPr>
          <w:rFonts w:asciiTheme="minorHAnsi" w:hAnsiTheme="minorHAnsi"/>
          <w:iCs/>
          <w:sz w:val="22"/>
          <w:szCs w:val="22"/>
        </w:rPr>
        <w:t xml:space="preserve"> R</w:t>
      </w:r>
      <w:r w:rsidR="004076FD" w:rsidRPr="00017F5E">
        <w:rPr>
          <w:rFonts w:asciiTheme="minorHAnsi" w:hAnsiTheme="minorHAnsi"/>
          <w:iCs/>
          <w:sz w:val="22"/>
          <w:szCs w:val="22"/>
        </w:rPr>
        <w:t>heum</w:t>
      </w:r>
      <w:r w:rsidR="00764A57">
        <w:rPr>
          <w:rFonts w:asciiTheme="minorHAnsi" w:hAnsiTheme="minorHAnsi"/>
          <w:iCs/>
          <w:sz w:val="22"/>
          <w:szCs w:val="22"/>
        </w:rPr>
        <w:t xml:space="preserve"> D</w:t>
      </w:r>
      <w:r w:rsidR="004076FD" w:rsidRPr="00017F5E">
        <w:rPr>
          <w:rFonts w:asciiTheme="minorHAnsi" w:hAnsiTheme="minorHAnsi"/>
          <w:iCs/>
          <w:sz w:val="22"/>
          <w:szCs w:val="22"/>
        </w:rPr>
        <w:t>is</w:t>
      </w:r>
      <w:r w:rsidRPr="00017F5E">
        <w:rPr>
          <w:rFonts w:asciiTheme="minorHAnsi" w:hAnsiTheme="minorHAnsi"/>
          <w:iCs/>
          <w:sz w:val="22"/>
          <w:szCs w:val="22"/>
        </w:rPr>
        <w:t>. 2004</w:t>
      </w:r>
      <w:r w:rsidR="004076FD" w:rsidRPr="00017F5E">
        <w:rPr>
          <w:rFonts w:asciiTheme="minorHAnsi" w:hAnsiTheme="minorHAnsi"/>
          <w:sz w:val="22"/>
          <w:szCs w:val="22"/>
        </w:rPr>
        <w:t>;</w:t>
      </w:r>
      <w:r w:rsidR="004076FD" w:rsidRPr="00017F5E">
        <w:rPr>
          <w:rStyle w:val="apple-converted-space"/>
          <w:rFonts w:asciiTheme="minorHAnsi" w:hAnsiTheme="minorHAnsi"/>
          <w:sz w:val="22"/>
          <w:szCs w:val="22"/>
        </w:rPr>
        <w:t> </w:t>
      </w:r>
      <w:r w:rsidR="004076FD" w:rsidRPr="00017F5E">
        <w:rPr>
          <w:rFonts w:asciiTheme="minorHAnsi" w:hAnsiTheme="minorHAnsi"/>
          <w:iCs/>
          <w:sz w:val="22"/>
          <w:szCs w:val="22"/>
        </w:rPr>
        <w:t>63</w:t>
      </w:r>
      <w:r w:rsidR="004076FD" w:rsidRPr="00017F5E">
        <w:rPr>
          <w:rFonts w:asciiTheme="minorHAnsi" w:hAnsiTheme="minorHAnsi"/>
          <w:sz w:val="22"/>
          <w:szCs w:val="22"/>
        </w:rPr>
        <w:t>(11): 1427-1433</w:t>
      </w:r>
      <w:r w:rsidR="004076FD" w:rsidRPr="00E01B53">
        <w:rPr>
          <w:rFonts w:asciiTheme="minorHAnsi" w:hAnsiTheme="minorHAnsi"/>
          <w:sz w:val="22"/>
          <w:szCs w:val="22"/>
        </w:rPr>
        <w:t>.</w:t>
      </w:r>
    </w:p>
    <w:p w14:paraId="50D6DB69" w14:textId="71459B8A" w:rsidR="004076FD" w:rsidRPr="00017F5E" w:rsidRDefault="00017F5E" w:rsidP="00FD3135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Riddle </w:t>
      </w:r>
      <w:r w:rsidR="004076FD" w:rsidRPr="008A21C3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D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L, Stratford PW.</w:t>
      </w:r>
      <w:r w:rsidR="004076FD" w:rsidRPr="008A21C3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Body weight changes and corresponding changes in pain and function in persons with symptomatic knee osteoarthritis: a </w:t>
      </w:r>
      <w:r w:rsidR="004076FD" w:rsidRPr="00017F5E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cohort study.</w:t>
      </w:r>
      <w:r w:rsidR="004076FD" w:rsidRPr="00017F5E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="004076FD" w:rsidRPr="00017F5E">
        <w:rPr>
          <w:rFonts w:asciiTheme="minorHAnsi" w:hAnsiTheme="minorHAnsi"/>
          <w:iCs/>
          <w:sz w:val="22"/>
          <w:szCs w:val="22"/>
        </w:rPr>
        <w:t xml:space="preserve">Arthritis </w:t>
      </w:r>
      <w:r w:rsidR="00764A57">
        <w:rPr>
          <w:rFonts w:asciiTheme="minorHAnsi" w:hAnsiTheme="minorHAnsi"/>
          <w:iCs/>
          <w:sz w:val="22"/>
          <w:szCs w:val="22"/>
        </w:rPr>
        <w:t>C</w:t>
      </w:r>
      <w:r w:rsidR="004076FD" w:rsidRPr="00017F5E">
        <w:rPr>
          <w:rFonts w:asciiTheme="minorHAnsi" w:hAnsiTheme="minorHAnsi"/>
          <w:iCs/>
          <w:sz w:val="22"/>
          <w:szCs w:val="22"/>
        </w:rPr>
        <w:t xml:space="preserve">are </w:t>
      </w:r>
      <w:r w:rsidR="00764A57">
        <w:rPr>
          <w:rFonts w:asciiTheme="minorHAnsi" w:hAnsiTheme="minorHAnsi"/>
          <w:iCs/>
          <w:sz w:val="22"/>
          <w:szCs w:val="22"/>
        </w:rPr>
        <w:t>R</w:t>
      </w:r>
      <w:r w:rsidR="004076FD" w:rsidRPr="00017F5E">
        <w:rPr>
          <w:rFonts w:asciiTheme="minorHAnsi" w:hAnsiTheme="minorHAnsi"/>
          <w:iCs/>
          <w:sz w:val="22"/>
          <w:szCs w:val="22"/>
        </w:rPr>
        <w:t>es</w:t>
      </w:r>
      <w:r w:rsidRPr="00017F5E">
        <w:rPr>
          <w:rFonts w:asciiTheme="minorHAnsi" w:hAnsiTheme="minorHAnsi"/>
          <w:iCs/>
          <w:sz w:val="22"/>
          <w:szCs w:val="22"/>
        </w:rPr>
        <w:t>. 2013</w:t>
      </w:r>
      <w:r w:rsidR="004076FD" w:rsidRPr="00017F5E">
        <w:rPr>
          <w:rFonts w:asciiTheme="minorHAnsi" w:hAnsiTheme="minorHAnsi"/>
          <w:iCs/>
          <w:sz w:val="22"/>
          <w:szCs w:val="22"/>
        </w:rPr>
        <w:t>;</w:t>
      </w:r>
      <w:r w:rsidR="004076FD" w:rsidRPr="00017F5E">
        <w:rPr>
          <w:rStyle w:val="apple-converted-space"/>
          <w:rFonts w:asciiTheme="minorHAnsi" w:hAnsiTheme="minorHAnsi"/>
          <w:sz w:val="22"/>
          <w:szCs w:val="22"/>
        </w:rPr>
        <w:t> </w:t>
      </w:r>
      <w:r w:rsidR="004076FD" w:rsidRPr="00017F5E">
        <w:rPr>
          <w:rFonts w:asciiTheme="minorHAnsi" w:hAnsiTheme="minorHAnsi"/>
          <w:iCs/>
          <w:sz w:val="22"/>
          <w:szCs w:val="22"/>
        </w:rPr>
        <w:t>65</w:t>
      </w:r>
      <w:r w:rsidR="004076FD" w:rsidRPr="00017F5E">
        <w:rPr>
          <w:rFonts w:asciiTheme="minorHAnsi" w:hAnsiTheme="minorHAnsi"/>
          <w:sz w:val="22"/>
          <w:szCs w:val="22"/>
        </w:rPr>
        <w:t>(1): 15-22</w:t>
      </w:r>
    </w:p>
    <w:p w14:paraId="6E2518BD" w14:textId="77777777" w:rsidR="00DA1B3D" w:rsidRPr="00E11077" w:rsidRDefault="00017F5E" w:rsidP="00FD3135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Visser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AW, </w:t>
      </w: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Bøyesen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P, Haugen IK, </w:t>
      </w: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Schoones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JW</w:t>
      </w:r>
      <w:r w:rsidR="004076FD" w:rsidRPr="00CC311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, van der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Heijde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DM, </w:t>
      </w:r>
      <w:proofErr w:type="spellStart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Rosendaal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FR</w:t>
      </w:r>
      <w:r w:rsidR="00A5785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,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et al. </w:t>
      </w:r>
      <w:r w:rsidR="004076FD" w:rsidRPr="00CC311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Radiographic scoring methods in hand osteoarthritis–a systematic literature search and descriptive </w:t>
      </w:r>
      <w:r w:rsidR="004076FD" w:rsidRPr="00E1107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review.</w:t>
      </w:r>
      <w:r w:rsidR="004076FD" w:rsidRPr="00E11077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="004076FD" w:rsidRPr="00E11077">
        <w:rPr>
          <w:rFonts w:asciiTheme="minorHAnsi" w:hAnsiTheme="minorHAnsi"/>
          <w:iCs/>
          <w:sz w:val="22"/>
          <w:szCs w:val="22"/>
        </w:rPr>
        <w:t>Osteoarthritis Cartilage</w:t>
      </w:r>
      <w:r w:rsidRPr="00E11077">
        <w:rPr>
          <w:rFonts w:asciiTheme="minorHAnsi" w:hAnsiTheme="minorHAnsi"/>
          <w:iCs/>
          <w:sz w:val="22"/>
          <w:szCs w:val="22"/>
        </w:rPr>
        <w:t>. 2014</w:t>
      </w:r>
      <w:r w:rsidR="004076FD" w:rsidRPr="00E11077">
        <w:rPr>
          <w:rFonts w:asciiTheme="minorHAnsi" w:hAnsiTheme="minorHAnsi"/>
          <w:sz w:val="22"/>
          <w:szCs w:val="22"/>
        </w:rPr>
        <w:t xml:space="preserve">; </w:t>
      </w:r>
      <w:r w:rsidR="004076FD" w:rsidRPr="00E11077">
        <w:rPr>
          <w:rFonts w:asciiTheme="minorHAnsi" w:hAnsiTheme="minorHAnsi"/>
          <w:iCs/>
          <w:sz w:val="22"/>
          <w:szCs w:val="22"/>
        </w:rPr>
        <w:t>22</w:t>
      </w:r>
      <w:r w:rsidR="004076FD" w:rsidRPr="00E11077">
        <w:rPr>
          <w:rFonts w:asciiTheme="minorHAnsi" w:hAnsiTheme="minorHAnsi"/>
          <w:sz w:val="22"/>
          <w:szCs w:val="22"/>
        </w:rPr>
        <w:t>(10): 1710-1723.</w:t>
      </w:r>
    </w:p>
    <w:p w14:paraId="690C4705" w14:textId="53C5D16F" w:rsidR="00E11077" w:rsidRPr="00931560" w:rsidRDefault="00E11077" w:rsidP="00FD3135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  <w:ind w:left="567" w:hanging="425"/>
        <w:rPr>
          <w:rFonts w:asciiTheme="minorHAnsi" w:hAnsiTheme="minorHAnsi"/>
          <w:sz w:val="22"/>
          <w:szCs w:val="22"/>
        </w:rPr>
      </w:pPr>
      <w:proofErr w:type="spellStart"/>
      <w:r w:rsidRPr="00931560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Guermazi</w:t>
      </w:r>
      <w:proofErr w:type="spellEnd"/>
      <w:r w:rsidRPr="00931560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, A., Roemer, F.W. and </w:t>
      </w:r>
      <w:proofErr w:type="spellStart"/>
      <w:r w:rsidRPr="00931560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Genant</w:t>
      </w:r>
      <w:proofErr w:type="spellEnd"/>
      <w:r w:rsidRPr="00931560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, H.K. Role of imaging in osteoarthritis: diagnosis, prognosis, and follow-up. </w:t>
      </w:r>
      <w:proofErr w:type="spellStart"/>
      <w:r w:rsidRPr="00931560">
        <w:rPr>
          <w:rFonts w:asciiTheme="minorHAnsi" w:hAnsiTheme="minorHAnsi"/>
          <w:iCs/>
          <w:color w:val="222222"/>
          <w:sz w:val="22"/>
          <w:szCs w:val="22"/>
          <w:shd w:val="clear" w:color="auto" w:fill="FFFFFF"/>
        </w:rPr>
        <w:t>Medicographia</w:t>
      </w:r>
      <w:proofErr w:type="spellEnd"/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. </w:t>
      </w:r>
      <w:r w:rsidRPr="00E45E5B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2013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; </w:t>
      </w:r>
      <w:r w:rsidRPr="00931560">
        <w:rPr>
          <w:rFonts w:asciiTheme="minorHAnsi" w:hAnsiTheme="minorHAnsi"/>
          <w:iCs/>
          <w:color w:val="222222"/>
          <w:sz w:val="22"/>
          <w:szCs w:val="22"/>
          <w:shd w:val="clear" w:color="auto" w:fill="FFFFFF"/>
        </w:rPr>
        <w:t>35</w:t>
      </w:r>
      <w:r>
        <w:rPr>
          <w:rFonts w:asciiTheme="minorHAnsi" w:hAnsiTheme="minorHAnsi"/>
          <w:iCs/>
          <w:color w:val="222222"/>
          <w:sz w:val="22"/>
          <w:szCs w:val="22"/>
          <w:shd w:val="clear" w:color="auto" w:fill="FFFFFF"/>
        </w:rPr>
        <w:t xml:space="preserve">: </w:t>
      </w:r>
      <w:r w:rsidRPr="00931560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164-171.</w:t>
      </w:r>
    </w:p>
    <w:p w14:paraId="0DDEE24B" w14:textId="20330EC3" w:rsidR="009E3EFD" w:rsidRPr="00626214" w:rsidRDefault="009E3EFD" w:rsidP="00931560">
      <w:pPr>
        <w:pStyle w:val="Default"/>
        <w:numPr>
          <w:ilvl w:val="0"/>
          <w:numId w:val="10"/>
        </w:numPr>
        <w:tabs>
          <w:tab w:val="left" w:pos="567"/>
        </w:tabs>
        <w:spacing w:line="480" w:lineRule="auto"/>
      </w:pPr>
      <w:r>
        <w:br w:type="page"/>
      </w:r>
    </w:p>
    <w:p w14:paraId="3A9C17E9" w14:textId="77777777" w:rsidR="009E3EFD" w:rsidRPr="006143B9" w:rsidRDefault="009E3EFD" w:rsidP="009E3EFD">
      <w:pPr>
        <w:spacing w:after="0" w:line="480" w:lineRule="auto"/>
        <w:rPr>
          <w:b/>
          <w:sz w:val="36"/>
          <w:szCs w:val="36"/>
        </w:rPr>
      </w:pPr>
      <w:r w:rsidRPr="006143B9">
        <w:rPr>
          <w:b/>
          <w:sz w:val="36"/>
          <w:szCs w:val="36"/>
        </w:rPr>
        <w:lastRenderedPageBreak/>
        <w:t>Supporting Information</w:t>
      </w:r>
    </w:p>
    <w:p w14:paraId="114E161F" w14:textId="5785A808" w:rsidR="009E3EFD" w:rsidRPr="00051500" w:rsidRDefault="009E3EFD" w:rsidP="009E3EFD">
      <w:pPr>
        <w:spacing w:after="0" w:line="480" w:lineRule="auto"/>
        <w:rPr>
          <w:b/>
          <w:sz w:val="36"/>
          <w:szCs w:val="36"/>
        </w:rPr>
      </w:pPr>
      <w:r>
        <w:t>S</w:t>
      </w:r>
      <w:r w:rsidR="001669C6">
        <w:t xml:space="preserve">1 </w:t>
      </w:r>
      <w:r>
        <w:t>File. Radiographic Classification Atlas of Ankle Osteoarthritis</w:t>
      </w:r>
      <w:r w:rsidRPr="00051500">
        <w:rPr>
          <w:b/>
          <w:sz w:val="36"/>
          <w:szCs w:val="36"/>
        </w:rPr>
        <w:t xml:space="preserve"> </w:t>
      </w:r>
    </w:p>
    <w:p w14:paraId="1F1BFEFB" w14:textId="77777777" w:rsidR="00443D06" w:rsidRPr="00CC3116" w:rsidRDefault="00443D06" w:rsidP="009E3EFD">
      <w:pPr>
        <w:pStyle w:val="Default"/>
        <w:tabs>
          <w:tab w:val="left" w:pos="567"/>
        </w:tabs>
        <w:spacing w:line="480" w:lineRule="auto"/>
      </w:pPr>
    </w:p>
    <w:sectPr w:rsidR="00443D06" w:rsidRPr="00CC3116" w:rsidSect="00626214">
      <w:pgSz w:w="11906" w:h="16838"/>
      <w:pgMar w:top="1134" w:right="1133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65D2" w14:textId="77777777" w:rsidR="008D6ABC" w:rsidRDefault="008D6ABC" w:rsidP="00687B42">
      <w:pPr>
        <w:spacing w:after="0" w:line="240" w:lineRule="auto"/>
      </w:pPr>
      <w:r>
        <w:separator/>
      </w:r>
    </w:p>
  </w:endnote>
  <w:endnote w:type="continuationSeparator" w:id="0">
    <w:p w14:paraId="05A70C83" w14:textId="77777777" w:rsidR="008D6ABC" w:rsidRDefault="008D6ABC" w:rsidP="0068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960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14A01" w14:textId="6558863E" w:rsidR="009E2C5C" w:rsidRDefault="009E2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F7B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4E80FEE6" w14:textId="77777777" w:rsidR="009E2C5C" w:rsidRDefault="009E2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E238D" w14:textId="77777777" w:rsidR="008D6ABC" w:rsidRDefault="008D6ABC" w:rsidP="00687B42">
      <w:pPr>
        <w:spacing w:after="0" w:line="240" w:lineRule="auto"/>
      </w:pPr>
      <w:r>
        <w:separator/>
      </w:r>
    </w:p>
  </w:footnote>
  <w:footnote w:type="continuationSeparator" w:id="0">
    <w:p w14:paraId="24B98451" w14:textId="77777777" w:rsidR="008D6ABC" w:rsidRDefault="008D6ABC" w:rsidP="0068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3C78"/>
    <w:multiLevelType w:val="multilevel"/>
    <w:tmpl w:val="824E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  <w:b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6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5231EF"/>
    <w:multiLevelType w:val="multilevel"/>
    <w:tmpl w:val="61B6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F46E32"/>
    <w:multiLevelType w:val="multilevel"/>
    <w:tmpl w:val="BBE0F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1220F9"/>
    <w:multiLevelType w:val="hybridMultilevel"/>
    <w:tmpl w:val="49B4DB14"/>
    <w:lvl w:ilvl="0" w:tplc="D17C35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D0B21"/>
    <w:multiLevelType w:val="multilevel"/>
    <w:tmpl w:val="824E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  <w:b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6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ED80CB8"/>
    <w:multiLevelType w:val="hybridMultilevel"/>
    <w:tmpl w:val="F448F3E6"/>
    <w:lvl w:ilvl="0" w:tplc="EDFC97F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141CC4"/>
    <w:multiLevelType w:val="multilevel"/>
    <w:tmpl w:val="824E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  <w:b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6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112B76"/>
    <w:multiLevelType w:val="hybridMultilevel"/>
    <w:tmpl w:val="CBC26B76"/>
    <w:lvl w:ilvl="0" w:tplc="2B88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A5A05"/>
    <w:multiLevelType w:val="multilevel"/>
    <w:tmpl w:val="B91617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3859D9"/>
    <w:multiLevelType w:val="hybridMultilevel"/>
    <w:tmpl w:val="7BE6BF7C"/>
    <w:lvl w:ilvl="0" w:tplc="CEF8B01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7470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2NTU2MrYwNzSztDBV0lEKTi0uzszPAykwMq8FAMXt2iQtAAAA"/>
  </w:docVars>
  <w:rsids>
    <w:rsidRoot w:val="00FB42E9"/>
    <w:rsid w:val="0000000D"/>
    <w:rsid w:val="000001AB"/>
    <w:rsid w:val="0000423F"/>
    <w:rsid w:val="00005606"/>
    <w:rsid w:val="00005945"/>
    <w:rsid w:val="00005DE2"/>
    <w:rsid w:val="0000655A"/>
    <w:rsid w:val="00010F7A"/>
    <w:rsid w:val="000128CB"/>
    <w:rsid w:val="00017F5E"/>
    <w:rsid w:val="00020F6B"/>
    <w:rsid w:val="00021F0A"/>
    <w:rsid w:val="000232CD"/>
    <w:rsid w:val="000252CE"/>
    <w:rsid w:val="000256C9"/>
    <w:rsid w:val="0002693B"/>
    <w:rsid w:val="000270AB"/>
    <w:rsid w:val="000272F8"/>
    <w:rsid w:val="00031C31"/>
    <w:rsid w:val="00033AF0"/>
    <w:rsid w:val="0003524B"/>
    <w:rsid w:val="0003689D"/>
    <w:rsid w:val="00037729"/>
    <w:rsid w:val="000469CB"/>
    <w:rsid w:val="00047065"/>
    <w:rsid w:val="00051500"/>
    <w:rsid w:val="00051685"/>
    <w:rsid w:val="00055C69"/>
    <w:rsid w:val="00055EDA"/>
    <w:rsid w:val="00055F5D"/>
    <w:rsid w:val="00056C31"/>
    <w:rsid w:val="000616A9"/>
    <w:rsid w:val="00065F15"/>
    <w:rsid w:val="00067601"/>
    <w:rsid w:val="00067997"/>
    <w:rsid w:val="00067E18"/>
    <w:rsid w:val="000702F1"/>
    <w:rsid w:val="000703F8"/>
    <w:rsid w:val="0007049F"/>
    <w:rsid w:val="0007084D"/>
    <w:rsid w:val="000715EF"/>
    <w:rsid w:val="00072B39"/>
    <w:rsid w:val="00072CB0"/>
    <w:rsid w:val="0007307D"/>
    <w:rsid w:val="00075554"/>
    <w:rsid w:val="0007582E"/>
    <w:rsid w:val="0007607C"/>
    <w:rsid w:val="00076733"/>
    <w:rsid w:val="000777DA"/>
    <w:rsid w:val="0008015D"/>
    <w:rsid w:val="00080E18"/>
    <w:rsid w:val="00082063"/>
    <w:rsid w:val="00083791"/>
    <w:rsid w:val="000857A2"/>
    <w:rsid w:val="00087C05"/>
    <w:rsid w:val="00090748"/>
    <w:rsid w:val="000908A5"/>
    <w:rsid w:val="0009116E"/>
    <w:rsid w:val="00095BB3"/>
    <w:rsid w:val="000966F8"/>
    <w:rsid w:val="000A10CF"/>
    <w:rsid w:val="000A2366"/>
    <w:rsid w:val="000A3061"/>
    <w:rsid w:val="000A5BCC"/>
    <w:rsid w:val="000A5C80"/>
    <w:rsid w:val="000A7B5A"/>
    <w:rsid w:val="000B525B"/>
    <w:rsid w:val="000B588B"/>
    <w:rsid w:val="000B6491"/>
    <w:rsid w:val="000B7DD1"/>
    <w:rsid w:val="000C02AB"/>
    <w:rsid w:val="000C0BAE"/>
    <w:rsid w:val="000C4310"/>
    <w:rsid w:val="000C48BA"/>
    <w:rsid w:val="000C4A6C"/>
    <w:rsid w:val="000C4BCA"/>
    <w:rsid w:val="000C5C1D"/>
    <w:rsid w:val="000D0654"/>
    <w:rsid w:val="000D0A5C"/>
    <w:rsid w:val="000D10BD"/>
    <w:rsid w:val="000D4D44"/>
    <w:rsid w:val="000D5B1E"/>
    <w:rsid w:val="000D5FC0"/>
    <w:rsid w:val="000D6B14"/>
    <w:rsid w:val="000E0450"/>
    <w:rsid w:val="000E09DE"/>
    <w:rsid w:val="000E11A8"/>
    <w:rsid w:val="000E1ED4"/>
    <w:rsid w:val="000E2763"/>
    <w:rsid w:val="000E2B71"/>
    <w:rsid w:val="000E3681"/>
    <w:rsid w:val="000E3882"/>
    <w:rsid w:val="000E6A2B"/>
    <w:rsid w:val="000E72B5"/>
    <w:rsid w:val="000E7510"/>
    <w:rsid w:val="000F0520"/>
    <w:rsid w:val="000F1EF3"/>
    <w:rsid w:val="000F21B0"/>
    <w:rsid w:val="000F3029"/>
    <w:rsid w:val="000F5E01"/>
    <w:rsid w:val="000F73DF"/>
    <w:rsid w:val="00100565"/>
    <w:rsid w:val="001016B2"/>
    <w:rsid w:val="001034F2"/>
    <w:rsid w:val="0010443C"/>
    <w:rsid w:val="00104692"/>
    <w:rsid w:val="001068F7"/>
    <w:rsid w:val="001111B6"/>
    <w:rsid w:val="00111996"/>
    <w:rsid w:val="00112384"/>
    <w:rsid w:val="0011322B"/>
    <w:rsid w:val="00113EA9"/>
    <w:rsid w:val="00114431"/>
    <w:rsid w:val="001145E1"/>
    <w:rsid w:val="00114AFD"/>
    <w:rsid w:val="001150E2"/>
    <w:rsid w:val="00115789"/>
    <w:rsid w:val="00115F2C"/>
    <w:rsid w:val="00116356"/>
    <w:rsid w:val="00116778"/>
    <w:rsid w:val="0011734C"/>
    <w:rsid w:val="00120168"/>
    <w:rsid w:val="0012328C"/>
    <w:rsid w:val="0012367F"/>
    <w:rsid w:val="0012483D"/>
    <w:rsid w:val="001249EB"/>
    <w:rsid w:val="001274A0"/>
    <w:rsid w:val="001275EC"/>
    <w:rsid w:val="00127A6F"/>
    <w:rsid w:val="00130241"/>
    <w:rsid w:val="00132258"/>
    <w:rsid w:val="00132B3B"/>
    <w:rsid w:val="00134FE4"/>
    <w:rsid w:val="001379C6"/>
    <w:rsid w:val="00140AD0"/>
    <w:rsid w:val="00140C6E"/>
    <w:rsid w:val="0014495D"/>
    <w:rsid w:val="001468DC"/>
    <w:rsid w:val="0015365F"/>
    <w:rsid w:val="00153DC4"/>
    <w:rsid w:val="001548A9"/>
    <w:rsid w:val="00155B51"/>
    <w:rsid w:val="00156243"/>
    <w:rsid w:val="00156551"/>
    <w:rsid w:val="00157033"/>
    <w:rsid w:val="00157E0D"/>
    <w:rsid w:val="00160763"/>
    <w:rsid w:val="00160B66"/>
    <w:rsid w:val="00160C3C"/>
    <w:rsid w:val="00161129"/>
    <w:rsid w:val="0016143D"/>
    <w:rsid w:val="00161656"/>
    <w:rsid w:val="001624BB"/>
    <w:rsid w:val="001646DF"/>
    <w:rsid w:val="00164772"/>
    <w:rsid w:val="00164C29"/>
    <w:rsid w:val="001656A0"/>
    <w:rsid w:val="001669C6"/>
    <w:rsid w:val="00166DC9"/>
    <w:rsid w:val="00167004"/>
    <w:rsid w:val="001675B3"/>
    <w:rsid w:val="00167F5A"/>
    <w:rsid w:val="00172365"/>
    <w:rsid w:val="0017393F"/>
    <w:rsid w:val="00173FCD"/>
    <w:rsid w:val="00175560"/>
    <w:rsid w:val="0018007E"/>
    <w:rsid w:val="00180177"/>
    <w:rsid w:val="00181FD6"/>
    <w:rsid w:val="0018240B"/>
    <w:rsid w:val="001833BC"/>
    <w:rsid w:val="00191391"/>
    <w:rsid w:val="001914FE"/>
    <w:rsid w:val="00192F01"/>
    <w:rsid w:val="00194A33"/>
    <w:rsid w:val="00195416"/>
    <w:rsid w:val="001956E1"/>
    <w:rsid w:val="00195F26"/>
    <w:rsid w:val="001A0433"/>
    <w:rsid w:val="001A0EC8"/>
    <w:rsid w:val="001A1069"/>
    <w:rsid w:val="001A1456"/>
    <w:rsid w:val="001A1C0E"/>
    <w:rsid w:val="001A1EB3"/>
    <w:rsid w:val="001A294E"/>
    <w:rsid w:val="001A38A8"/>
    <w:rsid w:val="001A3E27"/>
    <w:rsid w:val="001A4091"/>
    <w:rsid w:val="001A4497"/>
    <w:rsid w:val="001A509F"/>
    <w:rsid w:val="001A61D0"/>
    <w:rsid w:val="001A6F97"/>
    <w:rsid w:val="001B115A"/>
    <w:rsid w:val="001B2568"/>
    <w:rsid w:val="001B49C8"/>
    <w:rsid w:val="001B5A2B"/>
    <w:rsid w:val="001B615B"/>
    <w:rsid w:val="001B7935"/>
    <w:rsid w:val="001C3878"/>
    <w:rsid w:val="001C5086"/>
    <w:rsid w:val="001C55CA"/>
    <w:rsid w:val="001C58F0"/>
    <w:rsid w:val="001C617B"/>
    <w:rsid w:val="001C77F6"/>
    <w:rsid w:val="001D4237"/>
    <w:rsid w:val="001D4A73"/>
    <w:rsid w:val="001D7B9A"/>
    <w:rsid w:val="001E0F8A"/>
    <w:rsid w:val="001E17D6"/>
    <w:rsid w:val="001E1CCB"/>
    <w:rsid w:val="001E5393"/>
    <w:rsid w:val="001E5F76"/>
    <w:rsid w:val="001E5F77"/>
    <w:rsid w:val="001E6B0C"/>
    <w:rsid w:val="001E7E80"/>
    <w:rsid w:val="001F10DE"/>
    <w:rsid w:val="001F24C5"/>
    <w:rsid w:val="001F25E3"/>
    <w:rsid w:val="001F3150"/>
    <w:rsid w:val="001F4A14"/>
    <w:rsid w:val="001F70AA"/>
    <w:rsid w:val="001F7FDF"/>
    <w:rsid w:val="0020396B"/>
    <w:rsid w:val="0020471E"/>
    <w:rsid w:val="00204EF6"/>
    <w:rsid w:val="002053FD"/>
    <w:rsid w:val="00207B3B"/>
    <w:rsid w:val="00212B75"/>
    <w:rsid w:val="002148F7"/>
    <w:rsid w:val="00215026"/>
    <w:rsid w:val="002156B1"/>
    <w:rsid w:val="00216558"/>
    <w:rsid w:val="002165F4"/>
    <w:rsid w:val="0021689F"/>
    <w:rsid w:val="00222130"/>
    <w:rsid w:val="00222316"/>
    <w:rsid w:val="00222ACB"/>
    <w:rsid w:val="0022409C"/>
    <w:rsid w:val="002240CD"/>
    <w:rsid w:val="00225204"/>
    <w:rsid w:val="002262E0"/>
    <w:rsid w:val="0023084D"/>
    <w:rsid w:val="002328C7"/>
    <w:rsid w:val="00233E7B"/>
    <w:rsid w:val="002343B2"/>
    <w:rsid w:val="00234440"/>
    <w:rsid w:val="00235DBC"/>
    <w:rsid w:val="002374AC"/>
    <w:rsid w:val="002374B4"/>
    <w:rsid w:val="00237575"/>
    <w:rsid w:val="0024022C"/>
    <w:rsid w:val="0024204C"/>
    <w:rsid w:val="0024312C"/>
    <w:rsid w:val="00243308"/>
    <w:rsid w:val="00243453"/>
    <w:rsid w:val="0024352B"/>
    <w:rsid w:val="00243F81"/>
    <w:rsid w:val="00244A34"/>
    <w:rsid w:val="0024519D"/>
    <w:rsid w:val="002459C5"/>
    <w:rsid w:val="0024618B"/>
    <w:rsid w:val="00246D24"/>
    <w:rsid w:val="00250DDA"/>
    <w:rsid w:val="0025186C"/>
    <w:rsid w:val="002518E3"/>
    <w:rsid w:val="002548B2"/>
    <w:rsid w:val="002553A2"/>
    <w:rsid w:val="002557C3"/>
    <w:rsid w:val="00256693"/>
    <w:rsid w:val="00257793"/>
    <w:rsid w:val="00260B2C"/>
    <w:rsid w:val="00261246"/>
    <w:rsid w:val="0026406D"/>
    <w:rsid w:val="00264A48"/>
    <w:rsid w:val="002651C4"/>
    <w:rsid w:val="00265D2E"/>
    <w:rsid w:val="00266856"/>
    <w:rsid w:val="00266B03"/>
    <w:rsid w:val="00267A15"/>
    <w:rsid w:val="0027116F"/>
    <w:rsid w:val="00271566"/>
    <w:rsid w:val="00273697"/>
    <w:rsid w:val="00273865"/>
    <w:rsid w:val="002757E1"/>
    <w:rsid w:val="002760D1"/>
    <w:rsid w:val="002776E2"/>
    <w:rsid w:val="00277818"/>
    <w:rsid w:val="00277AB4"/>
    <w:rsid w:val="00280628"/>
    <w:rsid w:val="00281168"/>
    <w:rsid w:val="002815AB"/>
    <w:rsid w:val="0028364F"/>
    <w:rsid w:val="0028667C"/>
    <w:rsid w:val="002866CC"/>
    <w:rsid w:val="00286775"/>
    <w:rsid w:val="00290CD3"/>
    <w:rsid w:val="00292A9E"/>
    <w:rsid w:val="00293220"/>
    <w:rsid w:val="00294157"/>
    <w:rsid w:val="002944C7"/>
    <w:rsid w:val="00294A97"/>
    <w:rsid w:val="00295D8D"/>
    <w:rsid w:val="0029640D"/>
    <w:rsid w:val="00296965"/>
    <w:rsid w:val="00296E39"/>
    <w:rsid w:val="002A0C28"/>
    <w:rsid w:val="002A1C3B"/>
    <w:rsid w:val="002A2006"/>
    <w:rsid w:val="002A27FF"/>
    <w:rsid w:val="002A459E"/>
    <w:rsid w:val="002A46D8"/>
    <w:rsid w:val="002A4CBD"/>
    <w:rsid w:val="002A5221"/>
    <w:rsid w:val="002A5437"/>
    <w:rsid w:val="002B1000"/>
    <w:rsid w:val="002B14D8"/>
    <w:rsid w:val="002B1573"/>
    <w:rsid w:val="002B1C9A"/>
    <w:rsid w:val="002B2AFE"/>
    <w:rsid w:val="002B3882"/>
    <w:rsid w:val="002B4FAB"/>
    <w:rsid w:val="002B5451"/>
    <w:rsid w:val="002B6786"/>
    <w:rsid w:val="002B6F36"/>
    <w:rsid w:val="002B72B9"/>
    <w:rsid w:val="002C02FF"/>
    <w:rsid w:val="002C0A72"/>
    <w:rsid w:val="002C16B7"/>
    <w:rsid w:val="002C16CD"/>
    <w:rsid w:val="002C1BA7"/>
    <w:rsid w:val="002C1E38"/>
    <w:rsid w:val="002C28F3"/>
    <w:rsid w:val="002C3302"/>
    <w:rsid w:val="002C3A4C"/>
    <w:rsid w:val="002C44B0"/>
    <w:rsid w:val="002C4811"/>
    <w:rsid w:val="002C5E90"/>
    <w:rsid w:val="002D0CA2"/>
    <w:rsid w:val="002D0D28"/>
    <w:rsid w:val="002D139D"/>
    <w:rsid w:val="002D1F7D"/>
    <w:rsid w:val="002D1F85"/>
    <w:rsid w:val="002D27AC"/>
    <w:rsid w:val="002D5C2D"/>
    <w:rsid w:val="002D781C"/>
    <w:rsid w:val="002D7D66"/>
    <w:rsid w:val="002E0244"/>
    <w:rsid w:val="002E3514"/>
    <w:rsid w:val="002E5DBF"/>
    <w:rsid w:val="002E76CB"/>
    <w:rsid w:val="002E7A76"/>
    <w:rsid w:val="002F05F3"/>
    <w:rsid w:val="002F411F"/>
    <w:rsid w:val="002F48CF"/>
    <w:rsid w:val="002F5B6A"/>
    <w:rsid w:val="002F6089"/>
    <w:rsid w:val="002F6A90"/>
    <w:rsid w:val="002F72DC"/>
    <w:rsid w:val="002F77BA"/>
    <w:rsid w:val="00302754"/>
    <w:rsid w:val="003028F5"/>
    <w:rsid w:val="00303572"/>
    <w:rsid w:val="00303CC2"/>
    <w:rsid w:val="0030661B"/>
    <w:rsid w:val="00306701"/>
    <w:rsid w:val="00306C5C"/>
    <w:rsid w:val="00306FBF"/>
    <w:rsid w:val="003118F8"/>
    <w:rsid w:val="00311995"/>
    <w:rsid w:val="00311E6E"/>
    <w:rsid w:val="0031313D"/>
    <w:rsid w:val="0031321B"/>
    <w:rsid w:val="0031369D"/>
    <w:rsid w:val="003142B1"/>
    <w:rsid w:val="0031478D"/>
    <w:rsid w:val="00315814"/>
    <w:rsid w:val="00316C02"/>
    <w:rsid w:val="00321A3A"/>
    <w:rsid w:val="00324638"/>
    <w:rsid w:val="00325B44"/>
    <w:rsid w:val="003268FB"/>
    <w:rsid w:val="00327171"/>
    <w:rsid w:val="003346FA"/>
    <w:rsid w:val="00336AD2"/>
    <w:rsid w:val="003414FF"/>
    <w:rsid w:val="0034270C"/>
    <w:rsid w:val="00342A5B"/>
    <w:rsid w:val="00342CD6"/>
    <w:rsid w:val="0034484E"/>
    <w:rsid w:val="00351513"/>
    <w:rsid w:val="0035163A"/>
    <w:rsid w:val="00352EA8"/>
    <w:rsid w:val="003535AB"/>
    <w:rsid w:val="003538B0"/>
    <w:rsid w:val="00353ED5"/>
    <w:rsid w:val="003546E6"/>
    <w:rsid w:val="00355C61"/>
    <w:rsid w:val="00355F04"/>
    <w:rsid w:val="003567A0"/>
    <w:rsid w:val="003568A9"/>
    <w:rsid w:val="0035733D"/>
    <w:rsid w:val="00357A36"/>
    <w:rsid w:val="00365A15"/>
    <w:rsid w:val="003669AF"/>
    <w:rsid w:val="003676FC"/>
    <w:rsid w:val="00367A09"/>
    <w:rsid w:val="003722A3"/>
    <w:rsid w:val="003752F2"/>
    <w:rsid w:val="0037723C"/>
    <w:rsid w:val="00377D78"/>
    <w:rsid w:val="00380568"/>
    <w:rsid w:val="00380F9F"/>
    <w:rsid w:val="003812FE"/>
    <w:rsid w:val="00382B52"/>
    <w:rsid w:val="00383A7C"/>
    <w:rsid w:val="00385FC8"/>
    <w:rsid w:val="00387395"/>
    <w:rsid w:val="00387C7F"/>
    <w:rsid w:val="00390658"/>
    <w:rsid w:val="003926AC"/>
    <w:rsid w:val="00392FC3"/>
    <w:rsid w:val="00394570"/>
    <w:rsid w:val="00395F7B"/>
    <w:rsid w:val="00396497"/>
    <w:rsid w:val="003965DD"/>
    <w:rsid w:val="003A0550"/>
    <w:rsid w:val="003A3610"/>
    <w:rsid w:val="003A675F"/>
    <w:rsid w:val="003A7BEA"/>
    <w:rsid w:val="003B08FA"/>
    <w:rsid w:val="003B0B97"/>
    <w:rsid w:val="003B7103"/>
    <w:rsid w:val="003B7967"/>
    <w:rsid w:val="003C06CF"/>
    <w:rsid w:val="003C1619"/>
    <w:rsid w:val="003C19ED"/>
    <w:rsid w:val="003C1F48"/>
    <w:rsid w:val="003C223E"/>
    <w:rsid w:val="003C4B8D"/>
    <w:rsid w:val="003C68EC"/>
    <w:rsid w:val="003C78EC"/>
    <w:rsid w:val="003C7B50"/>
    <w:rsid w:val="003D0C3B"/>
    <w:rsid w:val="003D16AA"/>
    <w:rsid w:val="003D299E"/>
    <w:rsid w:val="003D2D21"/>
    <w:rsid w:val="003D2FE1"/>
    <w:rsid w:val="003D472E"/>
    <w:rsid w:val="003D55AA"/>
    <w:rsid w:val="003D5AB1"/>
    <w:rsid w:val="003D68BD"/>
    <w:rsid w:val="003D6AC3"/>
    <w:rsid w:val="003D6CF2"/>
    <w:rsid w:val="003D6E31"/>
    <w:rsid w:val="003D6EEA"/>
    <w:rsid w:val="003D6F18"/>
    <w:rsid w:val="003E1040"/>
    <w:rsid w:val="003E1503"/>
    <w:rsid w:val="003E24CD"/>
    <w:rsid w:val="003E2DF6"/>
    <w:rsid w:val="003E626A"/>
    <w:rsid w:val="003E790B"/>
    <w:rsid w:val="003F050A"/>
    <w:rsid w:val="003F262F"/>
    <w:rsid w:val="003F5AD8"/>
    <w:rsid w:val="0040012C"/>
    <w:rsid w:val="00400FEE"/>
    <w:rsid w:val="00403606"/>
    <w:rsid w:val="0040565D"/>
    <w:rsid w:val="0040566C"/>
    <w:rsid w:val="00405A62"/>
    <w:rsid w:val="00405D35"/>
    <w:rsid w:val="00406433"/>
    <w:rsid w:val="00406452"/>
    <w:rsid w:val="00406684"/>
    <w:rsid w:val="004076FD"/>
    <w:rsid w:val="004077EE"/>
    <w:rsid w:val="00407ED5"/>
    <w:rsid w:val="00407F2A"/>
    <w:rsid w:val="00411CBA"/>
    <w:rsid w:val="00411E55"/>
    <w:rsid w:val="004129D0"/>
    <w:rsid w:val="00412F8C"/>
    <w:rsid w:val="00414A50"/>
    <w:rsid w:val="00415A90"/>
    <w:rsid w:val="00420900"/>
    <w:rsid w:val="00421106"/>
    <w:rsid w:val="004219EF"/>
    <w:rsid w:val="00422B0D"/>
    <w:rsid w:val="00423F4A"/>
    <w:rsid w:val="0042550C"/>
    <w:rsid w:val="004265A4"/>
    <w:rsid w:val="00427540"/>
    <w:rsid w:val="004320D2"/>
    <w:rsid w:val="004329D4"/>
    <w:rsid w:val="00433050"/>
    <w:rsid w:val="00433CB5"/>
    <w:rsid w:val="0043535D"/>
    <w:rsid w:val="00436E94"/>
    <w:rsid w:val="004402EF"/>
    <w:rsid w:val="00441828"/>
    <w:rsid w:val="00442092"/>
    <w:rsid w:val="004426E2"/>
    <w:rsid w:val="00443D06"/>
    <w:rsid w:val="004441F1"/>
    <w:rsid w:val="00452249"/>
    <w:rsid w:val="004530F3"/>
    <w:rsid w:val="00453F06"/>
    <w:rsid w:val="00457213"/>
    <w:rsid w:val="00457EBA"/>
    <w:rsid w:val="0046211F"/>
    <w:rsid w:val="004643F4"/>
    <w:rsid w:val="004668EB"/>
    <w:rsid w:val="00467D4B"/>
    <w:rsid w:val="0047079A"/>
    <w:rsid w:val="0047186A"/>
    <w:rsid w:val="00473675"/>
    <w:rsid w:val="00473D0E"/>
    <w:rsid w:val="004751AC"/>
    <w:rsid w:val="00475842"/>
    <w:rsid w:val="00477710"/>
    <w:rsid w:val="00477C83"/>
    <w:rsid w:val="004822CD"/>
    <w:rsid w:val="00483BA4"/>
    <w:rsid w:val="00484F7A"/>
    <w:rsid w:val="00486B10"/>
    <w:rsid w:val="0048744E"/>
    <w:rsid w:val="004876A2"/>
    <w:rsid w:val="00490CF8"/>
    <w:rsid w:val="00493CBA"/>
    <w:rsid w:val="00493F3F"/>
    <w:rsid w:val="00495E17"/>
    <w:rsid w:val="00495EF7"/>
    <w:rsid w:val="00495FFC"/>
    <w:rsid w:val="00497AD9"/>
    <w:rsid w:val="00497B35"/>
    <w:rsid w:val="004A1D43"/>
    <w:rsid w:val="004A2931"/>
    <w:rsid w:val="004A360C"/>
    <w:rsid w:val="004A3901"/>
    <w:rsid w:val="004A3A53"/>
    <w:rsid w:val="004A40DC"/>
    <w:rsid w:val="004A528A"/>
    <w:rsid w:val="004B016A"/>
    <w:rsid w:val="004B1631"/>
    <w:rsid w:val="004B461A"/>
    <w:rsid w:val="004B5EC2"/>
    <w:rsid w:val="004B72A3"/>
    <w:rsid w:val="004B770B"/>
    <w:rsid w:val="004C0EAB"/>
    <w:rsid w:val="004C2482"/>
    <w:rsid w:val="004C31B3"/>
    <w:rsid w:val="004C3377"/>
    <w:rsid w:val="004C397B"/>
    <w:rsid w:val="004C3A50"/>
    <w:rsid w:val="004C6450"/>
    <w:rsid w:val="004D1600"/>
    <w:rsid w:val="004D1718"/>
    <w:rsid w:val="004D39C3"/>
    <w:rsid w:val="004D3CC5"/>
    <w:rsid w:val="004D43F7"/>
    <w:rsid w:val="004D61B9"/>
    <w:rsid w:val="004E0183"/>
    <w:rsid w:val="004E2D89"/>
    <w:rsid w:val="004E31D8"/>
    <w:rsid w:val="004E3C69"/>
    <w:rsid w:val="004E3D5C"/>
    <w:rsid w:val="004E5434"/>
    <w:rsid w:val="004F27BF"/>
    <w:rsid w:val="004F3C1F"/>
    <w:rsid w:val="004F52A7"/>
    <w:rsid w:val="00502040"/>
    <w:rsid w:val="005025DC"/>
    <w:rsid w:val="00502954"/>
    <w:rsid w:val="00502AF9"/>
    <w:rsid w:val="005032C5"/>
    <w:rsid w:val="005051FF"/>
    <w:rsid w:val="00505F42"/>
    <w:rsid w:val="0050765F"/>
    <w:rsid w:val="00511BEB"/>
    <w:rsid w:val="00511E84"/>
    <w:rsid w:val="005127A5"/>
    <w:rsid w:val="005153CA"/>
    <w:rsid w:val="005164BB"/>
    <w:rsid w:val="0051792E"/>
    <w:rsid w:val="00517FA8"/>
    <w:rsid w:val="005201AF"/>
    <w:rsid w:val="00520E77"/>
    <w:rsid w:val="0052125E"/>
    <w:rsid w:val="005234B5"/>
    <w:rsid w:val="005260C4"/>
    <w:rsid w:val="00526995"/>
    <w:rsid w:val="00526D76"/>
    <w:rsid w:val="0052768F"/>
    <w:rsid w:val="00530913"/>
    <w:rsid w:val="00532442"/>
    <w:rsid w:val="0053340C"/>
    <w:rsid w:val="00533626"/>
    <w:rsid w:val="00533954"/>
    <w:rsid w:val="00534771"/>
    <w:rsid w:val="00535036"/>
    <w:rsid w:val="00535066"/>
    <w:rsid w:val="00535E73"/>
    <w:rsid w:val="00536997"/>
    <w:rsid w:val="00536C77"/>
    <w:rsid w:val="00537076"/>
    <w:rsid w:val="005370E0"/>
    <w:rsid w:val="005371DC"/>
    <w:rsid w:val="00537C7E"/>
    <w:rsid w:val="00537D58"/>
    <w:rsid w:val="00542E3A"/>
    <w:rsid w:val="00543D46"/>
    <w:rsid w:val="005449E6"/>
    <w:rsid w:val="0054500B"/>
    <w:rsid w:val="00545776"/>
    <w:rsid w:val="005463E3"/>
    <w:rsid w:val="00546DF9"/>
    <w:rsid w:val="005501A2"/>
    <w:rsid w:val="00552E2D"/>
    <w:rsid w:val="0055320D"/>
    <w:rsid w:val="005576FC"/>
    <w:rsid w:val="00560BAF"/>
    <w:rsid w:val="00561F10"/>
    <w:rsid w:val="005630CE"/>
    <w:rsid w:val="0056329F"/>
    <w:rsid w:val="00563D6E"/>
    <w:rsid w:val="005640C3"/>
    <w:rsid w:val="00565E62"/>
    <w:rsid w:val="00565EC3"/>
    <w:rsid w:val="00566A30"/>
    <w:rsid w:val="0057067A"/>
    <w:rsid w:val="005709CB"/>
    <w:rsid w:val="005721DD"/>
    <w:rsid w:val="00574AC8"/>
    <w:rsid w:val="00576698"/>
    <w:rsid w:val="00580609"/>
    <w:rsid w:val="0058251C"/>
    <w:rsid w:val="005840B9"/>
    <w:rsid w:val="00584A94"/>
    <w:rsid w:val="00585170"/>
    <w:rsid w:val="00587C4A"/>
    <w:rsid w:val="005909C0"/>
    <w:rsid w:val="00590E45"/>
    <w:rsid w:val="00593071"/>
    <w:rsid w:val="005954D9"/>
    <w:rsid w:val="00595F54"/>
    <w:rsid w:val="005A1ADD"/>
    <w:rsid w:val="005A1FC9"/>
    <w:rsid w:val="005A2CE5"/>
    <w:rsid w:val="005B07CD"/>
    <w:rsid w:val="005B1341"/>
    <w:rsid w:val="005B2A5A"/>
    <w:rsid w:val="005B335F"/>
    <w:rsid w:val="005B33FB"/>
    <w:rsid w:val="005B464A"/>
    <w:rsid w:val="005B6C67"/>
    <w:rsid w:val="005B7931"/>
    <w:rsid w:val="005C0019"/>
    <w:rsid w:val="005C0796"/>
    <w:rsid w:val="005C16B2"/>
    <w:rsid w:val="005C1E0B"/>
    <w:rsid w:val="005C50CF"/>
    <w:rsid w:val="005C6B4F"/>
    <w:rsid w:val="005C6E86"/>
    <w:rsid w:val="005D0467"/>
    <w:rsid w:val="005D178C"/>
    <w:rsid w:val="005D6BB7"/>
    <w:rsid w:val="005D7F62"/>
    <w:rsid w:val="005E02A6"/>
    <w:rsid w:val="005E0CDE"/>
    <w:rsid w:val="005E3175"/>
    <w:rsid w:val="005E3F3F"/>
    <w:rsid w:val="005E7818"/>
    <w:rsid w:val="005F10DA"/>
    <w:rsid w:val="005F164B"/>
    <w:rsid w:val="005F1B80"/>
    <w:rsid w:val="005F3218"/>
    <w:rsid w:val="005F3ADB"/>
    <w:rsid w:val="005F3B16"/>
    <w:rsid w:val="005F4C27"/>
    <w:rsid w:val="005F6BEA"/>
    <w:rsid w:val="006011EE"/>
    <w:rsid w:val="00604A63"/>
    <w:rsid w:val="00605ED7"/>
    <w:rsid w:val="006062FB"/>
    <w:rsid w:val="0060669B"/>
    <w:rsid w:val="00610EBE"/>
    <w:rsid w:val="00611CE9"/>
    <w:rsid w:val="00612245"/>
    <w:rsid w:val="006143B9"/>
    <w:rsid w:val="00614420"/>
    <w:rsid w:val="00615C60"/>
    <w:rsid w:val="00617350"/>
    <w:rsid w:val="006176B1"/>
    <w:rsid w:val="006176CF"/>
    <w:rsid w:val="00621E2F"/>
    <w:rsid w:val="006225DA"/>
    <w:rsid w:val="00622E09"/>
    <w:rsid w:val="0062311E"/>
    <w:rsid w:val="00623E6D"/>
    <w:rsid w:val="00626214"/>
    <w:rsid w:val="0062777C"/>
    <w:rsid w:val="0063011C"/>
    <w:rsid w:val="006349A2"/>
    <w:rsid w:val="0063582D"/>
    <w:rsid w:val="006402B3"/>
    <w:rsid w:val="00641114"/>
    <w:rsid w:val="00641AB8"/>
    <w:rsid w:val="00642CEA"/>
    <w:rsid w:val="0064341E"/>
    <w:rsid w:val="00643C2F"/>
    <w:rsid w:val="00644150"/>
    <w:rsid w:val="00644D87"/>
    <w:rsid w:val="00644F54"/>
    <w:rsid w:val="00646484"/>
    <w:rsid w:val="00651173"/>
    <w:rsid w:val="00651972"/>
    <w:rsid w:val="006569F1"/>
    <w:rsid w:val="00662BA4"/>
    <w:rsid w:val="00662DF2"/>
    <w:rsid w:val="00662F62"/>
    <w:rsid w:val="006642C9"/>
    <w:rsid w:val="00664820"/>
    <w:rsid w:val="00664C17"/>
    <w:rsid w:val="00664F63"/>
    <w:rsid w:val="0066676B"/>
    <w:rsid w:val="00666783"/>
    <w:rsid w:val="006677FF"/>
    <w:rsid w:val="00670577"/>
    <w:rsid w:val="006706CF"/>
    <w:rsid w:val="00672764"/>
    <w:rsid w:val="00672833"/>
    <w:rsid w:val="006747A1"/>
    <w:rsid w:val="00674EB9"/>
    <w:rsid w:val="00677E2B"/>
    <w:rsid w:val="00680865"/>
    <w:rsid w:val="00681A4D"/>
    <w:rsid w:val="006824FC"/>
    <w:rsid w:val="00682D4D"/>
    <w:rsid w:val="006838FC"/>
    <w:rsid w:val="006839C1"/>
    <w:rsid w:val="00684B5A"/>
    <w:rsid w:val="00684CE9"/>
    <w:rsid w:val="006853C2"/>
    <w:rsid w:val="006868B6"/>
    <w:rsid w:val="00687B42"/>
    <w:rsid w:val="00687DD8"/>
    <w:rsid w:val="00687F63"/>
    <w:rsid w:val="00693CEF"/>
    <w:rsid w:val="00695675"/>
    <w:rsid w:val="00695ED9"/>
    <w:rsid w:val="00697B8B"/>
    <w:rsid w:val="006A0805"/>
    <w:rsid w:val="006A19F7"/>
    <w:rsid w:val="006A2689"/>
    <w:rsid w:val="006A7D7E"/>
    <w:rsid w:val="006B39AC"/>
    <w:rsid w:val="006B463C"/>
    <w:rsid w:val="006B6395"/>
    <w:rsid w:val="006B64A9"/>
    <w:rsid w:val="006B736E"/>
    <w:rsid w:val="006B7EEC"/>
    <w:rsid w:val="006C0E27"/>
    <w:rsid w:val="006C1505"/>
    <w:rsid w:val="006C194D"/>
    <w:rsid w:val="006C1C60"/>
    <w:rsid w:val="006C1FF5"/>
    <w:rsid w:val="006C2D18"/>
    <w:rsid w:val="006C31D0"/>
    <w:rsid w:val="006C3573"/>
    <w:rsid w:val="006C6A79"/>
    <w:rsid w:val="006C7AF3"/>
    <w:rsid w:val="006D0681"/>
    <w:rsid w:val="006D0C10"/>
    <w:rsid w:val="006D1903"/>
    <w:rsid w:val="006E35AC"/>
    <w:rsid w:val="006E4790"/>
    <w:rsid w:val="006F05D1"/>
    <w:rsid w:val="006F12BB"/>
    <w:rsid w:val="006F1C79"/>
    <w:rsid w:val="006F322D"/>
    <w:rsid w:val="006F678B"/>
    <w:rsid w:val="006F6D3F"/>
    <w:rsid w:val="00703296"/>
    <w:rsid w:val="00703297"/>
    <w:rsid w:val="00703C05"/>
    <w:rsid w:val="0070627F"/>
    <w:rsid w:val="00706E24"/>
    <w:rsid w:val="0070725D"/>
    <w:rsid w:val="007107B0"/>
    <w:rsid w:val="0071281F"/>
    <w:rsid w:val="00712906"/>
    <w:rsid w:val="007155DE"/>
    <w:rsid w:val="00717816"/>
    <w:rsid w:val="00720ABE"/>
    <w:rsid w:val="00721C05"/>
    <w:rsid w:val="007229C4"/>
    <w:rsid w:val="00723861"/>
    <w:rsid w:val="007258A1"/>
    <w:rsid w:val="00726CD0"/>
    <w:rsid w:val="00726D08"/>
    <w:rsid w:val="00726E75"/>
    <w:rsid w:val="00727F8E"/>
    <w:rsid w:val="00730BA9"/>
    <w:rsid w:val="007317C5"/>
    <w:rsid w:val="00735644"/>
    <w:rsid w:val="00735749"/>
    <w:rsid w:val="00736D95"/>
    <w:rsid w:val="00737B42"/>
    <w:rsid w:val="00740265"/>
    <w:rsid w:val="0074070A"/>
    <w:rsid w:val="00741755"/>
    <w:rsid w:val="007420AF"/>
    <w:rsid w:val="00742F53"/>
    <w:rsid w:val="00743F53"/>
    <w:rsid w:val="00744D3A"/>
    <w:rsid w:val="00744FA1"/>
    <w:rsid w:val="00745F86"/>
    <w:rsid w:val="0074643C"/>
    <w:rsid w:val="00747F7B"/>
    <w:rsid w:val="007504B4"/>
    <w:rsid w:val="00750E9E"/>
    <w:rsid w:val="00751856"/>
    <w:rsid w:val="007525D9"/>
    <w:rsid w:val="007539AA"/>
    <w:rsid w:val="00753A1F"/>
    <w:rsid w:val="00754B06"/>
    <w:rsid w:val="007618ED"/>
    <w:rsid w:val="00761BDC"/>
    <w:rsid w:val="0076283B"/>
    <w:rsid w:val="007633C9"/>
    <w:rsid w:val="00764A57"/>
    <w:rsid w:val="00764E31"/>
    <w:rsid w:val="00765862"/>
    <w:rsid w:val="00765872"/>
    <w:rsid w:val="007658BE"/>
    <w:rsid w:val="00765F46"/>
    <w:rsid w:val="007667FD"/>
    <w:rsid w:val="00766A27"/>
    <w:rsid w:val="007677B0"/>
    <w:rsid w:val="00770251"/>
    <w:rsid w:val="00771815"/>
    <w:rsid w:val="00774EAB"/>
    <w:rsid w:val="007754FE"/>
    <w:rsid w:val="0077766F"/>
    <w:rsid w:val="00777C8B"/>
    <w:rsid w:val="0078030F"/>
    <w:rsid w:val="00780770"/>
    <w:rsid w:val="007844E5"/>
    <w:rsid w:val="00784830"/>
    <w:rsid w:val="00784B6E"/>
    <w:rsid w:val="007878A4"/>
    <w:rsid w:val="007878E9"/>
    <w:rsid w:val="007918FF"/>
    <w:rsid w:val="00792C5E"/>
    <w:rsid w:val="007955D3"/>
    <w:rsid w:val="007A1119"/>
    <w:rsid w:val="007A1132"/>
    <w:rsid w:val="007A46E1"/>
    <w:rsid w:val="007A55A1"/>
    <w:rsid w:val="007A61A0"/>
    <w:rsid w:val="007A65D6"/>
    <w:rsid w:val="007B0BF8"/>
    <w:rsid w:val="007B1478"/>
    <w:rsid w:val="007B1803"/>
    <w:rsid w:val="007B23CB"/>
    <w:rsid w:val="007B37C7"/>
    <w:rsid w:val="007B5914"/>
    <w:rsid w:val="007B5A55"/>
    <w:rsid w:val="007B6817"/>
    <w:rsid w:val="007C0D8B"/>
    <w:rsid w:val="007C352C"/>
    <w:rsid w:val="007C510C"/>
    <w:rsid w:val="007C5A4C"/>
    <w:rsid w:val="007D03BD"/>
    <w:rsid w:val="007D31FD"/>
    <w:rsid w:val="007D407A"/>
    <w:rsid w:val="007D4859"/>
    <w:rsid w:val="007D5FC3"/>
    <w:rsid w:val="007E039B"/>
    <w:rsid w:val="007E04AD"/>
    <w:rsid w:val="007E096A"/>
    <w:rsid w:val="007E0D4C"/>
    <w:rsid w:val="007E3274"/>
    <w:rsid w:val="007E3337"/>
    <w:rsid w:val="007E4CEE"/>
    <w:rsid w:val="007E6D49"/>
    <w:rsid w:val="007F0C92"/>
    <w:rsid w:val="007F2FBC"/>
    <w:rsid w:val="007F34D0"/>
    <w:rsid w:val="007F424D"/>
    <w:rsid w:val="007F4E5F"/>
    <w:rsid w:val="007F5564"/>
    <w:rsid w:val="007F71B4"/>
    <w:rsid w:val="007F7441"/>
    <w:rsid w:val="00802AFC"/>
    <w:rsid w:val="00803621"/>
    <w:rsid w:val="00803CA0"/>
    <w:rsid w:val="00805239"/>
    <w:rsid w:val="0080673A"/>
    <w:rsid w:val="008067A2"/>
    <w:rsid w:val="00806A21"/>
    <w:rsid w:val="00807A4D"/>
    <w:rsid w:val="00812405"/>
    <w:rsid w:val="0081255E"/>
    <w:rsid w:val="00812A44"/>
    <w:rsid w:val="00813E3C"/>
    <w:rsid w:val="00816310"/>
    <w:rsid w:val="008165F6"/>
    <w:rsid w:val="00816915"/>
    <w:rsid w:val="00817414"/>
    <w:rsid w:val="00820F4C"/>
    <w:rsid w:val="00821126"/>
    <w:rsid w:val="00821CE3"/>
    <w:rsid w:val="00821E64"/>
    <w:rsid w:val="00822451"/>
    <w:rsid w:val="0082258F"/>
    <w:rsid w:val="008226EC"/>
    <w:rsid w:val="00823C86"/>
    <w:rsid w:val="00824622"/>
    <w:rsid w:val="0082615E"/>
    <w:rsid w:val="0082626A"/>
    <w:rsid w:val="00826337"/>
    <w:rsid w:val="00827426"/>
    <w:rsid w:val="00830B1B"/>
    <w:rsid w:val="008313D4"/>
    <w:rsid w:val="0083331F"/>
    <w:rsid w:val="00833345"/>
    <w:rsid w:val="00834588"/>
    <w:rsid w:val="00837CB7"/>
    <w:rsid w:val="008401A1"/>
    <w:rsid w:val="008422E7"/>
    <w:rsid w:val="00842349"/>
    <w:rsid w:val="00842B68"/>
    <w:rsid w:val="00844872"/>
    <w:rsid w:val="0084510A"/>
    <w:rsid w:val="00845CD4"/>
    <w:rsid w:val="00846647"/>
    <w:rsid w:val="00846AF3"/>
    <w:rsid w:val="00847658"/>
    <w:rsid w:val="00851183"/>
    <w:rsid w:val="00851726"/>
    <w:rsid w:val="00851B0C"/>
    <w:rsid w:val="0085269F"/>
    <w:rsid w:val="00852F38"/>
    <w:rsid w:val="00854677"/>
    <w:rsid w:val="00855DAA"/>
    <w:rsid w:val="008601D8"/>
    <w:rsid w:val="008621E7"/>
    <w:rsid w:val="008630BF"/>
    <w:rsid w:val="008632A6"/>
    <w:rsid w:val="008632F2"/>
    <w:rsid w:val="008647B3"/>
    <w:rsid w:val="00865095"/>
    <w:rsid w:val="00865B02"/>
    <w:rsid w:val="00865B3E"/>
    <w:rsid w:val="00865D0A"/>
    <w:rsid w:val="00870824"/>
    <w:rsid w:val="00870924"/>
    <w:rsid w:val="0087243A"/>
    <w:rsid w:val="00872FAC"/>
    <w:rsid w:val="00874CAB"/>
    <w:rsid w:val="0087752E"/>
    <w:rsid w:val="00880092"/>
    <w:rsid w:val="00880AC9"/>
    <w:rsid w:val="008835FA"/>
    <w:rsid w:val="00884CF5"/>
    <w:rsid w:val="00887A4D"/>
    <w:rsid w:val="00890621"/>
    <w:rsid w:val="00890658"/>
    <w:rsid w:val="00893404"/>
    <w:rsid w:val="00896EE1"/>
    <w:rsid w:val="008A1A18"/>
    <w:rsid w:val="008A21C3"/>
    <w:rsid w:val="008A41DC"/>
    <w:rsid w:val="008A5F2D"/>
    <w:rsid w:val="008A6A0D"/>
    <w:rsid w:val="008B046A"/>
    <w:rsid w:val="008B0585"/>
    <w:rsid w:val="008B07D3"/>
    <w:rsid w:val="008B2BDC"/>
    <w:rsid w:val="008B475A"/>
    <w:rsid w:val="008B7395"/>
    <w:rsid w:val="008B749E"/>
    <w:rsid w:val="008B7575"/>
    <w:rsid w:val="008B7768"/>
    <w:rsid w:val="008C1EF0"/>
    <w:rsid w:val="008C2AAC"/>
    <w:rsid w:val="008C43D3"/>
    <w:rsid w:val="008C4438"/>
    <w:rsid w:val="008C4975"/>
    <w:rsid w:val="008C5122"/>
    <w:rsid w:val="008C700D"/>
    <w:rsid w:val="008D0644"/>
    <w:rsid w:val="008D13A0"/>
    <w:rsid w:val="008D179A"/>
    <w:rsid w:val="008D2256"/>
    <w:rsid w:val="008D2E5A"/>
    <w:rsid w:val="008D478E"/>
    <w:rsid w:val="008D63A2"/>
    <w:rsid w:val="008D67E5"/>
    <w:rsid w:val="008D6ABC"/>
    <w:rsid w:val="008D7425"/>
    <w:rsid w:val="008D75CD"/>
    <w:rsid w:val="008D7C26"/>
    <w:rsid w:val="008D7C4F"/>
    <w:rsid w:val="008E0D28"/>
    <w:rsid w:val="008E13B3"/>
    <w:rsid w:val="008E339A"/>
    <w:rsid w:val="008E3C8D"/>
    <w:rsid w:val="008E4A1A"/>
    <w:rsid w:val="008E57E6"/>
    <w:rsid w:val="008E5E47"/>
    <w:rsid w:val="008E629A"/>
    <w:rsid w:val="008E6332"/>
    <w:rsid w:val="008E6355"/>
    <w:rsid w:val="008F100B"/>
    <w:rsid w:val="008F24E3"/>
    <w:rsid w:val="008F40DD"/>
    <w:rsid w:val="008F4517"/>
    <w:rsid w:val="008F4928"/>
    <w:rsid w:val="008F5F13"/>
    <w:rsid w:val="008F7559"/>
    <w:rsid w:val="008F7874"/>
    <w:rsid w:val="009008AB"/>
    <w:rsid w:val="00901E43"/>
    <w:rsid w:val="00903833"/>
    <w:rsid w:val="00905558"/>
    <w:rsid w:val="0090635F"/>
    <w:rsid w:val="0090667B"/>
    <w:rsid w:val="00907741"/>
    <w:rsid w:val="00907942"/>
    <w:rsid w:val="00910922"/>
    <w:rsid w:val="00912A49"/>
    <w:rsid w:val="00916C55"/>
    <w:rsid w:val="00916D8F"/>
    <w:rsid w:val="0092025F"/>
    <w:rsid w:val="00921005"/>
    <w:rsid w:val="00921849"/>
    <w:rsid w:val="00921996"/>
    <w:rsid w:val="00922C68"/>
    <w:rsid w:val="00925363"/>
    <w:rsid w:val="009253D0"/>
    <w:rsid w:val="00926524"/>
    <w:rsid w:val="009272A3"/>
    <w:rsid w:val="009274AE"/>
    <w:rsid w:val="009307F8"/>
    <w:rsid w:val="00930811"/>
    <w:rsid w:val="009309FB"/>
    <w:rsid w:val="00931560"/>
    <w:rsid w:val="00931969"/>
    <w:rsid w:val="00931EB5"/>
    <w:rsid w:val="00932890"/>
    <w:rsid w:val="00934ED9"/>
    <w:rsid w:val="00937107"/>
    <w:rsid w:val="00937D92"/>
    <w:rsid w:val="00942E37"/>
    <w:rsid w:val="00944CFF"/>
    <w:rsid w:val="0094583D"/>
    <w:rsid w:val="00946EF9"/>
    <w:rsid w:val="00947DFD"/>
    <w:rsid w:val="00950178"/>
    <w:rsid w:val="0095121A"/>
    <w:rsid w:val="00955B9C"/>
    <w:rsid w:val="00956300"/>
    <w:rsid w:val="009573BB"/>
    <w:rsid w:val="00962795"/>
    <w:rsid w:val="00963569"/>
    <w:rsid w:val="0096450A"/>
    <w:rsid w:val="00966694"/>
    <w:rsid w:val="00966D21"/>
    <w:rsid w:val="009672CA"/>
    <w:rsid w:val="00971029"/>
    <w:rsid w:val="009732D4"/>
    <w:rsid w:val="00974426"/>
    <w:rsid w:val="00974472"/>
    <w:rsid w:val="00975D0A"/>
    <w:rsid w:val="00982C45"/>
    <w:rsid w:val="00987072"/>
    <w:rsid w:val="0098756A"/>
    <w:rsid w:val="00987836"/>
    <w:rsid w:val="00987C30"/>
    <w:rsid w:val="009924AF"/>
    <w:rsid w:val="009924FD"/>
    <w:rsid w:val="0099261D"/>
    <w:rsid w:val="00993358"/>
    <w:rsid w:val="00994793"/>
    <w:rsid w:val="00995517"/>
    <w:rsid w:val="009A17E2"/>
    <w:rsid w:val="009A1E73"/>
    <w:rsid w:val="009A3B6F"/>
    <w:rsid w:val="009A444E"/>
    <w:rsid w:val="009A478C"/>
    <w:rsid w:val="009A583C"/>
    <w:rsid w:val="009A5D25"/>
    <w:rsid w:val="009A5E1E"/>
    <w:rsid w:val="009A691D"/>
    <w:rsid w:val="009A707F"/>
    <w:rsid w:val="009B10D6"/>
    <w:rsid w:val="009B1E0C"/>
    <w:rsid w:val="009B24E3"/>
    <w:rsid w:val="009B2790"/>
    <w:rsid w:val="009B3871"/>
    <w:rsid w:val="009C06D3"/>
    <w:rsid w:val="009C20A8"/>
    <w:rsid w:val="009C3CC0"/>
    <w:rsid w:val="009C43FE"/>
    <w:rsid w:val="009C4750"/>
    <w:rsid w:val="009D1BBD"/>
    <w:rsid w:val="009D434E"/>
    <w:rsid w:val="009D6534"/>
    <w:rsid w:val="009D79F7"/>
    <w:rsid w:val="009E01A0"/>
    <w:rsid w:val="009E0F6A"/>
    <w:rsid w:val="009E2C5C"/>
    <w:rsid w:val="009E3EFD"/>
    <w:rsid w:val="009E7F31"/>
    <w:rsid w:val="009F0E05"/>
    <w:rsid w:val="009F13BF"/>
    <w:rsid w:val="009F1DFE"/>
    <w:rsid w:val="009F40A5"/>
    <w:rsid w:val="009F45DA"/>
    <w:rsid w:val="009F5889"/>
    <w:rsid w:val="009F6ACA"/>
    <w:rsid w:val="009F6AF0"/>
    <w:rsid w:val="009F6F4D"/>
    <w:rsid w:val="009F71A2"/>
    <w:rsid w:val="009F73E3"/>
    <w:rsid w:val="00A01CED"/>
    <w:rsid w:val="00A025CE"/>
    <w:rsid w:val="00A028AC"/>
    <w:rsid w:val="00A03A1B"/>
    <w:rsid w:val="00A06030"/>
    <w:rsid w:val="00A10C8E"/>
    <w:rsid w:val="00A11F58"/>
    <w:rsid w:val="00A13706"/>
    <w:rsid w:val="00A14B85"/>
    <w:rsid w:val="00A14DA0"/>
    <w:rsid w:val="00A15BE3"/>
    <w:rsid w:val="00A1671C"/>
    <w:rsid w:val="00A16D26"/>
    <w:rsid w:val="00A200CB"/>
    <w:rsid w:val="00A21149"/>
    <w:rsid w:val="00A2218B"/>
    <w:rsid w:val="00A25126"/>
    <w:rsid w:val="00A25C22"/>
    <w:rsid w:val="00A268A0"/>
    <w:rsid w:val="00A276EA"/>
    <w:rsid w:val="00A27EA7"/>
    <w:rsid w:val="00A30050"/>
    <w:rsid w:val="00A3076F"/>
    <w:rsid w:val="00A35AAD"/>
    <w:rsid w:val="00A36A92"/>
    <w:rsid w:val="00A4136C"/>
    <w:rsid w:val="00A41F4D"/>
    <w:rsid w:val="00A42062"/>
    <w:rsid w:val="00A44478"/>
    <w:rsid w:val="00A44581"/>
    <w:rsid w:val="00A50975"/>
    <w:rsid w:val="00A51BA5"/>
    <w:rsid w:val="00A51BC3"/>
    <w:rsid w:val="00A52CD4"/>
    <w:rsid w:val="00A53B52"/>
    <w:rsid w:val="00A55562"/>
    <w:rsid w:val="00A55F97"/>
    <w:rsid w:val="00A577E3"/>
    <w:rsid w:val="00A57856"/>
    <w:rsid w:val="00A60B46"/>
    <w:rsid w:val="00A60FFC"/>
    <w:rsid w:val="00A62759"/>
    <w:rsid w:val="00A62A3D"/>
    <w:rsid w:val="00A63321"/>
    <w:rsid w:val="00A63969"/>
    <w:rsid w:val="00A63B33"/>
    <w:rsid w:val="00A64466"/>
    <w:rsid w:val="00A656A6"/>
    <w:rsid w:val="00A72B0B"/>
    <w:rsid w:val="00A73E1D"/>
    <w:rsid w:val="00A73EE8"/>
    <w:rsid w:val="00A750C3"/>
    <w:rsid w:val="00A75127"/>
    <w:rsid w:val="00A7661A"/>
    <w:rsid w:val="00A7796B"/>
    <w:rsid w:val="00A77F4D"/>
    <w:rsid w:val="00A80765"/>
    <w:rsid w:val="00A81337"/>
    <w:rsid w:val="00A8162F"/>
    <w:rsid w:val="00A81B3E"/>
    <w:rsid w:val="00A821FB"/>
    <w:rsid w:val="00A826D1"/>
    <w:rsid w:val="00A82EF0"/>
    <w:rsid w:val="00A837CC"/>
    <w:rsid w:val="00A83A15"/>
    <w:rsid w:val="00A847FF"/>
    <w:rsid w:val="00A84B4B"/>
    <w:rsid w:val="00A84D6E"/>
    <w:rsid w:val="00A855BF"/>
    <w:rsid w:val="00A90056"/>
    <w:rsid w:val="00A90305"/>
    <w:rsid w:val="00A911A2"/>
    <w:rsid w:val="00A9211A"/>
    <w:rsid w:val="00A9231F"/>
    <w:rsid w:val="00A926B8"/>
    <w:rsid w:val="00A92B1A"/>
    <w:rsid w:val="00A93ACD"/>
    <w:rsid w:val="00A973C8"/>
    <w:rsid w:val="00A97767"/>
    <w:rsid w:val="00AA1FEC"/>
    <w:rsid w:val="00AA2132"/>
    <w:rsid w:val="00AA3A40"/>
    <w:rsid w:val="00AA6E49"/>
    <w:rsid w:val="00AA7564"/>
    <w:rsid w:val="00AB4835"/>
    <w:rsid w:val="00AC0A11"/>
    <w:rsid w:val="00AC20B8"/>
    <w:rsid w:val="00AC360F"/>
    <w:rsid w:val="00AC3983"/>
    <w:rsid w:val="00AC4C29"/>
    <w:rsid w:val="00AC545F"/>
    <w:rsid w:val="00AC5976"/>
    <w:rsid w:val="00AC5E9D"/>
    <w:rsid w:val="00AC6C98"/>
    <w:rsid w:val="00AD0D04"/>
    <w:rsid w:val="00AD1127"/>
    <w:rsid w:val="00AD1767"/>
    <w:rsid w:val="00AD1C4C"/>
    <w:rsid w:val="00AD3C59"/>
    <w:rsid w:val="00AD433A"/>
    <w:rsid w:val="00AD5F70"/>
    <w:rsid w:val="00AD63BE"/>
    <w:rsid w:val="00AD6E27"/>
    <w:rsid w:val="00AE05D0"/>
    <w:rsid w:val="00AE206E"/>
    <w:rsid w:val="00AE3BEC"/>
    <w:rsid w:val="00AE3C94"/>
    <w:rsid w:val="00AE3F80"/>
    <w:rsid w:val="00AE6DE8"/>
    <w:rsid w:val="00AE7E54"/>
    <w:rsid w:val="00AE7F34"/>
    <w:rsid w:val="00AF11C7"/>
    <w:rsid w:val="00AF27D7"/>
    <w:rsid w:val="00AF3761"/>
    <w:rsid w:val="00AF3C65"/>
    <w:rsid w:val="00AF4FF1"/>
    <w:rsid w:val="00AF6245"/>
    <w:rsid w:val="00AF7235"/>
    <w:rsid w:val="00AF7C0E"/>
    <w:rsid w:val="00B0743C"/>
    <w:rsid w:val="00B07907"/>
    <w:rsid w:val="00B10472"/>
    <w:rsid w:val="00B10547"/>
    <w:rsid w:val="00B10A6E"/>
    <w:rsid w:val="00B12CC2"/>
    <w:rsid w:val="00B13B3C"/>
    <w:rsid w:val="00B14075"/>
    <w:rsid w:val="00B14686"/>
    <w:rsid w:val="00B14ADD"/>
    <w:rsid w:val="00B1598E"/>
    <w:rsid w:val="00B20B92"/>
    <w:rsid w:val="00B20EE1"/>
    <w:rsid w:val="00B210BC"/>
    <w:rsid w:val="00B2273A"/>
    <w:rsid w:val="00B24E5E"/>
    <w:rsid w:val="00B26D7D"/>
    <w:rsid w:val="00B27750"/>
    <w:rsid w:val="00B27F9C"/>
    <w:rsid w:val="00B3076B"/>
    <w:rsid w:val="00B37B18"/>
    <w:rsid w:val="00B40373"/>
    <w:rsid w:val="00B41437"/>
    <w:rsid w:val="00B440F5"/>
    <w:rsid w:val="00B46A30"/>
    <w:rsid w:val="00B50B9C"/>
    <w:rsid w:val="00B511D9"/>
    <w:rsid w:val="00B51535"/>
    <w:rsid w:val="00B51A85"/>
    <w:rsid w:val="00B51DD4"/>
    <w:rsid w:val="00B53288"/>
    <w:rsid w:val="00B53C0C"/>
    <w:rsid w:val="00B53C9C"/>
    <w:rsid w:val="00B53D88"/>
    <w:rsid w:val="00B547A6"/>
    <w:rsid w:val="00B57110"/>
    <w:rsid w:val="00B572C6"/>
    <w:rsid w:val="00B57DAC"/>
    <w:rsid w:val="00B6268C"/>
    <w:rsid w:val="00B62C72"/>
    <w:rsid w:val="00B64631"/>
    <w:rsid w:val="00B664CB"/>
    <w:rsid w:val="00B71424"/>
    <w:rsid w:val="00B71791"/>
    <w:rsid w:val="00B71AB5"/>
    <w:rsid w:val="00B71DDB"/>
    <w:rsid w:val="00B750F3"/>
    <w:rsid w:val="00B7689F"/>
    <w:rsid w:val="00B76ADE"/>
    <w:rsid w:val="00B77041"/>
    <w:rsid w:val="00B81DAB"/>
    <w:rsid w:val="00B82C6C"/>
    <w:rsid w:val="00B85072"/>
    <w:rsid w:val="00B91B58"/>
    <w:rsid w:val="00B924D9"/>
    <w:rsid w:val="00B931B1"/>
    <w:rsid w:val="00B93979"/>
    <w:rsid w:val="00B965E9"/>
    <w:rsid w:val="00B966F7"/>
    <w:rsid w:val="00BA256D"/>
    <w:rsid w:val="00BA3766"/>
    <w:rsid w:val="00BA4548"/>
    <w:rsid w:val="00BA505F"/>
    <w:rsid w:val="00BA6FA4"/>
    <w:rsid w:val="00BB1F9D"/>
    <w:rsid w:val="00BB236C"/>
    <w:rsid w:val="00BB2641"/>
    <w:rsid w:val="00BB33EB"/>
    <w:rsid w:val="00BB37C1"/>
    <w:rsid w:val="00BB3DEA"/>
    <w:rsid w:val="00BB427B"/>
    <w:rsid w:val="00BB5284"/>
    <w:rsid w:val="00BB7319"/>
    <w:rsid w:val="00BB7A5F"/>
    <w:rsid w:val="00BB7D90"/>
    <w:rsid w:val="00BC2807"/>
    <w:rsid w:val="00BC334D"/>
    <w:rsid w:val="00BC7A26"/>
    <w:rsid w:val="00BC7D17"/>
    <w:rsid w:val="00BD2F1C"/>
    <w:rsid w:val="00BD4A0E"/>
    <w:rsid w:val="00BD4BB0"/>
    <w:rsid w:val="00BD5567"/>
    <w:rsid w:val="00BD5FCF"/>
    <w:rsid w:val="00BD6207"/>
    <w:rsid w:val="00BE07F4"/>
    <w:rsid w:val="00BE0834"/>
    <w:rsid w:val="00BE15FA"/>
    <w:rsid w:val="00BE17BD"/>
    <w:rsid w:val="00BE1B50"/>
    <w:rsid w:val="00BE4604"/>
    <w:rsid w:val="00BE6504"/>
    <w:rsid w:val="00BF061C"/>
    <w:rsid w:val="00BF1193"/>
    <w:rsid w:val="00BF1734"/>
    <w:rsid w:val="00BF29C6"/>
    <w:rsid w:val="00BF38C2"/>
    <w:rsid w:val="00BF3A2C"/>
    <w:rsid w:val="00BF473B"/>
    <w:rsid w:val="00BF4A2B"/>
    <w:rsid w:val="00BF74D3"/>
    <w:rsid w:val="00C01D38"/>
    <w:rsid w:val="00C02ABC"/>
    <w:rsid w:val="00C030ED"/>
    <w:rsid w:val="00C03954"/>
    <w:rsid w:val="00C064DB"/>
    <w:rsid w:val="00C06CD4"/>
    <w:rsid w:val="00C07C59"/>
    <w:rsid w:val="00C108E8"/>
    <w:rsid w:val="00C11554"/>
    <w:rsid w:val="00C133A9"/>
    <w:rsid w:val="00C1352A"/>
    <w:rsid w:val="00C13ACD"/>
    <w:rsid w:val="00C13CEE"/>
    <w:rsid w:val="00C1408E"/>
    <w:rsid w:val="00C14FE4"/>
    <w:rsid w:val="00C16510"/>
    <w:rsid w:val="00C17B0A"/>
    <w:rsid w:val="00C21FD1"/>
    <w:rsid w:val="00C2239F"/>
    <w:rsid w:val="00C22F6C"/>
    <w:rsid w:val="00C23417"/>
    <w:rsid w:val="00C24060"/>
    <w:rsid w:val="00C2573A"/>
    <w:rsid w:val="00C26BB4"/>
    <w:rsid w:val="00C26E93"/>
    <w:rsid w:val="00C300BD"/>
    <w:rsid w:val="00C30F3B"/>
    <w:rsid w:val="00C3333D"/>
    <w:rsid w:val="00C3436F"/>
    <w:rsid w:val="00C42C1E"/>
    <w:rsid w:val="00C42FE6"/>
    <w:rsid w:val="00C43522"/>
    <w:rsid w:val="00C448DA"/>
    <w:rsid w:val="00C44951"/>
    <w:rsid w:val="00C459A7"/>
    <w:rsid w:val="00C45F38"/>
    <w:rsid w:val="00C50EA2"/>
    <w:rsid w:val="00C532BC"/>
    <w:rsid w:val="00C534C7"/>
    <w:rsid w:val="00C537A0"/>
    <w:rsid w:val="00C57BFD"/>
    <w:rsid w:val="00C607F4"/>
    <w:rsid w:val="00C609E9"/>
    <w:rsid w:val="00C60FD9"/>
    <w:rsid w:val="00C613E3"/>
    <w:rsid w:val="00C61582"/>
    <w:rsid w:val="00C6173C"/>
    <w:rsid w:val="00C62954"/>
    <w:rsid w:val="00C62E5A"/>
    <w:rsid w:val="00C63597"/>
    <w:rsid w:val="00C65375"/>
    <w:rsid w:val="00C670AF"/>
    <w:rsid w:val="00C72AE3"/>
    <w:rsid w:val="00C72D57"/>
    <w:rsid w:val="00C7314E"/>
    <w:rsid w:val="00C73DFB"/>
    <w:rsid w:val="00C76092"/>
    <w:rsid w:val="00C763D7"/>
    <w:rsid w:val="00C772D8"/>
    <w:rsid w:val="00C80227"/>
    <w:rsid w:val="00C803BE"/>
    <w:rsid w:val="00C80E17"/>
    <w:rsid w:val="00C80EA9"/>
    <w:rsid w:val="00C83253"/>
    <w:rsid w:val="00C83712"/>
    <w:rsid w:val="00C837E1"/>
    <w:rsid w:val="00C84033"/>
    <w:rsid w:val="00C84566"/>
    <w:rsid w:val="00C84936"/>
    <w:rsid w:val="00C84B54"/>
    <w:rsid w:val="00C857CE"/>
    <w:rsid w:val="00C90009"/>
    <w:rsid w:val="00C90EBA"/>
    <w:rsid w:val="00C91789"/>
    <w:rsid w:val="00C9501D"/>
    <w:rsid w:val="00C95B39"/>
    <w:rsid w:val="00C95D2A"/>
    <w:rsid w:val="00CA05BA"/>
    <w:rsid w:val="00CA0A6B"/>
    <w:rsid w:val="00CA2032"/>
    <w:rsid w:val="00CA4A04"/>
    <w:rsid w:val="00CA5DD4"/>
    <w:rsid w:val="00CB1B28"/>
    <w:rsid w:val="00CB2283"/>
    <w:rsid w:val="00CB2820"/>
    <w:rsid w:val="00CB2D57"/>
    <w:rsid w:val="00CB31D0"/>
    <w:rsid w:val="00CB4D99"/>
    <w:rsid w:val="00CB62A8"/>
    <w:rsid w:val="00CB64A8"/>
    <w:rsid w:val="00CB6CA9"/>
    <w:rsid w:val="00CB6E3F"/>
    <w:rsid w:val="00CB7002"/>
    <w:rsid w:val="00CB737A"/>
    <w:rsid w:val="00CC0306"/>
    <w:rsid w:val="00CC0D14"/>
    <w:rsid w:val="00CC1379"/>
    <w:rsid w:val="00CC3116"/>
    <w:rsid w:val="00CD1B1C"/>
    <w:rsid w:val="00CD4337"/>
    <w:rsid w:val="00CD52A4"/>
    <w:rsid w:val="00CD7219"/>
    <w:rsid w:val="00CE0EA4"/>
    <w:rsid w:val="00CE0EBB"/>
    <w:rsid w:val="00CE1CD7"/>
    <w:rsid w:val="00CE2BFB"/>
    <w:rsid w:val="00CE31A9"/>
    <w:rsid w:val="00CE3506"/>
    <w:rsid w:val="00CE37C1"/>
    <w:rsid w:val="00CE4D23"/>
    <w:rsid w:val="00CE6D4F"/>
    <w:rsid w:val="00CE726E"/>
    <w:rsid w:val="00CE784B"/>
    <w:rsid w:val="00CF3A1D"/>
    <w:rsid w:val="00CF411C"/>
    <w:rsid w:val="00CF4F56"/>
    <w:rsid w:val="00CF6414"/>
    <w:rsid w:val="00CF7548"/>
    <w:rsid w:val="00D00087"/>
    <w:rsid w:val="00D03D85"/>
    <w:rsid w:val="00D03DF7"/>
    <w:rsid w:val="00D04C17"/>
    <w:rsid w:val="00D050B0"/>
    <w:rsid w:val="00D1223B"/>
    <w:rsid w:val="00D12C55"/>
    <w:rsid w:val="00D1572E"/>
    <w:rsid w:val="00D1763B"/>
    <w:rsid w:val="00D17740"/>
    <w:rsid w:val="00D205B2"/>
    <w:rsid w:val="00D21FE9"/>
    <w:rsid w:val="00D23119"/>
    <w:rsid w:val="00D23DFE"/>
    <w:rsid w:val="00D24E60"/>
    <w:rsid w:val="00D30A91"/>
    <w:rsid w:val="00D316FB"/>
    <w:rsid w:val="00D32C20"/>
    <w:rsid w:val="00D34F0E"/>
    <w:rsid w:val="00D3657C"/>
    <w:rsid w:val="00D36F79"/>
    <w:rsid w:val="00D4054B"/>
    <w:rsid w:val="00D42ED6"/>
    <w:rsid w:val="00D43E72"/>
    <w:rsid w:val="00D445F3"/>
    <w:rsid w:val="00D44C0E"/>
    <w:rsid w:val="00D46585"/>
    <w:rsid w:val="00D467C1"/>
    <w:rsid w:val="00D46889"/>
    <w:rsid w:val="00D47707"/>
    <w:rsid w:val="00D47850"/>
    <w:rsid w:val="00D47E49"/>
    <w:rsid w:val="00D5007B"/>
    <w:rsid w:val="00D511FD"/>
    <w:rsid w:val="00D542DF"/>
    <w:rsid w:val="00D5439A"/>
    <w:rsid w:val="00D56119"/>
    <w:rsid w:val="00D56277"/>
    <w:rsid w:val="00D56931"/>
    <w:rsid w:val="00D60886"/>
    <w:rsid w:val="00D619D5"/>
    <w:rsid w:val="00D61F5E"/>
    <w:rsid w:val="00D62474"/>
    <w:rsid w:val="00D62A2F"/>
    <w:rsid w:val="00D63719"/>
    <w:rsid w:val="00D63EA6"/>
    <w:rsid w:val="00D64158"/>
    <w:rsid w:val="00D6531E"/>
    <w:rsid w:val="00D65AA2"/>
    <w:rsid w:val="00D664C3"/>
    <w:rsid w:val="00D67D31"/>
    <w:rsid w:val="00D71FE9"/>
    <w:rsid w:val="00D72C0E"/>
    <w:rsid w:val="00D73D26"/>
    <w:rsid w:val="00D74EA9"/>
    <w:rsid w:val="00D807A1"/>
    <w:rsid w:val="00D80FC8"/>
    <w:rsid w:val="00D816A1"/>
    <w:rsid w:val="00D857C9"/>
    <w:rsid w:val="00D87955"/>
    <w:rsid w:val="00D90AEB"/>
    <w:rsid w:val="00D90BCF"/>
    <w:rsid w:val="00D90F26"/>
    <w:rsid w:val="00D91AE3"/>
    <w:rsid w:val="00D91E6E"/>
    <w:rsid w:val="00D92866"/>
    <w:rsid w:val="00D93803"/>
    <w:rsid w:val="00D94C76"/>
    <w:rsid w:val="00D958E1"/>
    <w:rsid w:val="00D97DCD"/>
    <w:rsid w:val="00DA1B3D"/>
    <w:rsid w:val="00DA60F6"/>
    <w:rsid w:val="00DB0A8E"/>
    <w:rsid w:val="00DB254B"/>
    <w:rsid w:val="00DB30C8"/>
    <w:rsid w:val="00DB6C77"/>
    <w:rsid w:val="00DB702C"/>
    <w:rsid w:val="00DC122B"/>
    <w:rsid w:val="00DC1339"/>
    <w:rsid w:val="00DC4D7B"/>
    <w:rsid w:val="00DC73C9"/>
    <w:rsid w:val="00DD118B"/>
    <w:rsid w:val="00DD11F1"/>
    <w:rsid w:val="00DD1A71"/>
    <w:rsid w:val="00DD48FA"/>
    <w:rsid w:val="00DD4A2C"/>
    <w:rsid w:val="00DE111E"/>
    <w:rsid w:val="00DE13FC"/>
    <w:rsid w:val="00DE4057"/>
    <w:rsid w:val="00DE427B"/>
    <w:rsid w:val="00DE4810"/>
    <w:rsid w:val="00DE53F2"/>
    <w:rsid w:val="00DE6CF1"/>
    <w:rsid w:val="00DE7F26"/>
    <w:rsid w:val="00DF12AD"/>
    <w:rsid w:val="00DF1A3F"/>
    <w:rsid w:val="00DF316F"/>
    <w:rsid w:val="00DF4CB7"/>
    <w:rsid w:val="00DF5807"/>
    <w:rsid w:val="00DF6D43"/>
    <w:rsid w:val="00DF6E45"/>
    <w:rsid w:val="00DF6F0D"/>
    <w:rsid w:val="00E001BE"/>
    <w:rsid w:val="00E01B53"/>
    <w:rsid w:val="00E01DD7"/>
    <w:rsid w:val="00E02DE2"/>
    <w:rsid w:val="00E03B35"/>
    <w:rsid w:val="00E054CD"/>
    <w:rsid w:val="00E0698E"/>
    <w:rsid w:val="00E11077"/>
    <w:rsid w:val="00E12830"/>
    <w:rsid w:val="00E12F02"/>
    <w:rsid w:val="00E13778"/>
    <w:rsid w:val="00E13AA8"/>
    <w:rsid w:val="00E14F0F"/>
    <w:rsid w:val="00E15B41"/>
    <w:rsid w:val="00E16678"/>
    <w:rsid w:val="00E16B61"/>
    <w:rsid w:val="00E17939"/>
    <w:rsid w:val="00E21015"/>
    <w:rsid w:val="00E24051"/>
    <w:rsid w:val="00E25312"/>
    <w:rsid w:val="00E2569C"/>
    <w:rsid w:val="00E30576"/>
    <w:rsid w:val="00E3174A"/>
    <w:rsid w:val="00E323CC"/>
    <w:rsid w:val="00E33351"/>
    <w:rsid w:val="00E3349A"/>
    <w:rsid w:val="00E358A2"/>
    <w:rsid w:val="00E36F06"/>
    <w:rsid w:val="00E374D4"/>
    <w:rsid w:val="00E4102E"/>
    <w:rsid w:val="00E436C2"/>
    <w:rsid w:val="00E444E1"/>
    <w:rsid w:val="00E4535B"/>
    <w:rsid w:val="00E45F74"/>
    <w:rsid w:val="00E4730D"/>
    <w:rsid w:val="00E47828"/>
    <w:rsid w:val="00E507BD"/>
    <w:rsid w:val="00E53ACD"/>
    <w:rsid w:val="00E54E92"/>
    <w:rsid w:val="00E5533C"/>
    <w:rsid w:val="00E55431"/>
    <w:rsid w:val="00E554A1"/>
    <w:rsid w:val="00E55F6E"/>
    <w:rsid w:val="00E56953"/>
    <w:rsid w:val="00E56E8E"/>
    <w:rsid w:val="00E579FE"/>
    <w:rsid w:val="00E602F2"/>
    <w:rsid w:val="00E60898"/>
    <w:rsid w:val="00E61845"/>
    <w:rsid w:val="00E62F0D"/>
    <w:rsid w:val="00E630AF"/>
    <w:rsid w:val="00E63341"/>
    <w:rsid w:val="00E6488C"/>
    <w:rsid w:val="00E70903"/>
    <w:rsid w:val="00E71D0A"/>
    <w:rsid w:val="00E72217"/>
    <w:rsid w:val="00E73012"/>
    <w:rsid w:val="00E730C8"/>
    <w:rsid w:val="00E73B11"/>
    <w:rsid w:val="00E7503B"/>
    <w:rsid w:val="00E76EF2"/>
    <w:rsid w:val="00E8107B"/>
    <w:rsid w:val="00E81A43"/>
    <w:rsid w:val="00E83E56"/>
    <w:rsid w:val="00E86467"/>
    <w:rsid w:val="00E86EC6"/>
    <w:rsid w:val="00E87E2A"/>
    <w:rsid w:val="00E90774"/>
    <w:rsid w:val="00E91BD3"/>
    <w:rsid w:val="00E94272"/>
    <w:rsid w:val="00E94DD8"/>
    <w:rsid w:val="00E96F58"/>
    <w:rsid w:val="00EA004C"/>
    <w:rsid w:val="00EA2162"/>
    <w:rsid w:val="00EA3D3B"/>
    <w:rsid w:val="00EA5694"/>
    <w:rsid w:val="00EA5B03"/>
    <w:rsid w:val="00EA6516"/>
    <w:rsid w:val="00EA7CC6"/>
    <w:rsid w:val="00EA7E43"/>
    <w:rsid w:val="00EB4CB6"/>
    <w:rsid w:val="00EB65FE"/>
    <w:rsid w:val="00EB66A3"/>
    <w:rsid w:val="00EC0FB5"/>
    <w:rsid w:val="00EC18F7"/>
    <w:rsid w:val="00EC2C2F"/>
    <w:rsid w:val="00EC3DC5"/>
    <w:rsid w:val="00EC3E08"/>
    <w:rsid w:val="00EC4981"/>
    <w:rsid w:val="00EC77EA"/>
    <w:rsid w:val="00EC7E74"/>
    <w:rsid w:val="00ED164D"/>
    <w:rsid w:val="00ED1729"/>
    <w:rsid w:val="00ED1C6C"/>
    <w:rsid w:val="00ED2329"/>
    <w:rsid w:val="00ED27F5"/>
    <w:rsid w:val="00ED3DDD"/>
    <w:rsid w:val="00ED40BB"/>
    <w:rsid w:val="00ED5EE5"/>
    <w:rsid w:val="00ED70B2"/>
    <w:rsid w:val="00EE03BD"/>
    <w:rsid w:val="00EE055A"/>
    <w:rsid w:val="00EE072A"/>
    <w:rsid w:val="00EE0B1E"/>
    <w:rsid w:val="00EE264D"/>
    <w:rsid w:val="00EE28C9"/>
    <w:rsid w:val="00EE2C57"/>
    <w:rsid w:val="00EE44FA"/>
    <w:rsid w:val="00EE54AD"/>
    <w:rsid w:val="00EF0151"/>
    <w:rsid w:val="00EF020A"/>
    <w:rsid w:val="00EF0311"/>
    <w:rsid w:val="00EF1083"/>
    <w:rsid w:val="00EF28F9"/>
    <w:rsid w:val="00EF39CF"/>
    <w:rsid w:val="00EF43B3"/>
    <w:rsid w:val="00EF44CB"/>
    <w:rsid w:val="00EF5389"/>
    <w:rsid w:val="00EF7733"/>
    <w:rsid w:val="00F00343"/>
    <w:rsid w:val="00F00B42"/>
    <w:rsid w:val="00F01FCF"/>
    <w:rsid w:val="00F020CE"/>
    <w:rsid w:val="00F02F2E"/>
    <w:rsid w:val="00F04194"/>
    <w:rsid w:val="00F05C2C"/>
    <w:rsid w:val="00F0739A"/>
    <w:rsid w:val="00F10307"/>
    <w:rsid w:val="00F14A9B"/>
    <w:rsid w:val="00F15F45"/>
    <w:rsid w:val="00F21AB7"/>
    <w:rsid w:val="00F221C2"/>
    <w:rsid w:val="00F22631"/>
    <w:rsid w:val="00F22B4C"/>
    <w:rsid w:val="00F2345C"/>
    <w:rsid w:val="00F251CF"/>
    <w:rsid w:val="00F25DC7"/>
    <w:rsid w:val="00F2602C"/>
    <w:rsid w:val="00F26074"/>
    <w:rsid w:val="00F270EE"/>
    <w:rsid w:val="00F27A17"/>
    <w:rsid w:val="00F30391"/>
    <w:rsid w:val="00F30881"/>
    <w:rsid w:val="00F3186B"/>
    <w:rsid w:val="00F31C75"/>
    <w:rsid w:val="00F32B99"/>
    <w:rsid w:val="00F345D1"/>
    <w:rsid w:val="00F35B34"/>
    <w:rsid w:val="00F37B43"/>
    <w:rsid w:val="00F40BCE"/>
    <w:rsid w:val="00F41885"/>
    <w:rsid w:val="00F4231C"/>
    <w:rsid w:val="00F42B79"/>
    <w:rsid w:val="00F43064"/>
    <w:rsid w:val="00F44799"/>
    <w:rsid w:val="00F452EA"/>
    <w:rsid w:val="00F457B0"/>
    <w:rsid w:val="00F4639A"/>
    <w:rsid w:val="00F5099D"/>
    <w:rsid w:val="00F52363"/>
    <w:rsid w:val="00F535BA"/>
    <w:rsid w:val="00F54EFE"/>
    <w:rsid w:val="00F55B56"/>
    <w:rsid w:val="00F56D17"/>
    <w:rsid w:val="00F56EE1"/>
    <w:rsid w:val="00F573F8"/>
    <w:rsid w:val="00F60953"/>
    <w:rsid w:val="00F61644"/>
    <w:rsid w:val="00F621E1"/>
    <w:rsid w:val="00F63D60"/>
    <w:rsid w:val="00F63EAA"/>
    <w:rsid w:val="00F645EC"/>
    <w:rsid w:val="00F64A21"/>
    <w:rsid w:val="00F65142"/>
    <w:rsid w:val="00F67AC0"/>
    <w:rsid w:val="00F70807"/>
    <w:rsid w:val="00F70A52"/>
    <w:rsid w:val="00F71FB9"/>
    <w:rsid w:val="00F720D1"/>
    <w:rsid w:val="00F7236E"/>
    <w:rsid w:val="00F7394B"/>
    <w:rsid w:val="00F73A4D"/>
    <w:rsid w:val="00F73C3B"/>
    <w:rsid w:val="00F75840"/>
    <w:rsid w:val="00F76CCD"/>
    <w:rsid w:val="00F76D49"/>
    <w:rsid w:val="00F80592"/>
    <w:rsid w:val="00F81128"/>
    <w:rsid w:val="00F81857"/>
    <w:rsid w:val="00F82119"/>
    <w:rsid w:val="00F8253D"/>
    <w:rsid w:val="00F84018"/>
    <w:rsid w:val="00F84CF9"/>
    <w:rsid w:val="00F86303"/>
    <w:rsid w:val="00F86568"/>
    <w:rsid w:val="00F8672F"/>
    <w:rsid w:val="00F872E5"/>
    <w:rsid w:val="00F8754A"/>
    <w:rsid w:val="00F87780"/>
    <w:rsid w:val="00F91218"/>
    <w:rsid w:val="00F912CA"/>
    <w:rsid w:val="00F920EA"/>
    <w:rsid w:val="00F9616C"/>
    <w:rsid w:val="00F96BC7"/>
    <w:rsid w:val="00FA550A"/>
    <w:rsid w:val="00FA5EA7"/>
    <w:rsid w:val="00FA6BD6"/>
    <w:rsid w:val="00FB041F"/>
    <w:rsid w:val="00FB11E4"/>
    <w:rsid w:val="00FB1374"/>
    <w:rsid w:val="00FB20FB"/>
    <w:rsid w:val="00FB2420"/>
    <w:rsid w:val="00FB38A6"/>
    <w:rsid w:val="00FB42E9"/>
    <w:rsid w:val="00FB4B5B"/>
    <w:rsid w:val="00FB59A0"/>
    <w:rsid w:val="00FB5CA5"/>
    <w:rsid w:val="00FB5D5C"/>
    <w:rsid w:val="00FB7276"/>
    <w:rsid w:val="00FB77AA"/>
    <w:rsid w:val="00FB7AAF"/>
    <w:rsid w:val="00FB7EF1"/>
    <w:rsid w:val="00FC075E"/>
    <w:rsid w:val="00FC07C8"/>
    <w:rsid w:val="00FC33CD"/>
    <w:rsid w:val="00FC43C0"/>
    <w:rsid w:val="00FC4413"/>
    <w:rsid w:val="00FC4BC3"/>
    <w:rsid w:val="00FC4E4C"/>
    <w:rsid w:val="00FC513A"/>
    <w:rsid w:val="00FC5C10"/>
    <w:rsid w:val="00FD100E"/>
    <w:rsid w:val="00FD19F0"/>
    <w:rsid w:val="00FD3135"/>
    <w:rsid w:val="00FD3727"/>
    <w:rsid w:val="00FD376D"/>
    <w:rsid w:val="00FD3CBA"/>
    <w:rsid w:val="00FD3FFA"/>
    <w:rsid w:val="00FD401D"/>
    <w:rsid w:val="00FD7365"/>
    <w:rsid w:val="00FE00F9"/>
    <w:rsid w:val="00FE0242"/>
    <w:rsid w:val="00FE2158"/>
    <w:rsid w:val="00FE2AF6"/>
    <w:rsid w:val="00FE3A36"/>
    <w:rsid w:val="00FE3D52"/>
    <w:rsid w:val="00FE5C7E"/>
    <w:rsid w:val="00FE791F"/>
    <w:rsid w:val="00FE7F93"/>
    <w:rsid w:val="00FF043E"/>
    <w:rsid w:val="00FF0BA9"/>
    <w:rsid w:val="00FF0EF6"/>
    <w:rsid w:val="00FF1D1C"/>
    <w:rsid w:val="00FF1F67"/>
    <w:rsid w:val="00FF3C98"/>
    <w:rsid w:val="00FF438E"/>
    <w:rsid w:val="00FF68C1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664A04"/>
  <w15:docId w15:val="{4F461E63-8A81-4F67-B50E-3C69C155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2E9"/>
  </w:style>
  <w:style w:type="paragraph" w:styleId="Heading1">
    <w:name w:val="heading 1"/>
    <w:basedOn w:val="Normal"/>
    <w:next w:val="Normal"/>
    <w:link w:val="Heading1Char"/>
    <w:uiPriority w:val="9"/>
    <w:qFormat/>
    <w:rsid w:val="00FB4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B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42"/>
  </w:style>
  <w:style w:type="paragraph" w:styleId="Footer">
    <w:name w:val="footer"/>
    <w:basedOn w:val="Normal"/>
    <w:link w:val="FooterChar"/>
    <w:uiPriority w:val="99"/>
    <w:unhideWhenUsed/>
    <w:rsid w:val="00687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42"/>
  </w:style>
  <w:style w:type="paragraph" w:styleId="NormalWeb">
    <w:name w:val="Normal (Web)"/>
    <w:basedOn w:val="Normal"/>
    <w:uiPriority w:val="99"/>
    <w:unhideWhenUsed/>
    <w:rsid w:val="0068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E427B"/>
    <w:rPr>
      <w:b/>
      <w:bCs/>
    </w:rPr>
  </w:style>
  <w:style w:type="character" w:styleId="Hyperlink">
    <w:name w:val="Hyperlink"/>
    <w:basedOn w:val="DefaultParagraphFont"/>
    <w:uiPriority w:val="99"/>
    <w:unhideWhenUsed/>
    <w:rsid w:val="004A36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7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49F"/>
    <w:pPr>
      <w:spacing w:after="0" w:line="240" w:lineRule="auto"/>
    </w:pPr>
  </w:style>
  <w:style w:type="paragraph" w:customStyle="1" w:styleId="Default">
    <w:name w:val="Default"/>
    <w:rsid w:val="00280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80628"/>
  </w:style>
  <w:style w:type="character" w:styleId="LineNumber">
    <w:name w:val="line number"/>
    <w:basedOn w:val="DefaultParagraphFont"/>
    <w:uiPriority w:val="99"/>
    <w:semiHidden/>
    <w:unhideWhenUsed/>
    <w:rsid w:val="00A11F58"/>
  </w:style>
  <w:style w:type="paragraph" w:customStyle="1" w:styleId="Title1">
    <w:name w:val="Title1"/>
    <w:basedOn w:val="Normal"/>
    <w:rsid w:val="005F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5F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5F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5F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64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511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rshall@keele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38675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hri.ca/programs/clinical_epidemiology/oxford.as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1C1E712-997A-41DC-9CB3-95E7303C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9565</Words>
  <Characters>54521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Bowen C.J.</cp:lastModifiedBy>
  <cp:revision>3</cp:revision>
  <cp:lastPrinted>2017-09-05T12:59:00Z</cp:lastPrinted>
  <dcterms:created xsi:type="dcterms:W3CDTF">2018-02-28T11:52:00Z</dcterms:created>
  <dcterms:modified xsi:type="dcterms:W3CDTF">2018-02-28T11:52:00Z</dcterms:modified>
</cp:coreProperties>
</file>