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3B35E" w14:textId="77777777" w:rsidR="00C7598C" w:rsidRPr="00BF7B7C" w:rsidRDefault="009F4DBB">
      <w:pPr>
        <w:autoSpaceDE w:val="0"/>
        <w:autoSpaceDN w:val="0"/>
        <w:adjustRightInd w:val="0"/>
        <w:spacing w:line="480" w:lineRule="auto"/>
        <w:jc w:val="both"/>
        <w:rPr>
          <w:rFonts w:ascii="Arial" w:hAnsi="Arial" w:cs="Arial"/>
          <w:b/>
          <w:lang w:val="en-GB"/>
        </w:rPr>
      </w:pPr>
      <w:r w:rsidRPr="009F4DBB">
        <w:rPr>
          <w:rFonts w:ascii="Arial" w:hAnsi="Arial" w:cs="Arial"/>
          <w:b/>
          <w:lang w:val="en-GB"/>
        </w:rPr>
        <w:t>Impact of contemporary patterns of chemotherapy utilization on survival in patients with advan</w:t>
      </w:r>
      <w:r>
        <w:rPr>
          <w:rFonts w:ascii="Arial" w:hAnsi="Arial" w:cs="Arial"/>
          <w:b/>
          <w:lang w:val="en-GB"/>
        </w:rPr>
        <w:t>ced cancer of the urinary tract</w:t>
      </w:r>
      <w:r w:rsidR="00C7598C" w:rsidRPr="00BF7B7C">
        <w:rPr>
          <w:rFonts w:ascii="Arial" w:hAnsi="Arial" w:cs="Arial"/>
          <w:b/>
          <w:lang w:val="en-GB"/>
        </w:rPr>
        <w:t>: A Retrospective International Study of Invasive/advanced cancer of the urothelium (RISC).</w:t>
      </w:r>
    </w:p>
    <w:p w14:paraId="0CD4CEC1" w14:textId="77777777" w:rsidR="00C7598C" w:rsidRPr="00BF7B7C" w:rsidRDefault="00C7598C">
      <w:pPr>
        <w:autoSpaceDE w:val="0"/>
        <w:autoSpaceDN w:val="0"/>
        <w:adjustRightInd w:val="0"/>
        <w:spacing w:line="480" w:lineRule="auto"/>
        <w:jc w:val="both"/>
        <w:rPr>
          <w:rFonts w:ascii="Arial" w:hAnsi="Arial" w:cs="Arial"/>
          <w:bCs/>
          <w:iCs/>
          <w:lang w:val="en-US"/>
        </w:rPr>
      </w:pPr>
      <w:r w:rsidRPr="00BF7B7C">
        <w:rPr>
          <w:rFonts w:ascii="Arial" w:hAnsi="Arial" w:cs="Arial"/>
          <w:lang w:val="en-GB"/>
        </w:rPr>
        <w:t>A</w:t>
      </w:r>
      <w:r w:rsidR="00146357" w:rsidRPr="00BF7B7C">
        <w:rPr>
          <w:rFonts w:ascii="Arial" w:hAnsi="Arial" w:cs="Arial"/>
          <w:lang w:val="en-GB"/>
        </w:rPr>
        <w:t xml:space="preserve">ristotelis </w:t>
      </w:r>
      <w:r w:rsidRPr="00BF7B7C">
        <w:rPr>
          <w:rFonts w:ascii="Arial" w:hAnsi="Arial" w:cs="Arial"/>
          <w:lang w:val="en-GB"/>
        </w:rPr>
        <w:t>Bamias</w:t>
      </w:r>
      <w:r w:rsidR="00C11970" w:rsidRPr="00BF7B7C">
        <w:rPr>
          <w:rFonts w:ascii="Arial" w:hAnsi="Arial" w:cs="Arial"/>
          <w:lang w:val="en-GB"/>
        </w:rPr>
        <w:t>,</w:t>
      </w:r>
      <w:r w:rsidR="005753D5" w:rsidRPr="00BF7B7C">
        <w:rPr>
          <w:rFonts w:ascii="Arial" w:hAnsi="Arial" w:cs="Arial"/>
          <w:vertAlign w:val="superscript"/>
          <w:lang w:val="en-US"/>
        </w:rPr>
        <w:t>1</w:t>
      </w:r>
      <w:r w:rsidRPr="00BF7B7C">
        <w:rPr>
          <w:rFonts w:ascii="Arial" w:hAnsi="Arial" w:cs="Arial"/>
          <w:lang w:val="en-GB"/>
        </w:rPr>
        <w:t xml:space="preserve"> K</w:t>
      </w:r>
      <w:r w:rsidR="00146357" w:rsidRPr="00BF7B7C">
        <w:rPr>
          <w:rFonts w:ascii="Arial" w:hAnsi="Arial" w:cs="Arial"/>
          <w:lang w:val="en-GB"/>
        </w:rPr>
        <w:t xml:space="preserve">imon </w:t>
      </w:r>
      <w:r w:rsidRPr="00BF7B7C">
        <w:rPr>
          <w:rFonts w:ascii="Arial" w:hAnsi="Arial" w:cs="Arial"/>
          <w:lang w:val="en-GB"/>
        </w:rPr>
        <w:t>Tzannis</w:t>
      </w:r>
      <w:r w:rsidR="00C11970" w:rsidRPr="00BF7B7C">
        <w:rPr>
          <w:rFonts w:ascii="Arial" w:hAnsi="Arial" w:cs="Arial"/>
          <w:lang w:val="en-GB"/>
        </w:rPr>
        <w:t>,</w:t>
      </w:r>
      <w:r w:rsidR="005753D5" w:rsidRPr="00BF7B7C">
        <w:rPr>
          <w:rFonts w:ascii="Arial" w:hAnsi="Arial" w:cs="Arial"/>
          <w:vertAlign w:val="superscript"/>
          <w:lang w:val="en-US"/>
        </w:rPr>
        <w:t>1</w:t>
      </w:r>
      <w:r w:rsidRPr="00BF7B7C">
        <w:rPr>
          <w:rFonts w:ascii="Arial" w:hAnsi="Arial" w:cs="Arial"/>
          <w:lang w:val="en-GB"/>
        </w:rPr>
        <w:t xml:space="preserve"> </w:t>
      </w:r>
      <w:r w:rsidRPr="00BF7B7C">
        <w:rPr>
          <w:rFonts w:ascii="Arial" w:hAnsi="Arial" w:cs="Arial"/>
          <w:lang w:val="en-US"/>
        </w:rPr>
        <w:t>L</w:t>
      </w:r>
      <w:r w:rsidR="000C7048" w:rsidRPr="00BF7B7C">
        <w:rPr>
          <w:rFonts w:ascii="Arial" w:hAnsi="Arial" w:cs="Arial"/>
          <w:lang w:val="en-US"/>
        </w:rPr>
        <w:t xml:space="preserve">auren C. </w:t>
      </w:r>
      <w:r w:rsidRPr="00BF7B7C">
        <w:rPr>
          <w:rFonts w:ascii="Arial" w:hAnsi="Arial" w:cs="Arial"/>
          <w:lang w:val="en-US"/>
        </w:rPr>
        <w:t>Harshman</w:t>
      </w:r>
      <w:r w:rsidR="00C11970" w:rsidRPr="00BF7B7C">
        <w:rPr>
          <w:rFonts w:ascii="Arial" w:hAnsi="Arial" w:cs="Arial"/>
          <w:lang w:val="en-US"/>
        </w:rPr>
        <w:t>,</w:t>
      </w:r>
      <w:r w:rsidR="005753D5" w:rsidRPr="00BF7B7C">
        <w:rPr>
          <w:rFonts w:ascii="Arial" w:hAnsi="Arial" w:cs="Arial"/>
          <w:vertAlign w:val="superscript"/>
          <w:lang w:val="en-US"/>
        </w:rPr>
        <w:t>2</w:t>
      </w:r>
      <w:r w:rsidRPr="00BF7B7C">
        <w:rPr>
          <w:rFonts w:ascii="Arial" w:hAnsi="Arial" w:cs="Arial"/>
          <w:bCs/>
          <w:iCs/>
          <w:lang w:val="en-US"/>
        </w:rPr>
        <w:t xml:space="preserve"> S</w:t>
      </w:r>
      <w:r w:rsidR="00146357" w:rsidRPr="00BF7B7C">
        <w:rPr>
          <w:rFonts w:ascii="Arial" w:hAnsi="Arial" w:cs="Arial"/>
          <w:bCs/>
          <w:iCs/>
          <w:lang w:val="en-US"/>
        </w:rPr>
        <w:t xml:space="preserve">imon </w:t>
      </w:r>
      <w:r w:rsidRPr="00BF7B7C">
        <w:rPr>
          <w:rFonts w:ascii="Arial" w:hAnsi="Arial" w:cs="Arial"/>
          <w:bCs/>
          <w:iCs/>
          <w:lang w:val="en-US"/>
        </w:rPr>
        <w:t>Crabb</w:t>
      </w:r>
      <w:r w:rsidR="00C11970" w:rsidRPr="00BF7B7C">
        <w:rPr>
          <w:rFonts w:ascii="Arial" w:hAnsi="Arial" w:cs="Arial"/>
          <w:bCs/>
          <w:iCs/>
          <w:lang w:val="en-US"/>
        </w:rPr>
        <w:t>,</w:t>
      </w:r>
      <w:r w:rsidR="005753D5" w:rsidRPr="00BF7B7C">
        <w:rPr>
          <w:rFonts w:ascii="Arial" w:hAnsi="Arial" w:cs="Arial"/>
          <w:bCs/>
          <w:iCs/>
          <w:vertAlign w:val="superscript"/>
          <w:lang w:val="en-US"/>
        </w:rPr>
        <w:t>3</w:t>
      </w:r>
      <w:r w:rsidRPr="00BF7B7C">
        <w:rPr>
          <w:rFonts w:ascii="Arial" w:hAnsi="Arial" w:cs="Arial"/>
          <w:bCs/>
          <w:iCs/>
          <w:lang w:val="en-US"/>
        </w:rPr>
        <w:t xml:space="preserve"> Y</w:t>
      </w:r>
      <w:r w:rsidR="00146357" w:rsidRPr="00BF7B7C">
        <w:rPr>
          <w:rFonts w:ascii="Arial" w:hAnsi="Arial" w:cs="Arial"/>
          <w:bCs/>
          <w:iCs/>
          <w:lang w:val="en-US"/>
        </w:rPr>
        <w:t>u</w:t>
      </w:r>
      <w:r w:rsidRPr="00BF7B7C">
        <w:rPr>
          <w:rFonts w:ascii="Arial" w:hAnsi="Arial" w:cs="Arial"/>
          <w:bCs/>
          <w:iCs/>
          <w:lang w:val="en-US"/>
        </w:rPr>
        <w:t>-N</w:t>
      </w:r>
      <w:r w:rsidR="00146357" w:rsidRPr="00BF7B7C">
        <w:rPr>
          <w:rFonts w:ascii="Arial" w:hAnsi="Arial" w:cs="Arial"/>
          <w:bCs/>
          <w:iCs/>
          <w:lang w:val="en-US"/>
        </w:rPr>
        <w:t>ing</w:t>
      </w:r>
      <w:r w:rsidRPr="00BF7B7C">
        <w:rPr>
          <w:rFonts w:ascii="Arial" w:hAnsi="Arial" w:cs="Arial"/>
          <w:bCs/>
          <w:iCs/>
          <w:lang w:val="en-US"/>
        </w:rPr>
        <w:t xml:space="preserve"> Wong</w:t>
      </w:r>
      <w:r w:rsidR="00C11970" w:rsidRPr="00BF7B7C">
        <w:rPr>
          <w:rFonts w:ascii="Arial" w:hAnsi="Arial" w:cs="Arial"/>
          <w:bCs/>
          <w:iCs/>
          <w:lang w:val="en-US"/>
        </w:rPr>
        <w:t>,</w:t>
      </w:r>
      <w:r w:rsidR="005753D5" w:rsidRPr="00BF7B7C">
        <w:rPr>
          <w:rFonts w:ascii="Arial" w:hAnsi="Arial" w:cs="Arial"/>
          <w:bCs/>
          <w:iCs/>
          <w:vertAlign w:val="superscript"/>
          <w:lang w:val="en-US"/>
        </w:rPr>
        <w:t>4</w:t>
      </w:r>
      <w:r w:rsidRPr="00BF7B7C">
        <w:rPr>
          <w:rFonts w:ascii="Arial" w:hAnsi="Arial" w:cs="Arial"/>
          <w:bCs/>
          <w:iCs/>
          <w:lang w:val="en-US"/>
        </w:rPr>
        <w:t xml:space="preserve"> S</w:t>
      </w:r>
      <w:r w:rsidR="000C7048" w:rsidRPr="00BF7B7C">
        <w:rPr>
          <w:rFonts w:ascii="Arial" w:hAnsi="Arial" w:cs="Arial"/>
          <w:bCs/>
          <w:iCs/>
          <w:lang w:val="en-US"/>
        </w:rPr>
        <w:t xml:space="preserve">umanta Kumar </w:t>
      </w:r>
      <w:r w:rsidRPr="00BF7B7C">
        <w:rPr>
          <w:rFonts w:ascii="Arial" w:hAnsi="Arial" w:cs="Arial"/>
          <w:bCs/>
          <w:iCs/>
          <w:lang w:val="en-US"/>
        </w:rPr>
        <w:t>Pal</w:t>
      </w:r>
      <w:r w:rsidR="00C11970" w:rsidRPr="00BF7B7C">
        <w:rPr>
          <w:rFonts w:ascii="Arial" w:hAnsi="Arial" w:cs="Arial"/>
          <w:bCs/>
          <w:iCs/>
          <w:lang w:val="en-US"/>
        </w:rPr>
        <w:t>,</w:t>
      </w:r>
      <w:r w:rsidR="005753D5" w:rsidRPr="00BF7B7C">
        <w:rPr>
          <w:rFonts w:ascii="Arial" w:hAnsi="Arial" w:cs="Arial"/>
          <w:bCs/>
          <w:iCs/>
          <w:vertAlign w:val="superscript"/>
          <w:lang w:val="en-US"/>
        </w:rPr>
        <w:t>5</w:t>
      </w:r>
      <w:r w:rsidRPr="00BF7B7C">
        <w:rPr>
          <w:rFonts w:ascii="Arial" w:hAnsi="Arial" w:cs="Arial"/>
          <w:bCs/>
          <w:iCs/>
          <w:lang w:val="en-US"/>
        </w:rPr>
        <w:t xml:space="preserve"> U</w:t>
      </w:r>
      <w:r w:rsidR="00146357" w:rsidRPr="00BF7B7C">
        <w:rPr>
          <w:rFonts w:ascii="Arial" w:hAnsi="Arial" w:cs="Arial"/>
          <w:bCs/>
          <w:iCs/>
          <w:lang w:val="en-US"/>
        </w:rPr>
        <w:t xml:space="preserve">go </w:t>
      </w:r>
      <w:r w:rsidRPr="00BF7B7C">
        <w:rPr>
          <w:rFonts w:ascii="Arial" w:hAnsi="Arial" w:cs="Arial"/>
          <w:bCs/>
          <w:iCs/>
          <w:lang w:val="en-US"/>
        </w:rPr>
        <w:t>De Giorgi</w:t>
      </w:r>
      <w:r w:rsidR="00C11970" w:rsidRPr="00BF7B7C">
        <w:rPr>
          <w:rFonts w:ascii="Arial" w:hAnsi="Arial" w:cs="Arial"/>
          <w:bCs/>
          <w:iCs/>
          <w:lang w:val="en-US"/>
        </w:rPr>
        <w:t>,</w:t>
      </w:r>
      <w:r w:rsidR="005753D5" w:rsidRPr="00BF7B7C">
        <w:rPr>
          <w:rFonts w:ascii="Arial" w:hAnsi="Arial" w:cs="Arial"/>
          <w:bCs/>
          <w:iCs/>
          <w:vertAlign w:val="superscript"/>
          <w:lang w:val="en-US"/>
        </w:rPr>
        <w:t>6</w:t>
      </w:r>
      <w:r w:rsidRPr="00BF7B7C">
        <w:rPr>
          <w:rFonts w:ascii="Arial" w:hAnsi="Arial" w:cs="Arial"/>
          <w:bCs/>
          <w:iCs/>
          <w:lang w:val="en-US"/>
        </w:rPr>
        <w:t xml:space="preserve"> S</w:t>
      </w:r>
      <w:r w:rsidR="00146357" w:rsidRPr="00BF7B7C">
        <w:rPr>
          <w:rFonts w:ascii="Arial" w:hAnsi="Arial" w:cs="Arial"/>
          <w:bCs/>
          <w:iCs/>
          <w:lang w:val="en-US"/>
        </w:rPr>
        <w:t xml:space="preserve">ylvain </w:t>
      </w:r>
      <w:r w:rsidRPr="00BF7B7C">
        <w:rPr>
          <w:rFonts w:ascii="Arial" w:hAnsi="Arial" w:cs="Arial"/>
          <w:bCs/>
          <w:iCs/>
          <w:lang w:val="en-US"/>
        </w:rPr>
        <w:t>Ladoire</w:t>
      </w:r>
      <w:r w:rsidR="00C11970" w:rsidRPr="00BF7B7C">
        <w:rPr>
          <w:rFonts w:ascii="Arial" w:hAnsi="Arial" w:cs="Arial"/>
          <w:bCs/>
          <w:iCs/>
          <w:lang w:val="en-US"/>
        </w:rPr>
        <w:t>,</w:t>
      </w:r>
      <w:r w:rsidR="005753D5" w:rsidRPr="00BF7B7C">
        <w:rPr>
          <w:rFonts w:ascii="Arial" w:hAnsi="Arial" w:cs="Arial"/>
          <w:bCs/>
          <w:iCs/>
          <w:vertAlign w:val="superscript"/>
          <w:lang w:val="en-US"/>
        </w:rPr>
        <w:t>7</w:t>
      </w:r>
      <w:r w:rsidRPr="00BF7B7C">
        <w:rPr>
          <w:rFonts w:ascii="Arial" w:hAnsi="Arial" w:cs="Arial"/>
          <w:bCs/>
          <w:iCs/>
          <w:lang w:val="en-US"/>
        </w:rPr>
        <w:t xml:space="preserve"> N</w:t>
      </w:r>
      <w:r w:rsidR="00146357" w:rsidRPr="00BF7B7C">
        <w:rPr>
          <w:rFonts w:ascii="Arial" w:hAnsi="Arial" w:cs="Arial"/>
          <w:bCs/>
          <w:iCs/>
          <w:lang w:val="en-US"/>
        </w:rPr>
        <w:t xml:space="preserve">eeraj </w:t>
      </w:r>
      <w:r w:rsidRPr="00BF7B7C">
        <w:rPr>
          <w:rFonts w:ascii="Arial" w:hAnsi="Arial" w:cs="Arial"/>
          <w:bCs/>
          <w:iCs/>
          <w:lang w:val="en-US"/>
        </w:rPr>
        <w:t>Agarwal</w:t>
      </w:r>
      <w:r w:rsidR="00C11970" w:rsidRPr="00BF7B7C">
        <w:rPr>
          <w:rFonts w:ascii="Arial" w:hAnsi="Arial" w:cs="Arial"/>
          <w:bCs/>
          <w:iCs/>
          <w:lang w:val="en-US"/>
        </w:rPr>
        <w:t>,</w:t>
      </w:r>
      <w:r w:rsidR="005753D5" w:rsidRPr="00BF7B7C">
        <w:rPr>
          <w:rFonts w:ascii="Arial" w:hAnsi="Arial" w:cs="Arial"/>
          <w:bCs/>
          <w:iCs/>
          <w:vertAlign w:val="superscript"/>
          <w:lang w:val="en-US"/>
        </w:rPr>
        <w:t>8</w:t>
      </w:r>
      <w:r w:rsidRPr="00BF7B7C">
        <w:rPr>
          <w:rFonts w:ascii="Arial" w:hAnsi="Arial" w:cs="Arial"/>
          <w:bCs/>
          <w:iCs/>
          <w:lang w:val="en-US"/>
        </w:rPr>
        <w:t xml:space="preserve"> E</w:t>
      </w:r>
      <w:r w:rsidR="00EF5CD5" w:rsidRPr="00BF7B7C">
        <w:rPr>
          <w:rFonts w:ascii="Arial" w:hAnsi="Arial" w:cs="Arial"/>
          <w:bCs/>
          <w:iCs/>
          <w:lang w:val="en-US"/>
        </w:rPr>
        <w:t>van Y</w:t>
      </w:r>
      <w:r w:rsidRPr="00BF7B7C">
        <w:rPr>
          <w:rFonts w:ascii="Arial" w:hAnsi="Arial" w:cs="Arial"/>
          <w:bCs/>
          <w:iCs/>
          <w:lang w:val="en-US"/>
        </w:rPr>
        <w:t>. Yu</w:t>
      </w:r>
      <w:r w:rsidR="00C11970" w:rsidRPr="00BF7B7C">
        <w:rPr>
          <w:rFonts w:ascii="Arial" w:hAnsi="Arial" w:cs="Arial"/>
          <w:bCs/>
          <w:iCs/>
          <w:lang w:val="en-US"/>
        </w:rPr>
        <w:t>,</w:t>
      </w:r>
      <w:r w:rsidR="005753D5" w:rsidRPr="00BF7B7C">
        <w:rPr>
          <w:rFonts w:ascii="Arial" w:hAnsi="Arial" w:cs="Arial"/>
          <w:bCs/>
          <w:iCs/>
          <w:vertAlign w:val="superscript"/>
          <w:lang w:val="en-US"/>
        </w:rPr>
        <w:t>9</w:t>
      </w:r>
      <w:r w:rsidRPr="00BF7B7C">
        <w:rPr>
          <w:rFonts w:ascii="Arial" w:hAnsi="Arial" w:cs="Arial"/>
          <w:bCs/>
          <w:iCs/>
          <w:lang w:val="en-US"/>
        </w:rPr>
        <w:t xml:space="preserve"> G</w:t>
      </w:r>
      <w:r w:rsidR="00146357" w:rsidRPr="00BF7B7C">
        <w:rPr>
          <w:rFonts w:ascii="Arial" w:hAnsi="Arial" w:cs="Arial"/>
          <w:bCs/>
          <w:iCs/>
          <w:lang w:val="en-US"/>
        </w:rPr>
        <w:t xml:space="preserve">uenter </w:t>
      </w:r>
      <w:r w:rsidRPr="00BF7B7C">
        <w:rPr>
          <w:rFonts w:ascii="Arial" w:hAnsi="Arial" w:cs="Arial"/>
          <w:bCs/>
          <w:iCs/>
          <w:lang w:val="en-US"/>
        </w:rPr>
        <w:t>Niegisch</w:t>
      </w:r>
      <w:r w:rsidR="00C11970" w:rsidRPr="00BF7B7C">
        <w:rPr>
          <w:rFonts w:ascii="Arial" w:hAnsi="Arial" w:cs="Arial"/>
          <w:bCs/>
          <w:iCs/>
          <w:lang w:val="en-US"/>
        </w:rPr>
        <w:t>,</w:t>
      </w:r>
      <w:r w:rsidR="005753D5" w:rsidRPr="00BF7B7C">
        <w:rPr>
          <w:rFonts w:ascii="Arial" w:hAnsi="Arial" w:cs="Arial"/>
          <w:bCs/>
          <w:iCs/>
          <w:vertAlign w:val="superscript"/>
          <w:lang w:val="en-US"/>
        </w:rPr>
        <w:t>1</w:t>
      </w:r>
      <w:r w:rsidR="00C11970" w:rsidRPr="00BF7B7C">
        <w:rPr>
          <w:rFonts w:ascii="Arial" w:hAnsi="Arial" w:cs="Arial"/>
          <w:bCs/>
          <w:iCs/>
          <w:vertAlign w:val="superscript"/>
          <w:lang w:val="en-US"/>
        </w:rPr>
        <w:t>0</w:t>
      </w:r>
      <w:r w:rsidRPr="00BF7B7C">
        <w:rPr>
          <w:rFonts w:ascii="Arial" w:hAnsi="Arial" w:cs="Arial"/>
          <w:bCs/>
          <w:iCs/>
          <w:lang w:val="en-US"/>
        </w:rPr>
        <w:t xml:space="preserve"> A</w:t>
      </w:r>
      <w:r w:rsidR="000C7048" w:rsidRPr="00BF7B7C">
        <w:rPr>
          <w:rFonts w:ascii="Arial" w:hAnsi="Arial" w:cs="Arial"/>
          <w:bCs/>
          <w:iCs/>
          <w:lang w:val="en-US"/>
        </w:rPr>
        <w:t xml:space="preserve">ndrea </w:t>
      </w:r>
      <w:r w:rsidRPr="00BF7B7C">
        <w:rPr>
          <w:rFonts w:ascii="Arial" w:hAnsi="Arial" w:cs="Arial"/>
          <w:bCs/>
          <w:iCs/>
          <w:lang w:val="en-US"/>
        </w:rPr>
        <w:t>Necchi</w:t>
      </w:r>
      <w:r w:rsidR="00C11970" w:rsidRPr="00BF7B7C">
        <w:rPr>
          <w:rFonts w:ascii="Arial" w:hAnsi="Arial" w:cs="Arial"/>
          <w:bCs/>
          <w:iCs/>
          <w:lang w:val="en-US"/>
        </w:rPr>
        <w:t>,</w:t>
      </w:r>
      <w:r w:rsidR="005753D5" w:rsidRPr="00BF7B7C">
        <w:rPr>
          <w:rFonts w:ascii="Arial" w:hAnsi="Arial" w:cs="Arial"/>
          <w:bCs/>
          <w:iCs/>
          <w:vertAlign w:val="superscript"/>
          <w:lang w:val="en-US"/>
        </w:rPr>
        <w:t>1</w:t>
      </w:r>
      <w:r w:rsidR="00C11970" w:rsidRPr="00BF7B7C">
        <w:rPr>
          <w:rFonts w:ascii="Arial" w:hAnsi="Arial" w:cs="Arial"/>
          <w:bCs/>
          <w:iCs/>
          <w:vertAlign w:val="superscript"/>
          <w:lang w:val="en-US"/>
        </w:rPr>
        <w:t>1</w:t>
      </w:r>
      <w:r w:rsidRPr="00BF7B7C">
        <w:rPr>
          <w:rFonts w:ascii="Arial" w:hAnsi="Arial" w:cs="Arial"/>
          <w:bCs/>
          <w:iCs/>
          <w:lang w:val="en-US"/>
        </w:rPr>
        <w:t xml:space="preserve"> C</w:t>
      </w:r>
      <w:r w:rsidR="00146357" w:rsidRPr="00BF7B7C">
        <w:rPr>
          <w:rFonts w:ascii="Arial" w:hAnsi="Arial" w:cs="Arial"/>
          <w:bCs/>
          <w:iCs/>
          <w:lang w:val="en-US"/>
        </w:rPr>
        <w:t xml:space="preserve">ora </w:t>
      </w:r>
      <w:r w:rsidR="00CA24B8" w:rsidRPr="00BF7B7C">
        <w:rPr>
          <w:rFonts w:ascii="Arial" w:hAnsi="Arial" w:cs="Arial"/>
          <w:bCs/>
          <w:iCs/>
          <w:lang w:val="en-US"/>
        </w:rPr>
        <w:t>N</w:t>
      </w:r>
      <w:r w:rsidRPr="00BF7B7C">
        <w:rPr>
          <w:rFonts w:ascii="Arial" w:hAnsi="Arial" w:cs="Arial"/>
          <w:bCs/>
          <w:iCs/>
          <w:lang w:val="en-US"/>
        </w:rPr>
        <w:t>. Sternberg</w:t>
      </w:r>
      <w:r w:rsidR="00C11970" w:rsidRPr="00BF7B7C">
        <w:rPr>
          <w:rFonts w:ascii="Arial" w:hAnsi="Arial" w:cs="Arial"/>
          <w:bCs/>
          <w:iCs/>
          <w:lang w:val="en-US"/>
        </w:rPr>
        <w:t>,</w:t>
      </w:r>
      <w:r w:rsidR="005753D5" w:rsidRPr="00BF7B7C">
        <w:rPr>
          <w:rFonts w:ascii="Arial" w:hAnsi="Arial" w:cs="Arial"/>
          <w:bCs/>
          <w:iCs/>
          <w:vertAlign w:val="superscript"/>
          <w:lang w:val="en-US"/>
        </w:rPr>
        <w:t>1</w:t>
      </w:r>
      <w:r w:rsidR="00C11970" w:rsidRPr="00BF7B7C">
        <w:rPr>
          <w:rFonts w:ascii="Arial" w:hAnsi="Arial" w:cs="Arial"/>
          <w:bCs/>
          <w:iCs/>
          <w:vertAlign w:val="superscript"/>
          <w:lang w:val="en-US"/>
        </w:rPr>
        <w:t>2</w:t>
      </w:r>
      <w:r w:rsidRPr="00BF7B7C">
        <w:rPr>
          <w:rFonts w:ascii="Arial" w:hAnsi="Arial" w:cs="Arial"/>
          <w:bCs/>
          <w:iCs/>
          <w:lang w:val="en-US"/>
        </w:rPr>
        <w:t xml:space="preserve"> S</w:t>
      </w:r>
      <w:r w:rsidR="00146357" w:rsidRPr="00BF7B7C">
        <w:rPr>
          <w:rFonts w:ascii="Arial" w:hAnsi="Arial" w:cs="Arial"/>
          <w:bCs/>
          <w:iCs/>
          <w:lang w:val="en-US"/>
        </w:rPr>
        <w:t xml:space="preserve">andy </w:t>
      </w:r>
      <w:r w:rsidRPr="00BF7B7C">
        <w:rPr>
          <w:rFonts w:ascii="Arial" w:hAnsi="Arial" w:cs="Arial"/>
          <w:bCs/>
          <w:iCs/>
          <w:lang w:val="en-US"/>
        </w:rPr>
        <w:t>Srinivas</w:t>
      </w:r>
      <w:r w:rsidR="00C11970" w:rsidRPr="00BF7B7C">
        <w:rPr>
          <w:rFonts w:ascii="Arial" w:hAnsi="Arial" w:cs="Arial"/>
          <w:bCs/>
          <w:iCs/>
          <w:lang w:val="en-US"/>
        </w:rPr>
        <w:t>,</w:t>
      </w:r>
      <w:r w:rsidR="005753D5" w:rsidRPr="00BF7B7C">
        <w:rPr>
          <w:rFonts w:ascii="Arial" w:hAnsi="Arial" w:cs="Arial"/>
          <w:bCs/>
          <w:iCs/>
          <w:vertAlign w:val="superscript"/>
          <w:lang w:val="en-US"/>
        </w:rPr>
        <w:t>13</w:t>
      </w:r>
      <w:r w:rsidRPr="00BF7B7C">
        <w:rPr>
          <w:rFonts w:ascii="Arial" w:hAnsi="Arial" w:cs="Arial"/>
          <w:bCs/>
          <w:iCs/>
          <w:lang w:val="en-US"/>
        </w:rPr>
        <w:t xml:space="preserve"> A</w:t>
      </w:r>
      <w:r w:rsidR="00146357" w:rsidRPr="00BF7B7C">
        <w:rPr>
          <w:rFonts w:ascii="Arial" w:hAnsi="Arial" w:cs="Arial"/>
          <w:bCs/>
          <w:iCs/>
          <w:lang w:val="en-US"/>
        </w:rPr>
        <w:t xml:space="preserve">jjai </w:t>
      </w:r>
      <w:r w:rsidRPr="00BF7B7C">
        <w:rPr>
          <w:rFonts w:ascii="Arial" w:hAnsi="Arial" w:cs="Arial"/>
          <w:bCs/>
          <w:iCs/>
          <w:lang w:val="en-US"/>
        </w:rPr>
        <w:t>Alva</w:t>
      </w:r>
      <w:r w:rsidR="00C11970" w:rsidRPr="00BF7B7C">
        <w:rPr>
          <w:rFonts w:ascii="Arial" w:hAnsi="Arial" w:cs="Arial"/>
          <w:bCs/>
          <w:iCs/>
          <w:lang w:val="en-US"/>
        </w:rPr>
        <w:t>,</w:t>
      </w:r>
      <w:r w:rsidR="005753D5" w:rsidRPr="00BF7B7C">
        <w:rPr>
          <w:rFonts w:ascii="Arial" w:hAnsi="Arial" w:cs="Arial"/>
          <w:bCs/>
          <w:iCs/>
          <w:vertAlign w:val="superscript"/>
          <w:lang w:val="en-US"/>
        </w:rPr>
        <w:t>14</w:t>
      </w:r>
      <w:r w:rsidRPr="00BF7B7C">
        <w:rPr>
          <w:rFonts w:ascii="Arial" w:hAnsi="Arial" w:cs="Arial"/>
          <w:bCs/>
          <w:iCs/>
          <w:lang w:val="en-US"/>
        </w:rPr>
        <w:t xml:space="preserve"> U</w:t>
      </w:r>
      <w:r w:rsidR="00146357" w:rsidRPr="00BF7B7C">
        <w:rPr>
          <w:rFonts w:ascii="Arial" w:hAnsi="Arial" w:cs="Arial"/>
          <w:bCs/>
          <w:iCs/>
          <w:lang w:val="en-US"/>
        </w:rPr>
        <w:t xml:space="preserve">lka </w:t>
      </w:r>
      <w:r w:rsidRPr="00BF7B7C">
        <w:rPr>
          <w:rFonts w:ascii="Arial" w:hAnsi="Arial" w:cs="Arial"/>
          <w:bCs/>
          <w:iCs/>
          <w:lang w:val="en-US"/>
        </w:rPr>
        <w:t>Vaishampayan</w:t>
      </w:r>
      <w:r w:rsidR="00C11970" w:rsidRPr="00BF7B7C">
        <w:rPr>
          <w:rFonts w:ascii="Arial" w:hAnsi="Arial" w:cs="Arial"/>
          <w:bCs/>
          <w:iCs/>
          <w:lang w:val="en-US"/>
        </w:rPr>
        <w:t>,</w:t>
      </w:r>
      <w:r w:rsidR="005753D5" w:rsidRPr="00BF7B7C">
        <w:rPr>
          <w:rFonts w:ascii="Arial" w:hAnsi="Arial" w:cs="Arial"/>
          <w:bCs/>
          <w:iCs/>
          <w:vertAlign w:val="superscript"/>
          <w:lang w:val="en-US"/>
        </w:rPr>
        <w:t>15</w:t>
      </w:r>
      <w:r w:rsidR="005753D5" w:rsidRPr="00BF7B7C">
        <w:rPr>
          <w:rFonts w:ascii="Arial" w:hAnsi="Arial" w:cs="Arial"/>
          <w:lang w:val="en-US"/>
        </w:rPr>
        <w:t xml:space="preserve"> </w:t>
      </w:r>
      <w:r w:rsidR="005753D5" w:rsidRPr="00BF7B7C">
        <w:rPr>
          <w:rFonts w:ascii="Arial" w:hAnsi="Arial" w:cs="Arial"/>
          <w:bCs/>
          <w:iCs/>
          <w:lang w:val="en-US"/>
        </w:rPr>
        <w:t>Linda Cerbone</w:t>
      </w:r>
      <w:r w:rsidR="00C11970" w:rsidRPr="00BF7B7C">
        <w:rPr>
          <w:rFonts w:ascii="Arial" w:hAnsi="Arial" w:cs="Arial"/>
          <w:bCs/>
          <w:iCs/>
          <w:lang w:val="en-US"/>
        </w:rPr>
        <w:t>,</w:t>
      </w:r>
      <w:r w:rsidR="005753D5" w:rsidRPr="00BF7B7C">
        <w:rPr>
          <w:rFonts w:ascii="Arial" w:hAnsi="Arial" w:cs="Arial"/>
          <w:bCs/>
          <w:iCs/>
          <w:vertAlign w:val="superscript"/>
          <w:lang w:val="en-US"/>
        </w:rPr>
        <w:t>12</w:t>
      </w:r>
      <w:r w:rsidR="005753D5" w:rsidRPr="00BF7B7C">
        <w:rPr>
          <w:rFonts w:ascii="Arial" w:hAnsi="Arial" w:cs="Arial"/>
          <w:bCs/>
          <w:iCs/>
          <w:lang w:val="en-US"/>
        </w:rPr>
        <w:t xml:space="preserve"> </w:t>
      </w:r>
      <w:r w:rsidRPr="00BF7B7C">
        <w:rPr>
          <w:rFonts w:ascii="Arial" w:hAnsi="Arial" w:cs="Arial"/>
          <w:bCs/>
          <w:iCs/>
          <w:lang w:val="en-GB"/>
        </w:rPr>
        <w:t>M</w:t>
      </w:r>
      <w:r w:rsidR="00146357" w:rsidRPr="00BF7B7C">
        <w:rPr>
          <w:rFonts w:ascii="Arial" w:hAnsi="Arial" w:cs="Arial"/>
          <w:bCs/>
          <w:iCs/>
          <w:lang w:val="en-GB"/>
        </w:rPr>
        <w:t xml:space="preserve">ichalis </w:t>
      </w:r>
      <w:r w:rsidRPr="00BF7B7C">
        <w:rPr>
          <w:rFonts w:ascii="Arial" w:hAnsi="Arial" w:cs="Arial"/>
          <w:bCs/>
          <w:iCs/>
          <w:lang w:val="en-GB"/>
        </w:rPr>
        <w:t>Liontos</w:t>
      </w:r>
      <w:r w:rsidR="00C11970" w:rsidRPr="00BF7B7C">
        <w:rPr>
          <w:rFonts w:ascii="Arial" w:hAnsi="Arial" w:cs="Arial"/>
          <w:bCs/>
          <w:iCs/>
          <w:lang w:val="en-GB"/>
        </w:rPr>
        <w:t>,</w:t>
      </w:r>
      <w:r w:rsidR="005753D5" w:rsidRPr="00BF7B7C">
        <w:rPr>
          <w:rFonts w:ascii="Arial" w:hAnsi="Arial" w:cs="Arial"/>
          <w:bCs/>
          <w:iCs/>
          <w:vertAlign w:val="superscript"/>
          <w:lang w:val="en-US"/>
        </w:rPr>
        <w:t>1</w:t>
      </w:r>
      <w:r w:rsidRPr="00BF7B7C">
        <w:rPr>
          <w:rFonts w:ascii="Arial" w:hAnsi="Arial" w:cs="Arial"/>
          <w:bCs/>
          <w:iCs/>
          <w:lang w:val="en-GB"/>
        </w:rPr>
        <w:t xml:space="preserve"> </w:t>
      </w:r>
      <w:r w:rsidRPr="00BF7B7C">
        <w:rPr>
          <w:rFonts w:ascii="Arial" w:hAnsi="Arial" w:cs="Arial"/>
          <w:bCs/>
          <w:iCs/>
          <w:lang w:val="en-US"/>
        </w:rPr>
        <w:t>J</w:t>
      </w:r>
      <w:r w:rsidR="00146357" w:rsidRPr="00BF7B7C">
        <w:rPr>
          <w:rFonts w:ascii="Arial" w:hAnsi="Arial" w:cs="Arial"/>
          <w:bCs/>
          <w:iCs/>
          <w:lang w:val="en-US"/>
        </w:rPr>
        <w:t xml:space="preserve">onathan </w:t>
      </w:r>
      <w:r w:rsidRPr="00BF7B7C">
        <w:rPr>
          <w:rFonts w:ascii="Arial" w:hAnsi="Arial" w:cs="Arial"/>
          <w:bCs/>
          <w:iCs/>
          <w:lang w:val="en-US"/>
        </w:rPr>
        <w:t>Rosenberg</w:t>
      </w:r>
      <w:r w:rsidR="00C11970" w:rsidRPr="00BF7B7C">
        <w:rPr>
          <w:rFonts w:ascii="Arial" w:hAnsi="Arial" w:cs="Arial"/>
          <w:bCs/>
          <w:iCs/>
          <w:lang w:val="en-US"/>
        </w:rPr>
        <w:t>,</w:t>
      </w:r>
      <w:r w:rsidR="005753D5" w:rsidRPr="00BF7B7C">
        <w:rPr>
          <w:rFonts w:ascii="Arial" w:hAnsi="Arial" w:cs="Arial"/>
          <w:bCs/>
          <w:iCs/>
          <w:vertAlign w:val="superscript"/>
          <w:lang w:val="en-US"/>
        </w:rPr>
        <w:t>16</w:t>
      </w:r>
      <w:r w:rsidRPr="00BF7B7C">
        <w:rPr>
          <w:rFonts w:ascii="Arial" w:hAnsi="Arial" w:cs="Arial"/>
          <w:bCs/>
          <w:iCs/>
          <w:lang w:val="en-US"/>
        </w:rPr>
        <w:t xml:space="preserve"> T</w:t>
      </w:r>
      <w:r w:rsidR="00146357" w:rsidRPr="00BF7B7C">
        <w:rPr>
          <w:rFonts w:ascii="Arial" w:hAnsi="Arial" w:cs="Arial"/>
          <w:bCs/>
          <w:iCs/>
          <w:lang w:val="en-US"/>
        </w:rPr>
        <w:t xml:space="preserve">homas </w:t>
      </w:r>
      <w:r w:rsidRPr="00BF7B7C">
        <w:rPr>
          <w:rFonts w:ascii="Arial" w:hAnsi="Arial" w:cs="Arial"/>
          <w:bCs/>
          <w:iCs/>
          <w:lang w:val="en-US"/>
        </w:rPr>
        <w:t>Powles</w:t>
      </w:r>
      <w:r w:rsidR="00C11970" w:rsidRPr="00BF7B7C">
        <w:rPr>
          <w:rFonts w:ascii="Arial" w:hAnsi="Arial" w:cs="Arial"/>
          <w:bCs/>
          <w:iCs/>
          <w:lang w:val="en-US"/>
        </w:rPr>
        <w:t>,</w:t>
      </w:r>
      <w:r w:rsidR="005753D5" w:rsidRPr="00BF7B7C">
        <w:rPr>
          <w:rFonts w:ascii="Arial" w:hAnsi="Arial" w:cs="Arial"/>
          <w:bCs/>
          <w:iCs/>
          <w:vertAlign w:val="superscript"/>
          <w:lang w:val="en-US"/>
        </w:rPr>
        <w:t>17</w:t>
      </w:r>
      <w:r w:rsidRPr="00BF7B7C">
        <w:rPr>
          <w:rFonts w:ascii="Arial" w:hAnsi="Arial" w:cs="Arial"/>
          <w:bCs/>
          <w:iCs/>
          <w:lang w:val="en-US"/>
        </w:rPr>
        <w:t xml:space="preserve"> J</w:t>
      </w:r>
      <w:r w:rsidR="00146357" w:rsidRPr="00BF7B7C">
        <w:rPr>
          <w:rFonts w:ascii="Arial" w:hAnsi="Arial" w:cs="Arial"/>
          <w:bCs/>
          <w:iCs/>
          <w:lang w:val="en-US"/>
        </w:rPr>
        <w:t xml:space="preserve">oaquim </w:t>
      </w:r>
      <w:r w:rsidRPr="00BF7B7C">
        <w:rPr>
          <w:rFonts w:ascii="Arial" w:hAnsi="Arial" w:cs="Arial"/>
          <w:bCs/>
          <w:iCs/>
          <w:lang w:val="en-US"/>
        </w:rPr>
        <w:t>Belmunt</w:t>
      </w:r>
      <w:r w:rsidR="00C11970" w:rsidRPr="00BF7B7C">
        <w:rPr>
          <w:rFonts w:ascii="Arial" w:hAnsi="Arial" w:cs="Arial"/>
          <w:bCs/>
          <w:iCs/>
          <w:lang w:val="en-US"/>
        </w:rPr>
        <w:t>,</w:t>
      </w:r>
      <w:r w:rsidR="00A566CA" w:rsidRPr="00BF7B7C">
        <w:rPr>
          <w:rFonts w:ascii="Arial" w:hAnsi="Arial" w:cs="Arial"/>
          <w:bCs/>
          <w:iCs/>
          <w:vertAlign w:val="superscript"/>
          <w:lang w:val="en-US"/>
        </w:rPr>
        <w:t>2</w:t>
      </w:r>
      <w:r w:rsidRPr="00BF7B7C">
        <w:rPr>
          <w:rFonts w:ascii="Arial" w:hAnsi="Arial" w:cs="Arial"/>
          <w:bCs/>
          <w:iCs/>
          <w:lang w:val="en-US"/>
        </w:rPr>
        <w:t xml:space="preserve"> M</w:t>
      </w:r>
      <w:r w:rsidR="00146357" w:rsidRPr="00BF7B7C">
        <w:rPr>
          <w:rFonts w:ascii="Arial" w:hAnsi="Arial" w:cs="Arial"/>
          <w:bCs/>
          <w:iCs/>
          <w:lang w:val="en-US"/>
        </w:rPr>
        <w:t xml:space="preserve">atthew </w:t>
      </w:r>
      <w:r w:rsidRPr="00BF7B7C">
        <w:rPr>
          <w:rFonts w:ascii="Arial" w:hAnsi="Arial" w:cs="Arial"/>
          <w:bCs/>
          <w:iCs/>
          <w:lang w:val="en-US"/>
        </w:rPr>
        <w:t>D. Galsky</w:t>
      </w:r>
      <w:r w:rsidR="00C11970" w:rsidRPr="00BF7B7C">
        <w:rPr>
          <w:rFonts w:ascii="Arial" w:hAnsi="Arial" w:cs="Arial"/>
          <w:bCs/>
          <w:iCs/>
          <w:lang w:val="en-US"/>
        </w:rPr>
        <w:t>,</w:t>
      </w:r>
      <w:r w:rsidR="005753D5" w:rsidRPr="00BF7B7C">
        <w:rPr>
          <w:rFonts w:ascii="Arial" w:hAnsi="Arial" w:cs="Arial"/>
          <w:bCs/>
          <w:iCs/>
          <w:vertAlign w:val="superscript"/>
          <w:lang w:val="en-US"/>
        </w:rPr>
        <w:t>1</w:t>
      </w:r>
      <w:r w:rsidR="00A566CA" w:rsidRPr="00BF7B7C">
        <w:rPr>
          <w:rFonts w:ascii="Arial" w:hAnsi="Arial" w:cs="Arial"/>
          <w:bCs/>
          <w:iCs/>
          <w:vertAlign w:val="superscript"/>
          <w:lang w:val="en-US"/>
        </w:rPr>
        <w:t>8</w:t>
      </w:r>
      <w:r w:rsidRPr="00BF7B7C">
        <w:rPr>
          <w:rFonts w:ascii="Arial" w:hAnsi="Arial" w:cs="Arial"/>
          <w:bCs/>
          <w:iCs/>
          <w:lang w:val="en-US"/>
        </w:rPr>
        <w:t xml:space="preserve"> RISC Investigators.</w:t>
      </w:r>
    </w:p>
    <w:p w14:paraId="5B0C7F07" w14:textId="77777777" w:rsidR="005753D5" w:rsidRPr="00BF7B7C" w:rsidRDefault="005753D5">
      <w:pPr>
        <w:autoSpaceDE w:val="0"/>
        <w:autoSpaceDN w:val="0"/>
        <w:adjustRightInd w:val="0"/>
        <w:spacing w:line="480" w:lineRule="auto"/>
        <w:jc w:val="both"/>
        <w:rPr>
          <w:rFonts w:ascii="Arial" w:hAnsi="Arial" w:cs="Arial"/>
          <w:bCs/>
          <w:iCs/>
          <w:lang w:val="en-US"/>
        </w:rPr>
      </w:pPr>
    </w:p>
    <w:p w14:paraId="0972233C" w14:textId="77777777" w:rsidR="00A566CA" w:rsidRPr="00BF7B7C" w:rsidRDefault="005753D5">
      <w:pPr>
        <w:autoSpaceDE w:val="0"/>
        <w:autoSpaceDN w:val="0"/>
        <w:adjustRightInd w:val="0"/>
        <w:spacing w:line="480" w:lineRule="auto"/>
        <w:jc w:val="both"/>
        <w:rPr>
          <w:rFonts w:ascii="Arial" w:hAnsi="Arial" w:cs="Arial"/>
          <w:lang w:val="en-US"/>
        </w:rPr>
      </w:pPr>
      <w:r w:rsidRPr="00BF7B7C">
        <w:rPr>
          <w:rFonts w:ascii="Arial" w:hAnsi="Arial" w:cs="Arial"/>
          <w:vertAlign w:val="superscript"/>
          <w:lang w:val="en-US"/>
        </w:rPr>
        <w:t>1.</w:t>
      </w:r>
      <w:r w:rsidRPr="00BF7B7C">
        <w:rPr>
          <w:rFonts w:ascii="Arial" w:hAnsi="Arial" w:cs="Arial"/>
          <w:lang w:val="en-US"/>
        </w:rPr>
        <w:t>Department of Clinical Therapeutics, School of Medicine, National and Kapodistrian University of Athens, Athens, Greece</w:t>
      </w:r>
      <w:r w:rsidR="00C11970" w:rsidRPr="00BF7B7C">
        <w:rPr>
          <w:rFonts w:ascii="Arial" w:hAnsi="Arial" w:cs="Arial"/>
          <w:lang w:val="en-US"/>
        </w:rPr>
        <w:t xml:space="preserve">, </w:t>
      </w:r>
      <w:r w:rsidRPr="00BF7B7C">
        <w:rPr>
          <w:rFonts w:ascii="Arial" w:hAnsi="Arial" w:cs="Arial"/>
          <w:vertAlign w:val="superscript"/>
          <w:lang w:val="en-US"/>
        </w:rPr>
        <w:t>2.</w:t>
      </w:r>
      <w:r w:rsidRPr="00BF7B7C">
        <w:rPr>
          <w:rFonts w:ascii="Arial" w:hAnsi="Arial" w:cs="Arial"/>
          <w:lang w:val="en-US"/>
        </w:rPr>
        <w:t>Dana-Farber Cancer Institute, Boston, MA, USA</w:t>
      </w:r>
      <w:r w:rsidR="00C11970" w:rsidRPr="00BF7B7C">
        <w:rPr>
          <w:rFonts w:ascii="Arial" w:hAnsi="Arial" w:cs="Arial"/>
          <w:lang w:val="en-US"/>
        </w:rPr>
        <w:t xml:space="preserve">, </w:t>
      </w:r>
      <w:r w:rsidRPr="00BF7B7C">
        <w:rPr>
          <w:rFonts w:ascii="Arial" w:hAnsi="Arial" w:cs="Arial"/>
          <w:vertAlign w:val="superscript"/>
          <w:lang w:val="en-US"/>
        </w:rPr>
        <w:t>3.</w:t>
      </w:r>
      <w:r w:rsidRPr="00BF7B7C">
        <w:rPr>
          <w:rFonts w:ascii="Arial" w:hAnsi="Arial" w:cs="Arial"/>
          <w:lang w:val="en-US"/>
        </w:rPr>
        <w:t>University of Southampton, Southampton, United Kingdom</w:t>
      </w:r>
      <w:r w:rsidR="00C11970" w:rsidRPr="00BF7B7C">
        <w:rPr>
          <w:rFonts w:ascii="Arial" w:hAnsi="Arial" w:cs="Arial"/>
          <w:lang w:val="en-US"/>
        </w:rPr>
        <w:t xml:space="preserve">, </w:t>
      </w:r>
      <w:r w:rsidR="00A566CA" w:rsidRPr="00BF7B7C">
        <w:rPr>
          <w:rFonts w:ascii="Arial" w:hAnsi="Arial" w:cs="Arial"/>
          <w:vertAlign w:val="superscript"/>
          <w:lang w:val="en-US"/>
        </w:rPr>
        <w:t>4.</w:t>
      </w:r>
      <w:r w:rsidR="00A566CA" w:rsidRPr="00BF7B7C">
        <w:rPr>
          <w:rFonts w:ascii="Arial" w:hAnsi="Arial" w:cs="Arial"/>
          <w:lang w:val="en-US"/>
        </w:rPr>
        <w:t>Fox Chase Cancer Center, Philadelphia, PA, USA</w:t>
      </w:r>
      <w:r w:rsidR="00C11970" w:rsidRPr="00BF7B7C">
        <w:rPr>
          <w:rFonts w:ascii="Arial" w:hAnsi="Arial" w:cs="Arial"/>
          <w:lang w:val="en-US"/>
        </w:rPr>
        <w:t xml:space="preserve">, </w:t>
      </w:r>
      <w:r w:rsidR="00A566CA" w:rsidRPr="00BF7B7C">
        <w:rPr>
          <w:rFonts w:ascii="Arial" w:hAnsi="Arial" w:cs="Arial"/>
          <w:vertAlign w:val="superscript"/>
          <w:lang w:val="en-US"/>
        </w:rPr>
        <w:t>5.</w:t>
      </w:r>
      <w:r w:rsidR="00A566CA" w:rsidRPr="00BF7B7C">
        <w:rPr>
          <w:rFonts w:ascii="Arial" w:hAnsi="Arial" w:cs="Arial"/>
          <w:lang w:val="en-US"/>
        </w:rPr>
        <w:t>City of Hope Comprehensive Cancer Center, Duarte, CA, USA</w:t>
      </w:r>
      <w:r w:rsidR="00C11970" w:rsidRPr="00BF7B7C">
        <w:rPr>
          <w:rFonts w:ascii="Arial" w:hAnsi="Arial" w:cs="Arial"/>
          <w:lang w:val="en-US"/>
        </w:rPr>
        <w:t xml:space="preserve">, </w:t>
      </w:r>
      <w:r w:rsidR="00A566CA" w:rsidRPr="00BF7B7C">
        <w:rPr>
          <w:rFonts w:ascii="Arial" w:hAnsi="Arial" w:cs="Arial"/>
          <w:vertAlign w:val="superscript"/>
          <w:lang w:val="en-US"/>
        </w:rPr>
        <w:t>6.</w:t>
      </w:r>
      <w:r w:rsidR="00A566CA" w:rsidRPr="00BF7B7C">
        <w:rPr>
          <w:rFonts w:ascii="Arial" w:hAnsi="Arial" w:cs="Arial"/>
          <w:lang w:val="en-US"/>
        </w:rPr>
        <w:t>IRCCS Istituto Scientifico Romagnolo per lo studio e la Cura dei Tumori, Meldola, Italy</w:t>
      </w:r>
      <w:r w:rsidR="00C11970" w:rsidRPr="00BF7B7C">
        <w:rPr>
          <w:rFonts w:ascii="Arial" w:hAnsi="Arial" w:cs="Arial"/>
          <w:lang w:val="en-US"/>
        </w:rPr>
        <w:t xml:space="preserve">, </w:t>
      </w:r>
      <w:r w:rsidR="00A566CA" w:rsidRPr="00BF7B7C">
        <w:rPr>
          <w:rFonts w:ascii="Arial" w:hAnsi="Arial" w:cs="Arial"/>
          <w:vertAlign w:val="superscript"/>
          <w:lang w:val="en-US"/>
        </w:rPr>
        <w:t>7.</w:t>
      </w:r>
      <w:r w:rsidR="00A566CA" w:rsidRPr="00BF7B7C">
        <w:rPr>
          <w:rFonts w:ascii="Arial" w:hAnsi="Arial" w:cs="Arial"/>
          <w:lang w:val="en-US"/>
        </w:rPr>
        <w:t>Center Georges-François Leclerc, Dijon, France</w:t>
      </w:r>
      <w:r w:rsidR="00C11970" w:rsidRPr="00BF7B7C">
        <w:rPr>
          <w:rFonts w:ascii="Arial" w:hAnsi="Arial" w:cs="Arial"/>
          <w:lang w:val="en-US"/>
        </w:rPr>
        <w:t xml:space="preserve">, </w:t>
      </w:r>
      <w:r w:rsidR="00A566CA" w:rsidRPr="00BF7B7C">
        <w:rPr>
          <w:rFonts w:ascii="Arial" w:hAnsi="Arial" w:cs="Arial"/>
          <w:vertAlign w:val="superscript"/>
          <w:lang w:val="en-US"/>
        </w:rPr>
        <w:t>8</w:t>
      </w:r>
      <w:r w:rsidR="00BF7B7C">
        <w:rPr>
          <w:rFonts w:ascii="Arial" w:hAnsi="Arial" w:cs="Arial"/>
          <w:vertAlign w:val="superscript"/>
          <w:lang w:val="en-US"/>
        </w:rPr>
        <w:t>.</w:t>
      </w:r>
      <w:r w:rsidR="00A566CA" w:rsidRPr="00BF7B7C">
        <w:rPr>
          <w:rFonts w:ascii="Arial" w:hAnsi="Arial" w:cs="Arial"/>
          <w:lang w:val="en-US"/>
        </w:rPr>
        <w:t>University of Utah, Salt Lake City, UT, USA</w:t>
      </w:r>
      <w:r w:rsidR="00C11970" w:rsidRPr="00BF7B7C">
        <w:rPr>
          <w:rFonts w:ascii="Arial" w:hAnsi="Arial" w:cs="Arial"/>
          <w:lang w:val="en-US"/>
        </w:rPr>
        <w:t xml:space="preserve">, </w:t>
      </w:r>
      <w:r w:rsidR="00A566CA" w:rsidRPr="00BF7B7C">
        <w:rPr>
          <w:rFonts w:ascii="Arial" w:hAnsi="Arial" w:cs="Arial"/>
          <w:vertAlign w:val="superscript"/>
          <w:lang w:val="en-US"/>
        </w:rPr>
        <w:t>9</w:t>
      </w:r>
      <w:r w:rsidR="00BF7B7C">
        <w:rPr>
          <w:rFonts w:ascii="Arial" w:hAnsi="Arial" w:cs="Arial"/>
          <w:vertAlign w:val="superscript"/>
          <w:lang w:val="en-US"/>
        </w:rPr>
        <w:t>.</w:t>
      </w:r>
      <w:r w:rsidR="00A566CA" w:rsidRPr="00BF7B7C">
        <w:rPr>
          <w:rFonts w:ascii="Arial" w:hAnsi="Arial" w:cs="Arial"/>
          <w:lang w:val="en-US"/>
        </w:rPr>
        <w:t>University of Washington, Seattle, WA, USA</w:t>
      </w:r>
      <w:r w:rsidR="00C11970" w:rsidRPr="00BF7B7C">
        <w:rPr>
          <w:rFonts w:ascii="Arial" w:hAnsi="Arial" w:cs="Arial"/>
          <w:lang w:val="en-US"/>
        </w:rPr>
        <w:t xml:space="preserve">, </w:t>
      </w:r>
      <w:r w:rsidR="00A566CA" w:rsidRPr="00BF7B7C">
        <w:rPr>
          <w:rFonts w:ascii="Arial" w:hAnsi="Arial" w:cs="Arial"/>
          <w:vertAlign w:val="superscript"/>
          <w:lang w:val="en-US"/>
        </w:rPr>
        <w:t>10.</w:t>
      </w:r>
      <w:r w:rsidR="00A566CA" w:rsidRPr="00BF7B7C">
        <w:rPr>
          <w:rFonts w:ascii="Arial" w:hAnsi="Arial" w:cs="Arial"/>
          <w:lang w:val="en-US"/>
        </w:rPr>
        <w:t>Heinrich-Heine-University, Düsseldorf, Germany</w:t>
      </w:r>
      <w:r w:rsidR="00C11970" w:rsidRPr="00BF7B7C">
        <w:rPr>
          <w:rFonts w:ascii="Arial" w:hAnsi="Arial" w:cs="Arial"/>
          <w:lang w:val="en-US"/>
        </w:rPr>
        <w:t xml:space="preserve">, </w:t>
      </w:r>
      <w:r w:rsidR="00A566CA" w:rsidRPr="00BF7B7C">
        <w:rPr>
          <w:rFonts w:ascii="Arial" w:hAnsi="Arial" w:cs="Arial"/>
          <w:vertAlign w:val="superscript"/>
          <w:lang w:val="en-US"/>
        </w:rPr>
        <w:t>11.</w:t>
      </w:r>
      <w:r w:rsidR="00A566CA" w:rsidRPr="00BF7B7C">
        <w:rPr>
          <w:rFonts w:ascii="Arial" w:hAnsi="Arial" w:cs="Arial"/>
          <w:lang w:val="en-US"/>
        </w:rPr>
        <w:t>Fondazione IRCCS Istituto Nazionale dei Tumori, Milano, Italy</w:t>
      </w:r>
      <w:r w:rsidR="00C11970" w:rsidRPr="00BF7B7C">
        <w:rPr>
          <w:rFonts w:ascii="Arial" w:hAnsi="Arial" w:cs="Arial"/>
          <w:lang w:val="en-US"/>
        </w:rPr>
        <w:t xml:space="preserve">, </w:t>
      </w:r>
      <w:r w:rsidR="00A566CA" w:rsidRPr="00BF7B7C">
        <w:rPr>
          <w:rFonts w:ascii="Arial" w:hAnsi="Arial" w:cs="Arial"/>
          <w:vertAlign w:val="superscript"/>
          <w:lang w:val="en-US"/>
        </w:rPr>
        <w:t>12.</w:t>
      </w:r>
      <w:r w:rsidR="00A566CA" w:rsidRPr="00BF7B7C">
        <w:rPr>
          <w:rFonts w:ascii="Arial" w:hAnsi="Arial" w:cs="Arial"/>
          <w:lang w:val="en-US"/>
        </w:rPr>
        <w:t>San Camillo Forlanini Hospital, Rome, Italy</w:t>
      </w:r>
      <w:r w:rsidR="00C11970" w:rsidRPr="00BF7B7C">
        <w:rPr>
          <w:rFonts w:ascii="Arial" w:hAnsi="Arial" w:cs="Arial"/>
          <w:lang w:val="en-US"/>
        </w:rPr>
        <w:t xml:space="preserve">, </w:t>
      </w:r>
      <w:r w:rsidR="00A566CA" w:rsidRPr="00BF7B7C">
        <w:rPr>
          <w:rFonts w:ascii="Arial" w:hAnsi="Arial" w:cs="Arial"/>
          <w:vertAlign w:val="superscript"/>
          <w:lang w:val="en-US"/>
        </w:rPr>
        <w:t>13.</w:t>
      </w:r>
      <w:r w:rsidR="00A566CA" w:rsidRPr="00BF7B7C">
        <w:rPr>
          <w:rFonts w:ascii="Arial" w:hAnsi="Arial" w:cs="Arial"/>
          <w:lang w:val="en-US"/>
        </w:rPr>
        <w:t>Stanford University School of Medicine, Stanford, CA, USA</w:t>
      </w:r>
      <w:r w:rsidR="00C11970" w:rsidRPr="00BF7B7C">
        <w:rPr>
          <w:rFonts w:ascii="Arial" w:hAnsi="Arial" w:cs="Arial"/>
          <w:lang w:val="en-US"/>
        </w:rPr>
        <w:t xml:space="preserve">, </w:t>
      </w:r>
      <w:r w:rsidR="00A566CA" w:rsidRPr="00BF7B7C">
        <w:rPr>
          <w:rFonts w:ascii="Arial" w:hAnsi="Arial" w:cs="Arial"/>
          <w:vertAlign w:val="superscript"/>
          <w:lang w:val="en-US"/>
        </w:rPr>
        <w:t>14.</w:t>
      </w:r>
      <w:r w:rsidR="00A566CA" w:rsidRPr="00BF7B7C">
        <w:rPr>
          <w:rFonts w:ascii="Arial" w:hAnsi="Arial" w:cs="Arial"/>
          <w:lang w:val="en-US"/>
        </w:rPr>
        <w:t>University of Michigan, Ann Arbor, MI, USA</w:t>
      </w:r>
      <w:r w:rsidR="00C11970" w:rsidRPr="00BF7B7C">
        <w:rPr>
          <w:rFonts w:ascii="Arial" w:hAnsi="Arial" w:cs="Arial"/>
          <w:lang w:val="en-US"/>
        </w:rPr>
        <w:t xml:space="preserve">, </w:t>
      </w:r>
      <w:r w:rsidR="00A566CA" w:rsidRPr="00BF7B7C">
        <w:rPr>
          <w:rFonts w:ascii="Arial" w:hAnsi="Arial" w:cs="Arial"/>
          <w:vertAlign w:val="superscript"/>
          <w:lang w:val="en-US"/>
        </w:rPr>
        <w:t>15.</w:t>
      </w:r>
      <w:r w:rsidR="00A566CA" w:rsidRPr="00BF7B7C">
        <w:rPr>
          <w:rFonts w:ascii="Arial" w:hAnsi="Arial" w:cs="Arial"/>
          <w:lang w:val="en-US"/>
        </w:rPr>
        <w:t>Karmanos Cancer Institute, Detroit, MI, USA</w:t>
      </w:r>
      <w:r w:rsidR="00C11970" w:rsidRPr="00BF7B7C">
        <w:rPr>
          <w:rFonts w:ascii="Arial" w:hAnsi="Arial" w:cs="Arial"/>
          <w:lang w:val="en-US"/>
        </w:rPr>
        <w:t xml:space="preserve">, </w:t>
      </w:r>
      <w:r w:rsidR="00A566CA" w:rsidRPr="00BF7B7C">
        <w:rPr>
          <w:rFonts w:ascii="Arial" w:hAnsi="Arial" w:cs="Arial"/>
          <w:vertAlign w:val="superscript"/>
          <w:lang w:val="en-US"/>
        </w:rPr>
        <w:t>16.</w:t>
      </w:r>
      <w:r w:rsidR="00A566CA" w:rsidRPr="00BF7B7C">
        <w:rPr>
          <w:rFonts w:ascii="Arial" w:hAnsi="Arial" w:cs="Arial"/>
          <w:lang w:val="en-US"/>
        </w:rPr>
        <w:t>Memorial Sloan-Kettering Cancer Center, New York, NY, USA</w:t>
      </w:r>
      <w:r w:rsidR="00C11970" w:rsidRPr="00BF7B7C">
        <w:rPr>
          <w:rFonts w:ascii="Arial" w:hAnsi="Arial" w:cs="Arial"/>
          <w:lang w:val="en-US"/>
        </w:rPr>
        <w:t xml:space="preserve">, </w:t>
      </w:r>
      <w:r w:rsidR="00A566CA" w:rsidRPr="00BF7B7C">
        <w:rPr>
          <w:rFonts w:ascii="Arial" w:hAnsi="Arial" w:cs="Arial"/>
          <w:vertAlign w:val="superscript"/>
          <w:lang w:val="en-US"/>
        </w:rPr>
        <w:t>17.</w:t>
      </w:r>
      <w:r w:rsidR="00A566CA" w:rsidRPr="00BF7B7C">
        <w:rPr>
          <w:rFonts w:ascii="Arial" w:hAnsi="Arial" w:cs="Arial"/>
          <w:lang w:val="en-US"/>
        </w:rPr>
        <w:t xml:space="preserve">Barts Health and the Royal Free NHS Trust, Queen Mary University of </w:t>
      </w:r>
      <w:r w:rsidR="00A566CA" w:rsidRPr="00BF7B7C">
        <w:rPr>
          <w:rFonts w:ascii="Arial" w:hAnsi="Arial" w:cs="Arial"/>
          <w:lang w:val="en-US"/>
        </w:rPr>
        <w:lastRenderedPageBreak/>
        <w:t>London, London, United Kingdom</w:t>
      </w:r>
      <w:r w:rsidR="00C11970" w:rsidRPr="00BF7B7C">
        <w:rPr>
          <w:rFonts w:ascii="Arial" w:hAnsi="Arial" w:cs="Arial"/>
          <w:lang w:val="en-US"/>
        </w:rPr>
        <w:t xml:space="preserve">, </w:t>
      </w:r>
      <w:r w:rsidR="00A566CA" w:rsidRPr="00BF7B7C">
        <w:rPr>
          <w:rFonts w:ascii="Arial" w:hAnsi="Arial" w:cs="Arial"/>
          <w:vertAlign w:val="superscript"/>
          <w:lang w:val="en-US"/>
        </w:rPr>
        <w:t>18.</w:t>
      </w:r>
      <w:r w:rsidR="00A566CA" w:rsidRPr="00BF7B7C">
        <w:rPr>
          <w:rFonts w:ascii="Arial" w:hAnsi="Arial" w:cs="Arial"/>
          <w:lang w:val="en-US"/>
        </w:rPr>
        <w:t>Mount Sinai School of Medicine, Tisch Cancer Institute, New York, NY, USA</w:t>
      </w:r>
    </w:p>
    <w:p w14:paraId="7ABE79A7" w14:textId="77777777" w:rsidR="00A645C0" w:rsidRPr="00BF7B7C" w:rsidRDefault="00A645C0">
      <w:pPr>
        <w:autoSpaceDE w:val="0"/>
        <w:autoSpaceDN w:val="0"/>
        <w:adjustRightInd w:val="0"/>
        <w:spacing w:line="480" w:lineRule="auto"/>
        <w:jc w:val="both"/>
        <w:rPr>
          <w:rFonts w:ascii="Arial" w:hAnsi="Arial" w:cs="Arial"/>
          <w:lang w:val="en-US"/>
        </w:rPr>
      </w:pPr>
    </w:p>
    <w:p w14:paraId="784DF918" w14:textId="77777777" w:rsidR="00A645C0" w:rsidRPr="00BF7B7C" w:rsidRDefault="00A645C0" w:rsidP="00A645C0">
      <w:pPr>
        <w:autoSpaceDE w:val="0"/>
        <w:autoSpaceDN w:val="0"/>
        <w:adjustRightInd w:val="0"/>
        <w:spacing w:line="480" w:lineRule="auto"/>
        <w:jc w:val="both"/>
        <w:rPr>
          <w:rFonts w:ascii="Arial" w:hAnsi="Arial" w:cs="Arial"/>
          <w:lang w:val="en-US"/>
        </w:rPr>
      </w:pPr>
      <w:r w:rsidRPr="00BF7B7C">
        <w:rPr>
          <w:rFonts w:ascii="Arial" w:hAnsi="Arial" w:cs="Arial"/>
          <w:lang w:val="en-US"/>
        </w:rPr>
        <w:t>Funding: This work was not supported by any grant funding.</w:t>
      </w:r>
    </w:p>
    <w:p w14:paraId="625A109E" w14:textId="77777777" w:rsidR="00A566CA" w:rsidRPr="00BF7B7C" w:rsidRDefault="00A566CA">
      <w:pPr>
        <w:autoSpaceDE w:val="0"/>
        <w:autoSpaceDN w:val="0"/>
        <w:adjustRightInd w:val="0"/>
        <w:spacing w:line="480" w:lineRule="auto"/>
        <w:jc w:val="both"/>
        <w:rPr>
          <w:rFonts w:ascii="Arial" w:hAnsi="Arial" w:cs="Arial"/>
          <w:lang w:val="en-US"/>
        </w:rPr>
      </w:pPr>
    </w:p>
    <w:p w14:paraId="343C63D4" w14:textId="77777777" w:rsidR="00C7598C" w:rsidRPr="00BF7B7C" w:rsidRDefault="00C7598C">
      <w:pPr>
        <w:autoSpaceDE w:val="0"/>
        <w:autoSpaceDN w:val="0"/>
        <w:adjustRightInd w:val="0"/>
        <w:spacing w:line="480" w:lineRule="auto"/>
        <w:jc w:val="both"/>
        <w:rPr>
          <w:rFonts w:ascii="Arial" w:hAnsi="Arial" w:cs="Arial"/>
          <w:lang w:val="en-US"/>
        </w:rPr>
      </w:pPr>
      <w:r w:rsidRPr="00BF7B7C">
        <w:rPr>
          <w:rFonts w:ascii="Arial" w:hAnsi="Arial" w:cs="Arial"/>
          <w:lang w:val="en-US"/>
        </w:rPr>
        <w:t xml:space="preserve">Corresponding author: Aristotelis Bamias MD PhD MRCP, Dept of Clinical Therapeutics, National and Kapodistrian University of Athens, Athens, Greece. Tel +30 2132162845. Fax +30 2132162511. Email: </w:t>
      </w:r>
      <w:hyperlink r:id="rId8" w:history="1">
        <w:r w:rsidRPr="00BF7B7C">
          <w:rPr>
            <w:rStyle w:val="-"/>
            <w:rFonts w:ascii="Arial" w:hAnsi="Arial" w:cs="Arial"/>
            <w:lang w:val="en-US"/>
          </w:rPr>
          <w:t>abamias@med.uoa.gr</w:t>
        </w:r>
      </w:hyperlink>
    </w:p>
    <w:p w14:paraId="0BCE7B1C" w14:textId="77777777" w:rsidR="00A566CA" w:rsidRPr="00BF7B7C" w:rsidRDefault="00A566CA">
      <w:pPr>
        <w:autoSpaceDE w:val="0"/>
        <w:autoSpaceDN w:val="0"/>
        <w:adjustRightInd w:val="0"/>
        <w:spacing w:line="480" w:lineRule="auto"/>
        <w:jc w:val="both"/>
        <w:rPr>
          <w:rFonts w:ascii="Arial" w:hAnsi="Arial" w:cs="Arial"/>
          <w:lang w:val="en-US"/>
        </w:rPr>
      </w:pPr>
    </w:p>
    <w:p w14:paraId="0B559267" w14:textId="77777777" w:rsidR="00A566CA" w:rsidRPr="00BF7B7C" w:rsidRDefault="00A566CA">
      <w:pPr>
        <w:autoSpaceDE w:val="0"/>
        <w:autoSpaceDN w:val="0"/>
        <w:adjustRightInd w:val="0"/>
        <w:spacing w:line="480" w:lineRule="auto"/>
        <w:jc w:val="both"/>
        <w:rPr>
          <w:rFonts w:ascii="Arial" w:hAnsi="Arial" w:cs="Arial"/>
          <w:b/>
          <w:lang w:val="en-US"/>
        </w:rPr>
      </w:pPr>
      <w:r w:rsidRPr="00BF7B7C">
        <w:rPr>
          <w:rFonts w:ascii="Arial" w:hAnsi="Arial" w:cs="Arial"/>
          <w:b/>
          <w:lang w:val="en-US"/>
        </w:rPr>
        <w:t xml:space="preserve">Running Title: </w:t>
      </w:r>
      <w:r w:rsidR="00391F1E" w:rsidRPr="00BF7B7C">
        <w:rPr>
          <w:rFonts w:ascii="Arial" w:hAnsi="Arial" w:cs="Arial"/>
          <w:lang w:val="en-US"/>
        </w:rPr>
        <w:t>Che</w:t>
      </w:r>
      <w:r w:rsidR="005B43C5">
        <w:rPr>
          <w:rFonts w:ascii="Arial" w:hAnsi="Arial" w:cs="Arial"/>
          <w:lang w:val="en-US"/>
        </w:rPr>
        <w:t>motherapy utilization in urinary tract</w:t>
      </w:r>
      <w:r w:rsidR="00391F1E" w:rsidRPr="00BF7B7C">
        <w:rPr>
          <w:rFonts w:ascii="Arial" w:hAnsi="Arial" w:cs="Arial"/>
          <w:lang w:val="en-US"/>
        </w:rPr>
        <w:t xml:space="preserve"> cancer</w:t>
      </w:r>
    </w:p>
    <w:p w14:paraId="6CDE39DB" w14:textId="77777777" w:rsidR="00A645C0" w:rsidRPr="00BF7B7C" w:rsidRDefault="00A645C0">
      <w:pPr>
        <w:autoSpaceDE w:val="0"/>
        <w:autoSpaceDN w:val="0"/>
        <w:adjustRightInd w:val="0"/>
        <w:spacing w:line="480" w:lineRule="auto"/>
        <w:jc w:val="both"/>
        <w:rPr>
          <w:rFonts w:ascii="Arial" w:hAnsi="Arial" w:cs="Arial"/>
          <w:lang w:val="en-US"/>
        </w:rPr>
      </w:pPr>
    </w:p>
    <w:p w14:paraId="245E687E" w14:textId="77777777" w:rsidR="00A645C0" w:rsidRPr="00BF7B7C" w:rsidRDefault="00A645C0">
      <w:pPr>
        <w:autoSpaceDE w:val="0"/>
        <w:autoSpaceDN w:val="0"/>
        <w:adjustRightInd w:val="0"/>
        <w:spacing w:line="480" w:lineRule="auto"/>
        <w:jc w:val="both"/>
        <w:rPr>
          <w:rFonts w:ascii="Arial" w:hAnsi="Arial" w:cs="Arial"/>
          <w:lang w:val="en-US"/>
        </w:rPr>
      </w:pPr>
      <w:r w:rsidRPr="00BF7B7C">
        <w:rPr>
          <w:rFonts w:ascii="Arial" w:hAnsi="Arial" w:cs="Arial"/>
          <w:lang w:val="en-US"/>
        </w:rPr>
        <w:t xml:space="preserve">This work has been presented in part </w:t>
      </w:r>
      <w:r w:rsidR="00391F1E" w:rsidRPr="00BF7B7C">
        <w:rPr>
          <w:rFonts w:ascii="Arial" w:hAnsi="Arial" w:cs="Arial"/>
          <w:lang w:val="en-US"/>
        </w:rPr>
        <w:t>at the</w:t>
      </w:r>
      <w:r w:rsidRPr="00BF7B7C">
        <w:rPr>
          <w:rFonts w:ascii="Arial" w:hAnsi="Arial" w:cs="Arial"/>
          <w:lang w:val="en-US"/>
        </w:rPr>
        <w:t xml:space="preserve"> ESMO Conference 2016</w:t>
      </w:r>
      <w:r w:rsidR="00391F1E" w:rsidRPr="00BF7B7C">
        <w:rPr>
          <w:rFonts w:ascii="Arial" w:hAnsi="Arial" w:cs="Arial"/>
          <w:lang w:val="en-US"/>
        </w:rPr>
        <w:t>,</w:t>
      </w:r>
      <w:r w:rsidRPr="00BF7B7C">
        <w:rPr>
          <w:rFonts w:ascii="Arial" w:hAnsi="Arial" w:cs="Arial"/>
          <w:lang w:val="en-US"/>
        </w:rPr>
        <w:t xml:space="preserve"> Copenhagen</w:t>
      </w:r>
    </w:p>
    <w:p w14:paraId="54DB6CD5" w14:textId="77777777" w:rsidR="00A645C0" w:rsidRPr="00BF7B7C" w:rsidRDefault="00A645C0">
      <w:pPr>
        <w:autoSpaceDE w:val="0"/>
        <w:autoSpaceDN w:val="0"/>
        <w:adjustRightInd w:val="0"/>
        <w:spacing w:line="480" w:lineRule="auto"/>
        <w:jc w:val="both"/>
        <w:rPr>
          <w:rFonts w:ascii="Arial" w:hAnsi="Arial" w:cs="Arial"/>
          <w:lang w:val="en-US"/>
        </w:rPr>
      </w:pPr>
    </w:p>
    <w:p w14:paraId="00EB1707" w14:textId="399D9598" w:rsidR="00C7598C" w:rsidRPr="00BF7B7C" w:rsidRDefault="00FF7902">
      <w:pPr>
        <w:autoSpaceDE w:val="0"/>
        <w:autoSpaceDN w:val="0"/>
        <w:adjustRightInd w:val="0"/>
        <w:spacing w:line="480" w:lineRule="auto"/>
        <w:jc w:val="both"/>
        <w:rPr>
          <w:rFonts w:ascii="Arial" w:hAnsi="Arial" w:cs="Arial"/>
          <w:lang w:val="en-US"/>
        </w:rPr>
      </w:pPr>
      <w:r w:rsidRPr="00BF7B7C">
        <w:rPr>
          <w:rFonts w:ascii="Arial" w:hAnsi="Arial" w:cs="Arial"/>
          <w:lang w:val="en-US"/>
        </w:rPr>
        <w:t xml:space="preserve">Word count (text): </w:t>
      </w:r>
      <w:r w:rsidR="00115284">
        <w:rPr>
          <w:rFonts w:ascii="Arial" w:hAnsi="Arial" w:cs="Arial"/>
          <w:lang w:val="en-US"/>
        </w:rPr>
        <w:t>2496</w:t>
      </w:r>
    </w:p>
    <w:p w14:paraId="55DF0D61" w14:textId="77777777" w:rsidR="00C7598C" w:rsidRPr="00BF7B7C" w:rsidRDefault="00C548B5">
      <w:pPr>
        <w:autoSpaceDE w:val="0"/>
        <w:autoSpaceDN w:val="0"/>
        <w:adjustRightInd w:val="0"/>
        <w:spacing w:line="480" w:lineRule="auto"/>
        <w:jc w:val="both"/>
        <w:rPr>
          <w:rFonts w:ascii="Arial" w:hAnsi="Arial" w:cs="Arial"/>
          <w:lang w:val="en-US"/>
        </w:rPr>
      </w:pPr>
      <w:r>
        <w:rPr>
          <w:rFonts w:ascii="Arial" w:hAnsi="Arial" w:cs="Arial"/>
          <w:lang w:val="en-US"/>
        </w:rPr>
        <w:t>Figures 2</w:t>
      </w:r>
    </w:p>
    <w:p w14:paraId="69113806" w14:textId="77777777" w:rsidR="00C7598C" w:rsidRPr="00BF7B7C" w:rsidRDefault="00C548B5">
      <w:pPr>
        <w:autoSpaceDE w:val="0"/>
        <w:autoSpaceDN w:val="0"/>
        <w:adjustRightInd w:val="0"/>
        <w:spacing w:line="480" w:lineRule="auto"/>
        <w:jc w:val="both"/>
        <w:rPr>
          <w:rFonts w:ascii="Arial" w:hAnsi="Arial" w:cs="Arial"/>
          <w:lang w:val="en-US"/>
        </w:rPr>
      </w:pPr>
      <w:r>
        <w:rPr>
          <w:rFonts w:ascii="Arial" w:hAnsi="Arial" w:cs="Arial"/>
          <w:lang w:val="en-US"/>
        </w:rPr>
        <w:t>Tables 4</w:t>
      </w:r>
    </w:p>
    <w:p w14:paraId="549F3829" w14:textId="77777777" w:rsidR="00C7598C" w:rsidRDefault="000A5A95">
      <w:pPr>
        <w:autoSpaceDE w:val="0"/>
        <w:autoSpaceDN w:val="0"/>
        <w:adjustRightInd w:val="0"/>
        <w:spacing w:line="480" w:lineRule="auto"/>
        <w:jc w:val="both"/>
        <w:rPr>
          <w:rFonts w:ascii="Arial" w:hAnsi="Arial" w:cs="Arial"/>
          <w:lang w:val="en-US"/>
        </w:rPr>
      </w:pPr>
      <w:r w:rsidRPr="00BF7B7C">
        <w:rPr>
          <w:rFonts w:ascii="Arial" w:hAnsi="Arial" w:cs="Arial"/>
          <w:lang w:val="en-US"/>
        </w:rPr>
        <w:t>Supplementar</w:t>
      </w:r>
      <w:r w:rsidR="00C548B5">
        <w:rPr>
          <w:rFonts w:ascii="Arial" w:hAnsi="Arial" w:cs="Arial"/>
          <w:lang w:val="en-US"/>
        </w:rPr>
        <w:t>y tables 4</w:t>
      </w:r>
    </w:p>
    <w:p w14:paraId="7B3A7201" w14:textId="77777777" w:rsidR="00E56D0C" w:rsidRPr="00BF7B7C" w:rsidRDefault="00E56D0C">
      <w:pPr>
        <w:autoSpaceDE w:val="0"/>
        <w:autoSpaceDN w:val="0"/>
        <w:adjustRightInd w:val="0"/>
        <w:spacing w:line="480" w:lineRule="auto"/>
        <w:jc w:val="both"/>
        <w:rPr>
          <w:rFonts w:ascii="Arial" w:hAnsi="Arial" w:cs="Arial"/>
          <w:lang w:val="en-US"/>
        </w:rPr>
      </w:pPr>
      <w:r>
        <w:rPr>
          <w:rFonts w:ascii="Arial" w:hAnsi="Arial" w:cs="Arial"/>
          <w:lang w:val="en-US"/>
        </w:rPr>
        <w:t>Supplementary figures 1</w:t>
      </w:r>
    </w:p>
    <w:p w14:paraId="0C348CE6" w14:textId="77777777" w:rsidR="00C7598C" w:rsidRPr="00BF7B7C" w:rsidRDefault="00C7598C">
      <w:pPr>
        <w:autoSpaceDE w:val="0"/>
        <w:autoSpaceDN w:val="0"/>
        <w:adjustRightInd w:val="0"/>
        <w:spacing w:line="480" w:lineRule="auto"/>
        <w:jc w:val="both"/>
        <w:rPr>
          <w:rFonts w:ascii="Arial" w:hAnsi="Arial" w:cs="Arial"/>
          <w:lang w:val="en-US"/>
        </w:rPr>
      </w:pPr>
    </w:p>
    <w:p w14:paraId="570E02D5" w14:textId="39785D8E" w:rsidR="00C7598C" w:rsidRPr="00BF7B7C" w:rsidRDefault="00D62B09">
      <w:pPr>
        <w:spacing w:after="160" w:line="480" w:lineRule="auto"/>
        <w:jc w:val="both"/>
        <w:rPr>
          <w:rFonts w:ascii="Arial" w:hAnsi="Arial" w:cs="Arial"/>
          <w:b/>
          <w:color w:val="000000"/>
          <w:lang w:val="en-GB"/>
        </w:rPr>
      </w:pPr>
      <w:r w:rsidRPr="00BF7B7C">
        <w:rPr>
          <w:rFonts w:ascii="Arial" w:hAnsi="Arial" w:cs="Arial"/>
          <w:b/>
          <w:color w:val="000000"/>
          <w:lang w:val="en-GB"/>
        </w:rPr>
        <w:br w:type="page"/>
      </w:r>
      <w:r w:rsidR="00C7598C" w:rsidRPr="00BF7B7C">
        <w:rPr>
          <w:rFonts w:ascii="Arial" w:hAnsi="Arial" w:cs="Arial"/>
          <w:b/>
          <w:color w:val="000000"/>
          <w:lang w:val="en-GB"/>
        </w:rPr>
        <w:t>Abstract (word count: 2</w:t>
      </w:r>
      <w:r w:rsidR="001433F6">
        <w:rPr>
          <w:rFonts w:ascii="Arial" w:hAnsi="Arial" w:cs="Arial"/>
          <w:b/>
          <w:color w:val="000000"/>
          <w:lang w:val="en-GB"/>
        </w:rPr>
        <w:t>99</w:t>
      </w:r>
      <w:r w:rsidR="00C7598C" w:rsidRPr="00BF7B7C">
        <w:rPr>
          <w:rFonts w:ascii="Arial" w:hAnsi="Arial" w:cs="Arial"/>
          <w:b/>
          <w:color w:val="000000"/>
          <w:lang w:val="en-GB"/>
        </w:rPr>
        <w:t>)</w:t>
      </w:r>
    </w:p>
    <w:p w14:paraId="065B0509" w14:textId="77777777" w:rsidR="001433F6" w:rsidRPr="001433F6" w:rsidRDefault="001433F6" w:rsidP="001433F6">
      <w:pPr>
        <w:spacing w:after="160" w:line="480" w:lineRule="auto"/>
        <w:jc w:val="both"/>
        <w:rPr>
          <w:rFonts w:ascii="Arial" w:hAnsi="Arial" w:cs="Arial"/>
          <w:b/>
          <w:color w:val="000000"/>
          <w:lang w:val="en-GB"/>
        </w:rPr>
      </w:pPr>
      <w:r w:rsidRPr="001433F6">
        <w:rPr>
          <w:rFonts w:ascii="Arial" w:hAnsi="Arial" w:cs="Arial"/>
          <w:b/>
          <w:color w:val="000000"/>
          <w:lang w:val="en-GB"/>
        </w:rPr>
        <w:t>Background</w:t>
      </w:r>
    </w:p>
    <w:p w14:paraId="6CDCECE1" w14:textId="77777777" w:rsidR="001433F6" w:rsidRPr="001433F6" w:rsidRDefault="001433F6" w:rsidP="001433F6">
      <w:pPr>
        <w:spacing w:after="160" w:line="480" w:lineRule="auto"/>
        <w:jc w:val="both"/>
        <w:rPr>
          <w:rFonts w:ascii="Arial" w:hAnsi="Arial" w:cs="Arial"/>
          <w:color w:val="000000"/>
          <w:lang w:val="en-GB"/>
        </w:rPr>
      </w:pPr>
      <w:r w:rsidRPr="001433F6">
        <w:rPr>
          <w:rFonts w:ascii="Arial" w:hAnsi="Arial" w:cs="Arial"/>
          <w:color w:val="000000"/>
          <w:lang w:val="en-GB"/>
        </w:rPr>
        <w:t>Cisplatin-based combination chemotherapy is the standard treatment for advanced urinary tract cancer (aUTC) but 50% of patients are ineligible for cisplatin according to recently published criteria.</w:t>
      </w:r>
    </w:p>
    <w:p w14:paraId="72785FEF" w14:textId="77777777" w:rsidR="001433F6" w:rsidRPr="001433F6" w:rsidRDefault="001433F6" w:rsidP="001433F6">
      <w:pPr>
        <w:spacing w:after="160" w:line="480" w:lineRule="auto"/>
        <w:jc w:val="both"/>
        <w:rPr>
          <w:rFonts w:ascii="Arial" w:hAnsi="Arial" w:cs="Arial"/>
          <w:b/>
          <w:color w:val="000000"/>
          <w:lang w:val="en-GB"/>
        </w:rPr>
      </w:pPr>
      <w:r w:rsidRPr="001433F6">
        <w:rPr>
          <w:rFonts w:ascii="Arial" w:hAnsi="Arial" w:cs="Arial"/>
          <w:b/>
          <w:color w:val="000000"/>
          <w:lang w:val="en-GB"/>
        </w:rPr>
        <w:t>Objective</w:t>
      </w:r>
    </w:p>
    <w:p w14:paraId="0F0538C2" w14:textId="77777777" w:rsidR="001433F6" w:rsidRPr="001433F6" w:rsidRDefault="001433F6" w:rsidP="001433F6">
      <w:pPr>
        <w:spacing w:after="160" w:line="480" w:lineRule="auto"/>
        <w:jc w:val="both"/>
        <w:rPr>
          <w:rFonts w:ascii="Arial" w:hAnsi="Arial" w:cs="Arial"/>
          <w:color w:val="000000"/>
          <w:lang w:val="en-GB"/>
        </w:rPr>
      </w:pPr>
      <w:r w:rsidRPr="001433F6">
        <w:rPr>
          <w:rFonts w:ascii="Arial" w:hAnsi="Arial" w:cs="Arial"/>
          <w:color w:val="000000"/>
          <w:lang w:val="en-GB"/>
        </w:rPr>
        <w:t>To study patterns of chemotherapy utilization in real-world patients with aUTC and determine their impact on survival.</w:t>
      </w:r>
    </w:p>
    <w:p w14:paraId="565F115D" w14:textId="77777777" w:rsidR="001433F6" w:rsidRPr="001433F6" w:rsidRDefault="001433F6" w:rsidP="001433F6">
      <w:pPr>
        <w:spacing w:after="160" w:line="480" w:lineRule="auto"/>
        <w:jc w:val="both"/>
        <w:rPr>
          <w:rFonts w:ascii="Arial" w:hAnsi="Arial" w:cs="Arial"/>
          <w:b/>
          <w:color w:val="000000"/>
          <w:lang w:val="en-GB"/>
        </w:rPr>
      </w:pPr>
      <w:r w:rsidRPr="001433F6">
        <w:rPr>
          <w:rFonts w:ascii="Arial" w:hAnsi="Arial" w:cs="Arial"/>
          <w:b/>
          <w:color w:val="000000"/>
          <w:lang w:val="en-GB"/>
        </w:rPr>
        <w:t>Design, settings and participants</w:t>
      </w:r>
    </w:p>
    <w:p w14:paraId="182A010B" w14:textId="77777777" w:rsidR="001433F6" w:rsidRPr="001433F6" w:rsidRDefault="001433F6" w:rsidP="001433F6">
      <w:pPr>
        <w:spacing w:after="160" w:line="480" w:lineRule="auto"/>
        <w:jc w:val="both"/>
        <w:rPr>
          <w:rFonts w:ascii="Arial" w:hAnsi="Arial" w:cs="Arial"/>
          <w:color w:val="000000"/>
          <w:lang w:val="en-GB"/>
        </w:rPr>
      </w:pPr>
      <w:r w:rsidRPr="001433F6">
        <w:rPr>
          <w:rFonts w:ascii="Arial" w:hAnsi="Arial" w:cs="Arial"/>
          <w:color w:val="000000"/>
          <w:lang w:val="en-GB"/>
        </w:rPr>
        <w:t>Retrospective study of patients with: UTC (bladder, renal pelvis, ureter or urethra); stages T4b and/or N+ and/or M+; urothelial, squamous or adenocarcinoma histology, who received 1st-line chemotherapy, were selected.</w:t>
      </w:r>
    </w:p>
    <w:p w14:paraId="1E76B7D3" w14:textId="77777777" w:rsidR="001433F6" w:rsidRPr="001433F6" w:rsidRDefault="001433F6" w:rsidP="001433F6">
      <w:pPr>
        <w:spacing w:after="160" w:line="480" w:lineRule="auto"/>
        <w:jc w:val="both"/>
        <w:rPr>
          <w:rFonts w:ascii="Arial" w:hAnsi="Arial" w:cs="Arial"/>
          <w:b/>
          <w:color w:val="000000"/>
          <w:lang w:val="en-GB"/>
        </w:rPr>
      </w:pPr>
      <w:r w:rsidRPr="001433F6">
        <w:rPr>
          <w:rFonts w:ascii="Arial" w:hAnsi="Arial" w:cs="Arial"/>
          <w:b/>
          <w:color w:val="000000"/>
          <w:lang w:val="en-GB"/>
        </w:rPr>
        <w:t>Outcome measurements and statistical analysis</w:t>
      </w:r>
    </w:p>
    <w:p w14:paraId="4B76CF4D" w14:textId="77777777" w:rsidR="001433F6" w:rsidRPr="001433F6" w:rsidRDefault="001433F6" w:rsidP="001433F6">
      <w:pPr>
        <w:spacing w:after="160" w:line="480" w:lineRule="auto"/>
        <w:jc w:val="both"/>
        <w:rPr>
          <w:rFonts w:ascii="Arial" w:hAnsi="Arial" w:cs="Arial"/>
          <w:color w:val="000000"/>
          <w:lang w:val="en-GB"/>
        </w:rPr>
      </w:pPr>
      <w:r w:rsidRPr="001433F6">
        <w:rPr>
          <w:rFonts w:ascii="Arial" w:hAnsi="Arial" w:cs="Arial"/>
          <w:color w:val="000000"/>
          <w:lang w:val="en-GB"/>
        </w:rPr>
        <w:t>Primary objective: overall survival (OS). Eligibility-for-cisplatin criteria: Eastern Cooperative Oncology group (ECOG) performance status (PS)&lt;1, creatinine clearance (CrCl)&gt;60 ml/min, no hearing loss, no neuropathy, no heart failure. Cox regression multivariate analyses were used to establish independent associations of the type of chemotherapy (cisplatin vs. non-cisplatin) and eligibility-for-cisplatin on OS.</w:t>
      </w:r>
    </w:p>
    <w:p w14:paraId="27FB98E9" w14:textId="77777777" w:rsidR="001433F6" w:rsidRPr="001433F6" w:rsidRDefault="001433F6" w:rsidP="001433F6">
      <w:pPr>
        <w:spacing w:after="160" w:line="480" w:lineRule="auto"/>
        <w:jc w:val="both"/>
        <w:rPr>
          <w:rFonts w:ascii="Arial" w:hAnsi="Arial" w:cs="Arial"/>
          <w:b/>
          <w:color w:val="000000"/>
          <w:lang w:val="en-GB"/>
        </w:rPr>
      </w:pPr>
      <w:r w:rsidRPr="001433F6">
        <w:rPr>
          <w:rFonts w:ascii="Arial" w:hAnsi="Arial" w:cs="Arial"/>
          <w:b/>
          <w:color w:val="000000"/>
          <w:lang w:val="en-GB"/>
        </w:rPr>
        <w:t>Results and Limitations</w:t>
      </w:r>
    </w:p>
    <w:p w14:paraId="7A25F79C" w14:textId="77777777" w:rsidR="001433F6" w:rsidRPr="001433F6" w:rsidRDefault="001433F6" w:rsidP="001433F6">
      <w:pPr>
        <w:spacing w:after="160" w:line="480" w:lineRule="auto"/>
        <w:jc w:val="both"/>
        <w:rPr>
          <w:rFonts w:ascii="Arial" w:hAnsi="Arial" w:cs="Arial"/>
          <w:color w:val="000000"/>
          <w:lang w:val="en-GB"/>
        </w:rPr>
      </w:pPr>
      <w:r w:rsidRPr="001433F6">
        <w:rPr>
          <w:rFonts w:ascii="Arial" w:hAnsi="Arial" w:cs="Arial"/>
          <w:color w:val="000000"/>
          <w:lang w:val="en-GB"/>
        </w:rPr>
        <w:t>1426 patients treated between 2000 and 2013 were analyzed. Median follow-up: 31 months. Type of 1st-line chemotherapy: cisplatin-based 722 (50.6%), carboplatin-based 428 (30%), other 276 (19.4%). 25% of patients who did not receive cisplatin were eligible for this agent. Main reasons for this deviation: advanced age, co-morbidities. Cisplatin use and eligibility-for-cisplatin were independent favorable prognostic factors (Hazard ratio [HR]: 1.43, 95% confidence interval [CI]: 1.19-1.71; HR: 1.51, 95% CI: 1.31-1.87). Eligible-for-cisplatin patients treated with cisplatin lived longer than those who were not (HR: 2.05, 95% CI: 1.59-2.64). Median OS of ineligible patients was poor (9.8 months) irrespective of the chemotherapy used.</w:t>
      </w:r>
    </w:p>
    <w:p w14:paraId="1D991B21" w14:textId="77777777" w:rsidR="001433F6" w:rsidRPr="001433F6" w:rsidRDefault="001433F6" w:rsidP="001433F6">
      <w:pPr>
        <w:spacing w:after="160" w:line="480" w:lineRule="auto"/>
        <w:jc w:val="both"/>
        <w:rPr>
          <w:rFonts w:ascii="Arial" w:hAnsi="Arial" w:cs="Arial"/>
          <w:b/>
          <w:color w:val="000000"/>
          <w:lang w:val="en-GB"/>
        </w:rPr>
      </w:pPr>
      <w:r w:rsidRPr="001433F6">
        <w:rPr>
          <w:rFonts w:ascii="Arial" w:hAnsi="Arial" w:cs="Arial"/>
          <w:b/>
          <w:color w:val="000000"/>
          <w:lang w:val="en-GB"/>
        </w:rPr>
        <w:t>Conclusions</w:t>
      </w:r>
    </w:p>
    <w:p w14:paraId="15B2736B" w14:textId="77777777" w:rsidR="001433F6" w:rsidRPr="001433F6" w:rsidRDefault="001433F6" w:rsidP="001433F6">
      <w:pPr>
        <w:spacing w:after="160" w:line="480" w:lineRule="auto"/>
        <w:jc w:val="both"/>
        <w:rPr>
          <w:rFonts w:ascii="Arial" w:hAnsi="Arial" w:cs="Arial"/>
          <w:color w:val="000000"/>
          <w:lang w:val="en-GB"/>
        </w:rPr>
      </w:pPr>
      <w:r w:rsidRPr="001433F6">
        <w:rPr>
          <w:rFonts w:ascii="Arial" w:hAnsi="Arial" w:cs="Arial"/>
          <w:color w:val="000000"/>
          <w:lang w:val="en-GB"/>
        </w:rPr>
        <w:t>Published criteria of eligibility-for-cisplatin were validated in a multinational, real-world setting in aUTC. The reasons for deviations from these criteria set targets to improve adherence. Effective therapies for cisplatin-ineligible patients are needed.</w:t>
      </w:r>
    </w:p>
    <w:p w14:paraId="7A028CB6" w14:textId="77777777" w:rsidR="001433F6" w:rsidRPr="001433F6" w:rsidRDefault="001433F6" w:rsidP="001433F6">
      <w:pPr>
        <w:spacing w:after="160" w:line="480" w:lineRule="auto"/>
        <w:jc w:val="both"/>
        <w:rPr>
          <w:rFonts w:ascii="Arial" w:hAnsi="Arial" w:cs="Arial"/>
          <w:b/>
          <w:color w:val="000000"/>
          <w:lang w:val="en-GB"/>
        </w:rPr>
      </w:pPr>
      <w:r w:rsidRPr="001433F6">
        <w:rPr>
          <w:rFonts w:ascii="Arial" w:hAnsi="Arial" w:cs="Arial"/>
          <w:b/>
          <w:color w:val="000000"/>
          <w:lang w:val="en-GB"/>
        </w:rPr>
        <w:t>Patient Summary</w:t>
      </w:r>
    </w:p>
    <w:p w14:paraId="3B93B4BA" w14:textId="4EDD0ED6" w:rsidR="00C7598C" w:rsidRPr="00BF7B7C" w:rsidRDefault="001433F6" w:rsidP="001433F6">
      <w:pPr>
        <w:spacing w:after="160" w:line="480" w:lineRule="auto"/>
        <w:jc w:val="both"/>
        <w:rPr>
          <w:rFonts w:ascii="Arial" w:hAnsi="Arial" w:cs="Arial"/>
          <w:color w:val="000000"/>
          <w:lang w:val="en-GB"/>
        </w:rPr>
      </w:pPr>
      <w:r w:rsidRPr="001433F6">
        <w:rPr>
          <w:rFonts w:ascii="Arial" w:hAnsi="Arial" w:cs="Arial"/>
          <w:color w:val="000000"/>
          <w:lang w:val="en-GB"/>
        </w:rPr>
        <w:t>The outcome of patients with aUTC is associated with their eligibility for cisplatin-based combination chemotherapy. Therefore, avoiding deviations from criteria defining eligibility should be sought in everyday practice.</w:t>
      </w:r>
    </w:p>
    <w:p w14:paraId="2C890F40" w14:textId="77777777" w:rsidR="00F47E1D" w:rsidRDefault="00FF7902">
      <w:pPr>
        <w:autoSpaceDE w:val="0"/>
        <w:autoSpaceDN w:val="0"/>
        <w:adjustRightInd w:val="0"/>
        <w:spacing w:line="480" w:lineRule="auto"/>
        <w:jc w:val="both"/>
        <w:rPr>
          <w:rFonts w:ascii="Arial" w:hAnsi="Arial" w:cs="Arial"/>
          <w:color w:val="000000"/>
          <w:lang w:val="en-GB"/>
        </w:rPr>
      </w:pPr>
      <w:r w:rsidRPr="00BF7B7C">
        <w:rPr>
          <w:rFonts w:ascii="Arial" w:hAnsi="Arial" w:cs="Arial"/>
          <w:b/>
          <w:color w:val="000000"/>
          <w:lang w:val="en-GB"/>
        </w:rPr>
        <w:br w:type="page"/>
      </w:r>
      <w:r w:rsidR="00C7598C" w:rsidRPr="00BF7B7C">
        <w:rPr>
          <w:rFonts w:ascii="Arial" w:hAnsi="Arial" w:cs="Arial"/>
          <w:b/>
          <w:color w:val="000000"/>
          <w:lang w:val="en-GB"/>
        </w:rPr>
        <w:t>Introduction</w:t>
      </w:r>
      <w:r w:rsidR="002A4456" w:rsidRPr="002A4456">
        <w:rPr>
          <w:rFonts w:ascii="Arial" w:hAnsi="Arial" w:cs="Arial"/>
          <w:color w:val="000000"/>
          <w:lang w:val="en-GB"/>
        </w:rPr>
        <w:t xml:space="preserve"> </w:t>
      </w:r>
    </w:p>
    <w:p w14:paraId="211ACF43" w14:textId="7F3B1CFF" w:rsidR="00C7598C" w:rsidRPr="00F47E1D" w:rsidRDefault="00F47E1D">
      <w:pPr>
        <w:autoSpaceDE w:val="0"/>
        <w:autoSpaceDN w:val="0"/>
        <w:adjustRightInd w:val="0"/>
        <w:spacing w:line="480" w:lineRule="auto"/>
        <w:jc w:val="both"/>
        <w:rPr>
          <w:rFonts w:ascii="Arial" w:hAnsi="Arial" w:cs="Arial"/>
          <w:b/>
          <w:color w:val="000000"/>
          <w:lang w:val="en-GB"/>
        </w:rPr>
      </w:pPr>
      <w:r w:rsidRPr="00BF7B7C">
        <w:rPr>
          <w:rFonts w:ascii="Arial" w:hAnsi="Arial" w:cs="Arial"/>
          <w:color w:val="000000"/>
          <w:lang w:val="en-GB"/>
        </w:rPr>
        <w:t xml:space="preserve">Cisplatin-based chemotherapy </w:t>
      </w:r>
      <w:r w:rsidR="002A4456" w:rsidRPr="00BF7B7C">
        <w:rPr>
          <w:rFonts w:ascii="Arial" w:hAnsi="Arial" w:cs="Arial"/>
          <w:color w:val="000000"/>
          <w:lang w:val="en-GB"/>
        </w:rPr>
        <w:t xml:space="preserve">is the </w:t>
      </w:r>
      <w:r w:rsidR="001433F6">
        <w:rPr>
          <w:rFonts w:ascii="Arial" w:hAnsi="Arial" w:cs="Arial"/>
          <w:color w:val="000000"/>
          <w:lang w:val="en-GB"/>
        </w:rPr>
        <w:t xml:space="preserve">treatment of choice in </w:t>
      </w:r>
      <w:r w:rsidR="00D67148">
        <w:rPr>
          <w:rFonts w:ascii="Arial" w:hAnsi="Arial" w:cs="Arial"/>
          <w:color w:val="000000"/>
          <w:lang w:val="en-GB"/>
        </w:rPr>
        <w:t>a</w:t>
      </w:r>
      <w:r w:rsidR="002A4456" w:rsidRPr="00BF7B7C">
        <w:rPr>
          <w:rFonts w:ascii="Arial" w:hAnsi="Arial" w:cs="Arial"/>
          <w:color w:val="000000"/>
          <w:lang w:val="en-GB"/>
        </w:rPr>
        <w:t>UT</w:t>
      </w:r>
      <w:r w:rsidR="00B051F8" w:rsidRPr="00D67148">
        <w:rPr>
          <w:rFonts w:ascii="Arial" w:hAnsi="Arial" w:cs="Arial"/>
          <w:color w:val="000000"/>
          <w:lang w:val="en-US"/>
        </w:rPr>
        <w:t>C</w:t>
      </w:r>
      <w:r w:rsidR="002A4456" w:rsidRPr="00BF7B7C">
        <w:rPr>
          <w:rFonts w:ascii="Arial" w:hAnsi="Arial" w:cs="Arial"/>
          <w:color w:val="000000"/>
          <w:lang w:val="en-GB"/>
        </w:rPr>
        <w:t>. Nevertheless, about 50% of treated patients do not receive cisplatin</w:t>
      </w:r>
      <w:r w:rsidR="00B019D7" w:rsidRPr="00B019D7">
        <w:rPr>
          <w:rFonts w:ascii="Arial" w:hAnsi="Arial" w:cs="Arial"/>
          <w:color w:val="000000"/>
          <w:vertAlign w:val="superscript"/>
          <w:lang w:val="en-GB"/>
        </w:rPr>
        <w:t>1,</w:t>
      </w:r>
      <w:hyperlink w:anchor="_ENREF_2" w:tooltip="Dash, 2006 #4748" w:history="1">
        <w:r w:rsidR="00224D48" w:rsidRPr="00BF7B7C">
          <w:rPr>
            <w:rFonts w:ascii="Arial" w:hAnsi="Arial" w:cs="Arial"/>
            <w:color w:val="000000"/>
            <w:lang w:val="en-GB"/>
          </w:rPr>
          <w:fldChar w:fldCharType="begin">
            <w:fldData xml:space="preserve">PEVuZE5vdGU+PENpdGU+PEF1dGhvcj5EYXNoPC9BdXRob3I+PFllYXI+MjAwNjwvWWVhcj48UmVj
TnVtPjQ3NDg8L1JlY051bT48RGlzcGxheVRleHQ+PHN0eWxlIGZhY2U9InN1cGVyc2NyaXB0Ij4y
PC9zdHlsZT48L0Rpc3BsYXlUZXh0PjxyZWNvcmQ+PHJlYy1udW1iZXI+NDc0ODwvcmVjLW51bWJl
cj48Zm9yZWlnbi1rZXlzPjxrZXkgYXBwPSJFTiIgZGItaWQ9IjJ3eGFzMGFmYXphMnJvZWR6YTlw
MGFzaDlmc3JkMnphZnQ1ZiI+NDc0ODwva2V5PjwvZm9yZWlnbi1rZXlzPjxyZWYtdHlwZSBuYW1l
PSJKb3VybmFsIEFydGljbGUiPjE3PC9yZWYtdHlwZT48Y29udHJpYnV0b3JzPjxhdXRob3JzPjxh
dXRob3I+RGFzaCwgQS48L2F1dGhvcj48YXV0aG9yPkdhbHNreSwgTS4gRC48L2F1dGhvcj48YXV0
aG9yPlZpY2tlcnMsIEEuIEouPC9hdXRob3I+PGF1dGhvcj5TZXJpbywgQS4gTS48L2F1dGhvcj48
YXV0aG9yPktvcHBpZSwgVC4gTS48L2F1dGhvcj48YXV0aG9yPkRhbGJhZ25pLCBHLjwvYXV0aG9y
PjxhdXRob3I+Qm9jaG5lciwgQi4gSC48L2F1dGhvcj48L2F1dGhvcnM+PC9jb250cmlidXRvcnM+
PGF1dGgtYWRkcmVzcz5EZXBhcnRtZW50IG9mIFVyb2xvZ3ksIE1lbW9yaWFsIFNsb2FuLUtldHRl
cmluZyBDYW5jZXIgQ2VudGVyLCBOZXcgWW9yaywgTmV3IFlvcmsgMTAwMjEsIFVTQS48L2F1dGgt
YWRkcmVzcz48dGl0bGVzPjx0aXRsZT5JbXBhY3Qgb2YgcmVuYWwgaW1wYWlybWVudCBvbiBlbGln
aWJpbGl0eSBmb3IgYWRqdXZhbnQgY2lzcGxhdGluLWJhc2VkIGNoZW1vdGhlcmFweSBpbiBwYXRp
ZW50cyB3aXRoIHVyb3RoZWxpYWwgY2FyY2lub21hIG9mIHRoZSBibGFkZGVyPC90aXRsZT48c2Vj
b25kYXJ5LXRpdGxlPkNhbmNlcjwvc2Vjb25kYXJ5LXRpdGxlPjxhbHQtdGl0bGU+Q2FuY2VyPC9h
bHQtdGl0bGU+PC90aXRsZXM+PHBlcmlvZGljYWw+PGZ1bGwtdGl0bGU+Q2FuY2VyPC9mdWxsLXRp
dGxlPjwvcGVyaW9kaWNhbD48YWx0LXBlcmlvZGljYWw+PGZ1bGwtdGl0bGU+Q2FuY2VyPC9mdWxs
LXRpdGxlPjwvYWx0LXBlcmlvZGljYWw+PHBhZ2VzPjUwNi0xMzwvcGFnZXM+PHZvbHVtZT4xMDc8
L3ZvbHVtZT48bnVtYmVyPjM8L251bWJlcj48a2V5d29yZHM+PGtleXdvcmQ+QWdlIEZhY3RvcnM8
L2tleXdvcmQ+PGtleXdvcmQ+QWdlZDwva2V5d29yZD48a2V5d29yZD5BZ2VkLCA4MCBhbmQgb3Zl
cjwva2V5d29yZD48a2V5d29yZD4qQ2hlbW90aGVyYXB5LCBBZGp1dmFudDwva2V5d29yZD48a2V5
d29yZD5DaXNwbGF0aW4vKmFkbWluaXN0cmF0aW9uICZhbXA7IGRvc2FnZTwva2V5d29yZD48a2V5
d29yZD5DeXN0ZWN0b215PC9rZXl3b3JkPjxrZXl3b3JkPipFbGlnaWJpbGl0eSBEZXRlcm1pbmF0
aW9uPC9rZXl3b3JkPjxrZXl3b3JkPkZlbWFsZTwva2V5d29yZD48a2V5d29yZD5IdW1hbnM8L2tl
eXdvcmQ+PGtleXdvcmQ+TWFsZTwva2V5d29yZD48a2V5d29yZD5NaWRkbGUgQWdlZDwva2V5d29y
ZD48a2V5d29yZD5QYXRpZW50IFNlbGVjdGlvbjwva2V5d29yZD48a2V5d29yZD5SZW5hbCBJbnN1
ZmZpY2llbmN5Lypjb21wbGljYXRpb25zPC9rZXl3b3JkPjxrZXl3b3JkPlJldHJvc3BlY3RpdmUg
U3R1ZGllczwva2V5d29yZD48a2V5d29yZD5VcmV0aHJhbCBOZW9wbGFzbXMvY29tcGxpY2F0aW9u
cy8qZHJ1ZyB0aGVyYXB5PC9rZXl3b3JkPjxrZXl3b3JkPlVyaW5hcnkgQmxhZGRlciBOZW9wbGFz
bXMvY29tcGxpY2F0aW9ucy8qZHJ1ZyB0aGVyYXB5L3N1cmdlcnk8L2tleXdvcmQ+PC9rZXl3b3Jk
cz48ZGF0ZXM+PHllYXI+MjAwNjwveWVhcj48cHViLWRhdGVzPjxkYXRlPkF1ZyAxPC9kYXRlPjwv
cHViLWRhdGVzPjwvZGF0ZXM+PGlzYm4+MDAwOC01NDNYIChQcmludCkmI3hEOzAwMDgtNTQzWCAo
TGlua2luZyk8L2lzYm4+PGFjY2Vzc2lvbi1udW0+MTY3NzM2Mjk8L2FjY2Vzc2lvbi1udW0+PHVy
bHM+PHJlbGF0ZWQtdXJscz48dXJsPmh0dHA6Ly93d3cubmNiaS5ubG0ubmloLmdvdi9wdWJtZWQv
MTY3NzM2Mjk8L3VybD48L3JlbGF0ZWQtdXJscz48L3VybHM+PGVsZWN0cm9uaWMtcmVzb3VyY2Ut
bnVtPjEwLjEwMDIvY25jci4yMjAzMTwvZWxlY3Ryb25pYy1yZXNvdXJjZS1udW0+PC9yZWNvcmQ+
PC9DaXRlPjwvRW5kTm90ZT5=
</w:fldData>
          </w:fldChar>
        </w:r>
        <w:r w:rsidR="002A4456" w:rsidRPr="00BF7B7C">
          <w:rPr>
            <w:rFonts w:ascii="Arial" w:hAnsi="Arial" w:cs="Arial"/>
            <w:color w:val="000000"/>
            <w:lang w:val="en-GB"/>
          </w:rPr>
          <w:instrText xml:space="preserve"> ADDIN EN.CITE </w:instrText>
        </w:r>
        <w:r w:rsidR="00224D48" w:rsidRPr="00BF7B7C">
          <w:rPr>
            <w:rFonts w:ascii="Arial" w:hAnsi="Arial" w:cs="Arial"/>
            <w:color w:val="000000"/>
            <w:lang w:val="en-GB"/>
          </w:rPr>
          <w:fldChar w:fldCharType="begin">
            <w:fldData xml:space="preserve">PEVuZE5vdGU+PENpdGU+PEF1dGhvcj5EYXNoPC9BdXRob3I+PFllYXI+MjAwNjwvWWVhcj48UmVj
TnVtPjQ3NDg8L1JlY051bT48RGlzcGxheVRleHQ+PHN0eWxlIGZhY2U9InN1cGVyc2NyaXB0Ij4y
PC9zdHlsZT48L0Rpc3BsYXlUZXh0PjxyZWNvcmQ+PHJlYy1udW1iZXI+NDc0ODwvcmVjLW51bWJl
cj48Zm9yZWlnbi1rZXlzPjxrZXkgYXBwPSJFTiIgZGItaWQ9IjJ3eGFzMGFmYXphMnJvZWR6YTlw
MGFzaDlmc3JkMnphZnQ1ZiI+NDc0ODwva2V5PjwvZm9yZWlnbi1rZXlzPjxyZWYtdHlwZSBuYW1l
PSJKb3VybmFsIEFydGljbGUiPjE3PC9yZWYtdHlwZT48Y29udHJpYnV0b3JzPjxhdXRob3JzPjxh
dXRob3I+RGFzaCwgQS48L2F1dGhvcj48YXV0aG9yPkdhbHNreSwgTS4gRC48L2F1dGhvcj48YXV0
aG9yPlZpY2tlcnMsIEEuIEouPC9hdXRob3I+PGF1dGhvcj5TZXJpbywgQS4gTS48L2F1dGhvcj48
YXV0aG9yPktvcHBpZSwgVC4gTS48L2F1dGhvcj48YXV0aG9yPkRhbGJhZ25pLCBHLjwvYXV0aG9y
PjxhdXRob3I+Qm9jaG5lciwgQi4gSC48L2F1dGhvcj48L2F1dGhvcnM+PC9jb250cmlidXRvcnM+
PGF1dGgtYWRkcmVzcz5EZXBhcnRtZW50IG9mIFVyb2xvZ3ksIE1lbW9yaWFsIFNsb2FuLUtldHRl
cmluZyBDYW5jZXIgQ2VudGVyLCBOZXcgWW9yaywgTmV3IFlvcmsgMTAwMjEsIFVTQS48L2F1dGgt
YWRkcmVzcz48dGl0bGVzPjx0aXRsZT5JbXBhY3Qgb2YgcmVuYWwgaW1wYWlybWVudCBvbiBlbGln
aWJpbGl0eSBmb3IgYWRqdXZhbnQgY2lzcGxhdGluLWJhc2VkIGNoZW1vdGhlcmFweSBpbiBwYXRp
ZW50cyB3aXRoIHVyb3RoZWxpYWwgY2FyY2lub21hIG9mIHRoZSBibGFkZGVyPC90aXRsZT48c2Vj
b25kYXJ5LXRpdGxlPkNhbmNlcjwvc2Vjb25kYXJ5LXRpdGxlPjxhbHQtdGl0bGU+Q2FuY2VyPC9h
bHQtdGl0bGU+PC90aXRsZXM+PHBlcmlvZGljYWw+PGZ1bGwtdGl0bGU+Q2FuY2VyPC9mdWxsLXRp
dGxlPjwvcGVyaW9kaWNhbD48YWx0LXBlcmlvZGljYWw+PGZ1bGwtdGl0bGU+Q2FuY2VyPC9mdWxs
LXRpdGxlPjwvYWx0LXBlcmlvZGljYWw+PHBhZ2VzPjUwNi0xMzwvcGFnZXM+PHZvbHVtZT4xMDc8
L3ZvbHVtZT48bnVtYmVyPjM8L251bWJlcj48a2V5d29yZHM+PGtleXdvcmQ+QWdlIEZhY3RvcnM8
L2tleXdvcmQ+PGtleXdvcmQ+QWdlZDwva2V5d29yZD48a2V5d29yZD5BZ2VkLCA4MCBhbmQgb3Zl
cjwva2V5d29yZD48a2V5d29yZD4qQ2hlbW90aGVyYXB5LCBBZGp1dmFudDwva2V5d29yZD48a2V5
d29yZD5DaXNwbGF0aW4vKmFkbWluaXN0cmF0aW9uICZhbXA7IGRvc2FnZTwva2V5d29yZD48a2V5
d29yZD5DeXN0ZWN0b215PC9rZXl3b3JkPjxrZXl3b3JkPipFbGlnaWJpbGl0eSBEZXRlcm1pbmF0
aW9uPC9rZXl3b3JkPjxrZXl3b3JkPkZlbWFsZTwva2V5d29yZD48a2V5d29yZD5IdW1hbnM8L2tl
eXdvcmQ+PGtleXdvcmQ+TWFsZTwva2V5d29yZD48a2V5d29yZD5NaWRkbGUgQWdlZDwva2V5d29y
ZD48a2V5d29yZD5QYXRpZW50IFNlbGVjdGlvbjwva2V5d29yZD48a2V5d29yZD5SZW5hbCBJbnN1
ZmZpY2llbmN5Lypjb21wbGljYXRpb25zPC9rZXl3b3JkPjxrZXl3b3JkPlJldHJvc3BlY3RpdmUg
U3R1ZGllczwva2V5d29yZD48a2V5d29yZD5VcmV0aHJhbCBOZW9wbGFzbXMvY29tcGxpY2F0aW9u
cy8qZHJ1ZyB0aGVyYXB5PC9rZXl3b3JkPjxrZXl3b3JkPlVyaW5hcnkgQmxhZGRlciBOZW9wbGFz
bXMvY29tcGxpY2F0aW9ucy8qZHJ1ZyB0aGVyYXB5L3N1cmdlcnk8L2tleXdvcmQ+PC9rZXl3b3Jk
cz48ZGF0ZXM+PHllYXI+MjAwNjwveWVhcj48cHViLWRhdGVzPjxkYXRlPkF1ZyAxPC9kYXRlPjwv
cHViLWRhdGVzPjwvZGF0ZXM+PGlzYm4+MDAwOC01NDNYIChQcmludCkmI3hEOzAwMDgtNTQzWCAo
TGlua2luZyk8L2lzYm4+PGFjY2Vzc2lvbi1udW0+MTY3NzM2Mjk8L2FjY2Vzc2lvbi1udW0+PHVy
bHM+PHJlbGF0ZWQtdXJscz48dXJsPmh0dHA6Ly93d3cubmNiaS5ubG0ubmloLmdvdi9wdWJtZWQv
MTY3NzM2Mjk8L3VybD48L3JlbGF0ZWQtdXJscz48L3VybHM+PGVsZWN0cm9uaWMtcmVzb3VyY2Ut
bnVtPjEwLjEwMDIvY25jci4yMjAzMTwvZWxlY3Ryb25pYy1yZXNvdXJjZS1udW0+PC9yZWNvcmQ+
PC9DaXRlPjwvRW5kTm90ZT5=
</w:fldData>
          </w:fldChar>
        </w:r>
        <w:r w:rsidR="002A4456" w:rsidRPr="00BF7B7C">
          <w:rPr>
            <w:rFonts w:ascii="Arial" w:hAnsi="Arial" w:cs="Arial"/>
            <w:color w:val="000000"/>
            <w:lang w:val="en-GB"/>
          </w:rPr>
          <w:instrText xml:space="preserve"> ADDIN EN.CITE.DATA </w:instrText>
        </w:r>
        <w:r w:rsidR="00224D48" w:rsidRPr="00BF7B7C">
          <w:rPr>
            <w:rFonts w:ascii="Arial" w:hAnsi="Arial" w:cs="Arial"/>
            <w:color w:val="000000"/>
            <w:lang w:val="en-GB"/>
          </w:rPr>
        </w:r>
        <w:r w:rsidR="00224D48" w:rsidRPr="00BF7B7C">
          <w:rPr>
            <w:rFonts w:ascii="Arial" w:hAnsi="Arial" w:cs="Arial"/>
            <w:color w:val="000000"/>
            <w:lang w:val="en-GB"/>
          </w:rPr>
          <w:fldChar w:fldCharType="end"/>
        </w:r>
        <w:r w:rsidR="00224D48" w:rsidRPr="00BF7B7C">
          <w:rPr>
            <w:rFonts w:ascii="Arial" w:hAnsi="Arial" w:cs="Arial"/>
            <w:color w:val="000000"/>
            <w:lang w:val="en-GB"/>
          </w:rPr>
        </w:r>
        <w:r w:rsidR="00224D48" w:rsidRPr="00BF7B7C">
          <w:rPr>
            <w:rFonts w:ascii="Arial" w:hAnsi="Arial" w:cs="Arial"/>
            <w:color w:val="000000"/>
            <w:lang w:val="en-GB"/>
          </w:rPr>
          <w:fldChar w:fldCharType="separate"/>
        </w:r>
        <w:r w:rsidR="002A4456" w:rsidRPr="00BF7B7C">
          <w:rPr>
            <w:rFonts w:ascii="Arial" w:hAnsi="Arial" w:cs="Arial"/>
            <w:noProof/>
            <w:color w:val="000000"/>
            <w:vertAlign w:val="superscript"/>
            <w:lang w:val="en-GB"/>
          </w:rPr>
          <w:t>2</w:t>
        </w:r>
        <w:r w:rsidR="00224D48" w:rsidRPr="00BF7B7C">
          <w:rPr>
            <w:rFonts w:ascii="Arial" w:hAnsi="Arial" w:cs="Arial"/>
            <w:color w:val="000000"/>
            <w:lang w:val="en-GB"/>
          </w:rPr>
          <w:fldChar w:fldCharType="end"/>
        </w:r>
      </w:hyperlink>
      <w:r w:rsidR="002A4456" w:rsidRPr="00BF7B7C">
        <w:rPr>
          <w:rFonts w:ascii="Arial" w:hAnsi="Arial" w:cs="Arial"/>
          <w:color w:val="000000"/>
          <w:lang w:val="en-GB"/>
        </w:rPr>
        <w:t xml:space="preserve"> mainly due to concerns of increased toxicity and/or limited efficacy in certain patient groups. Instead, carboplatin is a preferred agent in the community</w:t>
      </w:r>
      <w:r>
        <w:rPr>
          <w:rFonts w:ascii="Arial" w:hAnsi="Arial" w:cs="Arial"/>
          <w:b/>
          <w:color w:val="000000"/>
          <w:lang w:val="en-GB"/>
        </w:rPr>
        <w:t xml:space="preserve"> </w:t>
      </w:r>
      <w:r w:rsidR="00C7598C" w:rsidRPr="00BF7B7C">
        <w:rPr>
          <w:rFonts w:ascii="Arial" w:hAnsi="Arial" w:cs="Arial"/>
          <w:color w:val="000000"/>
          <w:lang w:val="en-GB"/>
        </w:rPr>
        <w:t xml:space="preserve">due to its more </w:t>
      </w:r>
      <w:r w:rsidR="00B019D7" w:rsidRPr="00BF7B7C">
        <w:rPr>
          <w:rFonts w:ascii="Arial" w:hAnsi="Arial" w:cs="Arial"/>
          <w:color w:val="000000"/>
          <w:lang w:val="en-GB"/>
        </w:rPr>
        <w:t>favourable</w:t>
      </w:r>
      <w:r w:rsidR="00C7598C" w:rsidRPr="00BF7B7C">
        <w:rPr>
          <w:rFonts w:ascii="Arial" w:hAnsi="Arial" w:cs="Arial"/>
          <w:color w:val="000000"/>
          <w:lang w:val="en-GB"/>
        </w:rPr>
        <w:t xml:space="preserve"> toxicity profile and ease of admin</w:t>
      </w:r>
      <w:r w:rsidR="00197E77">
        <w:rPr>
          <w:rFonts w:ascii="Arial" w:hAnsi="Arial" w:cs="Arial"/>
          <w:color w:val="000000"/>
          <w:lang w:val="en-GB"/>
        </w:rPr>
        <w:t>istration</w:t>
      </w:r>
      <w:r w:rsidR="00C7598C" w:rsidRPr="00BF7B7C">
        <w:rPr>
          <w:rFonts w:ascii="Arial" w:hAnsi="Arial" w:cs="Arial"/>
          <w:color w:val="000000"/>
          <w:lang w:val="en-GB"/>
        </w:rPr>
        <w:t>. The absence of level I evidence establishing the superiority of cisplatin ov</w:t>
      </w:r>
      <w:r w:rsidR="00B019D7">
        <w:rPr>
          <w:rFonts w:ascii="Arial" w:hAnsi="Arial" w:cs="Arial"/>
          <w:color w:val="000000"/>
          <w:lang w:val="en-GB"/>
        </w:rPr>
        <w:t>er carboplatin and lack of well-established criteria defining pati</w:t>
      </w:r>
      <w:r w:rsidR="00C7598C" w:rsidRPr="00BF7B7C">
        <w:rPr>
          <w:rFonts w:ascii="Arial" w:hAnsi="Arial" w:cs="Arial"/>
          <w:color w:val="000000"/>
          <w:lang w:val="en-GB"/>
        </w:rPr>
        <w:t xml:space="preserve">ents likely to benefit </w:t>
      </w:r>
      <w:r w:rsidR="002E0F00" w:rsidRPr="00BF7B7C">
        <w:rPr>
          <w:rFonts w:ascii="Arial" w:hAnsi="Arial" w:cs="Arial"/>
          <w:color w:val="000000"/>
          <w:lang w:val="en-GB"/>
        </w:rPr>
        <w:t>from</w:t>
      </w:r>
      <w:r w:rsidR="00C7598C" w:rsidRPr="00BF7B7C">
        <w:rPr>
          <w:rFonts w:ascii="Arial" w:hAnsi="Arial" w:cs="Arial"/>
          <w:color w:val="000000"/>
          <w:lang w:val="en-GB"/>
        </w:rPr>
        <w:t xml:space="preserve"> cisplatin instead of carbop</w:t>
      </w:r>
      <w:r w:rsidR="00197E77">
        <w:rPr>
          <w:rFonts w:ascii="Arial" w:hAnsi="Arial" w:cs="Arial"/>
          <w:color w:val="000000"/>
          <w:lang w:val="en-GB"/>
        </w:rPr>
        <w:t xml:space="preserve">latin-based therapy </w:t>
      </w:r>
      <w:r w:rsidR="00B019D7">
        <w:rPr>
          <w:rFonts w:ascii="Arial" w:hAnsi="Arial" w:cs="Arial"/>
          <w:color w:val="000000"/>
          <w:lang w:val="en-GB"/>
        </w:rPr>
        <w:t>may encourage this tendency</w:t>
      </w:r>
      <w:r w:rsidR="00C7598C" w:rsidRPr="00BF7B7C">
        <w:rPr>
          <w:rFonts w:ascii="Arial" w:hAnsi="Arial" w:cs="Arial"/>
          <w:color w:val="000000"/>
          <w:lang w:val="en-GB"/>
        </w:rPr>
        <w:t xml:space="preserve">. This uncertainty is </w:t>
      </w:r>
      <w:r w:rsidR="00ED2968" w:rsidRPr="00BF7B7C">
        <w:rPr>
          <w:rFonts w:ascii="Arial" w:hAnsi="Arial" w:cs="Arial"/>
          <w:color w:val="000000"/>
          <w:lang w:val="en-GB"/>
        </w:rPr>
        <w:t xml:space="preserve">also </w:t>
      </w:r>
      <w:r w:rsidR="00C7598C" w:rsidRPr="00BF7B7C">
        <w:rPr>
          <w:rFonts w:ascii="Arial" w:hAnsi="Arial" w:cs="Arial"/>
          <w:color w:val="000000"/>
          <w:lang w:val="en-GB"/>
        </w:rPr>
        <w:t xml:space="preserve">reflected by the </w:t>
      </w:r>
      <w:r w:rsidR="00ED2968" w:rsidRPr="00BF7B7C">
        <w:rPr>
          <w:rFonts w:ascii="Arial" w:hAnsi="Arial" w:cs="Arial"/>
          <w:color w:val="000000"/>
          <w:lang w:val="en-GB"/>
        </w:rPr>
        <w:t xml:space="preserve">inherent eligibility </w:t>
      </w:r>
      <w:r w:rsidR="00C7598C" w:rsidRPr="00BF7B7C">
        <w:rPr>
          <w:rFonts w:ascii="Arial" w:hAnsi="Arial" w:cs="Arial"/>
          <w:color w:val="000000"/>
          <w:lang w:val="en-GB"/>
        </w:rPr>
        <w:t xml:space="preserve">criteria used in carboplatin-based chemotherapy in </w:t>
      </w:r>
      <w:r w:rsidR="00D62B09" w:rsidRPr="00BF7B7C">
        <w:rPr>
          <w:rFonts w:ascii="Arial" w:hAnsi="Arial" w:cs="Arial"/>
          <w:color w:val="000000"/>
          <w:lang w:val="en-GB"/>
        </w:rPr>
        <w:t>phase II studies</w:t>
      </w:r>
      <w:r w:rsidR="00C7598C" w:rsidRPr="00BF7B7C">
        <w:rPr>
          <w:rFonts w:ascii="Arial" w:hAnsi="Arial" w:cs="Arial"/>
          <w:color w:val="000000"/>
          <w:lang w:val="en-GB"/>
        </w:rPr>
        <w:t>.</w:t>
      </w:r>
      <w:hyperlink w:anchor="_ENREF_3" w:tooltip="Linardou, 2004 #4751" w:history="1">
        <w:r w:rsidR="00B019D7" w:rsidRPr="00B019D7">
          <w:rPr>
            <w:rFonts w:ascii="Arial" w:hAnsi="Arial" w:cs="Arial"/>
            <w:color w:val="000000"/>
            <w:vertAlign w:val="superscript"/>
            <w:lang w:val="en-GB"/>
          </w:rPr>
          <w:t>3-8</w:t>
        </w:r>
      </w:hyperlink>
    </w:p>
    <w:p w14:paraId="1C8DFBFB" w14:textId="50E0EC94" w:rsidR="00C7598C" w:rsidRPr="00BF7B7C" w:rsidRDefault="00C7598C">
      <w:pPr>
        <w:autoSpaceDE w:val="0"/>
        <w:autoSpaceDN w:val="0"/>
        <w:adjustRightInd w:val="0"/>
        <w:spacing w:line="480" w:lineRule="auto"/>
        <w:jc w:val="both"/>
        <w:rPr>
          <w:rFonts w:ascii="Arial" w:hAnsi="Arial" w:cs="Arial"/>
          <w:color w:val="000000"/>
          <w:lang w:val="en-GB"/>
        </w:rPr>
      </w:pPr>
      <w:r w:rsidRPr="00BF7B7C">
        <w:rPr>
          <w:rFonts w:ascii="Arial" w:hAnsi="Arial" w:cs="Arial"/>
          <w:color w:val="000000"/>
          <w:lang w:val="en-GB"/>
        </w:rPr>
        <w:t xml:space="preserve">Recently, specific criteria for </w:t>
      </w:r>
      <w:r w:rsidR="00B019D7">
        <w:rPr>
          <w:rFonts w:ascii="Arial" w:hAnsi="Arial" w:cs="Arial"/>
          <w:color w:val="000000"/>
          <w:lang w:val="en-GB"/>
        </w:rPr>
        <w:t>eligibility</w:t>
      </w:r>
      <w:r w:rsidR="00B0354E">
        <w:rPr>
          <w:rFonts w:ascii="Arial" w:hAnsi="Arial" w:cs="Arial"/>
          <w:color w:val="000000"/>
          <w:lang w:val="en-GB"/>
        </w:rPr>
        <w:t>-for-cisplatin</w:t>
      </w:r>
      <w:r w:rsidR="001433F6">
        <w:rPr>
          <w:rFonts w:ascii="Arial" w:hAnsi="Arial" w:cs="Arial"/>
          <w:color w:val="000000"/>
          <w:lang w:val="en-GB"/>
        </w:rPr>
        <w:t xml:space="preserve"> </w:t>
      </w:r>
      <w:r w:rsidRPr="00BF7B7C">
        <w:rPr>
          <w:rFonts w:ascii="Arial" w:hAnsi="Arial" w:cs="Arial"/>
          <w:color w:val="000000"/>
          <w:lang w:val="en-GB"/>
        </w:rPr>
        <w:t xml:space="preserve">have been </w:t>
      </w:r>
      <w:r w:rsidR="00ED2968" w:rsidRPr="00BF7B7C">
        <w:rPr>
          <w:rFonts w:ascii="Arial" w:hAnsi="Arial" w:cs="Arial"/>
          <w:color w:val="000000"/>
          <w:lang w:val="en-GB"/>
        </w:rPr>
        <w:t xml:space="preserve">proposed </w:t>
      </w:r>
      <w:r w:rsidR="00D62B09" w:rsidRPr="00BF7B7C">
        <w:rPr>
          <w:rFonts w:ascii="Arial" w:hAnsi="Arial" w:cs="Arial"/>
          <w:color w:val="000000"/>
          <w:lang w:val="en-GB"/>
        </w:rPr>
        <w:t>by Galsky et al</w:t>
      </w:r>
      <w:r w:rsidRPr="00BF7B7C">
        <w:rPr>
          <w:rFonts w:ascii="Arial" w:hAnsi="Arial" w:cs="Arial"/>
          <w:color w:val="000000"/>
          <w:lang w:val="en-GB"/>
        </w:rPr>
        <w:t>.</w:t>
      </w:r>
      <w:hyperlink w:anchor="_ENREF_9" w:tooltip="Galsky, 2011 #4762" w:history="1">
        <w:r w:rsidR="00224D48" w:rsidRPr="00BF7B7C">
          <w:rPr>
            <w:rFonts w:ascii="Arial" w:hAnsi="Arial" w:cs="Arial"/>
            <w:color w:val="000000"/>
            <w:lang w:val="en-GB"/>
          </w:rPr>
          <w:fldChar w:fldCharType="begin">
            <w:fldData xml:space="preserve">PEVuZE5vdGU+PENpdGU+PEF1dGhvcj5HYWxza3k8L0F1dGhvcj48WWVhcj4yMDExPC9ZZWFyPjxS
ZWNOdW0+NDc2MjwvUmVjTnVtPjxEaXNwbGF5VGV4dD48c3R5bGUgZmFjZT0ic3VwZXJzY3JpcHQi
Pjk8L3N0eWxlPjwvRGlzcGxheVRleHQ+PHJlY29yZD48cmVjLW51bWJlcj40NzYyPC9yZWMtbnVt
YmVyPjxmb3JlaWduLWtleXM+PGtleSBhcHA9IkVOIiBkYi1pZD0iMnd4YXMwYWZhemEycm9lZHph
OXAwYXNoOWZzcmQyemFmdDVmIj40NzYyPC9rZXk+PC9mb3JlaWduLWtleXM+PHJlZi10eXBlIG5h
bWU9IkpvdXJuYWwgQXJ0aWNsZSI+MTc8L3JlZi10eXBlPjxjb250cmlidXRvcnM+PGF1dGhvcnM+
PGF1dGhvcj5HYWxza3ksIE0uIEQuPC9hdXRob3I+PGF1dGhvcj5IYWhuLCBOLiBNLjwvYXV0aG9y
PjxhdXRob3I+Um9zZW5iZXJnLCBKLjwvYXV0aG9yPjxhdXRob3I+U29ucGF2ZGUsIEcuPC9hdXRo
b3I+PGF1dGhvcj5IdXRzb24sIFQuPC9hdXRob3I+PGF1dGhvcj5PaCwgVy4gSy48L2F1dGhvcj48
YXV0aG9yPkRyZWljZXIsIFIuPC9hdXRob3I+PGF1dGhvcj5Wb2dlbHphbmcsIE4uPC9hdXRob3I+
PGF1dGhvcj5TdGVybmJlcmcsIEMuIE4uPC9hdXRob3I+PGF1dGhvcj5CYWpvcmluLCBELiBGLjwv
YXV0aG9yPjxhdXRob3I+QmVsbG11bnQsIEouPC9hdXRob3I+PC9hdXRob3JzPjwvY29udHJpYnV0
b3JzPjxhdXRoLWFkZHJlc3M+TW91bnQgU2luYWkgU2Nob29sIG9mIE1lZGljaW5lLCBUaXNjaCBD
YW5jZXIgSW5zdGl0dXRlLCAxIEd1c3RhdmUgTC4gTGV2eSBQbGFjZSwgTmV3IFlvcmssIE5ZIDEw
MDI5LCBVU0EuIG1hdHRoZXcuZ2Fsc2t5QG1zc20uZWR1PC9hdXRoLWFkZHJlc3M+PHRpdGxlcz48
dGl0bGU+VHJlYXRtZW50IG9mIHBhdGllbnRzIHdpdGggbWV0YXN0YXRpYyB1cm90aGVsaWFsIGNh
bmNlciAmcXVvdDt1bmZpdCZxdW90OyBmb3IgQ2lzcGxhdGluLWJhc2VkIGNoZW1vdGhlcmFweTwv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aXRsZXM+PHBlcmlvZGljYWw+PGZ1bGwtdGl0bGU+SiBDbGluIE9uY29sPC9mdWxsLXRpdGxlPjwv
cGVyaW9kaWNhbD48cGFnZXM+MjQzMi04PC9wYWdlcz48dm9sdW1lPjI5PC92b2x1bWU+PG51bWJl
cj4xNzwvbnVtYmVyPjxrZXl3b3Jkcz48a2V5d29yZD5BZ2VkPC9rZXl3b3JkPjxrZXl3b3JkPkFu
dGluZW9wbGFzdGljIEFnZW50cy8qdGhlcmFwZXV0aWMgdXNlPC9rZXl3b3JkPjxrZXl3b3JkPkNh
cmJvcGxhdGluL3RoZXJhcGV1dGljIHVzZTwva2V5d29yZD48a2V5d29yZD5DaXNwbGF0aW4vKnRo
ZXJhcGV1dGljIHVzZTwva2V5d29yZD48a2V5d29yZD5DbGluaWNhbCBUcmlhbHMsIFBoYXNlIElJ
IGFzIFRvcGljPC9rZXl3b3JkPjxrZXl3b3JkPkNsaW5pY2FsIFRyaWFscywgUGhhc2UgSUlJIGFz
IFRvcGljPC9rZXl3b3JkPjxrZXl3b3JkPkNvbW9yYmlkaXR5PC9rZXl3b3JkPjxrZXl3b3JkPkh1
bWFuczwva2V5d29yZD48a2V5d29yZD5LaWRuZXkvcGh5c2lvcGF0aG9sb2d5PC9rZXl3b3JkPjxr
ZXl3b3JkPk5lb3BsYXNtIE1ldGFzdGFzaXM8L2tleXdvcmQ+PGtleXdvcmQ+VXJvbG9naWMgTmVv
cGxhc21zLypkcnVnIHRoZXJhcHkvcGF0aG9sb2d5L3BoeXNpb3BhdGhvbG9neTwva2V5d29yZD48
a2V5d29yZD5Vcm90aGVsaXVtL3BhdGhvbG9neTwva2V5d29yZD48L2tleXdvcmRzPjxkYXRlcz48
eWVhcj4yMDExPC95ZWFyPjxwdWItZGF0ZXM+PGRhdGU+SnVuIDEwPC9kYXRlPjwvcHViLWRhdGVz
PjwvZGF0ZXM+PGlzYm4+MTUyNy03NzU1IChFbGVjdHJvbmljKSYjeEQ7MDczMi0xODNYIChMaW5r
aW5nKTwvaXNibj48YWNjZXNzaW9uLW51bT4yMTU1NTY4ODwvYWNjZXNzaW9uLW51bT48dXJscz48
cmVsYXRlZC11cmxzPjx1cmw+aHR0cDovL3d3dy5uY2JpLm5sbS5uaWguZ292L3B1Ym1lZC8yMTU1
NTY4ODwvdXJsPjwvcmVsYXRlZC11cmxzPjwvdXJscz48ZWxlY3Ryb25pYy1yZXNvdXJjZS1udW0+
MTAuMTIwMC9KQ08uMjAxMS4zNC44NDMzPC9lbGVjdHJvbmljLXJlc291cmNlLW51bT48L3JlY29y
ZD48L0NpdGU+PC9FbmROb3RlPgB=
</w:fldData>
          </w:fldChar>
        </w:r>
        <w:r w:rsidR="008822D4" w:rsidRPr="00BF7B7C">
          <w:rPr>
            <w:rFonts w:ascii="Arial" w:hAnsi="Arial" w:cs="Arial"/>
            <w:color w:val="000000"/>
            <w:lang w:val="en-GB"/>
          </w:rPr>
          <w:instrText xml:space="preserve"> ADDIN EN.CITE </w:instrText>
        </w:r>
        <w:r w:rsidR="00224D48" w:rsidRPr="00BF7B7C">
          <w:rPr>
            <w:rFonts w:ascii="Arial" w:hAnsi="Arial" w:cs="Arial"/>
            <w:color w:val="000000"/>
            <w:lang w:val="en-GB"/>
          </w:rPr>
          <w:fldChar w:fldCharType="begin">
            <w:fldData xml:space="preserve">PEVuZE5vdGU+PENpdGU+PEF1dGhvcj5HYWxza3k8L0F1dGhvcj48WWVhcj4yMDExPC9ZZWFyPjxS
ZWNOdW0+NDc2MjwvUmVjTnVtPjxEaXNwbGF5VGV4dD48c3R5bGUgZmFjZT0ic3VwZXJzY3JpcHQi
Pjk8L3N0eWxlPjwvRGlzcGxheVRleHQ+PHJlY29yZD48cmVjLW51bWJlcj40NzYyPC9yZWMtbnVt
YmVyPjxmb3JlaWduLWtleXM+PGtleSBhcHA9IkVOIiBkYi1pZD0iMnd4YXMwYWZhemEycm9lZHph
OXAwYXNoOWZzcmQyemFmdDVmIj40NzYyPC9rZXk+PC9mb3JlaWduLWtleXM+PHJlZi10eXBlIG5h
bWU9IkpvdXJuYWwgQXJ0aWNsZSI+MTc8L3JlZi10eXBlPjxjb250cmlidXRvcnM+PGF1dGhvcnM+
PGF1dGhvcj5HYWxza3ksIE0uIEQuPC9hdXRob3I+PGF1dGhvcj5IYWhuLCBOLiBNLjwvYXV0aG9y
PjxhdXRob3I+Um9zZW5iZXJnLCBKLjwvYXV0aG9yPjxhdXRob3I+U29ucGF2ZGUsIEcuPC9hdXRo
b3I+PGF1dGhvcj5IdXRzb24sIFQuPC9hdXRob3I+PGF1dGhvcj5PaCwgVy4gSy48L2F1dGhvcj48
YXV0aG9yPkRyZWljZXIsIFIuPC9hdXRob3I+PGF1dGhvcj5Wb2dlbHphbmcsIE4uPC9hdXRob3I+
PGF1dGhvcj5TdGVybmJlcmcsIEMuIE4uPC9hdXRob3I+PGF1dGhvcj5CYWpvcmluLCBELiBGLjwv
YXV0aG9yPjxhdXRob3I+QmVsbG11bnQsIEouPC9hdXRob3I+PC9hdXRob3JzPjwvY29udHJpYnV0
b3JzPjxhdXRoLWFkZHJlc3M+TW91bnQgU2luYWkgU2Nob29sIG9mIE1lZGljaW5lLCBUaXNjaCBD
YW5jZXIgSW5zdGl0dXRlLCAxIEd1c3RhdmUgTC4gTGV2eSBQbGFjZSwgTmV3IFlvcmssIE5ZIDEw
MDI5LCBVU0EuIG1hdHRoZXcuZ2Fsc2t5QG1zc20uZWR1PC9hdXRoLWFkZHJlc3M+PHRpdGxlcz48
dGl0bGU+VHJlYXRtZW50IG9mIHBhdGllbnRzIHdpdGggbWV0YXN0YXRpYyB1cm90aGVsaWFsIGNh
bmNlciAmcXVvdDt1bmZpdCZxdW90OyBmb3IgQ2lzcGxhdGluLWJhc2VkIGNoZW1vdGhlcmFweTwv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aXRsZXM+PHBlcmlvZGljYWw+PGZ1bGwtdGl0bGU+SiBDbGluIE9uY29sPC9mdWxsLXRpdGxlPjwv
cGVyaW9kaWNhbD48cGFnZXM+MjQzMi04PC9wYWdlcz48dm9sdW1lPjI5PC92b2x1bWU+PG51bWJl
cj4xNzwvbnVtYmVyPjxrZXl3b3Jkcz48a2V5d29yZD5BZ2VkPC9rZXl3b3JkPjxrZXl3b3JkPkFu
dGluZW9wbGFzdGljIEFnZW50cy8qdGhlcmFwZXV0aWMgdXNlPC9rZXl3b3JkPjxrZXl3b3JkPkNh
cmJvcGxhdGluL3RoZXJhcGV1dGljIHVzZTwva2V5d29yZD48a2V5d29yZD5DaXNwbGF0aW4vKnRo
ZXJhcGV1dGljIHVzZTwva2V5d29yZD48a2V5d29yZD5DbGluaWNhbCBUcmlhbHMsIFBoYXNlIElJ
IGFzIFRvcGljPC9rZXl3b3JkPjxrZXl3b3JkPkNsaW5pY2FsIFRyaWFscywgUGhhc2UgSUlJIGFz
IFRvcGljPC9rZXl3b3JkPjxrZXl3b3JkPkNvbW9yYmlkaXR5PC9rZXl3b3JkPjxrZXl3b3JkPkh1
bWFuczwva2V5d29yZD48a2V5d29yZD5LaWRuZXkvcGh5c2lvcGF0aG9sb2d5PC9rZXl3b3JkPjxr
ZXl3b3JkPk5lb3BsYXNtIE1ldGFzdGFzaXM8L2tleXdvcmQ+PGtleXdvcmQ+VXJvbG9naWMgTmVv
cGxhc21zLypkcnVnIHRoZXJhcHkvcGF0aG9sb2d5L3BoeXNpb3BhdGhvbG9neTwva2V5d29yZD48
a2V5d29yZD5Vcm90aGVsaXVtL3BhdGhvbG9neTwva2V5d29yZD48L2tleXdvcmRzPjxkYXRlcz48
eWVhcj4yMDExPC95ZWFyPjxwdWItZGF0ZXM+PGRhdGU+SnVuIDEwPC9kYXRlPjwvcHViLWRhdGVz
PjwvZGF0ZXM+PGlzYm4+MTUyNy03NzU1IChFbGVjdHJvbmljKSYjeEQ7MDczMi0xODNYIChMaW5r
aW5nKTwvaXNibj48YWNjZXNzaW9uLW51bT4yMTU1NTY4ODwvYWNjZXNzaW9uLW51bT48dXJscz48
cmVsYXRlZC11cmxzPjx1cmw+aHR0cDovL3d3dy5uY2JpLm5sbS5uaWguZ292L3B1Ym1lZC8yMTU1
NTY4ODwvdXJsPjwvcmVsYXRlZC11cmxzPjwvdXJscz48ZWxlY3Ryb25pYy1yZXNvdXJjZS1udW0+
MTAuMTIwMC9KQ08uMjAxMS4zNC44NDMzPC9lbGVjdHJvbmljLXJlc291cmNlLW51bT48L3JlY29y
ZD48L0NpdGU+PC9FbmROb3RlPgB=
</w:fldData>
          </w:fldChar>
        </w:r>
        <w:r w:rsidR="008822D4" w:rsidRPr="00BF7B7C">
          <w:rPr>
            <w:rFonts w:ascii="Arial" w:hAnsi="Arial" w:cs="Arial"/>
            <w:color w:val="000000"/>
            <w:lang w:val="en-GB"/>
          </w:rPr>
          <w:instrText xml:space="preserve"> ADDIN EN.CITE.DATA </w:instrText>
        </w:r>
        <w:r w:rsidR="00224D48" w:rsidRPr="00BF7B7C">
          <w:rPr>
            <w:rFonts w:ascii="Arial" w:hAnsi="Arial" w:cs="Arial"/>
            <w:color w:val="000000"/>
            <w:lang w:val="en-GB"/>
          </w:rPr>
        </w:r>
        <w:r w:rsidR="00224D48" w:rsidRPr="00BF7B7C">
          <w:rPr>
            <w:rFonts w:ascii="Arial" w:hAnsi="Arial" w:cs="Arial"/>
            <w:color w:val="000000"/>
            <w:lang w:val="en-GB"/>
          </w:rPr>
          <w:fldChar w:fldCharType="end"/>
        </w:r>
        <w:r w:rsidR="00224D48" w:rsidRPr="00BF7B7C">
          <w:rPr>
            <w:rFonts w:ascii="Arial" w:hAnsi="Arial" w:cs="Arial"/>
            <w:color w:val="000000"/>
            <w:lang w:val="en-GB"/>
          </w:rPr>
        </w:r>
        <w:r w:rsidR="00224D48" w:rsidRPr="00BF7B7C">
          <w:rPr>
            <w:rFonts w:ascii="Arial" w:hAnsi="Arial" w:cs="Arial"/>
            <w:color w:val="000000"/>
            <w:lang w:val="en-GB"/>
          </w:rPr>
          <w:fldChar w:fldCharType="separate"/>
        </w:r>
        <w:r w:rsidR="008822D4" w:rsidRPr="00BF7B7C">
          <w:rPr>
            <w:rFonts w:ascii="Arial" w:hAnsi="Arial" w:cs="Arial"/>
            <w:noProof/>
            <w:color w:val="000000"/>
            <w:vertAlign w:val="superscript"/>
            <w:lang w:val="en-GB"/>
          </w:rPr>
          <w:t>9</w:t>
        </w:r>
        <w:r w:rsidR="00224D48" w:rsidRPr="00BF7B7C">
          <w:rPr>
            <w:rFonts w:ascii="Arial" w:hAnsi="Arial" w:cs="Arial"/>
            <w:color w:val="000000"/>
            <w:lang w:val="en-GB"/>
          </w:rPr>
          <w:fldChar w:fldCharType="end"/>
        </w:r>
      </w:hyperlink>
      <w:r w:rsidRPr="00BF7B7C">
        <w:rPr>
          <w:rFonts w:ascii="Arial" w:hAnsi="Arial" w:cs="Arial"/>
          <w:color w:val="000000"/>
          <w:lang w:val="en-GB"/>
        </w:rPr>
        <w:t xml:space="preserve"> Although the criteria are widely accepted, </w:t>
      </w:r>
      <w:r w:rsidRPr="00280481">
        <w:rPr>
          <w:rFonts w:ascii="Arial" w:hAnsi="Arial" w:cs="Arial"/>
          <w:color w:val="000000"/>
          <w:lang w:val="en-US"/>
        </w:rPr>
        <w:t>the</w:t>
      </w:r>
      <w:r w:rsidR="00E90EB7" w:rsidRPr="00791141">
        <w:rPr>
          <w:rFonts w:ascii="Arial" w:hAnsi="Arial" w:cs="Arial"/>
          <w:color w:val="000000"/>
          <w:lang w:val="en-US"/>
        </w:rPr>
        <w:t>ir</w:t>
      </w:r>
      <w:r w:rsidR="006D0408" w:rsidRPr="00BF7B7C">
        <w:rPr>
          <w:rFonts w:ascii="Arial" w:hAnsi="Arial" w:cs="Arial"/>
          <w:color w:val="000000"/>
          <w:lang w:val="en-GB"/>
        </w:rPr>
        <w:t xml:space="preserve"> impact</w:t>
      </w:r>
      <w:r w:rsidRPr="00BF7B7C">
        <w:rPr>
          <w:rFonts w:ascii="Arial" w:hAnsi="Arial" w:cs="Arial"/>
          <w:color w:val="000000"/>
          <w:lang w:val="en-GB"/>
        </w:rPr>
        <w:t xml:space="preserve"> has not yet been formally assessed. In addition, adherence to these criteria outside the context of clinical trials has not been studied. In a r</w:t>
      </w:r>
      <w:r w:rsidR="00197E77">
        <w:rPr>
          <w:rFonts w:ascii="Arial" w:hAnsi="Arial" w:cs="Arial"/>
          <w:color w:val="000000"/>
          <w:lang w:val="en-GB"/>
        </w:rPr>
        <w:t>ecent report</w:t>
      </w:r>
      <w:r w:rsidRPr="00BF7B7C">
        <w:rPr>
          <w:rFonts w:ascii="Arial" w:hAnsi="Arial" w:cs="Arial"/>
          <w:color w:val="000000"/>
          <w:lang w:val="en-GB"/>
        </w:rPr>
        <w:t xml:space="preserve">, 25% of patients with </w:t>
      </w:r>
      <w:r w:rsidR="00B469F8">
        <w:rPr>
          <w:rFonts w:ascii="Arial" w:hAnsi="Arial" w:cs="Arial"/>
          <w:color w:val="000000"/>
          <w:lang w:val="en-GB"/>
        </w:rPr>
        <w:t>a</w:t>
      </w:r>
      <w:r w:rsidRPr="00BF7B7C">
        <w:rPr>
          <w:rFonts w:ascii="Arial" w:hAnsi="Arial" w:cs="Arial"/>
          <w:color w:val="000000"/>
          <w:lang w:val="en-GB"/>
        </w:rPr>
        <w:t>U</w:t>
      </w:r>
      <w:r w:rsidR="00B469F8">
        <w:rPr>
          <w:rFonts w:ascii="Arial" w:hAnsi="Arial" w:cs="Arial"/>
          <w:color w:val="000000"/>
          <w:lang w:val="en-GB"/>
        </w:rPr>
        <w:t>T</w:t>
      </w:r>
      <w:r w:rsidRPr="00BF7B7C">
        <w:rPr>
          <w:rFonts w:ascii="Arial" w:hAnsi="Arial" w:cs="Arial"/>
          <w:color w:val="000000"/>
          <w:lang w:val="en-GB"/>
        </w:rPr>
        <w:t>C, treated at 10 Greek Oncology centers</w:t>
      </w:r>
      <w:r w:rsidR="00197E77">
        <w:rPr>
          <w:rFonts w:ascii="Arial" w:hAnsi="Arial" w:cs="Arial"/>
          <w:color w:val="000000"/>
          <w:lang w:val="en-GB"/>
        </w:rPr>
        <w:t>,</w:t>
      </w:r>
      <w:r w:rsidRPr="00BF7B7C">
        <w:rPr>
          <w:rFonts w:ascii="Arial" w:hAnsi="Arial" w:cs="Arial"/>
          <w:color w:val="000000"/>
          <w:lang w:val="en-GB"/>
        </w:rPr>
        <w:t xml:space="preserve"> did not receive cisplatin-based ch</w:t>
      </w:r>
      <w:r w:rsidR="00B0354E">
        <w:rPr>
          <w:rFonts w:ascii="Arial" w:hAnsi="Arial" w:cs="Arial"/>
          <w:color w:val="000000"/>
          <w:lang w:val="en-GB"/>
        </w:rPr>
        <w:t>emotherapy, although they were eligible</w:t>
      </w:r>
      <w:bookmarkStart w:id="0" w:name="_GoBack"/>
      <w:bookmarkEnd w:id="0"/>
      <w:r w:rsidRPr="00BF7B7C">
        <w:rPr>
          <w:rFonts w:ascii="Arial" w:hAnsi="Arial" w:cs="Arial"/>
          <w:color w:val="000000"/>
          <w:lang w:val="en-GB"/>
        </w:rPr>
        <w:t xml:space="preserve"> a</w:t>
      </w:r>
      <w:r w:rsidR="00D62B09" w:rsidRPr="00BF7B7C">
        <w:rPr>
          <w:rFonts w:ascii="Arial" w:hAnsi="Arial" w:cs="Arial"/>
          <w:color w:val="000000"/>
          <w:lang w:val="en-GB"/>
        </w:rPr>
        <w:t>ccording to Galsky’s criteria</w:t>
      </w:r>
      <w:r w:rsidRPr="00BF7B7C">
        <w:rPr>
          <w:rFonts w:ascii="Arial" w:hAnsi="Arial" w:cs="Arial"/>
          <w:color w:val="000000"/>
          <w:lang w:val="en-GB"/>
        </w:rPr>
        <w:t>.</w:t>
      </w:r>
      <w:hyperlink w:anchor="_ENREF_10" w:tooltip="Bamias, 2016 #4763" w:history="1">
        <w:r w:rsidR="00224D48" w:rsidRPr="00BF7B7C">
          <w:rPr>
            <w:rFonts w:ascii="Arial" w:hAnsi="Arial" w:cs="Arial"/>
            <w:color w:val="000000"/>
            <w:lang w:val="en-GB"/>
          </w:rPr>
          <w:fldChar w:fldCharType="begin">
            <w:fldData xml:space="preserve">PEVuZE5vdGU+PENpdGU+PEF1dGhvcj5CYW1pYXM8L0F1dGhvcj48WWVhcj4yMDE2PC9ZZWFyPjxS
ZWNOdW0+NDc2MzwvUmVjTnVtPjxEaXNwbGF5VGV4dD48c3R5bGUgZmFjZT0ic3VwZXJzY3JpcHQi
PjEwPC9zdHlsZT48L0Rpc3BsYXlUZXh0PjxyZWNvcmQ+PHJlYy1udW1iZXI+NDc2MzwvcmVjLW51
bWJlcj48Zm9yZWlnbi1rZXlzPjxrZXkgYXBwPSJFTiIgZGItaWQ9IjJ3eGFzMGFmYXphMnJvZWR6
YTlwMGFzaDlmc3JkMnphZnQ1ZiI+NDc2Mzwva2V5PjwvZm9yZWlnbi1rZXlzPjxyZWYtdHlwZSBu
YW1lPSJKb3VybmFsIEFydGljbGUiPjE3PC9yZWYtdHlwZT48Y29udHJpYnV0b3JzPjxhdXRob3Jz
PjxhdXRob3I+QmFtaWFzLCBBLjwvYXV0aG9yPjxhdXRob3I+UGVyb3VraWRpcywgUy48L2F1dGhv
cj48YXV0aG9yPlN0YW1hdG9wb3Vsb3UsIFMuPC9hdXRob3I+PGF1dGhvcj5UemFubmlzLCBLLjwv
YXV0aG9yPjxhdXRob3I+S291dHNvdWtvcywgSy48L2F1dGhvcj48YXV0aG9yPkFuZHJlYWRpcywg
Qy48L2F1dGhvcj48YXV0aG9yPkJvemlvbmVsb3UsIFYuPC9hdXRob3I+PGF1dGhvcj5QaXN0YWxt
YXR6aWFuLCBOLjwvYXV0aG9yPjxhdXRob3I+UGFwYXRzb3JpcywgQS48L2F1dGhvcj48YXV0aG9y
PlN0cmF2b2RpbW9zLCBLLjwvYXV0aG9yPjxhdXRob3I+VmFydGhhbGl0aXMsIEkuPC9hdXRob3I+
PGF1dGhvcj5LYXJhbW91emlzLCBNLjwvYXV0aG9yPjxhdXRob3I+TWlsYWtpLCBHLjwvYXV0aG9y
PjxhdXRob3I+QWdvcmFzdG9zLCBBLjwvYXV0aG9yPjxhdXRob3I+S2VudGVwb3ppZGlzLCBOLjwv
YXV0aG9yPjxhdXRob3I+QW5kcm91bGFraXMsIE4uPC9hdXRob3I+PGF1dGhvcj5Cb21wb2xha2ks
IEkuPC9hdXRob3I+PGF1dGhvcj5LYWxvZm9ub3MsIEguPC9hdXRob3I+PGF1dGhvcj5NYXZyb3Vk
aXMsIEQuPC9hdXRob3I+PGF1dGhvcj5EaW1vcG91bG9zLCBNLiBBLjwvYXV0aG9yPjwvYXV0aG9y
cz48L2NvbnRyaWJ1dG9ycz48YXV0aC1hZGRyZXNzPkRlcGFydG1lbnQgb2YgQ2xpbmljYWwgVGhl
cmFwZXV0aWNzLCBVbml2ZXJzaXR5IG9mIEF0aGVucywgQXRoZW5zLCBHcmVlY2UuJiN4RDtEaXZp
c2lvbiBvZiBPbmNvbG9neSwgRGVwYXJ0bWVudCBvZiBNZWRpY2luZSwgVW5pdmVyc2l0eSBIb3Nw
aXRhbCwgVW5pdmVyc2l0eSBvZiBQYXRyYXMgTWVkaWNhbCBTY2hvb2wsIFBhdHJhcywgR3JlZWNl
LiYjeEQ7MXN0IERlcGFydG1lbnQgb2YgTWVkaWNhbCBPbmNvbG9neSwgJnF1b3Q7QWdpb3MgU2F2
dmFzJnF1b3Q7IEhvc3BpdGFsLCBBdGhlbnMsIEdyZWVjZS4mI3hEO0RlcGFydG1lbnQgb2YgQ2xp
bmljYWwgVGhlcmFwZXV0aWNzLCBVbml2ZXJzaXR5IG9mIEF0aGVucywgQXRoZW5zLCBHcmVlY2Uu
IEVsZWN0cm9uaWMgYWRkcmVzczoga291dHNvdWtvcy5rQGdtYWlsLmNvbS4mI3hEOzNyZCBEZXBh
cnRtZW50IG9mIENsaW5pY2FsIE9uY29sb2d5LCBUaGVhZ2VuaW9uIENhbmNlciBIb3NwaXRhbCwg
VGhlc3NhbG9uaWtpLCBHcmVlY2UuJiN4RDtEZXBhcnRtZW50IG9mIE1lZGljYWwgT25jb2xvZ3ks
IFVuaXZlcnNpdHkgSG9zcGl0YWwgb2YgSGVyYWtsaW9uLCBhbmQgTWVkaWNhbCBTY2hvb2wsIFVu
aXZlcnNpdHkgb2YgQ3JldGUsIEhlcmFrbGlvbiwgQ3JldGUsIEdyZWVjZS4mI3hEOyZxdW90O01p
dGVyYSZxdW90OyBIb3NwaXRhbCwgQXRoZW5zLCBHcmVlY2UuJiN4RDsybmQgRGVwYXJ0bWVudCBv
ZiBVcm9sb2d5LCBTaXNtYW5vZ2xpbyBIb3NwaXRhbCwgU2Nob29sIG9mIE1lZGljaW5lLCBVbml2
ZXJzaXR5IG9mIEF0aGVucywgQXRoZW5zLCBHcmVlY2UuJiN4RDtEZXBhcnRtZW50IG9mIFVyb2xv
Z3ksIEF0aGVucyBVbml2ZXJzaXR5IE1lZGljYWwgU2Nob29sLCBMYWlrbyBIb3NwaXRhbCwgQXRo
ZW5zLCBHcmVlY2UuJiN4RDtEZXBhcnRtZW50IG9mIE1lZGljYWwgT25jb2xvZ3ksIEdlbmVyYWwg
SG9zcGl0YWwgb2YgQ2hhbmlhLCBDaGFuaWEsIEdyZWVjZS4mI3hEOyZxdW90O0xlZmtvcyBTdGF2
cm9zJnF1b3Q7IEhvc3BpdGFsLCBBdGhlbnMsIEdyZWVjZS4mI3hEO0RlcGFydG1lbnQgb2YgTWVk
aWNhbCBPbmNvbG9neSwgVmVuaXplbGlvIEhvc3BpdGFsLCBIZXJha2xpb24sIEdyZWVjZS4mI3hE
O01lZGljYWwgT25jb2xvZ3kgRGVwYXJ0bWVudCwgMjUxIEdlbmVyYWwgQWlyIEZvcmNlIEhvc3Bp
dGFsLCBBdGhlbnMsIEdyZWVjZS48L2F1dGgtYWRkcmVzcz48dGl0bGVzPjx0aXRsZT5VdGlsaXph
dGlvbiBvZiBTeXN0ZW1pYyBDaGVtb3RoZXJhcHkgaW4gQWR2YW5jZWQgVXJvdGhlbGlhbCBDYW5j
ZXI6IEEgUmV0cm9zcGVjdGl2ZSBDb2xsYWJvcmF0aXZlIFN0dWR5IGJ5IHRoZSBIZWxsZW5pYyBH
ZW5pdG91cmluYXJ5IENhbmNlciBHcm91cCAoSEdVQ0cpPC90aXRsZT48c2Vjb25kYXJ5LXRpdGxl
PkNsaW4gR2VuaXRvdXJpbiBDYW5jZXI8L3NlY29uZGFyeS10aXRsZT48YWx0LXRpdGxlPkNsaW5p
Y2FsIGdlbml0b3VyaW5hcnkgY2FuY2VyPC9hbHQtdGl0bGU+PC90aXRsZXM+PHBlcmlvZGljYWw+
PGZ1bGwtdGl0bGU+Q2xpbiBHZW5pdG91cmluIENhbmNlcjwvZnVsbC10aXRsZT48L3BlcmlvZGlj
YWw+PGFsdC1wZXJpb2RpY2FsPjxmdWxsLXRpdGxlPkNsaW5pY2FsIGdlbml0b3VyaW5hcnkgY2Fu
Y2VyPC9mdWxsLXRpdGxlPjwvYWx0LXBlcmlvZGljYWw+PHBhZ2VzPmUxNTMtOTwvcGFnZXM+PHZv
bHVtZT4xNDwvdm9sdW1lPjxudW1iZXI+MjwvbnVtYmVyPjxkYXRlcz48eWVhcj4yMDE2PC95ZWFy
PjxwdWItZGF0ZXM+PGRhdGU+QXByPC9kYXRlPjwvcHViLWRhdGVzPjwvZGF0ZXM+PGlzYm4+MTkz
OC0wNjgyIChFbGVjdHJvbmljKSYjeEQ7MTU1OC03NjczIChMaW5raW5nKTwvaXNibj48YWNjZXNz
aW9uLW51bT4yNjQzNzkwOTwvYWNjZXNzaW9uLW51bT48dXJscz48cmVsYXRlZC11cmxzPjx1cmw+
aHR0cDovL3d3dy5uY2JpLm5sbS5uaWguZ292L3B1Ym1lZC8yNjQzNzkwOTwvdXJsPjwvcmVsYXRl
ZC11cmxzPjwvdXJscz48ZWxlY3Ryb25pYy1yZXNvdXJjZS1udW0+MTAuMTAxNi9qLmNsZ2MuMjAx
NS4wOS4wMDk8L2VsZWN0cm9uaWMtcmVzb3VyY2UtbnVtPjwvcmVjb3JkPjwvQ2l0ZT48L0VuZE5v
dGU+AG==
</w:fldData>
          </w:fldChar>
        </w:r>
        <w:r w:rsidR="008822D4" w:rsidRPr="00BF7B7C">
          <w:rPr>
            <w:rFonts w:ascii="Arial" w:hAnsi="Arial" w:cs="Arial"/>
            <w:color w:val="000000"/>
            <w:lang w:val="en-GB"/>
          </w:rPr>
          <w:instrText xml:space="preserve"> ADDIN EN.CITE </w:instrText>
        </w:r>
        <w:r w:rsidR="00224D48" w:rsidRPr="00BF7B7C">
          <w:rPr>
            <w:rFonts w:ascii="Arial" w:hAnsi="Arial" w:cs="Arial"/>
            <w:color w:val="000000"/>
            <w:lang w:val="en-GB"/>
          </w:rPr>
          <w:fldChar w:fldCharType="begin">
            <w:fldData xml:space="preserve">PEVuZE5vdGU+PENpdGU+PEF1dGhvcj5CYW1pYXM8L0F1dGhvcj48WWVhcj4yMDE2PC9ZZWFyPjxS
ZWNOdW0+NDc2MzwvUmVjTnVtPjxEaXNwbGF5VGV4dD48c3R5bGUgZmFjZT0ic3VwZXJzY3JpcHQi
PjEwPC9zdHlsZT48L0Rpc3BsYXlUZXh0PjxyZWNvcmQ+PHJlYy1udW1iZXI+NDc2MzwvcmVjLW51
bWJlcj48Zm9yZWlnbi1rZXlzPjxrZXkgYXBwPSJFTiIgZGItaWQ9IjJ3eGFzMGFmYXphMnJvZWR6
YTlwMGFzaDlmc3JkMnphZnQ1ZiI+NDc2Mzwva2V5PjwvZm9yZWlnbi1rZXlzPjxyZWYtdHlwZSBu
YW1lPSJKb3VybmFsIEFydGljbGUiPjE3PC9yZWYtdHlwZT48Y29udHJpYnV0b3JzPjxhdXRob3Jz
PjxhdXRob3I+QmFtaWFzLCBBLjwvYXV0aG9yPjxhdXRob3I+UGVyb3VraWRpcywgUy48L2F1dGhv
cj48YXV0aG9yPlN0YW1hdG9wb3Vsb3UsIFMuPC9hdXRob3I+PGF1dGhvcj5UemFubmlzLCBLLjwv
YXV0aG9yPjxhdXRob3I+S291dHNvdWtvcywgSy48L2F1dGhvcj48YXV0aG9yPkFuZHJlYWRpcywg
Qy48L2F1dGhvcj48YXV0aG9yPkJvemlvbmVsb3UsIFYuPC9hdXRob3I+PGF1dGhvcj5QaXN0YWxt
YXR6aWFuLCBOLjwvYXV0aG9yPjxhdXRob3I+UGFwYXRzb3JpcywgQS48L2F1dGhvcj48YXV0aG9y
PlN0cmF2b2RpbW9zLCBLLjwvYXV0aG9yPjxhdXRob3I+VmFydGhhbGl0aXMsIEkuPC9hdXRob3I+
PGF1dGhvcj5LYXJhbW91emlzLCBNLjwvYXV0aG9yPjxhdXRob3I+TWlsYWtpLCBHLjwvYXV0aG9y
PjxhdXRob3I+QWdvcmFzdG9zLCBBLjwvYXV0aG9yPjxhdXRob3I+S2VudGVwb3ppZGlzLCBOLjwv
YXV0aG9yPjxhdXRob3I+QW5kcm91bGFraXMsIE4uPC9hdXRob3I+PGF1dGhvcj5Cb21wb2xha2ks
IEkuPC9hdXRob3I+PGF1dGhvcj5LYWxvZm9ub3MsIEguPC9hdXRob3I+PGF1dGhvcj5NYXZyb3Vk
aXMsIEQuPC9hdXRob3I+PGF1dGhvcj5EaW1vcG91bG9zLCBNLiBBLjwvYXV0aG9yPjwvYXV0aG9y
cz48L2NvbnRyaWJ1dG9ycz48YXV0aC1hZGRyZXNzPkRlcGFydG1lbnQgb2YgQ2xpbmljYWwgVGhl
cmFwZXV0aWNzLCBVbml2ZXJzaXR5IG9mIEF0aGVucywgQXRoZW5zLCBHcmVlY2UuJiN4RDtEaXZp
c2lvbiBvZiBPbmNvbG9neSwgRGVwYXJ0bWVudCBvZiBNZWRpY2luZSwgVW5pdmVyc2l0eSBIb3Nw
aXRhbCwgVW5pdmVyc2l0eSBvZiBQYXRyYXMgTWVkaWNhbCBTY2hvb2wsIFBhdHJhcywgR3JlZWNl
LiYjeEQ7MXN0IERlcGFydG1lbnQgb2YgTWVkaWNhbCBPbmNvbG9neSwgJnF1b3Q7QWdpb3MgU2F2
dmFzJnF1b3Q7IEhvc3BpdGFsLCBBdGhlbnMsIEdyZWVjZS4mI3hEO0RlcGFydG1lbnQgb2YgQ2xp
bmljYWwgVGhlcmFwZXV0aWNzLCBVbml2ZXJzaXR5IG9mIEF0aGVucywgQXRoZW5zLCBHcmVlY2Uu
IEVsZWN0cm9uaWMgYWRkcmVzczoga291dHNvdWtvcy5rQGdtYWlsLmNvbS4mI3hEOzNyZCBEZXBh
cnRtZW50IG9mIENsaW5pY2FsIE9uY29sb2d5LCBUaGVhZ2VuaW9uIENhbmNlciBIb3NwaXRhbCwg
VGhlc3NhbG9uaWtpLCBHcmVlY2UuJiN4RDtEZXBhcnRtZW50IG9mIE1lZGljYWwgT25jb2xvZ3ks
IFVuaXZlcnNpdHkgSG9zcGl0YWwgb2YgSGVyYWtsaW9uLCBhbmQgTWVkaWNhbCBTY2hvb2wsIFVu
aXZlcnNpdHkgb2YgQ3JldGUsIEhlcmFrbGlvbiwgQ3JldGUsIEdyZWVjZS4mI3hEOyZxdW90O01p
dGVyYSZxdW90OyBIb3NwaXRhbCwgQXRoZW5zLCBHcmVlY2UuJiN4RDsybmQgRGVwYXJ0bWVudCBv
ZiBVcm9sb2d5LCBTaXNtYW5vZ2xpbyBIb3NwaXRhbCwgU2Nob29sIG9mIE1lZGljaW5lLCBVbml2
ZXJzaXR5IG9mIEF0aGVucywgQXRoZW5zLCBHcmVlY2UuJiN4RDtEZXBhcnRtZW50IG9mIFVyb2xv
Z3ksIEF0aGVucyBVbml2ZXJzaXR5IE1lZGljYWwgU2Nob29sLCBMYWlrbyBIb3NwaXRhbCwgQXRo
ZW5zLCBHcmVlY2UuJiN4RDtEZXBhcnRtZW50IG9mIE1lZGljYWwgT25jb2xvZ3ksIEdlbmVyYWwg
SG9zcGl0YWwgb2YgQ2hhbmlhLCBDaGFuaWEsIEdyZWVjZS4mI3hEOyZxdW90O0xlZmtvcyBTdGF2
cm9zJnF1b3Q7IEhvc3BpdGFsLCBBdGhlbnMsIEdyZWVjZS4mI3hEO0RlcGFydG1lbnQgb2YgTWVk
aWNhbCBPbmNvbG9neSwgVmVuaXplbGlvIEhvc3BpdGFsLCBIZXJha2xpb24sIEdyZWVjZS4mI3hE
O01lZGljYWwgT25jb2xvZ3kgRGVwYXJ0bWVudCwgMjUxIEdlbmVyYWwgQWlyIEZvcmNlIEhvc3Bp
dGFsLCBBdGhlbnMsIEdyZWVjZS48L2F1dGgtYWRkcmVzcz48dGl0bGVzPjx0aXRsZT5VdGlsaXph
dGlvbiBvZiBTeXN0ZW1pYyBDaGVtb3RoZXJhcHkgaW4gQWR2YW5jZWQgVXJvdGhlbGlhbCBDYW5j
ZXI6IEEgUmV0cm9zcGVjdGl2ZSBDb2xsYWJvcmF0aXZlIFN0dWR5IGJ5IHRoZSBIZWxsZW5pYyBH
ZW5pdG91cmluYXJ5IENhbmNlciBHcm91cCAoSEdVQ0cpPC90aXRsZT48c2Vjb25kYXJ5LXRpdGxl
PkNsaW4gR2VuaXRvdXJpbiBDYW5jZXI8L3NlY29uZGFyeS10aXRsZT48YWx0LXRpdGxlPkNsaW5p
Y2FsIGdlbml0b3VyaW5hcnkgY2FuY2VyPC9hbHQtdGl0bGU+PC90aXRsZXM+PHBlcmlvZGljYWw+
PGZ1bGwtdGl0bGU+Q2xpbiBHZW5pdG91cmluIENhbmNlcjwvZnVsbC10aXRsZT48L3BlcmlvZGlj
YWw+PGFsdC1wZXJpb2RpY2FsPjxmdWxsLXRpdGxlPkNsaW5pY2FsIGdlbml0b3VyaW5hcnkgY2Fu
Y2VyPC9mdWxsLXRpdGxlPjwvYWx0LXBlcmlvZGljYWw+PHBhZ2VzPmUxNTMtOTwvcGFnZXM+PHZv
bHVtZT4xNDwvdm9sdW1lPjxudW1iZXI+MjwvbnVtYmVyPjxkYXRlcz48eWVhcj4yMDE2PC95ZWFy
PjxwdWItZGF0ZXM+PGRhdGU+QXByPC9kYXRlPjwvcHViLWRhdGVzPjwvZGF0ZXM+PGlzYm4+MTkz
OC0wNjgyIChFbGVjdHJvbmljKSYjeEQ7MTU1OC03NjczIChMaW5raW5nKTwvaXNibj48YWNjZXNz
aW9uLW51bT4yNjQzNzkwOTwvYWNjZXNzaW9uLW51bT48dXJscz48cmVsYXRlZC11cmxzPjx1cmw+
aHR0cDovL3d3dy5uY2JpLm5sbS5uaWguZ292L3B1Ym1lZC8yNjQzNzkwOTwvdXJsPjwvcmVsYXRl
ZC11cmxzPjwvdXJscz48ZWxlY3Ryb25pYy1yZXNvdXJjZS1udW0+MTAuMTAxNi9qLmNsZ2MuMjAx
NS4wOS4wMDk8L2VsZWN0cm9uaWMtcmVzb3VyY2UtbnVtPjwvcmVjb3JkPjwvQ2l0ZT48L0VuZE5v
dGU+AG==
</w:fldData>
          </w:fldChar>
        </w:r>
        <w:r w:rsidR="008822D4" w:rsidRPr="00BF7B7C">
          <w:rPr>
            <w:rFonts w:ascii="Arial" w:hAnsi="Arial" w:cs="Arial"/>
            <w:color w:val="000000"/>
            <w:lang w:val="en-GB"/>
          </w:rPr>
          <w:instrText xml:space="preserve"> ADDIN EN.CITE.DATA </w:instrText>
        </w:r>
        <w:r w:rsidR="00224D48" w:rsidRPr="00BF7B7C">
          <w:rPr>
            <w:rFonts w:ascii="Arial" w:hAnsi="Arial" w:cs="Arial"/>
            <w:color w:val="000000"/>
            <w:lang w:val="en-GB"/>
          </w:rPr>
        </w:r>
        <w:r w:rsidR="00224D48" w:rsidRPr="00BF7B7C">
          <w:rPr>
            <w:rFonts w:ascii="Arial" w:hAnsi="Arial" w:cs="Arial"/>
            <w:color w:val="000000"/>
            <w:lang w:val="en-GB"/>
          </w:rPr>
          <w:fldChar w:fldCharType="end"/>
        </w:r>
        <w:r w:rsidR="00224D48" w:rsidRPr="00BF7B7C">
          <w:rPr>
            <w:rFonts w:ascii="Arial" w:hAnsi="Arial" w:cs="Arial"/>
            <w:color w:val="000000"/>
            <w:lang w:val="en-GB"/>
          </w:rPr>
        </w:r>
        <w:r w:rsidR="00224D48" w:rsidRPr="00BF7B7C">
          <w:rPr>
            <w:rFonts w:ascii="Arial" w:hAnsi="Arial" w:cs="Arial"/>
            <w:color w:val="000000"/>
            <w:lang w:val="en-GB"/>
          </w:rPr>
          <w:fldChar w:fldCharType="separate"/>
        </w:r>
        <w:r w:rsidR="008822D4" w:rsidRPr="00BF7B7C">
          <w:rPr>
            <w:rFonts w:ascii="Arial" w:hAnsi="Arial" w:cs="Arial"/>
            <w:noProof/>
            <w:color w:val="000000"/>
            <w:vertAlign w:val="superscript"/>
            <w:lang w:val="en-GB"/>
          </w:rPr>
          <w:t>10</w:t>
        </w:r>
        <w:r w:rsidR="00224D48" w:rsidRPr="00BF7B7C">
          <w:rPr>
            <w:rFonts w:ascii="Arial" w:hAnsi="Arial" w:cs="Arial"/>
            <w:color w:val="000000"/>
            <w:lang w:val="en-GB"/>
          </w:rPr>
          <w:fldChar w:fldCharType="end"/>
        </w:r>
      </w:hyperlink>
      <w:r w:rsidRPr="00BF7B7C">
        <w:rPr>
          <w:rFonts w:ascii="Arial" w:hAnsi="Arial" w:cs="Arial"/>
          <w:color w:val="000000"/>
          <w:lang w:val="en-GB"/>
        </w:rPr>
        <w:t xml:space="preserve"> The effect of deviations from the</w:t>
      </w:r>
      <w:r w:rsidR="00B019D7">
        <w:rPr>
          <w:rFonts w:ascii="Arial" w:hAnsi="Arial" w:cs="Arial"/>
          <w:color w:val="000000"/>
          <w:lang w:val="en-GB"/>
        </w:rPr>
        <w:t>se</w:t>
      </w:r>
      <w:r w:rsidRPr="00BF7B7C">
        <w:rPr>
          <w:rFonts w:ascii="Arial" w:hAnsi="Arial" w:cs="Arial"/>
          <w:color w:val="000000"/>
          <w:lang w:val="en-GB"/>
        </w:rPr>
        <w:t xml:space="preserve"> criteria </w:t>
      </w:r>
      <w:r w:rsidR="00B019D7">
        <w:rPr>
          <w:rFonts w:ascii="Arial" w:hAnsi="Arial" w:cs="Arial"/>
          <w:color w:val="000000"/>
          <w:lang w:val="en-GB"/>
        </w:rPr>
        <w:t>on patients’</w:t>
      </w:r>
      <w:r w:rsidRPr="00BF7B7C">
        <w:rPr>
          <w:rFonts w:ascii="Arial" w:hAnsi="Arial" w:cs="Arial"/>
          <w:color w:val="000000"/>
          <w:lang w:val="en-GB"/>
        </w:rPr>
        <w:t xml:space="preserve"> outcome</w:t>
      </w:r>
      <w:r w:rsidR="00B019D7">
        <w:rPr>
          <w:rFonts w:ascii="Arial" w:hAnsi="Arial" w:cs="Arial"/>
          <w:color w:val="000000"/>
          <w:lang w:val="en-GB"/>
        </w:rPr>
        <w:t xml:space="preserve">s </w:t>
      </w:r>
      <w:r w:rsidRPr="00BF7B7C">
        <w:rPr>
          <w:rFonts w:ascii="Arial" w:hAnsi="Arial" w:cs="Arial"/>
          <w:color w:val="000000"/>
          <w:lang w:val="en-GB"/>
        </w:rPr>
        <w:t>remains unknown.</w:t>
      </w:r>
    </w:p>
    <w:p w14:paraId="0E08A055" w14:textId="0E8A1D18" w:rsidR="00C7598C" w:rsidRPr="00BF7B7C" w:rsidRDefault="00C7598C">
      <w:pPr>
        <w:autoSpaceDE w:val="0"/>
        <w:autoSpaceDN w:val="0"/>
        <w:adjustRightInd w:val="0"/>
        <w:spacing w:line="480" w:lineRule="auto"/>
        <w:jc w:val="both"/>
        <w:rPr>
          <w:rFonts w:ascii="Arial" w:hAnsi="Arial" w:cs="Arial"/>
          <w:color w:val="000000"/>
          <w:lang w:val="en-US"/>
        </w:rPr>
      </w:pPr>
      <w:r w:rsidRPr="00BF7B7C">
        <w:rPr>
          <w:rFonts w:ascii="Arial" w:hAnsi="Arial" w:cs="Arial"/>
          <w:color w:val="000000"/>
          <w:lang w:val="en-GB"/>
        </w:rPr>
        <w:t>We attempted to map the different practice patterns in a</w:t>
      </w:r>
      <w:r w:rsidR="00ED2968" w:rsidRPr="00BF7B7C">
        <w:rPr>
          <w:rFonts w:ascii="Arial" w:hAnsi="Arial" w:cs="Arial"/>
          <w:color w:val="000000"/>
          <w:lang w:val="en-GB"/>
        </w:rPr>
        <w:t>UT</w:t>
      </w:r>
      <w:r w:rsidR="00B051F8" w:rsidRPr="00D67148">
        <w:rPr>
          <w:rFonts w:ascii="Arial" w:hAnsi="Arial" w:cs="Arial"/>
          <w:color w:val="000000"/>
          <w:lang w:val="en-US"/>
        </w:rPr>
        <w:t>C</w:t>
      </w:r>
      <w:r w:rsidRPr="00BF7B7C">
        <w:rPr>
          <w:rFonts w:ascii="Arial" w:hAnsi="Arial" w:cs="Arial"/>
          <w:color w:val="000000"/>
          <w:lang w:val="en-GB"/>
        </w:rPr>
        <w:t xml:space="preserve"> and the reasons behind those practices as well as the</w:t>
      </w:r>
      <w:r w:rsidR="00197E77">
        <w:rPr>
          <w:rFonts w:ascii="Arial" w:hAnsi="Arial" w:cs="Arial"/>
          <w:color w:val="000000"/>
          <w:lang w:val="en-GB"/>
        </w:rPr>
        <w:t>ir</w:t>
      </w:r>
      <w:r w:rsidRPr="00BF7B7C">
        <w:rPr>
          <w:rFonts w:ascii="Arial" w:hAnsi="Arial" w:cs="Arial"/>
          <w:color w:val="000000"/>
          <w:lang w:val="en-GB"/>
        </w:rPr>
        <w:t xml:space="preserve"> impact on </w:t>
      </w:r>
      <w:r w:rsidR="00ED2968" w:rsidRPr="00BF7B7C">
        <w:rPr>
          <w:rFonts w:ascii="Arial" w:hAnsi="Arial" w:cs="Arial"/>
          <w:color w:val="000000"/>
          <w:lang w:val="en-GB"/>
        </w:rPr>
        <w:t xml:space="preserve">patient </w:t>
      </w:r>
      <w:r w:rsidRPr="00BF7B7C">
        <w:rPr>
          <w:rFonts w:ascii="Arial" w:hAnsi="Arial" w:cs="Arial"/>
          <w:color w:val="000000"/>
          <w:lang w:val="en-GB"/>
        </w:rPr>
        <w:t>outcome</w:t>
      </w:r>
      <w:r w:rsidR="00B019D7">
        <w:rPr>
          <w:rFonts w:ascii="Arial" w:hAnsi="Arial" w:cs="Arial"/>
          <w:color w:val="000000"/>
          <w:lang w:val="en-GB"/>
        </w:rPr>
        <w:t>s</w:t>
      </w:r>
      <w:r w:rsidRPr="00BF7B7C">
        <w:rPr>
          <w:rFonts w:ascii="Arial" w:hAnsi="Arial" w:cs="Arial"/>
          <w:color w:val="000000"/>
          <w:lang w:val="en-GB"/>
        </w:rPr>
        <w:t xml:space="preserve">. We used the </w:t>
      </w:r>
      <w:r w:rsidRPr="00BF7B7C">
        <w:rPr>
          <w:rFonts w:ascii="Arial" w:hAnsi="Arial" w:cs="Arial"/>
          <w:color w:val="000000"/>
          <w:shd w:val="clear" w:color="auto" w:fill="FFFFFF"/>
          <w:lang w:val="en-US"/>
        </w:rPr>
        <w:t xml:space="preserve">Retrospective International Study of Cancers of the Urothelium (RISC) database, the largest </w:t>
      </w:r>
      <w:r w:rsidR="001433F6">
        <w:rPr>
          <w:rFonts w:ascii="Arial" w:hAnsi="Arial" w:cs="Arial"/>
          <w:color w:val="000000"/>
          <w:shd w:val="clear" w:color="auto" w:fill="FFFFFF"/>
          <w:lang w:val="en-US"/>
        </w:rPr>
        <w:t xml:space="preserve">multinational </w:t>
      </w:r>
      <w:r w:rsidRPr="00BF7B7C">
        <w:rPr>
          <w:rFonts w:ascii="Arial" w:hAnsi="Arial" w:cs="Arial"/>
          <w:color w:val="000000"/>
          <w:shd w:val="clear" w:color="auto" w:fill="FFFFFF"/>
          <w:lang w:val="en-US"/>
        </w:rPr>
        <w:t xml:space="preserve">database of </w:t>
      </w:r>
      <w:r w:rsidR="001433F6">
        <w:rPr>
          <w:rFonts w:ascii="Arial" w:hAnsi="Arial" w:cs="Arial"/>
          <w:color w:val="000000"/>
          <w:shd w:val="clear" w:color="auto" w:fill="FFFFFF"/>
          <w:lang w:val="en-US"/>
        </w:rPr>
        <w:t>UTC</w:t>
      </w:r>
      <w:r w:rsidRPr="00BF7B7C">
        <w:rPr>
          <w:rFonts w:ascii="Arial" w:hAnsi="Arial" w:cs="Arial"/>
          <w:color w:val="000000"/>
          <w:shd w:val="clear" w:color="auto" w:fill="FFFFFF"/>
          <w:lang w:val="en-US"/>
        </w:rPr>
        <w:t xml:space="preserve"> patients worldwide. This database includes data from </w:t>
      </w:r>
      <w:r w:rsidRPr="00BF7B7C">
        <w:rPr>
          <w:rFonts w:ascii="Arial" w:hAnsi="Arial" w:cs="Arial"/>
          <w:color w:val="000000"/>
          <w:shd w:val="clear" w:color="auto" w:fill="FFFFFF"/>
          <w:lang w:val="it-IT"/>
        </w:rPr>
        <w:t>hospitals in the United States, Europe, Israel and Canada</w:t>
      </w:r>
      <w:r w:rsidRPr="00BF7B7C">
        <w:rPr>
          <w:rFonts w:ascii="Arial" w:hAnsi="Arial" w:cs="Arial"/>
          <w:color w:val="000000"/>
          <w:shd w:val="clear" w:color="auto" w:fill="FFFFFF"/>
          <w:lang w:val="en-US"/>
        </w:rPr>
        <w:t xml:space="preserve"> thus ensuring an adequately wide representation of contemporary trends in the treatment of</w:t>
      </w:r>
      <w:r w:rsidR="001433F6">
        <w:rPr>
          <w:rFonts w:ascii="Arial" w:hAnsi="Arial" w:cs="Arial"/>
          <w:color w:val="000000"/>
          <w:shd w:val="clear" w:color="auto" w:fill="FFFFFF"/>
          <w:lang w:val="en-US"/>
        </w:rPr>
        <w:t xml:space="preserve"> UTC</w:t>
      </w:r>
      <w:r w:rsidRPr="00BF7B7C">
        <w:rPr>
          <w:rFonts w:ascii="Arial" w:hAnsi="Arial" w:cs="Arial"/>
          <w:color w:val="000000"/>
          <w:shd w:val="clear" w:color="auto" w:fill="FFFFFF"/>
          <w:lang w:val="en-US"/>
        </w:rPr>
        <w:t>.</w:t>
      </w:r>
    </w:p>
    <w:p w14:paraId="7BFB8FAD" w14:textId="77777777" w:rsidR="00C7598C" w:rsidRPr="00BF7B7C" w:rsidRDefault="00C7598C">
      <w:pPr>
        <w:autoSpaceDE w:val="0"/>
        <w:autoSpaceDN w:val="0"/>
        <w:adjustRightInd w:val="0"/>
        <w:spacing w:line="480" w:lineRule="auto"/>
        <w:jc w:val="both"/>
        <w:rPr>
          <w:rFonts w:ascii="Arial" w:hAnsi="Arial" w:cs="Arial"/>
          <w:color w:val="000000"/>
          <w:lang w:val="en-GB"/>
        </w:rPr>
      </w:pPr>
    </w:p>
    <w:p w14:paraId="7CC3E5E4" w14:textId="77777777" w:rsidR="00C7598C" w:rsidRPr="00BF7B7C" w:rsidRDefault="00C7598C">
      <w:pPr>
        <w:autoSpaceDE w:val="0"/>
        <w:autoSpaceDN w:val="0"/>
        <w:adjustRightInd w:val="0"/>
        <w:spacing w:line="480" w:lineRule="auto"/>
        <w:jc w:val="both"/>
        <w:rPr>
          <w:rFonts w:ascii="Arial" w:hAnsi="Arial" w:cs="Arial"/>
          <w:color w:val="000000"/>
          <w:lang w:val="en-GB"/>
        </w:rPr>
      </w:pPr>
      <w:r w:rsidRPr="00BF7B7C">
        <w:rPr>
          <w:rFonts w:ascii="Arial" w:hAnsi="Arial" w:cs="Arial"/>
          <w:b/>
          <w:bCs/>
          <w:color w:val="000000"/>
          <w:lang w:val="en-GB"/>
        </w:rPr>
        <w:t>Patients and methods</w:t>
      </w:r>
    </w:p>
    <w:p w14:paraId="02575A63" w14:textId="77777777" w:rsidR="00C7598C" w:rsidRPr="00BF7B7C" w:rsidRDefault="00C7598C">
      <w:pPr>
        <w:spacing w:line="480" w:lineRule="auto"/>
        <w:jc w:val="both"/>
        <w:rPr>
          <w:rFonts w:ascii="Arial" w:hAnsi="Arial" w:cs="Arial"/>
          <w:i/>
          <w:lang w:val="en-US"/>
        </w:rPr>
      </w:pPr>
      <w:r w:rsidRPr="00BF7B7C">
        <w:rPr>
          <w:rFonts w:ascii="Arial" w:hAnsi="Arial" w:cs="Arial"/>
          <w:i/>
          <w:lang w:val="en-US"/>
        </w:rPr>
        <w:t>Patients</w:t>
      </w:r>
    </w:p>
    <w:p w14:paraId="6C33337F" w14:textId="728B23DB" w:rsidR="00C7598C" w:rsidRPr="00BF7B7C" w:rsidRDefault="00C7598C" w:rsidP="009410B8">
      <w:pPr>
        <w:spacing w:line="480" w:lineRule="auto"/>
        <w:jc w:val="both"/>
        <w:rPr>
          <w:rFonts w:ascii="Arial" w:hAnsi="Arial" w:cs="Arial"/>
          <w:color w:val="000000"/>
          <w:lang w:val="it-IT"/>
        </w:rPr>
      </w:pPr>
      <w:r w:rsidRPr="00BF7B7C">
        <w:rPr>
          <w:rFonts w:ascii="Arial" w:hAnsi="Arial" w:cs="Arial"/>
          <w:lang w:val="en-US"/>
        </w:rPr>
        <w:t>Th</w:t>
      </w:r>
      <w:r w:rsidR="009410B8">
        <w:rPr>
          <w:rFonts w:ascii="Arial" w:hAnsi="Arial" w:cs="Arial"/>
          <w:lang w:val="en-US"/>
        </w:rPr>
        <w:t>e RISC database includes</w:t>
      </w:r>
      <w:r w:rsidRPr="00BF7B7C">
        <w:rPr>
          <w:rFonts w:ascii="Arial" w:hAnsi="Arial" w:cs="Arial"/>
          <w:lang w:val="en-US"/>
        </w:rPr>
        <w:t xml:space="preserve"> patients with loca</w:t>
      </w:r>
      <w:r w:rsidR="003E2167" w:rsidRPr="00BF7B7C">
        <w:rPr>
          <w:rFonts w:ascii="Arial" w:hAnsi="Arial" w:cs="Arial"/>
          <w:lang w:val="en-US"/>
        </w:rPr>
        <w:t xml:space="preserve">lized muscle-invasive or </w:t>
      </w:r>
      <w:r w:rsidR="00B051F8" w:rsidRPr="00D67148">
        <w:rPr>
          <w:rFonts w:ascii="Arial" w:hAnsi="Arial" w:cs="Arial"/>
          <w:lang w:val="en-US"/>
        </w:rPr>
        <w:t xml:space="preserve">advanced </w:t>
      </w:r>
      <w:r w:rsidR="00636BE0" w:rsidRPr="00BF7B7C">
        <w:rPr>
          <w:rFonts w:ascii="Arial" w:hAnsi="Arial" w:cs="Arial"/>
          <w:lang w:val="en-US"/>
        </w:rPr>
        <w:t>UT</w:t>
      </w:r>
      <w:r w:rsidR="00D67148">
        <w:rPr>
          <w:rFonts w:ascii="Arial" w:hAnsi="Arial" w:cs="Arial"/>
          <w:lang w:val="en-US"/>
        </w:rPr>
        <w:t>C</w:t>
      </w:r>
      <w:r w:rsidR="004447D0" w:rsidRPr="004447D0">
        <w:rPr>
          <w:lang w:val="en-US"/>
        </w:rPr>
        <w:t xml:space="preserve"> </w:t>
      </w:r>
      <w:r w:rsidR="004447D0">
        <w:rPr>
          <w:lang w:val="en-US"/>
        </w:rPr>
        <w:t>(</w:t>
      </w:r>
      <w:r w:rsidR="004447D0" w:rsidRPr="004447D0">
        <w:rPr>
          <w:rFonts w:ascii="Arial" w:hAnsi="Arial" w:cs="Arial"/>
          <w:lang w:val="en-US"/>
        </w:rPr>
        <w:t xml:space="preserve">defined as primary carcinoma of the urinary bladder, </w:t>
      </w:r>
      <w:r w:rsidR="004447D0">
        <w:rPr>
          <w:rFonts w:ascii="Arial" w:hAnsi="Arial" w:cs="Arial"/>
          <w:lang w:val="en-US"/>
        </w:rPr>
        <w:t>renal pelvis, ureter or urethra)</w:t>
      </w:r>
      <w:r w:rsidRPr="00BF7B7C">
        <w:rPr>
          <w:rFonts w:ascii="Arial" w:hAnsi="Arial" w:cs="Arial"/>
          <w:lang w:val="en-US"/>
        </w:rPr>
        <w:t>.</w:t>
      </w:r>
      <w:r w:rsidR="000316D8" w:rsidRPr="002B636C">
        <w:rPr>
          <w:rFonts w:ascii="Arial" w:hAnsi="Arial" w:cs="Arial"/>
          <w:vertAlign w:val="superscript"/>
          <w:lang w:val="en-US"/>
        </w:rPr>
        <w:t>11-13</w:t>
      </w:r>
      <w:r w:rsidRPr="00BF7B7C">
        <w:rPr>
          <w:rFonts w:ascii="Arial" w:hAnsi="Arial" w:cs="Arial"/>
          <w:lang w:val="en-US"/>
        </w:rPr>
        <w:t xml:space="preserve"> </w:t>
      </w:r>
      <w:r w:rsidR="007F0C3D">
        <w:rPr>
          <w:rFonts w:ascii="Arial" w:hAnsi="Arial" w:cs="Arial"/>
          <w:lang w:val="en-US"/>
        </w:rPr>
        <w:t xml:space="preserve">Data </w:t>
      </w:r>
      <w:r w:rsidR="007F0C3D" w:rsidRPr="007F0C3D">
        <w:rPr>
          <w:rFonts w:ascii="Arial" w:hAnsi="Arial" w:cs="Arial"/>
          <w:lang w:val="en-US"/>
        </w:rPr>
        <w:t>were collected using a web-based</w:t>
      </w:r>
      <w:r w:rsidR="007F0C3D">
        <w:rPr>
          <w:rFonts w:ascii="Arial" w:hAnsi="Arial" w:cs="Arial"/>
          <w:lang w:val="en-US"/>
        </w:rPr>
        <w:t xml:space="preserve"> electronic data capture tool. D</w:t>
      </w:r>
      <w:r w:rsidR="007F0C3D" w:rsidRPr="007F0C3D">
        <w:rPr>
          <w:rFonts w:ascii="Arial" w:hAnsi="Arial" w:cs="Arial"/>
          <w:lang w:val="en-US"/>
        </w:rPr>
        <w:t>ata field</w:t>
      </w:r>
      <w:r w:rsidR="007F0C3D">
        <w:rPr>
          <w:rFonts w:ascii="Arial" w:hAnsi="Arial" w:cs="Arial"/>
          <w:lang w:val="en-US"/>
        </w:rPr>
        <w:t>s</w:t>
      </w:r>
      <w:r w:rsidR="007F0C3D" w:rsidRPr="007F0C3D">
        <w:rPr>
          <w:rFonts w:ascii="Arial" w:hAnsi="Arial" w:cs="Arial"/>
          <w:lang w:val="en-US"/>
        </w:rPr>
        <w:t xml:space="preserve"> </w:t>
      </w:r>
      <w:r w:rsidR="007F0C3D">
        <w:rPr>
          <w:rFonts w:ascii="Arial" w:hAnsi="Arial" w:cs="Arial"/>
          <w:lang w:val="en-US"/>
        </w:rPr>
        <w:t>were centrally</w:t>
      </w:r>
      <w:r w:rsidR="007F0C3D" w:rsidRPr="007F0C3D">
        <w:rPr>
          <w:rFonts w:ascii="Arial" w:hAnsi="Arial" w:cs="Arial"/>
          <w:lang w:val="en-US"/>
        </w:rPr>
        <w:t xml:space="preserve"> reviewed and queries were subsequently completed by each participating site. </w:t>
      </w:r>
      <w:r w:rsidRPr="00BF7B7C">
        <w:rPr>
          <w:rFonts w:ascii="Arial" w:hAnsi="Arial" w:cs="Arial"/>
          <w:color w:val="000000"/>
          <w:lang w:val="it-IT"/>
        </w:rPr>
        <w:t>For t</w:t>
      </w:r>
      <w:r w:rsidR="00071252">
        <w:rPr>
          <w:rFonts w:ascii="Arial" w:hAnsi="Arial" w:cs="Arial"/>
          <w:color w:val="000000"/>
          <w:lang w:val="it-IT"/>
        </w:rPr>
        <w:t xml:space="preserve">he current study, patients were </w:t>
      </w:r>
      <w:r w:rsidR="00D72818">
        <w:rPr>
          <w:rFonts w:ascii="Arial" w:hAnsi="Arial" w:cs="Arial"/>
          <w:color w:val="000000"/>
          <w:lang w:val="it-IT"/>
        </w:rPr>
        <w:t xml:space="preserve">selected </w:t>
      </w:r>
      <w:r w:rsidR="00071252">
        <w:rPr>
          <w:rFonts w:ascii="Arial" w:hAnsi="Arial" w:cs="Arial"/>
          <w:color w:val="000000"/>
          <w:lang w:val="it-IT"/>
        </w:rPr>
        <w:t>according to the following criteria:</w:t>
      </w:r>
      <w:r w:rsidRPr="00BF7B7C">
        <w:rPr>
          <w:rFonts w:ascii="Arial" w:hAnsi="Arial" w:cs="Arial"/>
          <w:color w:val="000000"/>
          <w:lang w:val="it-IT"/>
        </w:rPr>
        <w:t xml:space="preserve"> </w:t>
      </w:r>
      <w:r w:rsidR="00071252">
        <w:rPr>
          <w:rFonts w:ascii="Arial" w:hAnsi="Arial" w:cs="Arial"/>
          <w:color w:val="000000"/>
          <w:lang w:val="it-IT"/>
        </w:rPr>
        <w:t xml:space="preserve">a) </w:t>
      </w:r>
      <w:r w:rsidR="00DB1911">
        <w:rPr>
          <w:rFonts w:ascii="Arial" w:hAnsi="Arial" w:cs="Arial"/>
          <w:color w:val="000000"/>
          <w:lang w:val="it-IT"/>
        </w:rPr>
        <w:t>a</w:t>
      </w:r>
      <w:r w:rsidR="00C059C5" w:rsidRPr="00BF7B7C">
        <w:rPr>
          <w:rFonts w:ascii="Arial" w:hAnsi="Arial" w:cs="Arial"/>
          <w:color w:val="000000"/>
          <w:lang w:val="it-IT"/>
        </w:rPr>
        <w:t xml:space="preserve">dvanced </w:t>
      </w:r>
      <w:r w:rsidR="00071252" w:rsidRPr="00071252">
        <w:rPr>
          <w:rFonts w:ascii="Arial" w:hAnsi="Arial" w:cs="Arial"/>
          <w:color w:val="000000"/>
          <w:lang w:val="it-IT"/>
        </w:rPr>
        <w:t>UT</w:t>
      </w:r>
      <w:r w:rsidR="00071252" w:rsidRPr="00071252">
        <w:rPr>
          <w:rFonts w:ascii="Arial" w:hAnsi="Arial" w:cs="Arial"/>
          <w:color w:val="000000"/>
          <w:lang w:val="en-US"/>
        </w:rPr>
        <w:t xml:space="preserve">C </w:t>
      </w:r>
      <w:r w:rsidR="00680AF6" w:rsidRPr="00BF7B7C">
        <w:rPr>
          <w:rFonts w:ascii="Arial" w:hAnsi="Arial" w:cs="Arial"/>
          <w:color w:val="000000"/>
          <w:lang w:val="it-IT"/>
        </w:rPr>
        <w:t>defined as</w:t>
      </w:r>
      <w:r w:rsidRPr="00BF7B7C">
        <w:rPr>
          <w:rFonts w:ascii="Arial" w:hAnsi="Arial" w:cs="Arial"/>
          <w:color w:val="000000"/>
          <w:lang w:val="it-IT"/>
        </w:rPr>
        <w:t xml:space="preserve"> metastatic disease or non metastatic inoperable disease, i.e. clinical stages T4</w:t>
      </w:r>
      <w:r w:rsidR="00071252">
        <w:rPr>
          <w:rFonts w:ascii="Arial" w:hAnsi="Arial" w:cs="Arial"/>
          <w:color w:val="000000"/>
          <w:lang w:val="it-IT"/>
        </w:rPr>
        <w:t>bN0M0, TanyN+M0 and TanyNanyM+; b) histological subtype of</w:t>
      </w:r>
      <w:r w:rsidRPr="00BF7B7C">
        <w:rPr>
          <w:rFonts w:ascii="Arial" w:hAnsi="Arial" w:cs="Arial"/>
          <w:color w:val="000000"/>
          <w:lang w:val="it-IT"/>
        </w:rPr>
        <w:t xml:space="preserve"> pure or mixed </w:t>
      </w:r>
      <w:r w:rsidR="00C059C5" w:rsidRPr="00BF7B7C">
        <w:rPr>
          <w:rFonts w:ascii="Arial" w:hAnsi="Arial" w:cs="Arial"/>
          <w:color w:val="000000"/>
          <w:lang w:val="it-IT"/>
        </w:rPr>
        <w:t>urothelial</w:t>
      </w:r>
      <w:r w:rsidR="00071252">
        <w:rPr>
          <w:rFonts w:ascii="Arial" w:hAnsi="Arial" w:cs="Arial"/>
          <w:color w:val="000000"/>
          <w:lang w:val="it-IT"/>
        </w:rPr>
        <w:t xml:space="preserve"> carcinoma, pure squamous or</w:t>
      </w:r>
      <w:r w:rsidRPr="00BF7B7C">
        <w:rPr>
          <w:rFonts w:ascii="Arial" w:hAnsi="Arial" w:cs="Arial"/>
          <w:color w:val="000000"/>
          <w:lang w:val="it-IT"/>
        </w:rPr>
        <w:t xml:space="preserve"> pure adenocarcinoma</w:t>
      </w:r>
      <w:r w:rsidR="00DB1911">
        <w:rPr>
          <w:rFonts w:ascii="Arial" w:hAnsi="Arial" w:cs="Arial"/>
          <w:color w:val="000000"/>
          <w:lang w:val="it-IT"/>
        </w:rPr>
        <w:t>; c) patients should have received 1st-line chemotherapy</w:t>
      </w:r>
      <w:r w:rsidR="00AE2749">
        <w:rPr>
          <w:rFonts w:ascii="Arial" w:hAnsi="Arial" w:cs="Arial"/>
          <w:color w:val="000000"/>
          <w:lang w:val="it-IT"/>
        </w:rPr>
        <w:t xml:space="preserve"> for aUTC</w:t>
      </w:r>
      <w:r w:rsidRPr="00BF7B7C">
        <w:rPr>
          <w:rFonts w:ascii="Arial" w:hAnsi="Arial" w:cs="Arial"/>
          <w:color w:val="000000"/>
          <w:lang w:val="it-IT"/>
        </w:rPr>
        <w:t>.</w:t>
      </w:r>
      <w:r w:rsidR="00DB1911">
        <w:rPr>
          <w:rFonts w:ascii="Arial" w:hAnsi="Arial" w:cs="Arial"/>
          <w:color w:val="000000"/>
          <w:lang w:val="it-IT"/>
        </w:rPr>
        <w:t xml:space="preserve"> </w:t>
      </w:r>
      <w:r w:rsidR="00DB1911" w:rsidRPr="00DB1911">
        <w:rPr>
          <w:rFonts w:ascii="Arial" w:hAnsi="Arial" w:cs="Arial"/>
          <w:color w:val="000000"/>
          <w:lang w:val="it-IT"/>
        </w:rPr>
        <w:t xml:space="preserve">Administration of chemotherapy for radiosensitization purposes only was not considered as 1st-line chemotherapy. </w:t>
      </w:r>
      <w:r w:rsidR="00DB1911">
        <w:rPr>
          <w:rFonts w:ascii="Arial" w:hAnsi="Arial" w:cs="Arial"/>
          <w:color w:val="000000"/>
          <w:lang w:val="it-IT"/>
        </w:rPr>
        <w:t>Patients with no information regarding the type of 1st-line chemotherapy were also excluded.</w:t>
      </w:r>
      <w:r w:rsidRPr="00BF7B7C">
        <w:rPr>
          <w:rFonts w:ascii="Arial" w:hAnsi="Arial" w:cs="Arial"/>
          <w:color w:val="000000"/>
          <w:lang w:val="it-IT"/>
        </w:rPr>
        <w:t xml:space="preserve"> </w:t>
      </w:r>
    </w:p>
    <w:p w14:paraId="034B7D70" w14:textId="77777777" w:rsidR="009410B8" w:rsidRPr="009410B8" w:rsidRDefault="009410B8" w:rsidP="009410B8">
      <w:pPr>
        <w:autoSpaceDE w:val="0"/>
        <w:autoSpaceDN w:val="0"/>
        <w:adjustRightInd w:val="0"/>
        <w:spacing w:line="480" w:lineRule="auto"/>
        <w:jc w:val="both"/>
        <w:rPr>
          <w:rFonts w:ascii="Arial" w:hAnsi="Arial" w:cs="Arial"/>
          <w:color w:val="000000"/>
          <w:lang w:val="it-IT"/>
        </w:rPr>
      </w:pPr>
      <w:r w:rsidRPr="009410B8">
        <w:rPr>
          <w:rFonts w:ascii="Arial" w:hAnsi="Arial" w:cs="Arial"/>
          <w:color w:val="000000"/>
          <w:lang w:val="it-IT"/>
        </w:rPr>
        <w:t xml:space="preserve">Database was locked in October 2015. The study was approved by the ethics committees at each participating institution. </w:t>
      </w:r>
    </w:p>
    <w:p w14:paraId="0217E445" w14:textId="77777777" w:rsidR="00636BE0" w:rsidRPr="00BF7B7C" w:rsidRDefault="00636BE0">
      <w:pPr>
        <w:autoSpaceDE w:val="0"/>
        <w:autoSpaceDN w:val="0"/>
        <w:adjustRightInd w:val="0"/>
        <w:spacing w:line="480" w:lineRule="auto"/>
        <w:jc w:val="both"/>
        <w:rPr>
          <w:rFonts w:ascii="Arial" w:hAnsi="Arial" w:cs="Arial"/>
          <w:color w:val="000000"/>
          <w:lang w:val="it-IT"/>
        </w:rPr>
      </w:pPr>
    </w:p>
    <w:p w14:paraId="699CCF7B" w14:textId="77777777" w:rsidR="00C7598C" w:rsidRPr="00BF7B7C" w:rsidRDefault="00C7598C">
      <w:pPr>
        <w:autoSpaceDE w:val="0"/>
        <w:autoSpaceDN w:val="0"/>
        <w:adjustRightInd w:val="0"/>
        <w:spacing w:line="480" w:lineRule="auto"/>
        <w:jc w:val="both"/>
        <w:rPr>
          <w:rFonts w:ascii="Arial" w:hAnsi="Arial" w:cs="Arial"/>
          <w:i/>
          <w:color w:val="000000"/>
          <w:lang w:val="it-IT"/>
        </w:rPr>
      </w:pPr>
      <w:r w:rsidRPr="00BF7B7C">
        <w:rPr>
          <w:rFonts w:ascii="Arial" w:hAnsi="Arial" w:cs="Arial"/>
          <w:i/>
          <w:color w:val="000000"/>
          <w:lang w:val="it-IT"/>
        </w:rPr>
        <w:t>Statistical analysis</w:t>
      </w:r>
    </w:p>
    <w:p w14:paraId="3FD09D29" w14:textId="3F970226" w:rsidR="00E74FA3" w:rsidRDefault="00D72818">
      <w:pPr>
        <w:pStyle w:val="a5"/>
        <w:rPr>
          <w:rFonts w:ascii="Arial" w:hAnsi="Arial" w:cs="Arial"/>
          <w:lang w:val="en-GB"/>
        </w:rPr>
      </w:pPr>
      <w:r>
        <w:rPr>
          <w:rFonts w:ascii="Arial" w:hAnsi="Arial" w:cs="Arial"/>
          <w:lang w:val="en-GB"/>
        </w:rPr>
        <w:t>OS</w:t>
      </w:r>
      <w:r w:rsidR="009F4DBB" w:rsidRPr="009F4DBB">
        <w:t xml:space="preserve"> </w:t>
      </w:r>
      <w:r w:rsidR="009F4DBB" w:rsidRPr="009F4DBB">
        <w:rPr>
          <w:rFonts w:ascii="Arial" w:hAnsi="Arial" w:cs="Arial"/>
          <w:lang w:val="en-GB"/>
        </w:rPr>
        <w:t>was the primary variable</w:t>
      </w:r>
      <w:r>
        <w:rPr>
          <w:rFonts w:ascii="Arial" w:hAnsi="Arial" w:cs="Arial"/>
          <w:lang w:val="en-GB"/>
        </w:rPr>
        <w:t xml:space="preserve">, </w:t>
      </w:r>
      <w:r w:rsidR="00E74FA3">
        <w:rPr>
          <w:rFonts w:ascii="Arial" w:hAnsi="Arial" w:cs="Arial"/>
          <w:lang w:val="en-GB"/>
        </w:rPr>
        <w:t>while the study of types of chemotherapy used and the impact of eligibility-for-cisplatin on chemo</w:t>
      </w:r>
      <w:r w:rsidR="00213DEB">
        <w:rPr>
          <w:rFonts w:ascii="Arial" w:hAnsi="Arial" w:cs="Arial"/>
          <w:lang w:val="en-GB"/>
        </w:rPr>
        <w:t>therapy utilization</w:t>
      </w:r>
      <w:r w:rsidR="00E74FA3">
        <w:rPr>
          <w:rFonts w:ascii="Arial" w:hAnsi="Arial" w:cs="Arial"/>
          <w:lang w:val="en-GB"/>
        </w:rPr>
        <w:t xml:space="preserve"> were the seco</w:t>
      </w:r>
      <w:r w:rsidR="00D039A4">
        <w:rPr>
          <w:rFonts w:ascii="Arial" w:hAnsi="Arial" w:cs="Arial"/>
          <w:lang w:val="en-GB"/>
        </w:rPr>
        <w:t>ndary end points</w:t>
      </w:r>
      <w:r w:rsidR="00E74FA3">
        <w:rPr>
          <w:rFonts w:ascii="Arial" w:hAnsi="Arial" w:cs="Arial"/>
          <w:lang w:val="en-GB"/>
        </w:rPr>
        <w:t xml:space="preserve">. </w:t>
      </w:r>
      <w:r w:rsidR="00213DEB">
        <w:rPr>
          <w:rFonts w:ascii="Arial" w:hAnsi="Arial" w:cs="Arial"/>
          <w:lang w:val="en-GB"/>
        </w:rPr>
        <w:t>Eligibility-for-cisplatin was defined</w:t>
      </w:r>
      <w:r w:rsidR="00D039A4">
        <w:rPr>
          <w:rFonts w:ascii="Arial" w:hAnsi="Arial" w:cs="Arial"/>
          <w:lang w:val="en-GB"/>
        </w:rPr>
        <w:t xml:space="preserve"> according to</w:t>
      </w:r>
      <w:r w:rsidR="00D039A4" w:rsidRPr="00D039A4">
        <w:rPr>
          <w:rFonts w:ascii="Arial" w:hAnsi="Arial" w:cs="Arial"/>
          <w:lang w:val="en-GB"/>
        </w:rPr>
        <w:t xml:space="preserve"> </w:t>
      </w:r>
      <w:r w:rsidR="00213DEB">
        <w:rPr>
          <w:rFonts w:ascii="Arial" w:hAnsi="Arial" w:cs="Arial"/>
          <w:lang w:val="en-GB"/>
        </w:rPr>
        <w:t xml:space="preserve">the criteria of </w:t>
      </w:r>
      <w:r w:rsidR="00D039A4" w:rsidRPr="00D039A4">
        <w:rPr>
          <w:rFonts w:ascii="Arial" w:hAnsi="Arial" w:cs="Arial"/>
          <w:lang w:val="en-GB"/>
        </w:rPr>
        <w:t>Galsky et al</w:t>
      </w:r>
      <w:r w:rsidR="00D039A4" w:rsidRPr="00D039A4">
        <w:rPr>
          <w:rFonts w:ascii="Arial" w:hAnsi="Arial" w:cs="Arial"/>
          <w:vertAlign w:val="superscript"/>
          <w:lang w:val="en-GB"/>
        </w:rPr>
        <w:t>9</w:t>
      </w:r>
      <w:r w:rsidR="00D039A4" w:rsidRPr="00D039A4">
        <w:rPr>
          <w:rFonts w:ascii="Arial" w:hAnsi="Arial" w:cs="Arial"/>
          <w:lang w:val="en-GB"/>
        </w:rPr>
        <w:t xml:space="preserve">: ECOG-PS 0 or 1, calculated (Cockroft-Gault formula) CrCl≥60 ml/min, no hearing loss, no heart failure, no significant neuropathy. </w:t>
      </w:r>
      <w:r w:rsidR="005C131C" w:rsidRPr="005C131C">
        <w:rPr>
          <w:rFonts w:ascii="Arial" w:hAnsi="Arial" w:cs="Arial"/>
          <w:lang w:val="en-GB"/>
        </w:rPr>
        <w:t xml:space="preserve">Centers were categorized according to the volume of aUTC patients. High-volume was arbitrarily defined as a minimum contribution of 100 patients with advanced disease in the database. Disease was categorized as lymph-node/local (LNL) only (including only bladder or local relapse and/or lymph node metastases) and distant (presence of non-lymph node metastases). </w:t>
      </w:r>
      <w:r w:rsidR="00213DEB" w:rsidRPr="00213DEB">
        <w:rPr>
          <w:rFonts w:ascii="Arial" w:hAnsi="Arial" w:cs="Arial"/>
          <w:lang w:val="en-GB"/>
        </w:rPr>
        <w:t xml:space="preserve">Patients’ characteristics were presented through means, medians and proportions. Association between these characteristics and type of therapy was assessed by chi-squared test. </w:t>
      </w:r>
      <w:r w:rsidR="005C131C" w:rsidRPr="005C131C">
        <w:rPr>
          <w:rFonts w:ascii="Arial" w:hAnsi="Arial" w:cs="Arial"/>
          <w:lang w:val="en-GB"/>
        </w:rPr>
        <w:t xml:space="preserve"> </w:t>
      </w:r>
    </w:p>
    <w:p w14:paraId="412A0D47" w14:textId="5B25205C" w:rsidR="00C7598C" w:rsidRDefault="00E74FA3">
      <w:pPr>
        <w:pStyle w:val="a5"/>
        <w:rPr>
          <w:rFonts w:ascii="Arial" w:hAnsi="Arial" w:cs="Arial"/>
        </w:rPr>
      </w:pPr>
      <w:r>
        <w:rPr>
          <w:rFonts w:ascii="Arial" w:hAnsi="Arial" w:cs="Arial"/>
          <w:lang w:val="en-GB"/>
        </w:rPr>
        <w:t xml:space="preserve">OS was </w:t>
      </w:r>
      <w:r w:rsidR="00C7598C" w:rsidRPr="00BF7B7C">
        <w:rPr>
          <w:rFonts w:ascii="Arial" w:hAnsi="Arial" w:cs="Arial"/>
          <w:lang w:val="en-GB"/>
        </w:rPr>
        <w:t xml:space="preserve">defined as </w:t>
      </w:r>
      <w:r w:rsidR="00472B19">
        <w:rPr>
          <w:rFonts w:ascii="Arial" w:hAnsi="Arial" w:cs="Arial"/>
          <w:lang w:val="en-GB"/>
        </w:rPr>
        <w:t>the time</w:t>
      </w:r>
      <w:r w:rsidR="00C7598C" w:rsidRPr="00BF7B7C">
        <w:rPr>
          <w:rFonts w:ascii="Arial" w:hAnsi="Arial" w:cs="Arial"/>
          <w:lang w:val="en-GB"/>
        </w:rPr>
        <w:t xml:space="preserve"> between the </w:t>
      </w:r>
      <w:r w:rsidR="00D039A4">
        <w:rPr>
          <w:rFonts w:ascii="Arial" w:hAnsi="Arial" w:cs="Arial"/>
          <w:lang w:val="en-GB"/>
        </w:rPr>
        <w:t xml:space="preserve">initiation </w:t>
      </w:r>
      <w:r w:rsidR="00C7598C" w:rsidRPr="00BF7B7C">
        <w:rPr>
          <w:rFonts w:ascii="Arial" w:hAnsi="Arial" w:cs="Arial"/>
          <w:lang w:val="en-GB"/>
        </w:rPr>
        <w:t xml:space="preserve">of </w:t>
      </w:r>
      <w:r w:rsidR="00D039A4">
        <w:rPr>
          <w:rFonts w:ascii="Arial" w:hAnsi="Arial" w:cs="Arial"/>
          <w:lang w:val="en-GB"/>
        </w:rPr>
        <w:t>1</w:t>
      </w:r>
      <w:r w:rsidR="00D039A4" w:rsidRPr="00D039A4">
        <w:rPr>
          <w:rFonts w:ascii="Arial" w:hAnsi="Arial" w:cs="Arial"/>
          <w:vertAlign w:val="superscript"/>
          <w:lang w:val="en-GB"/>
        </w:rPr>
        <w:t>st</w:t>
      </w:r>
      <w:r w:rsidR="00D039A4">
        <w:rPr>
          <w:rFonts w:ascii="Arial" w:hAnsi="Arial" w:cs="Arial"/>
          <w:lang w:val="en-GB"/>
        </w:rPr>
        <w:t>-line chemo</w:t>
      </w:r>
      <w:r w:rsidR="00C7598C" w:rsidRPr="00BF7B7C">
        <w:rPr>
          <w:rFonts w:ascii="Arial" w:hAnsi="Arial" w:cs="Arial"/>
          <w:lang w:val="en-GB"/>
        </w:rPr>
        <w:t>therapy and the date of death from any cause</w:t>
      </w:r>
      <w:r w:rsidR="00F75D1A" w:rsidRPr="00BF7B7C">
        <w:rPr>
          <w:rFonts w:ascii="Arial" w:hAnsi="Arial" w:cs="Arial"/>
          <w:lang w:val="en-GB"/>
        </w:rPr>
        <w:t xml:space="preserve">. </w:t>
      </w:r>
      <w:r w:rsidR="009B507E">
        <w:rPr>
          <w:rFonts w:ascii="Arial" w:hAnsi="Arial" w:cs="Arial"/>
          <w:lang w:val="en-GB"/>
        </w:rPr>
        <w:t>Alive p</w:t>
      </w:r>
      <w:r w:rsidR="00C7598C" w:rsidRPr="00BF7B7C">
        <w:rPr>
          <w:rFonts w:ascii="Arial" w:hAnsi="Arial" w:cs="Arial"/>
          <w:lang w:val="en-GB"/>
        </w:rPr>
        <w:t>atients were censored at the date of last contact. Survival curves were estimated using the Kaplan-Meier method. Factors studied for t</w:t>
      </w:r>
      <w:r>
        <w:rPr>
          <w:rFonts w:ascii="Arial" w:hAnsi="Arial" w:cs="Arial"/>
          <w:lang w:val="en-GB"/>
        </w:rPr>
        <w:t>heir prognostic ability are list</w:t>
      </w:r>
      <w:r w:rsidR="007F0C3D">
        <w:rPr>
          <w:rFonts w:ascii="Arial" w:hAnsi="Arial" w:cs="Arial"/>
          <w:lang w:val="en-GB"/>
        </w:rPr>
        <w:t>ed in the Supplementary Table 1</w:t>
      </w:r>
      <w:r>
        <w:rPr>
          <w:rFonts w:ascii="Arial" w:hAnsi="Arial" w:cs="Arial"/>
          <w:lang w:val="en-GB"/>
        </w:rPr>
        <w:t>.</w:t>
      </w:r>
      <w:r w:rsidR="00C7598C" w:rsidRPr="00BF7B7C">
        <w:rPr>
          <w:rFonts w:ascii="Arial" w:hAnsi="Arial" w:cs="Arial"/>
          <w:lang w:val="en-GB"/>
        </w:rPr>
        <w:t xml:space="preserve"> </w:t>
      </w:r>
      <w:r w:rsidR="00C7598C" w:rsidRPr="00BF7B7C">
        <w:rPr>
          <w:rFonts w:ascii="Arial" w:hAnsi="Arial" w:cs="Arial"/>
        </w:rPr>
        <w:t>To account for missing values multiple imputation was employed using the Markov Chain M</w:t>
      </w:r>
      <w:r w:rsidR="00C548B5">
        <w:rPr>
          <w:rFonts w:ascii="Arial" w:hAnsi="Arial" w:cs="Arial"/>
        </w:rPr>
        <w:t>onte Carlo</w:t>
      </w:r>
      <w:r w:rsidR="00C7598C" w:rsidRPr="00BF7B7C">
        <w:rPr>
          <w:rFonts w:ascii="Arial" w:hAnsi="Arial" w:cs="Arial"/>
        </w:rPr>
        <w:t xml:space="preserve"> method for Arbitrary Missing Data</w:t>
      </w:r>
      <w:r w:rsidR="00C7598C" w:rsidRPr="00BF7B7C">
        <w:rPr>
          <w:rFonts w:ascii="Arial" w:hAnsi="Arial" w:cs="Arial"/>
          <w:lang w:val="en-GB"/>
        </w:rPr>
        <w:t xml:space="preserve"> (number of imputations was 35).  </w:t>
      </w:r>
      <w:r w:rsidR="00C7598C" w:rsidRPr="00BF7B7C">
        <w:rPr>
          <w:rFonts w:ascii="Arial" w:hAnsi="Arial" w:cs="Arial"/>
        </w:rPr>
        <w:t>The association of these factors with OS w</w:t>
      </w:r>
      <w:r w:rsidR="00293A7D" w:rsidRPr="00BF7B7C">
        <w:rPr>
          <w:rFonts w:ascii="Arial" w:hAnsi="Arial" w:cs="Arial"/>
        </w:rPr>
        <w:t>as</w:t>
      </w:r>
      <w:r w:rsidR="00C7598C" w:rsidRPr="00BF7B7C">
        <w:rPr>
          <w:rFonts w:ascii="Arial" w:hAnsi="Arial" w:cs="Arial"/>
        </w:rPr>
        <w:t xml:space="preserve"> assessed through HRs estimated from univariate Cox proportional hazards models. Factors for which HRs were statistically significant at the level of significance 0.15 were then included in a multivariate Cox proportional hazards model. The backward selection procedure with removal criterion p&gt;0.05</w:t>
      </w:r>
      <w:r w:rsidR="008822D4" w:rsidRPr="00BF7B7C">
        <w:rPr>
          <w:rFonts w:ascii="Arial" w:hAnsi="Arial" w:cs="Arial"/>
        </w:rPr>
        <w:t xml:space="preserve"> </w:t>
      </w:r>
      <w:r w:rsidR="00C7598C" w:rsidRPr="00BF7B7C">
        <w:rPr>
          <w:rFonts w:ascii="Arial" w:hAnsi="Arial" w:cs="Arial"/>
        </w:rPr>
        <w:t xml:space="preserve">was performed to identify significant variables. </w:t>
      </w:r>
      <w:r w:rsidR="000B40FA" w:rsidRPr="00592C54">
        <w:rPr>
          <w:rFonts w:ascii="Arial" w:eastAsia="MS Mincho" w:hAnsi="Arial" w:cs="Arial"/>
          <w:lang w:val="en-GB" w:eastAsia="ja-JP"/>
        </w:rPr>
        <w:t xml:space="preserve">Proportional hazards </w:t>
      </w:r>
      <w:r w:rsidR="00F857DF" w:rsidRPr="00592C54">
        <w:rPr>
          <w:rFonts w:ascii="Arial" w:eastAsia="MS Mincho" w:hAnsi="Arial" w:cs="Arial"/>
          <w:lang w:val="en-GB" w:eastAsia="ja-JP"/>
        </w:rPr>
        <w:t xml:space="preserve">(PH) </w:t>
      </w:r>
      <w:r w:rsidR="000B40FA" w:rsidRPr="00592C54">
        <w:rPr>
          <w:rFonts w:ascii="Arial" w:eastAsia="MS Mincho" w:hAnsi="Arial" w:cs="Arial"/>
          <w:lang w:val="en-GB" w:eastAsia="ja-JP"/>
        </w:rPr>
        <w:t>assumption was graphically assessed</w:t>
      </w:r>
      <w:r w:rsidR="00F857DF" w:rsidRPr="00592C54">
        <w:t xml:space="preserve"> </w:t>
      </w:r>
      <w:r w:rsidR="00F857DF" w:rsidRPr="00592C54">
        <w:rPr>
          <w:rFonts w:ascii="Arial" w:eastAsia="MS Mincho" w:hAnsi="Arial" w:cs="Arial"/>
          <w:lang w:val="en-GB" w:eastAsia="ja-JP"/>
        </w:rPr>
        <w:t>using plots of -ln{-ln(survival)} curves for each category of the covariates versus ln(analysis time).</w:t>
      </w:r>
      <w:r w:rsidR="000B40FA" w:rsidRPr="00592C54">
        <w:rPr>
          <w:rFonts w:ascii="Arial" w:eastAsia="MS Mincho" w:hAnsi="Arial" w:cs="Arial"/>
          <w:lang w:val="en-GB" w:eastAsia="ja-JP"/>
        </w:rPr>
        <w:t xml:space="preserve"> </w:t>
      </w:r>
      <w:r w:rsidR="00F857DF" w:rsidRPr="00592C54">
        <w:rPr>
          <w:rFonts w:ascii="Arial" w:eastAsia="MS Mincho" w:hAnsi="Arial" w:cs="Arial"/>
          <w:lang w:val="en-GB" w:eastAsia="ja-JP"/>
        </w:rPr>
        <w:t>PH assumption was fur</w:t>
      </w:r>
      <w:r w:rsidR="008165DA">
        <w:rPr>
          <w:rFonts w:ascii="Arial" w:eastAsia="MS Mincho" w:hAnsi="Arial" w:cs="Arial"/>
          <w:lang w:val="en-GB" w:eastAsia="ja-JP"/>
        </w:rPr>
        <w:t>ther tested on the basis of Sch</w:t>
      </w:r>
      <w:r w:rsidR="00962037">
        <w:rPr>
          <w:rFonts w:ascii="Arial" w:eastAsia="MS Mincho" w:hAnsi="Arial" w:cs="Arial"/>
          <w:lang w:val="en-GB" w:eastAsia="ja-JP"/>
        </w:rPr>
        <w:t>o</w:t>
      </w:r>
      <w:r w:rsidR="008165DA">
        <w:rPr>
          <w:rFonts w:ascii="Arial" w:eastAsia="MS Mincho" w:hAnsi="Arial" w:cs="Arial"/>
          <w:lang w:val="en-GB" w:eastAsia="ja-JP"/>
        </w:rPr>
        <w:t>enf</w:t>
      </w:r>
      <w:r w:rsidR="00962037">
        <w:rPr>
          <w:rFonts w:ascii="Arial" w:eastAsia="MS Mincho" w:hAnsi="Arial" w:cs="Arial"/>
          <w:lang w:val="en-GB" w:eastAsia="ja-JP"/>
        </w:rPr>
        <w:t>el</w:t>
      </w:r>
      <w:r w:rsidR="00F857DF" w:rsidRPr="00592C54">
        <w:rPr>
          <w:rFonts w:ascii="Arial" w:eastAsia="MS Mincho" w:hAnsi="Arial" w:cs="Arial"/>
          <w:lang w:val="en-GB" w:eastAsia="ja-JP"/>
        </w:rPr>
        <w:t>d residuals (vs time), globally and for each predictor separately</w:t>
      </w:r>
      <w:r w:rsidR="00062F25">
        <w:rPr>
          <w:rFonts w:ascii="Arial" w:eastAsia="MS Mincho" w:hAnsi="Arial" w:cs="Arial"/>
          <w:lang w:val="en-GB" w:eastAsia="ja-JP"/>
        </w:rPr>
        <w:t xml:space="preserve"> </w:t>
      </w:r>
      <w:r w:rsidR="00062F25" w:rsidRPr="00062F25">
        <w:rPr>
          <w:rFonts w:ascii="Arial" w:eastAsia="MS Mincho" w:hAnsi="Arial" w:cs="Arial"/>
          <w:lang w:eastAsia="ja-JP"/>
        </w:rPr>
        <w:t>(tests of the non-zero slope developed by Therneau and Grambsch</w:t>
      </w:r>
      <w:r w:rsidR="00062F25">
        <w:rPr>
          <w:rFonts w:ascii="Arial" w:eastAsia="MS Mincho" w:hAnsi="Arial" w:cs="Arial"/>
          <w:lang w:eastAsia="ja-JP"/>
        </w:rPr>
        <w:t>)</w:t>
      </w:r>
      <w:r w:rsidR="00F857DF" w:rsidRPr="00592C54">
        <w:rPr>
          <w:rFonts w:ascii="Arial" w:eastAsia="MS Mincho" w:hAnsi="Arial" w:cs="Arial"/>
          <w:lang w:val="en-GB" w:eastAsia="ja-JP"/>
        </w:rPr>
        <w:t xml:space="preserve">. </w:t>
      </w:r>
      <w:r w:rsidR="000B40FA" w:rsidRPr="00F857DF">
        <w:rPr>
          <w:rFonts w:ascii="Arial" w:eastAsia="MS Mincho" w:hAnsi="Arial" w:cs="Arial"/>
          <w:lang w:eastAsia="ja-JP"/>
        </w:rPr>
        <w:t xml:space="preserve">Maximum analysis time to be graphed was selected </w:t>
      </w:r>
      <w:r w:rsidR="00E90EB7">
        <w:rPr>
          <w:rFonts w:ascii="Arial" w:eastAsia="MS Mincho" w:hAnsi="Arial" w:cs="Arial"/>
          <w:lang w:eastAsia="ja-JP"/>
        </w:rPr>
        <w:t xml:space="preserve">at </w:t>
      </w:r>
      <w:r w:rsidR="000B40FA" w:rsidRPr="00F857DF">
        <w:rPr>
          <w:rFonts w:ascii="Arial" w:eastAsia="MS Mincho" w:hAnsi="Arial" w:cs="Arial"/>
          <w:lang w:eastAsia="ja-JP"/>
        </w:rPr>
        <w:t xml:space="preserve">5 to 6 years. Patients alive at 5-6 years (regardless of subsequent death) were censored at that time. </w:t>
      </w:r>
      <w:r w:rsidR="00C7598C" w:rsidRPr="00BF7B7C">
        <w:rPr>
          <w:rFonts w:ascii="Arial" w:hAnsi="Arial" w:cs="Arial"/>
        </w:rPr>
        <w:t>All analyses were carried out in STATA/SE 14.2 (StataCorp LP).</w:t>
      </w:r>
    </w:p>
    <w:p w14:paraId="59290764" w14:textId="77777777" w:rsidR="00C7598C" w:rsidRPr="00BF7B7C" w:rsidRDefault="00C7598C">
      <w:pPr>
        <w:pStyle w:val="a5"/>
        <w:rPr>
          <w:rFonts w:ascii="Arial" w:hAnsi="Arial" w:cs="Arial"/>
          <w:b/>
          <w:color w:val="000000"/>
          <w:lang w:val="en-GB"/>
        </w:rPr>
      </w:pPr>
    </w:p>
    <w:p w14:paraId="160D7148" w14:textId="77777777" w:rsidR="00C7598C" w:rsidRPr="00BF7B7C" w:rsidRDefault="00C7598C">
      <w:pPr>
        <w:autoSpaceDE w:val="0"/>
        <w:autoSpaceDN w:val="0"/>
        <w:adjustRightInd w:val="0"/>
        <w:spacing w:line="480" w:lineRule="auto"/>
        <w:jc w:val="both"/>
        <w:rPr>
          <w:rFonts w:ascii="Arial" w:hAnsi="Arial" w:cs="Arial"/>
          <w:b/>
          <w:color w:val="000000"/>
          <w:lang w:val="en-GB"/>
        </w:rPr>
      </w:pPr>
      <w:r w:rsidRPr="00BF7B7C">
        <w:rPr>
          <w:rFonts w:ascii="Arial" w:hAnsi="Arial" w:cs="Arial"/>
          <w:b/>
          <w:color w:val="000000"/>
          <w:lang w:val="en-GB"/>
        </w:rPr>
        <w:t>Results</w:t>
      </w:r>
    </w:p>
    <w:p w14:paraId="1CBF847E" w14:textId="77777777" w:rsidR="00C7598C" w:rsidRPr="00BF7B7C" w:rsidRDefault="00C7598C">
      <w:pPr>
        <w:autoSpaceDE w:val="0"/>
        <w:autoSpaceDN w:val="0"/>
        <w:adjustRightInd w:val="0"/>
        <w:spacing w:line="480" w:lineRule="auto"/>
        <w:jc w:val="both"/>
        <w:rPr>
          <w:rFonts w:ascii="Arial" w:hAnsi="Arial" w:cs="Arial"/>
          <w:i/>
          <w:color w:val="000000"/>
          <w:lang w:val="en-GB"/>
        </w:rPr>
      </w:pPr>
      <w:r w:rsidRPr="00BF7B7C">
        <w:rPr>
          <w:rFonts w:ascii="Arial" w:hAnsi="Arial" w:cs="Arial"/>
          <w:i/>
          <w:color w:val="000000"/>
          <w:lang w:val="en-GB"/>
        </w:rPr>
        <w:t>Population included in the analysis</w:t>
      </w:r>
    </w:p>
    <w:p w14:paraId="7A4A8520" w14:textId="6D317958" w:rsidR="00C7598C" w:rsidRPr="00BF7B7C" w:rsidRDefault="00DB1911">
      <w:pPr>
        <w:autoSpaceDE w:val="0"/>
        <w:autoSpaceDN w:val="0"/>
        <w:adjustRightInd w:val="0"/>
        <w:spacing w:line="480" w:lineRule="auto"/>
        <w:jc w:val="both"/>
        <w:rPr>
          <w:rFonts w:ascii="Arial" w:hAnsi="Arial" w:cs="Arial"/>
          <w:color w:val="000000"/>
          <w:lang w:val="en-US"/>
        </w:rPr>
      </w:pPr>
      <w:r w:rsidRPr="00DB1911">
        <w:rPr>
          <w:rFonts w:ascii="Arial" w:hAnsi="Arial" w:cs="Arial"/>
          <w:color w:val="000000"/>
          <w:lang w:val="en-GB"/>
        </w:rPr>
        <w:t>The flow chart of our analyses is depicted in Figure 1</w:t>
      </w:r>
      <w:r>
        <w:rPr>
          <w:rFonts w:ascii="Arial" w:hAnsi="Arial" w:cs="Arial"/>
          <w:color w:val="000000"/>
          <w:lang w:val="en-GB"/>
        </w:rPr>
        <w:t xml:space="preserve">. </w:t>
      </w:r>
      <w:r w:rsidR="005572DC">
        <w:rPr>
          <w:rFonts w:ascii="Arial" w:hAnsi="Arial" w:cs="Arial"/>
          <w:color w:val="000000"/>
          <w:lang w:val="en-GB"/>
        </w:rPr>
        <w:t>From 3024 patients</w:t>
      </w:r>
      <w:r w:rsidR="005572DC" w:rsidRPr="005572DC">
        <w:rPr>
          <w:lang w:val="en-US"/>
        </w:rPr>
        <w:t xml:space="preserve"> </w:t>
      </w:r>
      <w:r w:rsidR="005572DC">
        <w:rPr>
          <w:rFonts w:ascii="Arial" w:hAnsi="Arial" w:cs="Arial"/>
          <w:color w:val="000000"/>
          <w:lang w:val="en-GB"/>
        </w:rPr>
        <w:t>included</w:t>
      </w:r>
      <w:r w:rsidR="005572DC" w:rsidRPr="005572DC">
        <w:rPr>
          <w:rFonts w:ascii="Arial" w:hAnsi="Arial" w:cs="Arial"/>
          <w:color w:val="000000"/>
          <w:lang w:val="en-GB"/>
        </w:rPr>
        <w:t xml:space="preserve"> </w:t>
      </w:r>
      <w:r w:rsidR="005572DC">
        <w:rPr>
          <w:rFonts w:ascii="Arial" w:hAnsi="Arial" w:cs="Arial"/>
          <w:color w:val="000000"/>
          <w:lang w:val="en-GB"/>
        </w:rPr>
        <w:t>in t</w:t>
      </w:r>
      <w:r w:rsidR="005572DC" w:rsidRPr="005572DC">
        <w:rPr>
          <w:rFonts w:ascii="Arial" w:hAnsi="Arial" w:cs="Arial"/>
          <w:color w:val="000000"/>
          <w:lang w:val="en-GB"/>
        </w:rPr>
        <w:t>he RISC database</w:t>
      </w:r>
      <w:r w:rsidR="005572DC">
        <w:rPr>
          <w:rFonts w:ascii="Arial" w:hAnsi="Arial" w:cs="Arial"/>
          <w:color w:val="000000"/>
          <w:lang w:val="en-GB"/>
        </w:rPr>
        <w:t xml:space="preserve">, </w:t>
      </w:r>
      <w:r w:rsidR="00100074" w:rsidRPr="00BF7B7C">
        <w:rPr>
          <w:rFonts w:ascii="Arial" w:hAnsi="Arial" w:cs="Arial"/>
          <w:color w:val="000000"/>
          <w:lang w:val="en-US"/>
        </w:rPr>
        <w:t xml:space="preserve">1980 </w:t>
      </w:r>
      <w:r>
        <w:rPr>
          <w:rFonts w:ascii="Arial" w:hAnsi="Arial" w:cs="Arial"/>
          <w:color w:val="000000"/>
          <w:lang w:val="en-US"/>
        </w:rPr>
        <w:t xml:space="preserve">were </w:t>
      </w:r>
      <w:r w:rsidR="005572DC">
        <w:rPr>
          <w:rFonts w:ascii="Arial" w:hAnsi="Arial" w:cs="Arial"/>
          <w:color w:val="000000"/>
          <w:lang w:val="en-US"/>
        </w:rPr>
        <w:t>treated for</w:t>
      </w:r>
      <w:r w:rsidR="000A5A95" w:rsidRPr="00BF7B7C">
        <w:rPr>
          <w:rFonts w:ascii="Arial" w:hAnsi="Arial" w:cs="Arial"/>
          <w:color w:val="000000"/>
          <w:lang w:val="en-US"/>
        </w:rPr>
        <w:t xml:space="preserve"> </w:t>
      </w:r>
      <w:r w:rsidR="00C059C5" w:rsidRPr="00BF7B7C">
        <w:rPr>
          <w:rFonts w:ascii="Arial" w:hAnsi="Arial" w:cs="Arial"/>
          <w:color w:val="000000"/>
          <w:lang w:val="en-US"/>
        </w:rPr>
        <w:t>advanced disease</w:t>
      </w:r>
      <w:r w:rsidR="000A5A95" w:rsidRPr="00BF7B7C">
        <w:rPr>
          <w:rFonts w:ascii="Arial" w:hAnsi="Arial" w:cs="Arial"/>
          <w:color w:val="000000"/>
          <w:lang w:val="en-US"/>
        </w:rPr>
        <w:t xml:space="preserve"> </w:t>
      </w:r>
      <w:r w:rsidR="00B35EA8">
        <w:rPr>
          <w:rFonts w:ascii="Arial" w:hAnsi="Arial" w:cs="Arial"/>
          <w:color w:val="000000"/>
          <w:lang w:val="en-US"/>
        </w:rPr>
        <w:t xml:space="preserve">at 29 centers </w:t>
      </w:r>
      <w:r w:rsidR="000A5A95" w:rsidRPr="00BF7B7C">
        <w:rPr>
          <w:rFonts w:ascii="Arial" w:hAnsi="Arial" w:cs="Arial"/>
          <w:color w:val="000000"/>
          <w:lang w:val="en-US"/>
        </w:rPr>
        <w:t>between 2000</w:t>
      </w:r>
      <w:r w:rsidR="00100074" w:rsidRPr="00BF7B7C">
        <w:rPr>
          <w:rFonts w:ascii="Arial" w:hAnsi="Arial" w:cs="Arial"/>
          <w:color w:val="000000"/>
          <w:lang w:val="en-US"/>
        </w:rPr>
        <w:t xml:space="preserve"> and 2013</w:t>
      </w:r>
      <w:r w:rsidR="005572DC">
        <w:rPr>
          <w:rFonts w:ascii="Arial" w:hAnsi="Arial" w:cs="Arial"/>
          <w:color w:val="000000"/>
          <w:lang w:val="en-US"/>
        </w:rPr>
        <w:t xml:space="preserve"> and 1426 were </w:t>
      </w:r>
      <w:r w:rsidR="00A02145">
        <w:rPr>
          <w:rFonts w:ascii="Arial" w:hAnsi="Arial" w:cs="Arial"/>
          <w:color w:val="000000"/>
          <w:lang w:val="en-US"/>
        </w:rPr>
        <w:t>suitable</w:t>
      </w:r>
      <w:r w:rsidR="005572DC">
        <w:rPr>
          <w:rFonts w:ascii="Arial" w:hAnsi="Arial" w:cs="Arial"/>
          <w:color w:val="000000"/>
          <w:lang w:val="en-US"/>
        </w:rPr>
        <w:t xml:space="preserve"> for the analysis of treatment patter</w:t>
      </w:r>
      <w:r w:rsidR="00A02145">
        <w:rPr>
          <w:rFonts w:ascii="Arial" w:hAnsi="Arial" w:cs="Arial"/>
          <w:color w:val="000000"/>
          <w:lang w:val="en-US"/>
        </w:rPr>
        <w:t>n</w:t>
      </w:r>
      <w:r w:rsidR="005572DC">
        <w:rPr>
          <w:rFonts w:ascii="Arial" w:hAnsi="Arial" w:cs="Arial"/>
          <w:color w:val="000000"/>
          <w:lang w:val="en-US"/>
        </w:rPr>
        <w:t xml:space="preserve">s. </w:t>
      </w:r>
      <w:r w:rsidR="00A02145">
        <w:rPr>
          <w:rFonts w:ascii="Arial" w:hAnsi="Arial" w:cs="Arial"/>
          <w:color w:val="000000"/>
          <w:lang w:val="en-US"/>
        </w:rPr>
        <w:t>Their m</w:t>
      </w:r>
      <w:r w:rsidR="00C7598C" w:rsidRPr="00BF7B7C">
        <w:rPr>
          <w:rFonts w:ascii="Arial" w:hAnsi="Arial" w:cs="Arial"/>
          <w:color w:val="000000"/>
          <w:lang w:val="en-US"/>
        </w:rPr>
        <w:t>edian</w:t>
      </w:r>
      <w:r w:rsidR="00C7598C" w:rsidRPr="00BF7B7C">
        <w:rPr>
          <w:rFonts w:ascii="Arial" w:hAnsi="Arial" w:cs="Arial"/>
          <w:color w:val="000000"/>
          <w:lang w:val="en-GB"/>
        </w:rPr>
        <w:t xml:space="preserve"> age </w:t>
      </w:r>
      <w:r w:rsidR="00A02145">
        <w:rPr>
          <w:rFonts w:ascii="Arial" w:hAnsi="Arial" w:cs="Arial"/>
          <w:color w:val="000000"/>
          <w:lang w:val="en-GB"/>
        </w:rPr>
        <w:t>wa</w:t>
      </w:r>
      <w:r w:rsidR="00294736">
        <w:rPr>
          <w:rFonts w:ascii="Arial" w:hAnsi="Arial" w:cs="Arial"/>
          <w:color w:val="000000"/>
          <w:lang w:val="en-GB"/>
        </w:rPr>
        <w:t>s 67.5 years (range: 32-92), median time from</w:t>
      </w:r>
      <w:r w:rsidR="00C7598C" w:rsidRPr="00BF7B7C">
        <w:rPr>
          <w:rFonts w:ascii="Arial" w:hAnsi="Arial" w:cs="Arial"/>
          <w:color w:val="000000"/>
          <w:lang w:val="en-GB"/>
        </w:rPr>
        <w:t xml:space="preserve"> diagnosis of</w:t>
      </w:r>
      <w:r w:rsidR="00C059C5" w:rsidRPr="00BF7B7C">
        <w:rPr>
          <w:rFonts w:ascii="Arial" w:hAnsi="Arial" w:cs="Arial"/>
          <w:color w:val="000000"/>
          <w:lang w:val="en-GB"/>
        </w:rPr>
        <w:t xml:space="preserve"> </w:t>
      </w:r>
      <w:r w:rsidR="005F4717">
        <w:rPr>
          <w:rFonts w:ascii="Arial" w:hAnsi="Arial" w:cs="Arial"/>
          <w:color w:val="000000"/>
          <w:lang w:val="en-GB"/>
        </w:rPr>
        <w:t>UTC</w:t>
      </w:r>
      <w:r w:rsidR="00294736">
        <w:rPr>
          <w:rFonts w:ascii="Arial" w:hAnsi="Arial" w:cs="Arial"/>
          <w:color w:val="000000"/>
          <w:lang w:val="en-GB"/>
        </w:rPr>
        <w:t xml:space="preserve"> to</w:t>
      </w:r>
      <w:r w:rsidR="00C7598C" w:rsidRPr="00BF7B7C">
        <w:rPr>
          <w:rFonts w:ascii="Arial" w:hAnsi="Arial" w:cs="Arial"/>
          <w:color w:val="000000"/>
          <w:lang w:val="en-GB"/>
        </w:rPr>
        <w:t xml:space="preserve"> d</w:t>
      </w:r>
      <w:r w:rsidR="00294736">
        <w:rPr>
          <w:rFonts w:ascii="Arial" w:hAnsi="Arial" w:cs="Arial"/>
          <w:color w:val="000000"/>
          <w:lang w:val="en-GB"/>
        </w:rPr>
        <w:t>iagnosis of advanced disease 0.36 years (range 0-20) and m</w:t>
      </w:r>
      <w:r w:rsidR="00C7598C" w:rsidRPr="00BF7B7C">
        <w:rPr>
          <w:rFonts w:ascii="Arial" w:hAnsi="Arial" w:cs="Arial"/>
          <w:color w:val="000000"/>
          <w:lang w:val="en-GB"/>
        </w:rPr>
        <w:t xml:space="preserve">edian </w:t>
      </w:r>
      <w:r w:rsidR="003243E4" w:rsidRPr="00BF7B7C">
        <w:rPr>
          <w:rFonts w:ascii="Arial" w:hAnsi="Arial" w:cs="Arial"/>
          <w:color w:val="000000"/>
          <w:lang w:val="en-GB"/>
        </w:rPr>
        <w:t>CrCl</w:t>
      </w:r>
      <w:r w:rsidR="00C7598C" w:rsidRPr="00BF7B7C">
        <w:rPr>
          <w:rFonts w:ascii="Arial" w:hAnsi="Arial" w:cs="Arial"/>
          <w:color w:val="000000"/>
          <w:lang w:val="en-GB"/>
        </w:rPr>
        <w:t xml:space="preserve"> 62.8 ml/min. </w:t>
      </w:r>
      <w:r w:rsidR="00C7598C" w:rsidRPr="00BF7B7C">
        <w:rPr>
          <w:rFonts w:ascii="Arial" w:hAnsi="Arial" w:cs="Arial"/>
          <w:color w:val="000000"/>
          <w:lang w:val="en-US"/>
        </w:rPr>
        <w:t>Post chemotherapy surgery was reported in 77 patients (5%).</w:t>
      </w:r>
      <w:r w:rsidR="003C6E0B">
        <w:rPr>
          <w:rFonts w:ascii="Arial" w:hAnsi="Arial" w:cs="Arial"/>
          <w:color w:val="000000"/>
          <w:lang w:val="en-US"/>
        </w:rPr>
        <w:t xml:space="preserve"> </w:t>
      </w:r>
      <w:r w:rsidR="00A02145">
        <w:rPr>
          <w:rFonts w:ascii="Arial" w:hAnsi="Arial" w:cs="Arial"/>
          <w:color w:val="000000"/>
          <w:lang w:val="en-US"/>
        </w:rPr>
        <w:t>Survival data were available for</w:t>
      </w:r>
      <w:r w:rsidR="005572DC">
        <w:rPr>
          <w:rFonts w:ascii="Arial" w:hAnsi="Arial" w:cs="Arial"/>
          <w:color w:val="000000"/>
          <w:lang w:val="en-US"/>
        </w:rPr>
        <w:t xml:space="preserve"> 1361</w:t>
      </w:r>
      <w:r w:rsidR="005572DC" w:rsidRPr="005572DC">
        <w:rPr>
          <w:rFonts w:ascii="Arial" w:hAnsi="Arial" w:cs="Arial"/>
          <w:color w:val="000000"/>
          <w:lang w:val="en-US"/>
        </w:rPr>
        <w:t xml:space="preserve"> </w:t>
      </w:r>
      <w:r w:rsidR="00A02145">
        <w:rPr>
          <w:rFonts w:ascii="Arial" w:hAnsi="Arial" w:cs="Arial"/>
          <w:color w:val="000000"/>
          <w:lang w:val="en-US"/>
        </w:rPr>
        <w:t>patients who</w:t>
      </w:r>
      <w:r w:rsidR="005572DC" w:rsidRPr="005572DC">
        <w:rPr>
          <w:rFonts w:ascii="Arial" w:hAnsi="Arial" w:cs="Arial"/>
          <w:color w:val="000000"/>
          <w:lang w:val="en-US"/>
        </w:rPr>
        <w:t xml:space="preserve"> were included in </w:t>
      </w:r>
      <w:r w:rsidR="00A02145">
        <w:rPr>
          <w:rFonts w:ascii="Arial" w:hAnsi="Arial" w:cs="Arial"/>
          <w:color w:val="000000"/>
          <w:lang w:val="en-US"/>
        </w:rPr>
        <w:t>the survival analyses</w:t>
      </w:r>
      <w:r w:rsidR="005572DC" w:rsidRPr="005572DC">
        <w:rPr>
          <w:rFonts w:ascii="Arial" w:hAnsi="Arial" w:cs="Arial"/>
          <w:color w:val="000000"/>
          <w:lang w:val="en-US"/>
        </w:rPr>
        <w:t>.</w:t>
      </w:r>
      <w:r w:rsidR="00A02145" w:rsidRPr="00A02145">
        <w:rPr>
          <w:lang w:val="en-US"/>
        </w:rPr>
        <w:t xml:space="preserve"> </w:t>
      </w:r>
      <w:r w:rsidR="00A02145" w:rsidRPr="00A02145">
        <w:rPr>
          <w:rFonts w:ascii="Arial" w:hAnsi="Arial" w:cs="Arial"/>
          <w:color w:val="000000"/>
          <w:lang w:val="en-US"/>
        </w:rPr>
        <w:t>Objective tumor responses to 1st-line chemotherapy were reported in 62% of the 1263 assessable patients. Complete responses were significantly more frequent among cisplatin-treated patients (11% vs 4%, p=0.03).</w:t>
      </w:r>
    </w:p>
    <w:p w14:paraId="17E2150A" w14:textId="77777777" w:rsidR="00C7598C" w:rsidRPr="00BF7B7C" w:rsidRDefault="00C7598C">
      <w:pPr>
        <w:autoSpaceDE w:val="0"/>
        <w:autoSpaceDN w:val="0"/>
        <w:adjustRightInd w:val="0"/>
        <w:spacing w:line="480" w:lineRule="auto"/>
        <w:jc w:val="both"/>
        <w:rPr>
          <w:rFonts w:ascii="Arial" w:hAnsi="Arial" w:cs="Arial"/>
          <w:b/>
          <w:color w:val="000000"/>
          <w:lang w:val="en-GB"/>
        </w:rPr>
      </w:pPr>
    </w:p>
    <w:p w14:paraId="574DD036" w14:textId="77777777" w:rsidR="00C7598C" w:rsidRPr="00BF7B7C" w:rsidRDefault="00C7598C">
      <w:pPr>
        <w:autoSpaceDE w:val="0"/>
        <w:autoSpaceDN w:val="0"/>
        <w:adjustRightInd w:val="0"/>
        <w:spacing w:line="480" w:lineRule="auto"/>
        <w:jc w:val="both"/>
        <w:rPr>
          <w:rFonts w:ascii="Arial" w:hAnsi="Arial" w:cs="Arial"/>
          <w:i/>
          <w:color w:val="000000"/>
          <w:lang w:val="en-GB"/>
        </w:rPr>
      </w:pPr>
      <w:r w:rsidRPr="00BF7B7C">
        <w:rPr>
          <w:rFonts w:ascii="Arial" w:hAnsi="Arial" w:cs="Arial"/>
          <w:i/>
          <w:color w:val="000000"/>
          <w:lang w:val="en-GB"/>
        </w:rPr>
        <w:t>Treatment patterns</w:t>
      </w:r>
    </w:p>
    <w:p w14:paraId="5F398E91" w14:textId="3FD3DBD6" w:rsidR="00C7598C" w:rsidRPr="00BF7B7C" w:rsidRDefault="00C7598C">
      <w:pPr>
        <w:autoSpaceDE w:val="0"/>
        <w:autoSpaceDN w:val="0"/>
        <w:adjustRightInd w:val="0"/>
        <w:spacing w:line="480" w:lineRule="auto"/>
        <w:jc w:val="both"/>
        <w:rPr>
          <w:rFonts w:ascii="Arial" w:hAnsi="Arial" w:cs="Arial"/>
          <w:color w:val="000000"/>
          <w:lang w:val="en-US"/>
        </w:rPr>
      </w:pPr>
      <w:r w:rsidRPr="00BF7B7C">
        <w:rPr>
          <w:rFonts w:ascii="Arial" w:hAnsi="Arial" w:cs="Arial"/>
          <w:color w:val="000000"/>
          <w:lang w:val="en-GB"/>
        </w:rPr>
        <w:t>Cisplatin-based 1</w:t>
      </w:r>
      <w:r w:rsidRPr="00BF7B7C">
        <w:rPr>
          <w:rFonts w:ascii="Arial" w:hAnsi="Arial" w:cs="Arial"/>
          <w:color w:val="000000"/>
          <w:vertAlign w:val="superscript"/>
          <w:lang w:val="en-GB"/>
        </w:rPr>
        <w:t>st</w:t>
      </w:r>
      <w:r w:rsidRPr="00BF7B7C">
        <w:rPr>
          <w:rFonts w:ascii="Arial" w:hAnsi="Arial" w:cs="Arial"/>
          <w:color w:val="000000"/>
          <w:lang w:val="en-GB"/>
        </w:rPr>
        <w:t>-line chemotherapy was administered to 722 patients, carboplatin-based to 428 and other therapies to 276</w:t>
      </w:r>
      <w:r w:rsidR="00A02145">
        <w:rPr>
          <w:rFonts w:ascii="Arial" w:hAnsi="Arial" w:cs="Arial"/>
          <w:color w:val="000000"/>
          <w:lang w:val="en-US"/>
        </w:rPr>
        <w:t xml:space="preserve">. Baseline characteristics of each chemotherapy group are shown in </w:t>
      </w:r>
      <w:r w:rsidR="00B77F59">
        <w:rPr>
          <w:rFonts w:ascii="Arial" w:hAnsi="Arial" w:cs="Arial"/>
          <w:color w:val="000000"/>
          <w:lang w:val="en-US"/>
        </w:rPr>
        <w:t>Table 1</w:t>
      </w:r>
      <w:r w:rsidR="00A02145">
        <w:rPr>
          <w:rFonts w:ascii="Arial" w:hAnsi="Arial" w:cs="Arial"/>
          <w:color w:val="000000"/>
          <w:lang w:val="en-US"/>
        </w:rPr>
        <w:t xml:space="preserve"> and</w:t>
      </w:r>
      <w:r w:rsidRPr="00BF7B7C">
        <w:rPr>
          <w:rFonts w:ascii="Arial" w:hAnsi="Arial" w:cs="Arial"/>
          <w:color w:val="000000"/>
          <w:lang w:val="en-GB"/>
        </w:rPr>
        <w:t xml:space="preserve"> </w:t>
      </w:r>
      <w:r w:rsidR="00A02145">
        <w:rPr>
          <w:rFonts w:ascii="Arial" w:hAnsi="Arial" w:cs="Arial"/>
          <w:color w:val="000000"/>
          <w:lang w:val="en-GB"/>
        </w:rPr>
        <w:t>d</w:t>
      </w:r>
      <w:r w:rsidRPr="00BF7B7C">
        <w:rPr>
          <w:rFonts w:ascii="Arial" w:hAnsi="Arial" w:cs="Arial"/>
          <w:color w:val="000000"/>
          <w:lang w:val="en-GB"/>
        </w:rPr>
        <w:t>etailed description of systemic therapy administered is shown in Supplementa</w:t>
      </w:r>
      <w:r w:rsidR="00A04B44" w:rsidRPr="00BF7B7C">
        <w:rPr>
          <w:rFonts w:ascii="Arial" w:hAnsi="Arial" w:cs="Arial"/>
          <w:color w:val="000000"/>
          <w:lang w:val="en-GB"/>
        </w:rPr>
        <w:t>ry</w:t>
      </w:r>
      <w:r w:rsidR="007F0C3D">
        <w:rPr>
          <w:rFonts w:ascii="Arial" w:hAnsi="Arial" w:cs="Arial"/>
          <w:color w:val="000000"/>
          <w:lang w:val="en-GB"/>
        </w:rPr>
        <w:t xml:space="preserve"> Table 2</w:t>
      </w:r>
      <w:r w:rsidRPr="00BF7B7C">
        <w:rPr>
          <w:rFonts w:ascii="Arial" w:hAnsi="Arial" w:cs="Arial"/>
          <w:color w:val="000000"/>
          <w:lang w:val="en-GB"/>
        </w:rPr>
        <w:t>. Cisplatin administration was associated with younger age, m</w:t>
      </w:r>
      <w:r w:rsidR="00A02145">
        <w:rPr>
          <w:rFonts w:ascii="Arial" w:hAnsi="Arial" w:cs="Arial"/>
          <w:color w:val="000000"/>
          <w:lang w:val="en-GB"/>
        </w:rPr>
        <w:t xml:space="preserve">ale gender, less frequent </w:t>
      </w:r>
      <w:r w:rsidRPr="00BF7B7C">
        <w:rPr>
          <w:rFonts w:ascii="Arial" w:hAnsi="Arial" w:cs="Arial"/>
          <w:color w:val="000000"/>
          <w:lang w:val="en-GB"/>
        </w:rPr>
        <w:t xml:space="preserve">neoadjuvant chemotherapy, </w:t>
      </w:r>
      <w:r w:rsidR="00DE56D3" w:rsidRPr="00BF7B7C">
        <w:rPr>
          <w:rFonts w:ascii="Arial" w:hAnsi="Arial" w:cs="Arial"/>
          <w:color w:val="000000"/>
          <w:lang w:val="en-GB"/>
        </w:rPr>
        <w:t>better PS and renal function, less frequent distant metastases</w:t>
      </w:r>
      <w:r w:rsidR="00A02145">
        <w:rPr>
          <w:rFonts w:ascii="Arial" w:hAnsi="Arial" w:cs="Arial"/>
          <w:color w:val="000000"/>
          <w:lang w:val="en-GB"/>
        </w:rPr>
        <w:t xml:space="preserve"> </w:t>
      </w:r>
      <w:r w:rsidRPr="00BF7B7C">
        <w:rPr>
          <w:rFonts w:ascii="Arial" w:hAnsi="Arial" w:cs="Arial"/>
          <w:color w:val="000000"/>
          <w:lang w:val="en-GB"/>
        </w:rPr>
        <w:t xml:space="preserve">and high-volume centers. Cisplatin-treated patients also had a lower </w:t>
      </w:r>
      <w:r w:rsidR="003B2900" w:rsidRPr="00BF7B7C">
        <w:rPr>
          <w:rFonts w:ascii="Arial" w:hAnsi="Arial" w:cs="Arial"/>
          <w:color w:val="000000"/>
          <w:lang w:val="en-GB"/>
        </w:rPr>
        <w:t>CCI</w:t>
      </w:r>
      <w:r w:rsidRPr="00BF7B7C">
        <w:rPr>
          <w:rFonts w:ascii="Arial" w:hAnsi="Arial" w:cs="Arial"/>
          <w:color w:val="000000"/>
          <w:lang w:val="en-GB"/>
        </w:rPr>
        <w:t>: specifically, hypertension, diabetes, chronic obstructive pulmonary disease (COPD), coronary artery disease (CAD), congestive heart failure (CHF), hyperlipidaemia and cerebrovascular disease (CVD) were less frequent among cisplatin-treated patients</w:t>
      </w:r>
      <w:r w:rsidR="000D0FCF">
        <w:rPr>
          <w:rFonts w:ascii="Arial" w:hAnsi="Arial" w:cs="Arial"/>
          <w:color w:val="000000"/>
          <w:lang w:val="en-GB"/>
        </w:rPr>
        <w:t xml:space="preserve"> (Supplementary </w:t>
      </w:r>
      <w:r w:rsidR="007F0C3D">
        <w:rPr>
          <w:rFonts w:ascii="Arial" w:hAnsi="Arial" w:cs="Arial"/>
          <w:color w:val="000000"/>
          <w:lang w:val="en-GB"/>
        </w:rPr>
        <w:t>Table 3</w:t>
      </w:r>
      <w:r w:rsidR="00A04B44" w:rsidRPr="00BF7B7C">
        <w:rPr>
          <w:rFonts w:ascii="Arial" w:hAnsi="Arial" w:cs="Arial"/>
          <w:color w:val="000000"/>
          <w:lang w:val="en-GB"/>
        </w:rPr>
        <w:t>)</w:t>
      </w:r>
      <w:r w:rsidRPr="00BF7B7C">
        <w:rPr>
          <w:rFonts w:ascii="Arial" w:hAnsi="Arial" w:cs="Arial"/>
          <w:color w:val="000000"/>
          <w:lang w:val="en-GB"/>
        </w:rPr>
        <w:t>.</w:t>
      </w:r>
    </w:p>
    <w:p w14:paraId="3E1F408B" w14:textId="77777777" w:rsidR="00C7598C" w:rsidRPr="00BF7B7C" w:rsidRDefault="00C7598C">
      <w:pPr>
        <w:autoSpaceDE w:val="0"/>
        <w:autoSpaceDN w:val="0"/>
        <w:adjustRightInd w:val="0"/>
        <w:spacing w:line="480" w:lineRule="auto"/>
        <w:jc w:val="both"/>
        <w:rPr>
          <w:rFonts w:ascii="Arial" w:hAnsi="Arial" w:cs="Arial"/>
          <w:color w:val="000000"/>
          <w:lang w:val="en-GB"/>
        </w:rPr>
      </w:pPr>
    </w:p>
    <w:p w14:paraId="4FFBF59A" w14:textId="77777777" w:rsidR="00C7598C" w:rsidRPr="00BF7B7C" w:rsidRDefault="00731C16">
      <w:pPr>
        <w:autoSpaceDE w:val="0"/>
        <w:autoSpaceDN w:val="0"/>
        <w:adjustRightInd w:val="0"/>
        <w:spacing w:line="480" w:lineRule="auto"/>
        <w:jc w:val="both"/>
        <w:rPr>
          <w:rFonts w:ascii="Arial" w:hAnsi="Arial" w:cs="Arial"/>
          <w:i/>
          <w:color w:val="000000"/>
          <w:lang w:val="en-GB"/>
        </w:rPr>
      </w:pPr>
      <w:r>
        <w:rPr>
          <w:rFonts w:ascii="Arial" w:hAnsi="Arial" w:cs="Arial"/>
          <w:i/>
          <w:color w:val="000000"/>
          <w:lang w:val="en-GB"/>
        </w:rPr>
        <w:t>Eligibility</w:t>
      </w:r>
      <w:r w:rsidR="00C7598C" w:rsidRPr="00BF7B7C">
        <w:rPr>
          <w:rFonts w:ascii="Arial" w:hAnsi="Arial" w:cs="Arial"/>
          <w:i/>
          <w:color w:val="000000"/>
          <w:lang w:val="en-GB"/>
        </w:rPr>
        <w:t>-for-cisplatin</w:t>
      </w:r>
    </w:p>
    <w:p w14:paraId="1009FE5F" w14:textId="475CD5C7" w:rsidR="00C7598C" w:rsidRPr="00BF7B7C" w:rsidRDefault="008A000F">
      <w:pPr>
        <w:autoSpaceDE w:val="0"/>
        <w:autoSpaceDN w:val="0"/>
        <w:adjustRightInd w:val="0"/>
        <w:spacing w:line="480" w:lineRule="auto"/>
        <w:jc w:val="both"/>
        <w:rPr>
          <w:rFonts w:ascii="Arial" w:hAnsi="Arial" w:cs="Arial"/>
          <w:color w:val="000000"/>
          <w:lang w:val="en-US"/>
        </w:rPr>
      </w:pPr>
      <w:r>
        <w:rPr>
          <w:rFonts w:ascii="Arial" w:hAnsi="Arial" w:cs="Arial"/>
          <w:color w:val="000000"/>
          <w:lang w:val="en-GB"/>
        </w:rPr>
        <w:t>The r</w:t>
      </w:r>
      <w:r w:rsidR="00C7598C" w:rsidRPr="00BF7B7C">
        <w:rPr>
          <w:rFonts w:ascii="Arial" w:hAnsi="Arial" w:cs="Arial"/>
          <w:color w:val="000000"/>
          <w:lang w:val="en-US"/>
        </w:rPr>
        <w:t>eason for using carboplatin instead of cisplatin was provided</w:t>
      </w:r>
      <w:r>
        <w:rPr>
          <w:rFonts w:ascii="Arial" w:hAnsi="Arial" w:cs="Arial"/>
          <w:color w:val="000000"/>
          <w:lang w:val="en-US"/>
        </w:rPr>
        <w:t xml:space="preserve"> by the investigators</w:t>
      </w:r>
      <w:r w:rsidR="00C7598C" w:rsidRPr="00BF7B7C">
        <w:rPr>
          <w:rFonts w:ascii="Arial" w:hAnsi="Arial" w:cs="Arial"/>
          <w:color w:val="000000"/>
          <w:lang w:val="en-US"/>
        </w:rPr>
        <w:t xml:space="preserve"> in 13</w:t>
      </w:r>
      <w:r>
        <w:rPr>
          <w:rFonts w:ascii="Arial" w:hAnsi="Arial" w:cs="Arial"/>
          <w:color w:val="000000"/>
          <w:lang w:val="en-US"/>
        </w:rPr>
        <w:t>8 cases. The reasons quoted were</w:t>
      </w:r>
      <w:r w:rsidR="00C7598C" w:rsidRPr="00BF7B7C">
        <w:rPr>
          <w:rFonts w:ascii="Arial" w:hAnsi="Arial" w:cs="Arial"/>
          <w:color w:val="000000"/>
          <w:lang w:val="en-US"/>
        </w:rPr>
        <w:t xml:space="preserve">: comorbidities (n=38), impaired renal function (n=156), poor PS (n=20), previous exposure to cisplatin (n=13), participation in clinical study (n=3), hearing loss (n=2), pre-existing neuropathy (n=1) </w:t>
      </w:r>
      <w:r w:rsidR="004F0B6E" w:rsidRPr="00BF7B7C">
        <w:rPr>
          <w:rFonts w:ascii="Arial" w:hAnsi="Arial" w:cs="Arial"/>
          <w:color w:val="000000"/>
          <w:lang w:val="en-US"/>
        </w:rPr>
        <w:t xml:space="preserve">and </w:t>
      </w:r>
      <w:r w:rsidR="00C7598C" w:rsidRPr="00BF7B7C">
        <w:rPr>
          <w:rFonts w:ascii="Arial" w:hAnsi="Arial" w:cs="Arial"/>
          <w:color w:val="000000"/>
          <w:lang w:val="en-US"/>
        </w:rPr>
        <w:t>concerns about toxicity (n=6). Comorbidities included CHF in only 3 cases, while the remaining included a variety of conditions with COPD being the more frequent (n=10). Advanced age was also quoted in 51 cases. The patients of this group were significantly older than the patients receiving cisplatin (mean age: 78 vs. 64, p&lt;.001)</w:t>
      </w:r>
    </w:p>
    <w:p w14:paraId="711876F2" w14:textId="35957CF4" w:rsidR="00C7598C" w:rsidRPr="00BF7B7C" w:rsidRDefault="000D0FCF">
      <w:pPr>
        <w:autoSpaceDE w:val="0"/>
        <w:autoSpaceDN w:val="0"/>
        <w:adjustRightInd w:val="0"/>
        <w:spacing w:line="480" w:lineRule="auto"/>
        <w:jc w:val="both"/>
        <w:rPr>
          <w:rFonts w:ascii="Arial" w:hAnsi="Arial" w:cs="Arial"/>
          <w:color w:val="000000"/>
          <w:lang w:val="en-US"/>
        </w:rPr>
      </w:pPr>
      <w:r>
        <w:rPr>
          <w:rFonts w:ascii="Arial" w:hAnsi="Arial" w:cs="Arial"/>
          <w:color w:val="000000"/>
          <w:lang w:val="en-US"/>
        </w:rPr>
        <w:t xml:space="preserve">Adequate data </w:t>
      </w:r>
      <w:r w:rsidR="008A000F">
        <w:rPr>
          <w:rFonts w:ascii="Arial" w:hAnsi="Arial" w:cs="Arial"/>
          <w:color w:val="000000"/>
          <w:lang w:val="en-US"/>
        </w:rPr>
        <w:t>to assess eligibility-for-cisplatin</w:t>
      </w:r>
      <w:r w:rsidR="00C7598C" w:rsidRPr="00BF7B7C">
        <w:rPr>
          <w:rFonts w:ascii="Arial" w:hAnsi="Arial" w:cs="Arial"/>
          <w:color w:val="000000"/>
          <w:lang w:val="en-US"/>
        </w:rPr>
        <w:t xml:space="preserve"> according to Galsky’s criteria</w:t>
      </w:r>
      <w:hyperlink w:anchor="_ENREF_9" w:tooltip="Galsky, 2011 #4762" w:history="1">
        <w:r w:rsidR="00224D48" w:rsidRPr="00BF7B7C">
          <w:rPr>
            <w:rFonts w:ascii="Arial" w:hAnsi="Arial" w:cs="Arial"/>
            <w:color w:val="000000"/>
            <w:lang w:val="en-US"/>
          </w:rPr>
          <w:fldChar w:fldCharType="begin">
            <w:fldData xml:space="preserve">PEVuZE5vdGU+PENpdGU+PEF1dGhvcj5HYWxza3k8L0F1dGhvcj48WWVhcj4yMDExPC9ZZWFyPjxS
ZWNOdW0+NDc2MjwvUmVjTnVtPjxEaXNwbGF5VGV4dD48c3R5bGUgZmFjZT0ic3VwZXJzY3JpcHQi
Pjk8L3N0eWxlPjwvRGlzcGxheVRleHQ+PHJlY29yZD48cmVjLW51bWJlcj40NzYyPC9yZWMtbnVt
YmVyPjxmb3JlaWduLWtleXM+PGtleSBhcHA9IkVOIiBkYi1pZD0iMnd4YXMwYWZhemEycm9lZHph
OXAwYXNoOWZzcmQyemFmdDVmIj40NzYyPC9rZXk+PC9mb3JlaWduLWtleXM+PHJlZi10eXBlIG5h
bWU9IkpvdXJuYWwgQXJ0aWNsZSI+MTc8L3JlZi10eXBlPjxjb250cmlidXRvcnM+PGF1dGhvcnM+
PGF1dGhvcj5HYWxza3ksIE0uIEQuPC9hdXRob3I+PGF1dGhvcj5IYWhuLCBOLiBNLjwvYXV0aG9y
PjxhdXRob3I+Um9zZW5iZXJnLCBKLjwvYXV0aG9yPjxhdXRob3I+U29ucGF2ZGUsIEcuPC9hdXRo
b3I+PGF1dGhvcj5IdXRzb24sIFQuPC9hdXRob3I+PGF1dGhvcj5PaCwgVy4gSy48L2F1dGhvcj48
YXV0aG9yPkRyZWljZXIsIFIuPC9hdXRob3I+PGF1dGhvcj5Wb2dlbHphbmcsIE4uPC9hdXRob3I+
PGF1dGhvcj5TdGVybmJlcmcsIEMuIE4uPC9hdXRob3I+PGF1dGhvcj5CYWpvcmluLCBELiBGLjwv
YXV0aG9yPjxhdXRob3I+QmVsbG11bnQsIEouPC9hdXRob3I+PC9hdXRob3JzPjwvY29udHJpYnV0
b3JzPjxhdXRoLWFkZHJlc3M+TW91bnQgU2luYWkgU2Nob29sIG9mIE1lZGljaW5lLCBUaXNjaCBD
YW5jZXIgSW5zdGl0dXRlLCAxIEd1c3RhdmUgTC4gTGV2eSBQbGFjZSwgTmV3IFlvcmssIE5ZIDEw
MDI5LCBVU0EuIG1hdHRoZXcuZ2Fsc2t5QG1zc20uZWR1PC9hdXRoLWFkZHJlc3M+PHRpdGxlcz48
dGl0bGU+VHJlYXRtZW50IG9mIHBhdGllbnRzIHdpdGggbWV0YXN0YXRpYyB1cm90aGVsaWFsIGNh
bmNlciAmcXVvdDt1bmZpdCZxdW90OyBmb3IgQ2lzcGxhdGluLWJhc2VkIGNoZW1vdGhlcmFweTwv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aXRsZXM+PHBlcmlvZGljYWw+PGZ1bGwtdGl0bGU+SiBDbGluIE9uY29sPC9mdWxsLXRpdGxlPjwv
cGVyaW9kaWNhbD48cGFnZXM+MjQzMi04PC9wYWdlcz48dm9sdW1lPjI5PC92b2x1bWU+PG51bWJl
cj4xNzwvbnVtYmVyPjxrZXl3b3Jkcz48a2V5d29yZD5BZ2VkPC9rZXl3b3JkPjxrZXl3b3JkPkFu
dGluZW9wbGFzdGljIEFnZW50cy8qdGhlcmFwZXV0aWMgdXNlPC9rZXl3b3JkPjxrZXl3b3JkPkNh
cmJvcGxhdGluL3RoZXJhcGV1dGljIHVzZTwva2V5d29yZD48a2V5d29yZD5DaXNwbGF0aW4vKnRo
ZXJhcGV1dGljIHVzZTwva2V5d29yZD48a2V5d29yZD5DbGluaWNhbCBUcmlhbHMsIFBoYXNlIElJ
IGFzIFRvcGljPC9rZXl3b3JkPjxrZXl3b3JkPkNsaW5pY2FsIFRyaWFscywgUGhhc2UgSUlJIGFz
IFRvcGljPC9rZXl3b3JkPjxrZXl3b3JkPkNvbW9yYmlkaXR5PC9rZXl3b3JkPjxrZXl3b3JkPkh1
bWFuczwva2V5d29yZD48a2V5d29yZD5LaWRuZXkvcGh5c2lvcGF0aG9sb2d5PC9rZXl3b3JkPjxr
ZXl3b3JkPk5lb3BsYXNtIE1ldGFzdGFzaXM8L2tleXdvcmQ+PGtleXdvcmQ+VXJvbG9naWMgTmVv
cGxhc21zLypkcnVnIHRoZXJhcHkvcGF0aG9sb2d5L3BoeXNpb3BhdGhvbG9neTwva2V5d29yZD48
a2V5d29yZD5Vcm90aGVsaXVtL3BhdGhvbG9neTwva2V5d29yZD48L2tleXdvcmRzPjxkYXRlcz48
eWVhcj4yMDExPC95ZWFyPjxwdWItZGF0ZXM+PGRhdGU+SnVuIDEwPC9kYXRlPjwvcHViLWRhdGVz
PjwvZGF0ZXM+PGlzYm4+MTUyNy03NzU1IChFbGVjdHJvbmljKSYjeEQ7MDczMi0xODNYIChMaW5r
aW5nKTwvaXNibj48YWNjZXNzaW9uLW51bT4yMTU1NTY4ODwvYWNjZXNzaW9uLW51bT48dXJscz48
cmVsYXRlZC11cmxzPjx1cmw+aHR0cDovL3d3dy5uY2JpLm5sbS5uaWguZ292L3B1Ym1lZC8yMTU1
NTY4ODwvdXJsPjwvcmVsYXRlZC11cmxzPjwvdXJscz48ZWxlY3Ryb25pYy1yZXNvdXJjZS1udW0+
MTAuMTIwMC9KQ08uMjAxMS4zNC44NDMzPC9lbGVjdHJvbmljLXJlc291cmNlLW51bT48L3JlY29y
ZD48L0NpdGU+PC9FbmROb3RlPgB=
</w:fldData>
          </w:fldChar>
        </w:r>
        <w:r w:rsidR="008822D4" w:rsidRPr="00BF7B7C">
          <w:rPr>
            <w:rFonts w:ascii="Arial" w:hAnsi="Arial" w:cs="Arial"/>
            <w:color w:val="000000"/>
            <w:lang w:val="en-US"/>
          </w:rPr>
          <w:instrText xml:space="preserve"> ADDIN EN.CITE </w:instrText>
        </w:r>
        <w:r w:rsidR="00224D48" w:rsidRPr="00BF7B7C">
          <w:rPr>
            <w:rFonts w:ascii="Arial" w:hAnsi="Arial" w:cs="Arial"/>
            <w:color w:val="000000"/>
            <w:lang w:val="en-US"/>
          </w:rPr>
          <w:fldChar w:fldCharType="begin">
            <w:fldData xml:space="preserve">PEVuZE5vdGU+PENpdGU+PEF1dGhvcj5HYWxza3k8L0F1dGhvcj48WWVhcj4yMDExPC9ZZWFyPjxS
ZWNOdW0+NDc2MjwvUmVjTnVtPjxEaXNwbGF5VGV4dD48c3R5bGUgZmFjZT0ic3VwZXJzY3JpcHQi
Pjk8L3N0eWxlPjwvRGlzcGxheVRleHQ+PHJlY29yZD48cmVjLW51bWJlcj40NzYyPC9yZWMtbnVt
YmVyPjxmb3JlaWduLWtleXM+PGtleSBhcHA9IkVOIiBkYi1pZD0iMnd4YXMwYWZhemEycm9lZHph
OXAwYXNoOWZzcmQyemFmdDVmIj40NzYyPC9rZXk+PC9mb3JlaWduLWtleXM+PHJlZi10eXBlIG5h
bWU9IkpvdXJuYWwgQXJ0aWNsZSI+MTc8L3JlZi10eXBlPjxjb250cmlidXRvcnM+PGF1dGhvcnM+
PGF1dGhvcj5HYWxza3ksIE0uIEQuPC9hdXRob3I+PGF1dGhvcj5IYWhuLCBOLiBNLjwvYXV0aG9y
PjxhdXRob3I+Um9zZW5iZXJnLCBKLjwvYXV0aG9yPjxhdXRob3I+U29ucGF2ZGUsIEcuPC9hdXRo
b3I+PGF1dGhvcj5IdXRzb24sIFQuPC9hdXRob3I+PGF1dGhvcj5PaCwgVy4gSy48L2F1dGhvcj48
YXV0aG9yPkRyZWljZXIsIFIuPC9hdXRob3I+PGF1dGhvcj5Wb2dlbHphbmcsIE4uPC9hdXRob3I+
PGF1dGhvcj5TdGVybmJlcmcsIEMuIE4uPC9hdXRob3I+PGF1dGhvcj5CYWpvcmluLCBELiBGLjwv
YXV0aG9yPjxhdXRob3I+QmVsbG11bnQsIEouPC9hdXRob3I+PC9hdXRob3JzPjwvY29udHJpYnV0
b3JzPjxhdXRoLWFkZHJlc3M+TW91bnQgU2luYWkgU2Nob29sIG9mIE1lZGljaW5lLCBUaXNjaCBD
YW5jZXIgSW5zdGl0dXRlLCAxIEd1c3RhdmUgTC4gTGV2eSBQbGFjZSwgTmV3IFlvcmssIE5ZIDEw
MDI5LCBVU0EuIG1hdHRoZXcuZ2Fsc2t5QG1zc20uZWR1PC9hdXRoLWFkZHJlc3M+PHRpdGxlcz48
dGl0bGU+VHJlYXRtZW50IG9mIHBhdGllbnRzIHdpdGggbWV0YXN0YXRpYyB1cm90aGVsaWFsIGNh
bmNlciAmcXVvdDt1bmZpdCZxdW90OyBmb3IgQ2lzcGxhdGluLWJhc2VkIGNoZW1vdGhlcmFweTwv
dGl0bGU+PHNlY29uZGFyeS10aXRsZT5KIENsaW4gT25jb2w8L3NlY29uZGFyeS10aXRsZT48YWx0
LXRpdGxlPkpvdXJuYWwgb2YgY2xpbmljYWwgb25jb2xvZ3kgOiBvZmZpY2lhbCBqb3VybmFsIG9m
IHRoZSBBbWVyaWNhbiBTb2NpZXR5IG9mIENsaW5pY2FsIE9uY29sb2d5PC9hbHQtdGl0bGU+PC90
aXRsZXM+PHBlcmlvZGljYWw+PGZ1bGwtdGl0bGU+SiBDbGluIE9uY29sPC9mdWxsLXRpdGxlPjwv
cGVyaW9kaWNhbD48cGFnZXM+MjQzMi04PC9wYWdlcz48dm9sdW1lPjI5PC92b2x1bWU+PG51bWJl
cj4xNzwvbnVtYmVyPjxrZXl3b3Jkcz48a2V5d29yZD5BZ2VkPC9rZXl3b3JkPjxrZXl3b3JkPkFu
dGluZW9wbGFzdGljIEFnZW50cy8qdGhlcmFwZXV0aWMgdXNlPC9rZXl3b3JkPjxrZXl3b3JkPkNh
cmJvcGxhdGluL3RoZXJhcGV1dGljIHVzZTwva2V5d29yZD48a2V5d29yZD5DaXNwbGF0aW4vKnRo
ZXJhcGV1dGljIHVzZTwva2V5d29yZD48a2V5d29yZD5DbGluaWNhbCBUcmlhbHMsIFBoYXNlIElJ
IGFzIFRvcGljPC9rZXl3b3JkPjxrZXl3b3JkPkNsaW5pY2FsIFRyaWFscywgUGhhc2UgSUlJIGFz
IFRvcGljPC9rZXl3b3JkPjxrZXl3b3JkPkNvbW9yYmlkaXR5PC9rZXl3b3JkPjxrZXl3b3JkPkh1
bWFuczwva2V5d29yZD48a2V5d29yZD5LaWRuZXkvcGh5c2lvcGF0aG9sb2d5PC9rZXl3b3JkPjxr
ZXl3b3JkPk5lb3BsYXNtIE1ldGFzdGFzaXM8L2tleXdvcmQ+PGtleXdvcmQ+VXJvbG9naWMgTmVv
cGxhc21zLypkcnVnIHRoZXJhcHkvcGF0aG9sb2d5L3BoeXNpb3BhdGhvbG9neTwva2V5d29yZD48
a2V5d29yZD5Vcm90aGVsaXVtL3BhdGhvbG9neTwva2V5d29yZD48L2tleXdvcmRzPjxkYXRlcz48
eWVhcj4yMDExPC95ZWFyPjxwdWItZGF0ZXM+PGRhdGU+SnVuIDEwPC9kYXRlPjwvcHViLWRhdGVz
PjwvZGF0ZXM+PGlzYm4+MTUyNy03NzU1IChFbGVjdHJvbmljKSYjeEQ7MDczMi0xODNYIChMaW5r
aW5nKTwvaXNibj48YWNjZXNzaW9uLW51bT4yMTU1NTY4ODwvYWNjZXNzaW9uLW51bT48dXJscz48
cmVsYXRlZC11cmxzPjx1cmw+aHR0cDovL3d3dy5uY2JpLm5sbS5uaWguZ292L3B1Ym1lZC8yMTU1
NTY4ODwvdXJsPjwvcmVsYXRlZC11cmxzPjwvdXJscz48ZWxlY3Ryb25pYy1yZXNvdXJjZS1udW0+
MTAuMTIwMC9KQ08uMjAxMS4zNC44NDMzPC9lbGVjdHJvbmljLXJlc291cmNlLW51bT48L3JlY29y
ZD48L0NpdGU+PC9FbmROb3RlPgB=
</w:fldData>
          </w:fldChar>
        </w:r>
        <w:r w:rsidR="008822D4" w:rsidRPr="00BF7B7C">
          <w:rPr>
            <w:rFonts w:ascii="Arial" w:hAnsi="Arial" w:cs="Arial"/>
            <w:color w:val="000000"/>
            <w:lang w:val="en-US"/>
          </w:rPr>
          <w:instrText xml:space="preserve"> ADDIN EN.CITE.DATA </w:instrText>
        </w:r>
        <w:r w:rsidR="00224D48" w:rsidRPr="00BF7B7C">
          <w:rPr>
            <w:rFonts w:ascii="Arial" w:hAnsi="Arial" w:cs="Arial"/>
            <w:color w:val="000000"/>
            <w:lang w:val="en-US"/>
          </w:rPr>
        </w:r>
        <w:r w:rsidR="00224D48" w:rsidRPr="00BF7B7C">
          <w:rPr>
            <w:rFonts w:ascii="Arial" w:hAnsi="Arial" w:cs="Arial"/>
            <w:color w:val="000000"/>
            <w:lang w:val="en-US"/>
          </w:rPr>
          <w:fldChar w:fldCharType="end"/>
        </w:r>
        <w:r w:rsidR="00224D48" w:rsidRPr="00BF7B7C">
          <w:rPr>
            <w:rFonts w:ascii="Arial" w:hAnsi="Arial" w:cs="Arial"/>
            <w:color w:val="000000"/>
            <w:lang w:val="en-US"/>
          </w:rPr>
        </w:r>
        <w:r w:rsidR="00224D48" w:rsidRPr="00BF7B7C">
          <w:rPr>
            <w:rFonts w:ascii="Arial" w:hAnsi="Arial" w:cs="Arial"/>
            <w:color w:val="000000"/>
            <w:lang w:val="en-US"/>
          </w:rPr>
          <w:fldChar w:fldCharType="separate"/>
        </w:r>
        <w:r w:rsidR="008822D4" w:rsidRPr="00BF7B7C">
          <w:rPr>
            <w:rFonts w:ascii="Arial" w:hAnsi="Arial" w:cs="Arial"/>
            <w:noProof/>
            <w:color w:val="000000"/>
            <w:vertAlign w:val="superscript"/>
            <w:lang w:val="en-US"/>
          </w:rPr>
          <w:t>9</w:t>
        </w:r>
        <w:r w:rsidR="00224D48" w:rsidRPr="00BF7B7C">
          <w:rPr>
            <w:rFonts w:ascii="Arial" w:hAnsi="Arial" w:cs="Arial"/>
            <w:color w:val="000000"/>
            <w:lang w:val="en-US"/>
          </w:rPr>
          <w:fldChar w:fldCharType="end"/>
        </w:r>
      </w:hyperlink>
      <w:r w:rsidR="00C7598C" w:rsidRPr="00BF7B7C">
        <w:rPr>
          <w:rFonts w:ascii="Arial" w:hAnsi="Arial" w:cs="Arial"/>
          <w:color w:val="000000"/>
          <w:lang w:val="en-US"/>
        </w:rPr>
        <w:t xml:space="preserve"> were available for </w:t>
      </w:r>
      <w:r w:rsidR="00280481" w:rsidRPr="00280481">
        <w:rPr>
          <w:rFonts w:ascii="Arial" w:hAnsi="Arial" w:cs="Arial"/>
          <w:color w:val="000000"/>
          <w:lang w:val="en-US"/>
        </w:rPr>
        <w:t>971 pa</w:t>
      </w:r>
      <w:r w:rsidR="00280481">
        <w:rPr>
          <w:rFonts w:ascii="Arial" w:hAnsi="Arial" w:cs="Arial"/>
          <w:color w:val="000000"/>
          <w:lang w:val="en-US"/>
        </w:rPr>
        <w:t xml:space="preserve">tients: 550 patients (56%) </w:t>
      </w:r>
      <w:r w:rsidR="00C7598C" w:rsidRPr="00BF7B7C">
        <w:rPr>
          <w:rFonts w:ascii="Arial" w:hAnsi="Arial" w:cs="Arial"/>
          <w:color w:val="000000"/>
          <w:lang w:val="en-US"/>
        </w:rPr>
        <w:t xml:space="preserve">had at least one criterion for </w:t>
      </w:r>
      <w:r w:rsidR="00D202DF">
        <w:rPr>
          <w:rFonts w:ascii="Arial" w:hAnsi="Arial" w:cs="Arial"/>
          <w:color w:val="000000"/>
          <w:lang w:val="en-US"/>
        </w:rPr>
        <w:t>ineligibility</w:t>
      </w:r>
      <w:r w:rsidR="00C7598C" w:rsidRPr="00BF7B7C">
        <w:rPr>
          <w:rFonts w:ascii="Arial" w:hAnsi="Arial" w:cs="Arial"/>
          <w:color w:val="000000"/>
          <w:lang w:val="en-US"/>
        </w:rPr>
        <w:t xml:space="preserve"> (</w:t>
      </w:r>
      <w:r w:rsidR="00FE7B14">
        <w:rPr>
          <w:rFonts w:ascii="Arial" w:hAnsi="Arial" w:cs="Arial"/>
          <w:color w:val="000000"/>
          <w:lang w:val="en-US"/>
        </w:rPr>
        <w:t xml:space="preserve">Supplementary </w:t>
      </w:r>
      <w:r w:rsidR="00567460">
        <w:rPr>
          <w:rFonts w:ascii="Arial" w:hAnsi="Arial" w:cs="Arial"/>
          <w:color w:val="000000"/>
          <w:lang w:val="en-US"/>
        </w:rPr>
        <w:t>Figure 1</w:t>
      </w:r>
      <w:r w:rsidR="00C7598C" w:rsidRPr="00BF7B7C">
        <w:rPr>
          <w:rFonts w:ascii="Arial" w:hAnsi="Arial" w:cs="Arial"/>
          <w:color w:val="000000"/>
          <w:lang w:val="en-US"/>
        </w:rPr>
        <w:t>). The most common criterion was CrCl&lt;60 ml/min (</w:t>
      </w:r>
      <w:r w:rsidR="00280481">
        <w:rPr>
          <w:rFonts w:ascii="Arial" w:hAnsi="Arial" w:cs="Arial"/>
          <w:color w:val="000000"/>
          <w:lang w:val="en-US"/>
        </w:rPr>
        <w:t>80</w:t>
      </w:r>
      <w:r w:rsidR="00C7598C" w:rsidRPr="00BF7B7C">
        <w:rPr>
          <w:rFonts w:ascii="Arial" w:hAnsi="Arial" w:cs="Arial"/>
          <w:color w:val="000000"/>
          <w:lang w:val="en-US"/>
        </w:rPr>
        <w:t>%) followed by PS</w:t>
      </w:r>
      <w:r w:rsidR="00C7598C" w:rsidRPr="00BF7B7C">
        <w:rPr>
          <w:rFonts w:ascii="Arial" w:hAnsi="Arial" w:cs="Arial"/>
          <w:color w:val="000000"/>
          <w:u w:val="single"/>
          <w:lang w:val="en-US"/>
        </w:rPr>
        <w:t>&gt;</w:t>
      </w:r>
      <w:r w:rsidR="00C7598C" w:rsidRPr="00BF7B7C">
        <w:rPr>
          <w:rFonts w:ascii="Arial" w:hAnsi="Arial" w:cs="Arial"/>
          <w:color w:val="000000"/>
          <w:lang w:val="en-US"/>
        </w:rPr>
        <w:t>2 (3</w:t>
      </w:r>
      <w:r w:rsidR="00280481">
        <w:rPr>
          <w:rFonts w:ascii="Arial" w:hAnsi="Arial" w:cs="Arial"/>
          <w:color w:val="000000"/>
          <w:lang w:val="en-US"/>
        </w:rPr>
        <w:t>5</w:t>
      </w:r>
      <w:r w:rsidR="00C7598C" w:rsidRPr="00BF7B7C">
        <w:rPr>
          <w:rFonts w:ascii="Arial" w:hAnsi="Arial" w:cs="Arial"/>
          <w:color w:val="000000"/>
          <w:lang w:val="en-US"/>
        </w:rPr>
        <w:t xml:space="preserve">%). </w:t>
      </w:r>
      <w:r w:rsidR="00BF1D30" w:rsidRPr="00BF7B7C">
        <w:rPr>
          <w:rFonts w:ascii="Arial" w:hAnsi="Arial" w:cs="Arial"/>
          <w:color w:val="000000"/>
          <w:lang w:val="en-US"/>
        </w:rPr>
        <w:t>B</w:t>
      </w:r>
      <w:r w:rsidR="00C7598C" w:rsidRPr="00BF7B7C">
        <w:rPr>
          <w:rFonts w:ascii="Arial" w:hAnsi="Arial" w:cs="Arial"/>
          <w:color w:val="000000"/>
          <w:lang w:val="en-US"/>
        </w:rPr>
        <w:t xml:space="preserve">one (32% vs. 23%, p=0.003) and distant metastases (58% vs. 51%, p=0.032) </w:t>
      </w:r>
      <w:r w:rsidR="00BF1D30" w:rsidRPr="00BF7B7C">
        <w:rPr>
          <w:rFonts w:ascii="Arial" w:hAnsi="Arial" w:cs="Arial"/>
          <w:color w:val="000000"/>
          <w:lang w:val="en-US"/>
        </w:rPr>
        <w:t>were more fre</w:t>
      </w:r>
      <w:r>
        <w:rPr>
          <w:rFonts w:ascii="Arial" w:hAnsi="Arial" w:cs="Arial"/>
          <w:color w:val="000000"/>
          <w:lang w:val="en-US"/>
        </w:rPr>
        <w:t>quent in ineligible</w:t>
      </w:r>
      <w:r w:rsidR="00BF1D30" w:rsidRPr="00BF7B7C">
        <w:rPr>
          <w:rFonts w:ascii="Arial" w:hAnsi="Arial" w:cs="Arial"/>
          <w:color w:val="000000"/>
          <w:lang w:val="en-US"/>
        </w:rPr>
        <w:t>-for-cisplatin</w:t>
      </w:r>
      <w:r w:rsidR="00C7598C" w:rsidRPr="00BF7B7C">
        <w:rPr>
          <w:rFonts w:ascii="Arial" w:hAnsi="Arial" w:cs="Arial"/>
          <w:color w:val="000000"/>
          <w:lang w:val="en-US"/>
        </w:rPr>
        <w:t xml:space="preserve"> patients. There was also a strong correlation with the MSKCC risk stratification: all </w:t>
      </w:r>
      <w:r w:rsidR="00852793">
        <w:rPr>
          <w:rFonts w:ascii="Arial" w:hAnsi="Arial" w:cs="Arial"/>
          <w:color w:val="000000"/>
          <w:lang w:val="en-US"/>
        </w:rPr>
        <w:t>eligible</w:t>
      </w:r>
      <w:r w:rsidR="00C7598C" w:rsidRPr="00BF7B7C">
        <w:rPr>
          <w:rFonts w:ascii="Arial" w:hAnsi="Arial" w:cs="Arial"/>
          <w:color w:val="000000"/>
          <w:lang w:val="en-US"/>
        </w:rPr>
        <w:t xml:space="preserve">-for-cisplatin patients were of low/intermediate risk, while only </w:t>
      </w:r>
      <w:r w:rsidR="00D202DF">
        <w:rPr>
          <w:rFonts w:ascii="Arial" w:hAnsi="Arial" w:cs="Arial"/>
          <w:color w:val="000000"/>
          <w:lang w:val="en-US"/>
        </w:rPr>
        <w:t>ineligible</w:t>
      </w:r>
      <w:r w:rsidR="00D202DF" w:rsidRPr="00BF7B7C">
        <w:rPr>
          <w:rFonts w:ascii="Arial" w:hAnsi="Arial" w:cs="Arial"/>
          <w:color w:val="000000"/>
          <w:lang w:val="en-US"/>
        </w:rPr>
        <w:t xml:space="preserve"> </w:t>
      </w:r>
      <w:r w:rsidR="00C7598C" w:rsidRPr="00BF7B7C">
        <w:rPr>
          <w:rFonts w:ascii="Arial" w:hAnsi="Arial" w:cs="Arial"/>
          <w:color w:val="000000"/>
          <w:lang w:val="en-US"/>
        </w:rPr>
        <w:t>patients were included in the high-risk group. The distribution of</w:t>
      </w:r>
      <w:r>
        <w:rPr>
          <w:rFonts w:ascii="Arial" w:hAnsi="Arial" w:cs="Arial"/>
          <w:color w:val="000000"/>
          <w:lang w:val="en-US"/>
        </w:rPr>
        <w:t xml:space="preserve"> </w:t>
      </w:r>
      <w:r w:rsidR="008A000F">
        <w:rPr>
          <w:rFonts w:ascii="Arial" w:hAnsi="Arial" w:cs="Arial"/>
          <w:color w:val="000000"/>
          <w:lang w:val="en-US"/>
        </w:rPr>
        <w:t>eligible</w:t>
      </w:r>
      <w:r w:rsidR="00C7598C" w:rsidRPr="00BF7B7C">
        <w:rPr>
          <w:rFonts w:ascii="Arial" w:hAnsi="Arial" w:cs="Arial"/>
          <w:color w:val="000000"/>
          <w:lang w:val="en-US"/>
        </w:rPr>
        <w:t xml:space="preserve"> patients across different treatment groups is shown in </w:t>
      </w:r>
      <w:r w:rsidR="008822D4" w:rsidRPr="00BF7B7C">
        <w:rPr>
          <w:rFonts w:ascii="Arial" w:hAnsi="Arial" w:cs="Arial"/>
          <w:color w:val="000000"/>
          <w:lang w:val="en-US"/>
        </w:rPr>
        <w:t xml:space="preserve">Table </w:t>
      </w:r>
      <w:r w:rsidR="00CA0131">
        <w:rPr>
          <w:rFonts w:ascii="Arial" w:hAnsi="Arial" w:cs="Arial"/>
          <w:color w:val="000000"/>
          <w:lang w:val="en-US"/>
        </w:rPr>
        <w:t>2</w:t>
      </w:r>
      <w:r w:rsidR="00C7598C" w:rsidRPr="00BF7B7C">
        <w:rPr>
          <w:rFonts w:ascii="Arial" w:hAnsi="Arial" w:cs="Arial"/>
          <w:color w:val="000000"/>
          <w:lang w:val="en-US"/>
        </w:rPr>
        <w:t xml:space="preserve">. One hundred-twenty-seven patients (25%) who did not receive cisplatin were </w:t>
      </w:r>
      <w:r w:rsidR="00D202DF">
        <w:rPr>
          <w:rFonts w:ascii="Arial" w:hAnsi="Arial" w:cs="Arial"/>
          <w:color w:val="000000"/>
          <w:lang w:val="en-US"/>
        </w:rPr>
        <w:t>eligible</w:t>
      </w:r>
      <w:r w:rsidR="00D202DF" w:rsidRPr="00BF7B7C">
        <w:rPr>
          <w:rFonts w:ascii="Arial" w:hAnsi="Arial" w:cs="Arial"/>
          <w:color w:val="000000"/>
          <w:lang w:val="en-US"/>
        </w:rPr>
        <w:t xml:space="preserve"> </w:t>
      </w:r>
      <w:r w:rsidR="00C7598C" w:rsidRPr="00BF7B7C">
        <w:rPr>
          <w:rFonts w:ascii="Arial" w:hAnsi="Arial" w:cs="Arial"/>
          <w:color w:val="000000"/>
          <w:lang w:val="en-US"/>
        </w:rPr>
        <w:t>for this agent. This deviation from Gal</w:t>
      </w:r>
      <w:r w:rsidR="00CA0131">
        <w:rPr>
          <w:rFonts w:ascii="Arial" w:hAnsi="Arial" w:cs="Arial"/>
          <w:color w:val="000000"/>
          <w:lang w:val="en-US"/>
        </w:rPr>
        <w:t>sky’s criteria was</w:t>
      </w:r>
      <w:r w:rsidR="00C7598C" w:rsidRPr="00BF7B7C">
        <w:rPr>
          <w:rFonts w:ascii="Arial" w:hAnsi="Arial" w:cs="Arial"/>
          <w:color w:val="000000"/>
          <w:lang w:val="en-US"/>
        </w:rPr>
        <w:t xml:space="preserve"> more frequent in low volume</w:t>
      </w:r>
      <w:r w:rsidR="008A000F">
        <w:rPr>
          <w:rFonts w:ascii="Arial" w:hAnsi="Arial" w:cs="Arial"/>
          <w:color w:val="000000"/>
          <w:lang w:val="en-US"/>
        </w:rPr>
        <w:t xml:space="preserve"> centers</w:t>
      </w:r>
      <w:r w:rsidR="00C7598C" w:rsidRPr="00BF7B7C">
        <w:rPr>
          <w:rFonts w:ascii="Arial" w:hAnsi="Arial" w:cs="Arial"/>
          <w:color w:val="000000"/>
          <w:lang w:val="en-US"/>
        </w:rPr>
        <w:t xml:space="preserve"> (</w:t>
      </w:r>
      <w:r w:rsidR="00D202DF">
        <w:rPr>
          <w:rFonts w:ascii="Arial" w:hAnsi="Arial" w:cs="Arial"/>
          <w:color w:val="000000"/>
          <w:lang w:val="en-US"/>
        </w:rPr>
        <w:t>eligible</w:t>
      </w:r>
      <w:r w:rsidR="00D202DF" w:rsidRPr="00BF7B7C">
        <w:rPr>
          <w:rFonts w:ascii="Arial" w:hAnsi="Arial" w:cs="Arial"/>
          <w:color w:val="000000"/>
          <w:lang w:val="en-US"/>
        </w:rPr>
        <w:t xml:space="preserve"> </w:t>
      </w:r>
      <w:r w:rsidR="00C7598C" w:rsidRPr="00BF7B7C">
        <w:rPr>
          <w:rFonts w:ascii="Arial" w:hAnsi="Arial" w:cs="Arial"/>
          <w:color w:val="000000"/>
          <w:lang w:val="en-US"/>
        </w:rPr>
        <w:t>patients not receiving cisplatin 28% vs. 15%, p=0.006)</w:t>
      </w:r>
      <w:r w:rsidR="008A000F">
        <w:rPr>
          <w:rFonts w:ascii="Arial" w:hAnsi="Arial" w:cs="Arial"/>
          <w:color w:val="000000"/>
          <w:lang w:val="en-US"/>
        </w:rPr>
        <w:t xml:space="preserve"> and in patients with: </w:t>
      </w:r>
      <w:r w:rsidR="00E3581E" w:rsidRPr="00BF7B7C">
        <w:rPr>
          <w:rFonts w:ascii="Arial" w:hAnsi="Arial" w:cs="Arial"/>
          <w:color w:val="000000"/>
          <w:lang w:val="en-US"/>
        </w:rPr>
        <w:t>CCI</w:t>
      </w:r>
      <w:r w:rsidR="00C7598C" w:rsidRPr="00BF7B7C">
        <w:rPr>
          <w:rFonts w:ascii="Arial" w:hAnsi="Arial" w:cs="Arial"/>
          <w:color w:val="000000"/>
          <w:u w:val="single"/>
          <w:lang w:val="en-US"/>
        </w:rPr>
        <w:t>&gt;</w:t>
      </w:r>
      <w:r w:rsidR="00C7598C" w:rsidRPr="00BF7B7C">
        <w:rPr>
          <w:rFonts w:ascii="Arial" w:hAnsi="Arial" w:cs="Arial"/>
          <w:color w:val="000000"/>
          <w:lang w:val="en-US"/>
        </w:rPr>
        <w:t>3 (46% vs. 23%, p&lt;0.001), MSKCC intermediate/high risk (35% vs. 23%, p=0.006)</w:t>
      </w:r>
      <w:r w:rsidR="008A000F">
        <w:rPr>
          <w:rFonts w:ascii="Arial" w:hAnsi="Arial" w:cs="Arial"/>
          <w:color w:val="000000"/>
          <w:lang w:val="en-US"/>
        </w:rPr>
        <w:t xml:space="preserve">, </w:t>
      </w:r>
      <w:r w:rsidR="00BF1D30" w:rsidRPr="00BF7B7C">
        <w:rPr>
          <w:rFonts w:ascii="Arial" w:hAnsi="Arial" w:cs="Arial"/>
          <w:color w:val="000000"/>
          <w:lang w:val="en-US"/>
        </w:rPr>
        <w:t>hypertension</w:t>
      </w:r>
      <w:r w:rsidR="00C7598C" w:rsidRPr="00BF7B7C">
        <w:rPr>
          <w:rFonts w:ascii="Arial" w:hAnsi="Arial" w:cs="Arial"/>
          <w:color w:val="000000"/>
          <w:lang w:val="en-US"/>
        </w:rPr>
        <w:t xml:space="preserve"> (47%</w:t>
      </w:r>
      <w:r w:rsidR="00F6642C" w:rsidRPr="00BF7B7C">
        <w:rPr>
          <w:rFonts w:ascii="Arial" w:hAnsi="Arial" w:cs="Arial"/>
          <w:color w:val="000000"/>
          <w:lang w:val="en-US"/>
        </w:rPr>
        <w:t xml:space="preserve"> </w:t>
      </w:r>
      <w:r w:rsidR="00C7598C" w:rsidRPr="00BF7B7C">
        <w:rPr>
          <w:rFonts w:ascii="Arial" w:hAnsi="Arial" w:cs="Arial"/>
          <w:color w:val="000000"/>
          <w:lang w:val="en-US"/>
        </w:rPr>
        <w:t xml:space="preserve">vs. 21%, p&lt;0.001), diabetes (57% vs. 27%, p&lt;0.001) and COPD (59% vs. 27%, p=0.001). Interestingly, 186 patients (38%) who received cisplatin fulfilled at least one criterion for </w:t>
      </w:r>
      <w:r w:rsidR="00D202DF">
        <w:rPr>
          <w:rFonts w:ascii="Arial" w:hAnsi="Arial" w:cs="Arial"/>
          <w:color w:val="000000"/>
          <w:lang w:val="en-US"/>
        </w:rPr>
        <w:t>ineligibility</w:t>
      </w:r>
      <w:r w:rsidR="00C7598C" w:rsidRPr="00BF7B7C">
        <w:rPr>
          <w:rFonts w:ascii="Arial" w:hAnsi="Arial" w:cs="Arial"/>
          <w:color w:val="000000"/>
          <w:lang w:val="en-US"/>
        </w:rPr>
        <w:t xml:space="preserve">: CHF (n=10), </w:t>
      </w:r>
      <w:r w:rsidR="00E61B5E" w:rsidRPr="00BF7B7C">
        <w:rPr>
          <w:rFonts w:ascii="Arial" w:hAnsi="Arial" w:cs="Arial"/>
          <w:color w:val="000000"/>
          <w:lang w:val="en-US"/>
        </w:rPr>
        <w:t>ECOG-</w:t>
      </w:r>
      <w:r w:rsidR="00C7598C" w:rsidRPr="00BF7B7C">
        <w:rPr>
          <w:rFonts w:ascii="Arial" w:hAnsi="Arial" w:cs="Arial"/>
          <w:color w:val="000000"/>
          <w:lang w:val="en-US"/>
        </w:rPr>
        <w:t>PS&gt;1 (n=52), CrCl&lt;60 ml/min (n=124).</w:t>
      </w:r>
    </w:p>
    <w:p w14:paraId="529817B3" w14:textId="77777777" w:rsidR="00C7598C" w:rsidRPr="00BF7B7C" w:rsidRDefault="00C7598C">
      <w:pPr>
        <w:autoSpaceDE w:val="0"/>
        <w:autoSpaceDN w:val="0"/>
        <w:adjustRightInd w:val="0"/>
        <w:spacing w:line="480" w:lineRule="auto"/>
        <w:jc w:val="both"/>
        <w:rPr>
          <w:rFonts w:ascii="Arial" w:hAnsi="Arial" w:cs="Arial"/>
          <w:color w:val="000000"/>
          <w:lang w:val="en-US"/>
        </w:rPr>
      </w:pPr>
    </w:p>
    <w:p w14:paraId="2FD21C8C" w14:textId="77777777" w:rsidR="00C7598C" w:rsidRPr="00BF7B7C" w:rsidRDefault="00C7598C">
      <w:pPr>
        <w:autoSpaceDE w:val="0"/>
        <w:autoSpaceDN w:val="0"/>
        <w:adjustRightInd w:val="0"/>
        <w:spacing w:line="480" w:lineRule="auto"/>
        <w:jc w:val="both"/>
        <w:rPr>
          <w:rFonts w:ascii="Arial" w:hAnsi="Arial" w:cs="Arial"/>
          <w:i/>
          <w:color w:val="000000"/>
          <w:lang w:val="en-US"/>
        </w:rPr>
      </w:pPr>
      <w:r w:rsidRPr="00BF7B7C">
        <w:rPr>
          <w:rFonts w:ascii="Arial" w:hAnsi="Arial" w:cs="Arial"/>
          <w:i/>
          <w:color w:val="000000"/>
          <w:lang w:val="en-US"/>
        </w:rPr>
        <w:t>Survival analyses</w:t>
      </w:r>
    </w:p>
    <w:p w14:paraId="2A9DFDA1" w14:textId="3AEADA5B" w:rsidR="00C7598C" w:rsidRPr="00BF7B7C" w:rsidRDefault="00C7598C">
      <w:pPr>
        <w:autoSpaceDE w:val="0"/>
        <w:autoSpaceDN w:val="0"/>
        <w:adjustRightInd w:val="0"/>
        <w:spacing w:line="480" w:lineRule="auto"/>
        <w:jc w:val="both"/>
        <w:rPr>
          <w:rFonts w:ascii="Arial" w:hAnsi="Arial" w:cs="Arial"/>
          <w:color w:val="000000"/>
          <w:lang w:val="en-US"/>
        </w:rPr>
      </w:pPr>
      <w:r w:rsidRPr="00BF7B7C">
        <w:rPr>
          <w:rFonts w:ascii="Arial" w:hAnsi="Arial" w:cs="Arial"/>
          <w:color w:val="000000"/>
          <w:lang w:val="en-US"/>
        </w:rPr>
        <w:t>Among the 1361</w:t>
      </w:r>
      <w:r w:rsidR="009C608F">
        <w:rPr>
          <w:rFonts w:ascii="Arial" w:hAnsi="Arial" w:cs="Arial"/>
          <w:color w:val="000000"/>
          <w:lang w:val="en-US"/>
        </w:rPr>
        <w:t xml:space="preserve"> </w:t>
      </w:r>
      <w:r w:rsidR="00605028">
        <w:rPr>
          <w:rFonts w:ascii="Arial" w:hAnsi="Arial" w:cs="Arial"/>
          <w:color w:val="000000"/>
          <w:lang w:val="en-US"/>
        </w:rPr>
        <w:t>patients included in these analyses</w:t>
      </w:r>
      <w:r w:rsidRPr="00BF7B7C">
        <w:rPr>
          <w:rFonts w:ascii="Arial" w:hAnsi="Arial" w:cs="Arial"/>
          <w:color w:val="000000"/>
          <w:lang w:val="en-US"/>
        </w:rPr>
        <w:t xml:space="preserve"> 901 were dead at the time of analysis (disease: 804, toxicity: 9, other causes: 28, unknown reason: 60). Median follow up time was 31.4 months. </w:t>
      </w:r>
    </w:p>
    <w:p w14:paraId="0A17CA01" w14:textId="0F3744FF" w:rsidR="00C7598C" w:rsidRPr="00BF7B7C" w:rsidRDefault="00C7598C">
      <w:pPr>
        <w:autoSpaceDE w:val="0"/>
        <w:autoSpaceDN w:val="0"/>
        <w:adjustRightInd w:val="0"/>
        <w:spacing w:line="480" w:lineRule="auto"/>
        <w:jc w:val="both"/>
        <w:rPr>
          <w:rFonts w:ascii="Arial" w:hAnsi="Arial" w:cs="Arial"/>
          <w:color w:val="000000"/>
          <w:lang w:val="en-US"/>
        </w:rPr>
      </w:pPr>
      <w:r w:rsidRPr="00BF7B7C">
        <w:rPr>
          <w:rFonts w:ascii="Arial" w:hAnsi="Arial" w:cs="Arial"/>
          <w:color w:val="000000"/>
          <w:lang w:val="en-US"/>
        </w:rPr>
        <w:t xml:space="preserve">Cisplatin-based chemotherapy </w:t>
      </w:r>
      <w:r w:rsidR="00275460">
        <w:rPr>
          <w:rFonts w:ascii="Arial" w:hAnsi="Arial" w:cs="Arial"/>
          <w:color w:val="000000"/>
          <w:lang w:val="en-US"/>
        </w:rPr>
        <w:t>and eligibility</w:t>
      </w:r>
      <w:r w:rsidR="00275460" w:rsidRPr="00275460">
        <w:rPr>
          <w:rFonts w:ascii="Arial" w:hAnsi="Arial" w:cs="Arial"/>
          <w:color w:val="000000"/>
          <w:lang w:val="en-US"/>
        </w:rPr>
        <w:t xml:space="preserve">-for-cisplatin </w:t>
      </w:r>
      <w:r w:rsidR="00275460">
        <w:rPr>
          <w:rFonts w:ascii="Arial" w:hAnsi="Arial" w:cs="Arial"/>
          <w:color w:val="000000"/>
          <w:lang w:val="en-US"/>
        </w:rPr>
        <w:t>were</w:t>
      </w:r>
      <w:r w:rsidRPr="00BF7B7C">
        <w:rPr>
          <w:rFonts w:ascii="Arial" w:hAnsi="Arial" w:cs="Arial"/>
          <w:color w:val="000000"/>
          <w:lang w:val="en-US"/>
        </w:rPr>
        <w:t xml:space="preserve"> associated with signific</w:t>
      </w:r>
      <w:r w:rsidR="00CA0131">
        <w:rPr>
          <w:rFonts w:ascii="Arial" w:hAnsi="Arial" w:cs="Arial"/>
          <w:color w:val="000000"/>
          <w:lang w:val="en-US"/>
        </w:rPr>
        <w:t>antly longer median OS, (Table 3</w:t>
      </w:r>
      <w:r w:rsidRPr="00BF7B7C">
        <w:rPr>
          <w:rFonts w:ascii="Arial" w:hAnsi="Arial" w:cs="Arial"/>
          <w:color w:val="000000"/>
          <w:lang w:val="en-US"/>
        </w:rPr>
        <w:t>, Fig</w:t>
      </w:r>
      <w:r w:rsidR="00A24435" w:rsidRPr="00BF7B7C">
        <w:rPr>
          <w:rFonts w:ascii="Arial" w:hAnsi="Arial" w:cs="Arial"/>
          <w:color w:val="000000"/>
          <w:lang w:val="en-US"/>
        </w:rPr>
        <w:t>ure</w:t>
      </w:r>
      <w:r w:rsidR="00275460">
        <w:rPr>
          <w:rFonts w:ascii="Arial" w:hAnsi="Arial" w:cs="Arial"/>
          <w:color w:val="000000"/>
          <w:lang w:val="en-US"/>
        </w:rPr>
        <w:t>s</w:t>
      </w:r>
      <w:r w:rsidRPr="00BF7B7C">
        <w:rPr>
          <w:rFonts w:ascii="Arial" w:hAnsi="Arial" w:cs="Arial"/>
          <w:color w:val="000000"/>
          <w:lang w:val="en-US"/>
        </w:rPr>
        <w:t xml:space="preserve"> </w:t>
      </w:r>
      <w:r w:rsidR="00D06533">
        <w:rPr>
          <w:rFonts w:ascii="Arial" w:hAnsi="Arial" w:cs="Arial"/>
          <w:color w:val="000000"/>
          <w:lang w:val="en-US"/>
        </w:rPr>
        <w:t>2</w:t>
      </w:r>
      <w:r w:rsidR="002F676B" w:rsidRPr="00BF7B7C">
        <w:rPr>
          <w:rFonts w:ascii="Arial" w:hAnsi="Arial" w:cs="Arial"/>
          <w:color w:val="000000"/>
          <w:lang w:val="en-US"/>
        </w:rPr>
        <w:t>a</w:t>
      </w:r>
      <w:r w:rsidR="007F0C3D">
        <w:rPr>
          <w:rFonts w:ascii="Arial" w:hAnsi="Arial" w:cs="Arial"/>
          <w:color w:val="000000"/>
          <w:lang w:val="en-US"/>
        </w:rPr>
        <w:t>,</w:t>
      </w:r>
      <w:r w:rsidR="00275460">
        <w:rPr>
          <w:rFonts w:ascii="Arial" w:hAnsi="Arial" w:cs="Arial"/>
          <w:color w:val="000000"/>
          <w:lang w:val="en-US"/>
        </w:rPr>
        <w:t>b</w:t>
      </w:r>
      <w:r w:rsidR="008A000F">
        <w:rPr>
          <w:rFonts w:ascii="Arial" w:hAnsi="Arial" w:cs="Arial"/>
          <w:color w:val="000000"/>
          <w:lang w:val="en-US"/>
        </w:rPr>
        <w:t xml:space="preserve">). </w:t>
      </w:r>
      <w:r w:rsidRPr="00BF7B7C">
        <w:rPr>
          <w:rFonts w:ascii="Arial" w:hAnsi="Arial" w:cs="Arial"/>
          <w:color w:val="000000"/>
          <w:lang w:val="en-US"/>
        </w:rPr>
        <w:t>Univariate analysis showed that bone, liver, lung and distant metastases, smoking history, CCI</w:t>
      </w:r>
      <w:r w:rsidRPr="00BF7B7C">
        <w:rPr>
          <w:rFonts w:ascii="Arial" w:hAnsi="Arial" w:cs="Arial"/>
          <w:color w:val="000000"/>
          <w:u w:val="single"/>
          <w:lang w:val="en-US"/>
        </w:rPr>
        <w:t>&gt;</w:t>
      </w:r>
      <w:r w:rsidRPr="00BF7B7C">
        <w:rPr>
          <w:rFonts w:ascii="Arial" w:hAnsi="Arial" w:cs="Arial"/>
          <w:color w:val="000000"/>
          <w:lang w:val="en-US"/>
        </w:rPr>
        <w:t>3, ECOG</w:t>
      </w:r>
      <w:r w:rsidR="00E61B5E" w:rsidRPr="00BF7B7C">
        <w:rPr>
          <w:rFonts w:ascii="Arial" w:hAnsi="Arial" w:cs="Arial"/>
          <w:color w:val="000000"/>
          <w:lang w:val="en-US"/>
        </w:rPr>
        <w:t>-</w:t>
      </w:r>
      <w:r w:rsidRPr="00BF7B7C">
        <w:rPr>
          <w:rFonts w:ascii="Arial" w:hAnsi="Arial" w:cs="Arial"/>
          <w:color w:val="000000"/>
          <w:lang w:val="en-US"/>
        </w:rPr>
        <w:t>PS (0 vs. 1+2 and 0+1 vs. 2), wbc&gt;10,000/mm</w:t>
      </w:r>
      <w:r w:rsidRPr="00BF7B7C">
        <w:rPr>
          <w:rFonts w:ascii="Arial" w:hAnsi="Arial" w:cs="Arial"/>
          <w:color w:val="000000"/>
          <w:vertAlign w:val="superscript"/>
          <w:lang w:val="en-US"/>
        </w:rPr>
        <w:t>3</w:t>
      </w:r>
      <w:r w:rsidRPr="00BF7B7C">
        <w:rPr>
          <w:rFonts w:ascii="Arial" w:hAnsi="Arial" w:cs="Arial"/>
          <w:color w:val="000000"/>
          <w:lang w:val="en-US"/>
        </w:rPr>
        <w:t>, plt&gt;450,000/mm</w:t>
      </w:r>
      <w:r w:rsidRPr="00BF7B7C">
        <w:rPr>
          <w:rFonts w:ascii="Arial" w:hAnsi="Arial" w:cs="Arial"/>
          <w:color w:val="000000"/>
          <w:vertAlign w:val="superscript"/>
          <w:lang w:val="en-US"/>
        </w:rPr>
        <w:t>3</w:t>
      </w:r>
      <w:r w:rsidRPr="00BF7B7C">
        <w:rPr>
          <w:rFonts w:ascii="Arial" w:hAnsi="Arial" w:cs="Arial"/>
          <w:color w:val="000000"/>
          <w:lang w:val="en-US"/>
        </w:rPr>
        <w:t>, hemoglobin</w:t>
      </w:r>
      <w:r w:rsidRPr="00BF7B7C">
        <w:rPr>
          <w:rFonts w:ascii="Arial" w:hAnsi="Arial" w:cs="Arial"/>
          <w:color w:val="000000"/>
          <w:u w:val="single"/>
          <w:lang w:val="en-US"/>
        </w:rPr>
        <w:t>&lt;</w:t>
      </w:r>
      <w:r w:rsidRPr="00BF7B7C">
        <w:rPr>
          <w:rFonts w:ascii="Arial" w:hAnsi="Arial" w:cs="Arial"/>
          <w:color w:val="000000"/>
          <w:lang w:val="en-US"/>
        </w:rPr>
        <w:t>inst. limit, albumin</w:t>
      </w:r>
      <w:r w:rsidRPr="00BF7B7C">
        <w:rPr>
          <w:rFonts w:ascii="Arial" w:hAnsi="Arial" w:cs="Arial"/>
          <w:color w:val="000000"/>
          <w:u w:val="single"/>
          <w:lang w:val="en-US"/>
        </w:rPr>
        <w:t>&lt;</w:t>
      </w:r>
      <w:r w:rsidRPr="00BF7B7C">
        <w:rPr>
          <w:rFonts w:ascii="Arial" w:hAnsi="Arial" w:cs="Arial"/>
          <w:color w:val="000000"/>
          <w:lang w:val="en-US"/>
        </w:rPr>
        <w:t>median, age&gt;</w:t>
      </w:r>
      <w:r w:rsidR="00A04B44" w:rsidRPr="00BF7B7C">
        <w:rPr>
          <w:rFonts w:ascii="Arial" w:hAnsi="Arial" w:cs="Arial"/>
          <w:color w:val="000000"/>
          <w:lang w:val="en-US"/>
        </w:rPr>
        <w:t xml:space="preserve">median </w:t>
      </w:r>
      <w:r w:rsidRPr="00BF7B7C">
        <w:rPr>
          <w:rFonts w:ascii="Arial" w:hAnsi="Arial" w:cs="Arial"/>
          <w:color w:val="000000"/>
          <w:lang w:val="en-US"/>
        </w:rPr>
        <w:t>and increasing MSKCC score were adverse prognostic factors, while the presence of lymph node metastases and BMI&gt;</w:t>
      </w:r>
      <w:r w:rsidR="00A04B44" w:rsidRPr="00BF7B7C">
        <w:rPr>
          <w:rFonts w:ascii="Arial" w:hAnsi="Arial" w:cs="Arial"/>
          <w:color w:val="000000"/>
          <w:lang w:val="en-US"/>
        </w:rPr>
        <w:t>median</w:t>
      </w:r>
      <w:r w:rsidRPr="00BF7B7C">
        <w:rPr>
          <w:rFonts w:ascii="Arial" w:hAnsi="Arial" w:cs="Arial"/>
          <w:color w:val="000000"/>
          <w:lang w:val="en-US"/>
        </w:rPr>
        <w:t xml:space="preserve"> were favorable p</w:t>
      </w:r>
      <w:r w:rsidR="003B273C">
        <w:rPr>
          <w:rFonts w:ascii="Arial" w:hAnsi="Arial" w:cs="Arial"/>
          <w:color w:val="000000"/>
          <w:lang w:val="en-US"/>
        </w:rPr>
        <w:t xml:space="preserve">rognostic factors. </w:t>
      </w:r>
      <w:r w:rsidRPr="00BF7B7C">
        <w:rPr>
          <w:rFonts w:ascii="Arial" w:hAnsi="Arial" w:cs="Arial"/>
          <w:color w:val="000000"/>
          <w:lang w:val="en-US"/>
        </w:rPr>
        <w:t>BMI, wbc, plt, hemoglobin and albumin, studied as continuous variables, were also significant prognostic factors. When these factors were entered into a multivariate cox regression model including therapy group (cisplatin vs. non-cisplatin) the latter re</w:t>
      </w:r>
      <w:r w:rsidR="00CA0131">
        <w:rPr>
          <w:rFonts w:ascii="Arial" w:hAnsi="Arial" w:cs="Arial"/>
          <w:color w:val="000000"/>
          <w:lang w:val="en-US"/>
        </w:rPr>
        <w:t>tained its significance (Table 4</w:t>
      </w:r>
      <w:r w:rsidRPr="00BF7B7C">
        <w:rPr>
          <w:rFonts w:ascii="Arial" w:hAnsi="Arial" w:cs="Arial"/>
          <w:color w:val="000000"/>
          <w:lang w:val="en-US"/>
        </w:rPr>
        <w:t>). Simi</w:t>
      </w:r>
      <w:r w:rsidR="003B273C">
        <w:rPr>
          <w:rFonts w:ascii="Arial" w:hAnsi="Arial" w:cs="Arial"/>
          <w:color w:val="000000"/>
          <w:lang w:val="en-US"/>
        </w:rPr>
        <w:t>lar results were obtained when eligibility-for-cisplatin</w:t>
      </w:r>
      <w:r w:rsidRPr="00BF7B7C">
        <w:rPr>
          <w:rFonts w:ascii="Arial" w:hAnsi="Arial" w:cs="Arial"/>
          <w:color w:val="000000"/>
          <w:lang w:val="en-US"/>
        </w:rPr>
        <w:t xml:space="preserve"> wa</w:t>
      </w:r>
      <w:r w:rsidR="00CA0131">
        <w:rPr>
          <w:rFonts w:ascii="Arial" w:hAnsi="Arial" w:cs="Arial"/>
          <w:color w:val="000000"/>
          <w:lang w:val="en-US"/>
        </w:rPr>
        <w:t>s included in the model (Table 4</w:t>
      </w:r>
      <w:r w:rsidRPr="00BF7B7C">
        <w:rPr>
          <w:rFonts w:ascii="Arial" w:hAnsi="Arial" w:cs="Arial"/>
          <w:color w:val="000000"/>
          <w:lang w:val="en-US"/>
        </w:rPr>
        <w:t>) instead of therapy group. In the latter model PS and MSKCC category were excluded because PS i</w:t>
      </w:r>
      <w:r w:rsidR="000F0CE4">
        <w:rPr>
          <w:rFonts w:ascii="Arial" w:hAnsi="Arial" w:cs="Arial"/>
          <w:color w:val="000000"/>
          <w:lang w:val="en-US"/>
        </w:rPr>
        <w:t xml:space="preserve">s included in the criteria for </w:t>
      </w:r>
      <w:r w:rsidR="003B273C">
        <w:rPr>
          <w:rFonts w:ascii="Arial" w:hAnsi="Arial" w:cs="Arial"/>
          <w:color w:val="000000"/>
          <w:lang w:val="en-US"/>
        </w:rPr>
        <w:t>eligibility-for-cisplatin</w:t>
      </w:r>
      <w:r w:rsidRPr="00BF7B7C">
        <w:rPr>
          <w:rFonts w:ascii="Arial" w:hAnsi="Arial" w:cs="Arial"/>
          <w:color w:val="000000"/>
          <w:lang w:val="en-US"/>
        </w:rPr>
        <w:t xml:space="preserve"> and MSKCC. The independent prognostic sign</w:t>
      </w:r>
      <w:r w:rsidR="000F0CE4">
        <w:rPr>
          <w:rFonts w:ascii="Arial" w:hAnsi="Arial" w:cs="Arial"/>
          <w:color w:val="000000"/>
          <w:lang w:val="en-US"/>
        </w:rPr>
        <w:t xml:space="preserve">ificance of treatment type and </w:t>
      </w:r>
      <w:r w:rsidR="003B273C">
        <w:rPr>
          <w:rFonts w:ascii="Arial" w:hAnsi="Arial" w:cs="Arial"/>
          <w:color w:val="000000"/>
          <w:lang w:val="en-US"/>
        </w:rPr>
        <w:t xml:space="preserve">eligibility-for-cisplatin </w:t>
      </w:r>
      <w:r w:rsidRPr="00BF7B7C">
        <w:rPr>
          <w:rFonts w:ascii="Arial" w:hAnsi="Arial" w:cs="Arial"/>
          <w:color w:val="000000"/>
          <w:lang w:val="en-US"/>
        </w:rPr>
        <w:t>were retained when multiple imputations for missing values wer</w:t>
      </w:r>
      <w:r w:rsidR="00CA0131">
        <w:rPr>
          <w:rFonts w:ascii="Arial" w:hAnsi="Arial" w:cs="Arial"/>
          <w:color w:val="000000"/>
          <w:lang w:val="en-US"/>
        </w:rPr>
        <w:t>e applied (Supplementary Table 4</w:t>
      </w:r>
      <w:r w:rsidRPr="00BF7B7C">
        <w:rPr>
          <w:rFonts w:ascii="Arial" w:hAnsi="Arial" w:cs="Arial"/>
          <w:color w:val="000000"/>
          <w:lang w:val="en-US"/>
        </w:rPr>
        <w:t>).</w:t>
      </w:r>
    </w:p>
    <w:p w14:paraId="4DAD4AE6" w14:textId="77777777" w:rsidR="00C7598C" w:rsidRPr="00BF7B7C" w:rsidRDefault="00C7598C">
      <w:pPr>
        <w:autoSpaceDE w:val="0"/>
        <w:autoSpaceDN w:val="0"/>
        <w:adjustRightInd w:val="0"/>
        <w:spacing w:line="480" w:lineRule="auto"/>
        <w:jc w:val="both"/>
        <w:rPr>
          <w:rFonts w:ascii="Arial" w:hAnsi="Arial" w:cs="Arial"/>
          <w:i/>
          <w:color w:val="000000"/>
          <w:lang w:val="en-US"/>
        </w:rPr>
      </w:pPr>
    </w:p>
    <w:p w14:paraId="0C1F3EC9" w14:textId="77777777" w:rsidR="00C7598C" w:rsidRPr="00BF7B7C" w:rsidRDefault="000F0CE4">
      <w:pPr>
        <w:autoSpaceDE w:val="0"/>
        <w:autoSpaceDN w:val="0"/>
        <w:adjustRightInd w:val="0"/>
        <w:spacing w:line="480" w:lineRule="auto"/>
        <w:jc w:val="both"/>
        <w:rPr>
          <w:rFonts w:ascii="Arial" w:hAnsi="Arial" w:cs="Arial"/>
          <w:color w:val="000000"/>
          <w:u w:val="single"/>
          <w:lang w:val="en-US"/>
        </w:rPr>
      </w:pPr>
      <w:r>
        <w:rPr>
          <w:rFonts w:ascii="Arial" w:hAnsi="Arial" w:cs="Arial"/>
          <w:color w:val="000000"/>
          <w:u w:val="single"/>
          <w:lang w:val="en-US"/>
        </w:rPr>
        <w:t>i</w:t>
      </w:r>
      <w:r w:rsidR="00C7598C" w:rsidRPr="00BF7B7C">
        <w:rPr>
          <w:rFonts w:ascii="Arial" w:hAnsi="Arial" w:cs="Arial"/>
          <w:color w:val="000000"/>
          <w:u w:val="single"/>
          <w:lang w:val="en-US"/>
        </w:rPr>
        <w:t xml:space="preserve">. </w:t>
      </w:r>
      <w:r w:rsidR="00E3581E" w:rsidRPr="00BF7B7C">
        <w:rPr>
          <w:rFonts w:ascii="Arial" w:hAnsi="Arial" w:cs="Arial"/>
          <w:color w:val="000000"/>
          <w:u w:val="single"/>
          <w:lang w:val="en-US"/>
        </w:rPr>
        <w:t xml:space="preserve">Subgroup </w:t>
      </w:r>
      <w:r w:rsidR="00C7598C" w:rsidRPr="00BF7B7C">
        <w:rPr>
          <w:rFonts w:ascii="Arial" w:hAnsi="Arial" w:cs="Arial"/>
          <w:color w:val="000000"/>
          <w:u w:val="single"/>
          <w:lang w:val="en-US"/>
        </w:rPr>
        <w:t>analyses</w:t>
      </w:r>
    </w:p>
    <w:p w14:paraId="25B867B5" w14:textId="1AA4862F" w:rsidR="00C7598C" w:rsidRPr="00BF7B7C" w:rsidRDefault="000D67B4">
      <w:pPr>
        <w:autoSpaceDE w:val="0"/>
        <w:autoSpaceDN w:val="0"/>
        <w:adjustRightInd w:val="0"/>
        <w:spacing w:line="480" w:lineRule="auto"/>
        <w:jc w:val="both"/>
        <w:rPr>
          <w:rFonts w:ascii="Arial" w:hAnsi="Arial" w:cs="Arial"/>
          <w:color w:val="000000"/>
          <w:lang w:val="en-US"/>
        </w:rPr>
      </w:pPr>
      <w:r>
        <w:rPr>
          <w:rFonts w:ascii="Arial" w:hAnsi="Arial" w:cs="Arial"/>
          <w:color w:val="000000"/>
          <w:lang w:val="en-US"/>
        </w:rPr>
        <w:t>A</w:t>
      </w:r>
      <w:r w:rsidRPr="00BF7B7C">
        <w:rPr>
          <w:rFonts w:ascii="Arial" w:hAnsi="Arial" w:cs="Arial"/>
          <w:color w:val="000000"/>
          <w:lang w:val="en-US"/>
        </w:rPr>
        <w:t>nalyses investigating</w:t>
      </w:r>
      <w:r w:rsidR="00C7598C" w:rsidRPr="00BF7B7C">
        <w:rPr>
          <w:rFonts w:ascii="Arial" w:hAnsi="Arial" w:cs="Arial"/>
          <w:color w:val="000000"/>
          <w:lang w:val="en-US"/>
        </w:rPr>
        <w:t xml:space="preserve"> the significance of treatment patterns among </w:t>
      </w:r>
      <w:r w:rsidR="00E3581E" w:rsidRPr="00BF7B7C">
        <w:rPr>
          <w:rFonts w:ascii="Arial" w:hAnsi="Arial" w:cs="Arial"/>
          <w:color w:val="000000"/>
          <w:lang w:val="en-US"/>
        </w:rPr>
        <w:t xml:space="preserve">the </w:t>
      </w:r>
      <w:r w:rsidR="00275460">
        <w:rPr>
          <w:rFonts w:ascii="Arial" w:hAnsi="Arial" w:cs="Arial"/>
          <w:color w:val="000000"/>
          <w:lang w:val="en-US"/>
        </w:rPr>
        <w:t>eligible or ineligible-for-cisplatin</w:t>
      </w:r>
      <w:r w:rsidR="001D6BBC">
        <w:rPr>
          <w:rFonts w:ascii="Arial" w:hAnsi="Arial" w:cs="Arial"/>
          <w:color w:val="000000"/>
          <w:lang w:val="en-US"/>
        </w:rPr>
        <w:t xml:space="preserve"> as well as other subgroups of prognosis and comorbidities are shown in</w:t>
      </w:r>
      <w:r w:rsidR="00E2281C">
        <w:rPr>
          <w:rFonts w:ascii="Arial" w:hAnsi="Arial" w:cs="Arial"/>
          <w:color w:val="000000"/>
          <w:lang w:val="en-US"/>
        </w:rPr>
        <w:t xml:space="preserve"> </w:t>
      </w:r>
      <w:r w:rsidR="00C7598C" w:rsidRPr="00BF7B7C">
        <w:rPr>
          <w:rFonts w:ascii="Arial" w:hAnsi="Arial" w:cs="Arial"/>
          <w:color w:val="000000"/>
          <w:lang w:val="en-US"/>
        </w:rPr>
        <w:t>Fig</w:t>
      </w:r>
      <w:r w:rsidR="00D94E88" w:rsidRPr="00BF7B7C">
        <w:rPr>
          <w:rFonts w:ascii="Arial" w:hAnsi="Arial" w:cs="Arial"/>
          <w:color w:val="000000"/>
          <w:lang w:val="en-US"/>
        </w:rPr>
        <w:t>ure</w:t>
      </w:r>
      <w:r w:rsidR="00FB2B57">
        <w:rPr>
          <w:rFonts w:ascii="Arial" w:hAnsi="Arial" w:cs="Arial"/>
          <w:color w:val="000000"/>
          <w:lang w:val="en-US"/>
        </w:rPr>
        <w:t>s 2c-g</w:t>
      </w:r>
      <w:r w:rsidR="001D6BBC">
        <w:rPr>
          <w:rFonts w:ascii="Arial" w:hAnsi="Arial" w:cs="Arial"/>
          <w:color w:val="000000"/>
          <w:lang w:val="en-US"/>
        </w:rPr>
        <w:t>, while</w:t>
      </w:r>
      <w:r w:rsidR="00C7598C" w:rsidRPr="00BF7B7C">
        <w:rPr>
          <w:rFonts w:ascii="Arial" w:hAnsi="Arial" w:cs="Arial"/>
          <w:color w:val="000000"/>
          <w:lang w:val="en-US"/>
        </w:rPr>
        <w:t xml:space="preserve"> </w:t>
      </w:r>
      <w:r w:rsidR="00275460">
        <w:rPr>
          <w:rFonts w:ascii="Arial" w:hAnsi="Arial" w:cs="Arial"/>
          <w:color w:val="000000"/>
          <w:lang w:val="en-US"/>
        </w:rPr>
        <w:t xml:space="preserve">the respective </w:t>
      </w:r>
      <w:r w:rsidR="00E251ED">
        <w:rPr>
          <w:rFonts w:ascii="Arial" w:hAnsi="Arial" w:cs="Arial"/>
          <w:color w:val="000000"/>
          <w:lang w:val="en-US"/>
        </w:rPr>
        <w:t>median OS and</w:t>
      </w:r>
      <w:r w:rsidR="00C7598C" w:rsidRPr="00BF7B7C">
        <w:rPr>
          <w:rFonts w:ascii="Arial" w:hAnsi="Arial" w:cs="Arial"/>
          <w:color w:val="000000"/>
          <w:lang w:val="en-US"/>
        </w:rPr>
        <w:t xml:space="preserve"> HR</w:t>
      </w:r>
      <w:r w:rsidR="00E251ED">
        <w:rPr>
          <w:rFonts w:ascii="Arial" w:hAnsi="Arial" w:cs="Arial"/>
          <w:color w:val="000000"/>
          <w:lang w:val="en-US"/>
        </w:rPr>
        <w:t>s</w:t>
      </w:r>
      <w:r w:rsidR="00E90EB7">
        <w:rPr>
          <w:rFonts w:ascii="Arial" w:hAnsi="Arial" w:cs="Arial"/>
          <w:color w:val="000000"/>
          <w:lang w:val="en-US"/>
        </w:rPr>
        <w:t xml:space="preserve"> are shown in Table 3</w:t>
      </w:r>
      <w:r w:rsidR="00C7598C" w:rsidRPr="00BF7B7C">
        <w:rPr>
          <w:rFonts w:ascii="Arial" w:hAnsi="Arial" w:cs="Arial"/>
          <w:color w:val="000000"/>
          <w:lang w:val="en-US"/>
        </w:rPr>
        <w:t xml:space="preserve">. </w:t>
      </w:r>
    </w:p>
    <w:p w14:paraId="2E6F578F" w14:textId="0A983287" w:rsidR="00C7598C" w:rsidRPr="00BF7B7C" w:rsidRDefault="00C7598C">
      <w:pPr>
        <w:autoSpaceDE w:val="0"/>
        <w:autoSpaceDN w:val="0"/>
        <w:adjustRightInd w:val="0"/>
        <w:spacing w:line="480" w:lineRule="auto"/>
        <w:jc w:val="both"/>
        <w:rPr>
          <w:rFonts w:ascii="Arial" w:hAnsi="Arial" w:cs="Arial"/>
          <w:color w:val="000000"/>
          <w:lang w:val="en-US"/>
        </w:rPr>
      </w:pPr>
      <w:r w:rsidRPr="00BF7B7C">
        <w:rPr>
          <w:rFonts w:ascii="Arial" w:hAnsi="Arial" w:cs="Arial"/>
          <w:color w:val="000000"/>
          <w:lang w:val="en-US"/>
        </w:rPr>
        <w:t xml:space="preserve">Cisplatin-based chemotherapy was associated with a survival benefit among </w:t>
      </w:r>
      <w:r w:rsidR="00D202DF">
        <w:rPr>
          <w:rFonts w:ascii="Arial" w:hAnsi="Arial" w:cs="Arial"/>
          <w:color w:val="000000"/>
          <w:lang w:val="en-US"/>
        </w:rPr>
        <w:t>eligible</w:t>
      </w:r>
      <w:r w:rsidR="00D202DF" w:rsidRPr="00BF7B7C">
        <w:rPr>
          <w:rFonts w:ascii="Arial" w:hAnsi="Arial" w:cs="Arial"/>
          <w:color w:val="000000"/>
          <w:lang w:val="en-US"/>
        </w:rPr>
        <w:t xml:space="preserve"> </w:t>
      </w:r>
      <w:r w:rsidRPr="00BF7B7C">
        <w:rPr>
          <w:rFonts w:ascii="Arial" w:hAnsi="Arial" w:cs="Arial"/>
          <w:color w:val="000000"/>
          <w:lang w:val="en-US"/>
        </w:rPr>
        <w:t>patients, while outcomes of patients receiving carboplatin or other th</w:t>
      </w:r>
      <w:r w:rsidR="003C5825" w:rsidRPr="00BF7B7C">
        <w:rPr>
          <w:rFonts w:ascii="Arial" w:hAnsi="Arial" w:cs="Arial"/>
          <w:color w:val="000000"/>
          <w:lang w:val="en-US"/>
        </w:rPr>
        <w:t>erapies were comparable (Fig</w:t>
      </w:r>
      <w:r w:rsidR="00A24435" w:rsidRPr="00BF7B7C">
        <w:rPr>
          <w:rFonts w:ascii="Arial" w:hAnsi="Arial" w:cs="Arial"/>
          <w:color w:val="000000"/>
          <w:lang w:val="en-US"/>
        </w:rPr>
        <w:t>ure</w:t>
      </w:r>
      <w:r w:rsidR="003C5825" w:rsidRPr="00BF7B7C">
        <w:rPr>
          <w:rFonts w:ascii="Arial" w:hAnsi="Arial" w:cs="Arial"/>
          <w:color w:val="000000"/>
          <w:lang w:val="en-US"/>
        </w:rPr>
        <w:t xml:space="preserve"> </w:t>
      </w:r>
      <w:r w:rsidR="00E2281C">
        <w:rPr>
          <w:rFonts w:ascii="Arial" w:hAnsi="Arial" w:cs="Arial"/>
          <w:color w:val="000000"/>
          <w:lang w:val="en-US"/>
        </w:rPr>
        <w:t>2</w:t>
      </w:r>
      <w:r w:rsidR="008E1090">
        <w:rPr>
          <w:rFonts w:ascii="Arial" w:hAnsi="Arial" w:cs="Arial"/>
          <w:color w:val="000000"/>
          <w:lang w:val="en-US"/>
        </w:rPr>
        <w:t>c</w:t>
      </w:r>
      <w:r w:rsidR="00091A10">
        <w:rPr>
          <w:rFonts w:ascii="Arial" w:hAnsi="Arial" w:cs="Arial"/>
          <w:color w:val="000000"/>
          <w:lang w:val="en-US"/>
        </w:rPr>
        <w:t>). Among ineligible</w:t>
      </w:r>
      <w:r w:rsidRPr="00BF7B7C">
        <w:rPr>
          <w:rFonts w:ascii="Arial" w:hAnsi="Arial" w:cs="Arial"/>
          <w:color w:val="000000"/>
          <w:lang w:val="en-US"/>
        </w:rPr>
        <w:t xml:space="preserve"> patients the superiority of cisplatin over non-cisplatin-treated patients was due to a significantly longer OS over non-cisplatin/non-carboplatin therapy (median OS:</w:t>
      </w:r>
      <w:r w:rsidR="00282A13" w:rsidRPr="002B636C">
        <w:rPr>
          <w:lang w:val="en-US"/>
        </w:rPr>
        <w:t xml:space="preserve"> </w:t>
      </w:r>
      <w:r w:rsidR="00282A13">
        <w:rPr>
          <w:rFonts w:ascii="Arial" w:hAnsi="Arial" w:cs="Arial"/>
          <w:color w:val="000000"/>
          <w:lang w:val="en-US"/>
        </w:rPr>
        <w:t>12, 95% CI: 10.8-14.3</w:t>
      </w:r>
      <w:r w:rsidR="00282A13" w:rsidRPr="00282A13">
        <w:rPr>
          <w:rFonts w:ascii="Arial" w:hAnsi="Arial" w:cs="Arial"/>
          <w:color w:val="000000"/>
          <w:lang w:val="en-US"/>
        </w:rPr>
        <w:t xml:space="preserve"> </w:t>
      </w:r>
      <w:r w:rsidRPr="00BF7B7C">
        <w:rPr>
          <w:rFonts w:ascii="Arial" w:hAnsi="Arial" w:cs="Arial"/>
          <w:color w:val="000000"/>
          <w:lang w:val="en-US"/>
        </w:rPr>
        <w:t xml:space="preserve"> </w:t>
      </w:r>
      <w:r w:rsidR="00282A13">
        <w:rPr>
          <w:rFonts w:ascii="Arial" w:hAnsi="Arial" w:cs="Arial"/>
          <w:color w:val="000000"/>
          <w:lang w:val="en-US"/>
        </w:rPr>
        <w:t xml:space="preserve">vs. </w:t>
      </w:r>
      <w:r w:rsidRPr="00BF7B7C">
        <w:rPr>
          <w:rFonts w:ascii="Arial" w:hAnsi="Arial" w:cs="Arial"/>
          <w:color w:val="000000"/>
          <w:lang w:val="en-US"/>
        </w:rPr>
        <w:t>6.8, 95% CI: 5.3-8.3; HR 1.60, 95% CI: 1.22-2.09; p&lt;0.001), while no significant difference over carboplatin-based chemotherapy was observed (median OS:</w:t>
      </w:r>
      <w:r w:rsidR="00282A13" w:rsidRPr="002B636C">
        <w:rPr>
          <w:lang w:val="en-US"/>
        </w:rPr>
        <w:t xml:space="preserve"> </w:t>
      </w:r>
      <w:r w:rsidR="00282A13">
        <w:rPr>
          <w:rFonts w:ascii="Arial" w:hAnsi="Arial" w:cs="Arial"/>
          <w:color w:val="000000"/>
          <w:lang w:val="en-US"/>
        </w:rPr>
        <w:t>12, 95% CI: 10.8-14.3 vs.</w:t>
      </w:r>
      <w:r w:rsidRPr="00BF7B7C">
        <w:rPr>
          <w:rFonts w:ascii="Arial" w:hAnsi="Arial" w:cs="Arial"/>
          <w:color w:val="000000"/>
          <w:lang w:val="en-US"/>
        </w:rPr>
        <w:t xml:space="preserve"> 9.5, 95% CI 8.5-10.9; HR 1.26, 95% </w:t>
      </w:r>
      <w:r w:rsidR="000E70F5">
        <w:rPr>
          <w:rFonts w:ascii="Arial" w:hAnsi="Arial" w:cs="Arial"/>
          <w:color w:val="000000"/>
          <w:lang w:val="en-US"/>
        </w:rPr>
        <w:t>CI: 0.99-1.59; p=0.054)</w:t>
      </w:r>
      <w:r w:rsidR="001753B2">
        <w:rPr>
          <w:rFonts w:ascii="Arial" w:hAnsi="Arial" w:cs="Arial"/>
          <w:color w:val="000000"/>
          <w:lang w:val="en-US"/>
        </w:rPr>
        <w:t xml:space="preserve"> (Figure 2d)</w:t>
      </w:r>
      <w:r w:rsidRPr="00BF7B7C">
        <w:rPr>
          <w:rFonts w:ascii="Arial" w:hAnsi="Arial" w:cs="Arial"/>
          <w:color w:val="000000"/>
          <w:lang w:val="en-US"/>
        </w:rPr>
        <w:t>. I</w:t>
      </w:r>
      <w:r w:rsidR="00091A10">
        <w:rPr>
          <w:rFonts w:ascii="Arial" w:hAnsi="Arial" w:cs="Arial"/>
          <w:color w:val="000000"/>
          <w:lang w:val="en-US"/>
        </w:rPr>
        <w:t xml:space="preserve">n concert with these findings, </w:t>
      </w:r>
      <w:r w:rsidR="003B273C">
        <w:rPr>
          <w:rFonts w:ascii="Arial" w:hAnsi="Arial" w:cs="Arial"/>
          <w:color w:val="000000"/>
          <w:lang w:val="en-US"/>
        </w:rPr>
        <w:t>eligibility-for-cisplatin</w:t>
      </w:r>
      <w:r w:rsidRPr="00BF7B7C">
        <w:rPr>
          <w:rFonts w:ascii="Arial" w:hAnsi="Arial" w:cs="Arial"/>
          <w:color w:val="000000"/>
          <w:lang w:val="en-US"/>
        </w:rPr>
        <w:t xml:space="preserve"> was associated with improved outcome only among cisplatin-treate</w:t>
      </w:r>
      <w:r w:rsidR="00E90EB7">
        <w:rPr>
          <w:rFonts w:ascii="Arial" w:hAnsi="Arial" w:cs="Arial"/>
          <w:color w:val="000000"/>
          <w:lang w:val="en-US"/>
        </w:rPr>
        <w:t>d patients (Table 3</w:t>
      </w:r>
      <w:r w:rsidR="003C5825" w:rsidRPr="00BF7B7C">
        <w:rPr>
          <w:rFonts w:ascii="Arial" w:hAnsi="Arial" w:cs="Arial"/>
          <w:color w:val="000000"/>
          <w:lang w:val="en-US"/>
        </w:rPr>
        <w:t xml:space="preserve">, Figure </w:t>
      </w:r>
      <w:r w:rsidR="000D67B4">
        <w:rPr>
          <w:rFonts w:ascii="Arial" w:hAnsi="Arial" w:cs="Arial"/>
          <w:color w:val="000000"/>
          <w:lang w:val="en-US"/>
        </w:rPr>
        <w:t>2e</w:t>
      </w:r>
      <w:r w:rsidRPr="00BF7B7C">
        <w:rPr>
          <w:rFonts w:ascii="Arial" w:hAnsi="Arial" w:cs="Arial"/>
          <w:color w:val="000000"/>
          <w:lang w:val="en-US"/>
        </w:rPr>
        <w:t>). The interaction t</w:t>
      </w:r>
      <w:r w:rsidR="00091A10">
        <w:rPr>
          <w:rFonts w:ascii="Arial" w:hAnsi="Arial" w:cs="Arial"/>
          <w:color w:val="000000"/>
          <w:lang w:val="en-US"/>
        </w:rPr>
        <w:t xml:space="preserve">est between treatment type and </w:t>
      </w:r>
      <w:r w:rsidR="003B273C">
        <w:rPr>
          <w:rFonts w:ascii="Arial" w:hAnsi="Arial" w:cs="Arial"/>
          <w:color w:val="000000"/>
          <w:lang w:val="en-US"/>
        </w:rPr>
        <w:t>eligibility-for-cisplatin</w:t>
      </w:r>
      <w:r w:rsidRPr="00BF7B7C">
        <w:rPr>
          <w:rFonts w:ascii="Arial" w:hAnsi="Arial" w:cs="Arial"/>
          <w:color w:val="000000"/>
          <w:lang w:val="en-US"/>
        </w:rPr>
        <w:t xml:space="preserve"> yielded a significant result (p=0.033). Among the three MSKCC risk groups, only patients of low or intermediate risk benefited from cisplatin-based </w:t>
      </w:r>
      <w:r w:rsidR="00E90EB7">
        <w:rPr>
          <w:rFonts w:ascii="Arial" w:hAnsi="Arial" w:cs="Arial"/>
          <w:color w:val="000000"/>
          <w:lang w:val="en-US"/>
        </w:rPr>
        <w:t>chemotherapy (Table 3</w:t>
      </w:r>
      <w:r w:rsidR="00862BC1" w:rsidRPr="00BF7B7C">
        <w:rPr>
          <w:rFonts w:ascii="Arial" w:hAnsi="Arial" w:cs="Arial"/>
          <w:color w:val="000000"/>
          <w:lang w:val="en-US"/>
        </w:rPr>
        <w:t>, Fig</w:t>
      </w:r>
      <w:r w:rsidR="00A24435" w:rsidRPr="00BF7B7C">
        <w:rPr>
          <w:rFonts w:ascii="Arial" w:hAnsi="Arial" w:cs="Arial"/>
          <w:color w:val="000000"/>
          <w:lang w:val="en-US"/>
        </w:rPr>
        <w:t>ure</w:t>
      </w:r>
      <w:r w:rsidR="000D67B4">
        <w:rPr>
          <w:rFonts w:ascii="Arial" w:hAnsi="Arial" w:cs="Arial"/>
          <w:color w:val="000000"/>
          <w:lang w:val="en-US"/>
        </w:rPr>
        <w:t xml:space="preserve"> 2f</w:t>
      </w:r>
      <w:r w:rsidRPr="00BF7B7C">
        <w:rPr>
          <w:rFonts w:ascii="Arial" w:hAnsi="Arial" w:cs="Arial"/>
          <w:color w:val="000000"/>
          <w:lang w:val="en-US"/>
        </w:rPr>
        <w:t>). Again, the interaction between treatment type and MSKCC category was significant (p=0.039).</w:t>
      </w:r>
    </w:p>
    <w:p w14:paraId="007EC366" w14:textId="77777777" w:rsidR="00C7598C" w:rsidRPr="00BF7B7C" w:rsidRDefault="00BD13DF">
      <w:pPr>
        <w:autoSpaceDE w:val="0"/>
        <w:autoSpaceDN w:val="0"/>
        <w:adjustRightInd w:val="0"/>
        <w:spacing w:line="480" w:lineRule="auto"/>
        <w:rPr>
          <w:rFonts w:ascii="Arial" w:hAnsi="Arial" w:cs="Arial"/>
          <w:color w:val="000000"/>
          <w:lang w:val="en-US"/>
        </w:rPr>
      </w:pPr>
      <w:r>
        <w:rPr>
          <w:rFonts w:ascii="Arial" w:hAnsi="Arial" w:cs="Arial"/>
          <w:color w:val="000000"/>
          <w:lang w:val="en-US"/>
        </w:rPr>
        <w:t>Finally</w:t>
      </w:r>
      <w:r w:rsidR="00C7598C" w:rsidRPr="00BF7B7C">
        <w:rPr>
          <w:rFonts w:ascii="Arial" w:hAnsi="Arial" w:cs="Arial"/>
          <w:color w:val="000000"/>
          <w:lang w:val="en-US"/>
        </w:rPr>
        <w:t>, benefit fr</w:t>
      </w:r>
      <w:r w:rsidR="00203CA2" w:rsidRPr="00BF7B7C">
        <w:rPr>
          <w:rFonts w:ascii="Arial" w:hAnsi="Arial" w:cs="Arial"/>
          <w:color w:val="000000"/>
          <w:lang w:val="en-US"/>
        </w:rPr>
        <w:t>o</w:t>
      </w:r>
      <w:r w:rsidR="00C7598C" w:rsidRPr="00BF7B7C">
        <w:rPr>
          <w:rFonts w:ascii="Arial" w:hAnsi="Arial" w:cs="Arial"/>
          <w:color w:val="000000"/>
          <w:lang w:val="en-US"/>
        </w:rPr>
        <w:t>m cisplatin was obtained across all cate</w:t>
      </w:r>
      <w:r w:rsidR="003C5825" w:rsidRPr="00BF7B7C">
        <w:rPr>
          <w:rFonts w:ascii="Arial" w:hAnsi="Arial" w:cs="Arial"/>
          <w:color w:val="000000"/>
          <w:lang w:val="en-US"/>
        </w:rPr>
        <w:t xml:space="preserve">gories of co-morbidities </w:t>
      </w:r>
      <w:r>
        <w:rPr>
          <w:rFonts w:ascii="Arial" w:hAnsi="Arial" w:cs="Arial"/>
          <w:color w:val="000000"/>
          <w:lang w:val="en-US"/>
        </w:rPr>
        <w:t xml:space="preserve">studied </w:t>
      </w:r>
      <w:r w:rsidR="003C5825" w:rsidRPr="00BF7B7C">
        <w:rPr>
          <w:rFonts w:ascii="Arial" w:hAnsi="Arial" w:cs="Arial"/>
          <w:color w:val="000000"/>
          <w:lang w:val="en-US"/>
        </w:rPr>
        <w:t>(Fig</w:t>
      </w:r>
      <w:r w:rsidR="001D6D7F">
        <w:rPr>
          <w:rFonts w:ascii="Arial" w:hAnsi="Arial" w:cs="Arial"/>
          <w:color w:val="000000"/>
          <w:lang w:val="en-US"/>
        </w:rPr>
        <w:t>ure</w:t>
      </w:r>
      <w:r w:rsidR="00FB2B57">
        <w:rPr>
          <w:rFonts w:ascii="Arial" w:hAnsi="Arial" w:cs="Arial"/>
          <w:color w:val="000000"/>
          <w:lang w:val="en-US"/>
        </w:rPr>
        <w:t xml:space="preserve"> 2g</w:t>
      </w:r>
      <w:r w:rsidR="00C7598C" w:rsidRPr="00BF7B7C">
        <w:rPr>
          <w:rFonts w:ascii="Arial" w:hAnsi="Arial" w:cs="Arial"/>
          <w:color w:val="000000"/>
          <w:lang w:val="en-US"/>
        </w:rPr>
        <w:t xml:space="preserve">). </w:t>
      </w:r>
    </w:p>
    <w:p w14:paraId="1A1AC73F" w14:textId="77777777" w:rsidR="00C7598C" w:rsidRPr="00BF7B7C" w:rsidRDefault="00C7598C">
      <w:pPr>
        <w:autoSpaceDE w:val="0"/>
        <w:autoSpaceDN w:val="0"/>
        <w:adjustRightInd w:val="0"/>
        <w:spacing w:line="480" w:lineRule="auto"/>
        <w:jc w:val="both"/>
        <w:rPr>
          <w:rFonts w:ascii="Arial" w:hAnsi="Arial" w:cs="Arial"/>
          <w:color w:val="000000"/>
          <w:lang w:val="en-US"/>
        </w:rPr>
      </w:pPr>
    </w:p>
    <w:p w14:paraId="105A6F4B" w14:textId="77777777" w:rsidR="00C7598C" w:rsidRPr="00BF7B7C" w:rsidRDefault="00C7598C">
      <w:pPr>
        <w:autoSpaceDE w:val="0"/>
        <w:autoSpaceDN w:val="0"/>
        <w:adjustRightInd w:val="0"/>
        <w:spacing w:line="480" w:lineRule="auto"/>
        <w:jc w:val="both"/>
        <w:rPr>
          <w:rFonts w:ascii="Arial" w:hAnsi="Arial" w:cs="Arial"/>
          <w:b/>
          <w:color w:val="000000"/>
          <w:lang w:val="en-US"/>
        </w:rPr>
      </w:pPr>
      <w:r w:rsidRPr="00BF7B7C">
        <w:rPr>
          <w:rFonts w:ascii="Arial" w:hAnsi="Arial" w:cs="Arial"/>
          <w:b/>
          <w:color w:val="000000"/>
          <w:lang w:val="en-US"/>
        </w:rPr>
        <w:t>Discussion</w:t>
      </w:r>
    </w:p>
    <w:p w14:paraId="786C4016" w14:textId="0884B3F8" w:rsidR="00C7598C" w:rsidRPr="00BF7B7C" w:rsidRDefault="00C7598C">
      <w:pPr>
        <w:autoSpaceDE w:val="0"/>
        <w:autoSpaceDN w:val="0"/>
        <w:adjustRightInd w:val="0"/>
        <w:spacing w:line="480" w:lineRule="auto"/>
        <w:jc w:val="both"/>
        <w:rPr>
          <w:rFonts w:ascii="Arial" w:hAnsi="Arial" w:cs="Arial"/>
          <w:bCs/>
          <w:color w:val="000000"/>
          <w:lang w:val="en-US"/>
        </w:rPr>
      </w:pPr>
      <w:r w:rsidRPr="00BF7B7C">
        <w:rPr>
          <w:rFonts w:ascii="Arial" w:hAnsi="Arial" w:cs="Arial"/>
          <w:bCs/>
          <w:color w:val="000000"/>
          <w:lang w:val="en-US"/>
        </w:rPr>
        <w:t xml:space="preserve">This is the first study to describe international practice patterns and their effect on the outcome of patients with </w:t>
      </w:r>
      <w:r w:rsidR="00BF1D30" w:rsidRPr="00BF7B7C">
        <w:rPr>
          <w:rFonts w:ascii="Arial" w:hAnsi="Arial" w:cs="Arial"/>
          <w:bCs/>
          <w:color w:val="000000"/>
          <w:lang w:val="en-US"/>
        </w:rPr>
        <w:t>a</w:t>
      </w:r>
      <w:r w:rsidR="005F4717">
        <w:rPr>
          <w:rFonts w:ascii="Arial" w:hAnsi="Arial" w:cs="Arial"/>
          <w:bCs/>
          <w:color w:val="000000"/>
          <w:lang w:val="en-US"/>
        </w:rPr>
        <w:t>UTC</w:t>
      </w:r>
      <w:r w:rsidRPr="00BF7B7C">
        <w:rPr>
          <w:rFonts w:ascii="Arial" w:hAnsi="Arial" w:cs="Arial"/>
          <w:bCs/>
          <w:color w:val="000000"/>
          <w:lang w:val="en-US"/>
        </w:rPr>
        <w:t>. The study has certain limitations associated with its retrospective nature: inaccuracies in reportin</w:t>
      </w:r>
      <w:r w:rsidR="000A5A95" w:rsidRPr="00BF7B7C">
        <w:rPr>
          <w:rFonts w:ascii="Arial" w:hAnsi="Arial" w:cs="Arial"/>
          <w:bCs/>
          <w:color w:val="000000"/>
          <w:lang w:val="en-US"/>
        </w:rPr>
        <w:t xml:space="preserve">g </w:t>
      </w:r>
      <w:r w:rsidR="00275460">
        <w:rPr>
          <w:rFonts w:ascii="Arial" w:hAnsi="Arial" w:cs="Arial"/>
          <w:bCs/>
          <w:color w:val="000000"/>
          <w:lang w:val="en-US"/>
        </w:rPr>
        <w:t xml:space="preserve">and </w:t>
      </w:r>
      <w:r w:rsidR="00275460" w:rsidRPr="00275460">
        <w:rPr>
          <w:rFonts w:ascii="Arial" w:hAnsi="Arial" w:cs="Arial"/>
          <w:bCs/>
          <w:color w:val="000000"/>
          <w:lang w:val="en-US"/>
        </w:rPr>
        <w:t xml:space="preserve">reporting biases </w:t>
      </w:r>
      <w:r w:rsidR="000A5A95" w:rsidRPr="00BF7B7C">
        <w:rPr>
          <w:rFonts w:ascii="Arial" w:hAnsi="Arial" w:cs="Arial"/>
          <w:bCs/>
          <w:color w:val="000000"/>
          <w:lang w:val="en-US"/>
        </w:rPr>
        <w:t>cannot be completely excluded,</w:t>
      </w:r>
      <w:r w:rsidRPr="00BF7B7C">
        <w:rPr>
          <w:rFonts w:ascii="Arial" w:hAnsi="Arial" w:cs="Arial"/>
          <w:bCs/>
          <w:color w:val="000000"/>
          <w:lang w:val="en-US"/>
        </w:rPr>
        <w:t xml:space="preserve"> in spite of the </w:t>
      </w:r>
      <w:r w:rsidR="00264313" w:rsidRPr="00BF7B7C">
        <w:rPr>
          <w:rFonts w:ascii="Arial" w:hAnsi="Arial" w:cs="Arial"/>
          <w:bCs/>
          <w:color w:val="000000"/>
          <w:lang w:val="en-US"/>
        </w:rPr>
        <w:t xml:space="preserve">performed </w:t>
      </w:r>
      <w:r w:rsidRPr="00BF7B7C">
        <w:rPr>
          <w:rFonts w:ascii="Arial" w:hAnsi="Arial" w:cs="Arial"/>
          <w:bCs/>
          <w:color w:val="000000"/>
          <w:lang w:val="en-US"/>
        </w:rPr>
        <w:t>quality control</w:t>
      </w:r>
      <w:r w:rsidR="00275460">
        <w:rPr>
          <w:rFonts w:ascii="Arial" w:hAnsi="Arial" w:cs="Arial"/>
          <w:bCs/>
          <w:color w:val="000000"/>
          <w:lang w:val="en-US"/>
        </w:rPr>
        <w:t xml:space="preserve"> of the data. In addition</w:t>
      </w:r>
      <w:r w:rsidR="00091A10">
        <w:rPr>
          <w:rFonts w:ascii="Arial" w:hAnsi="Arial" w:cs="Arial"/>
          <w:bCs/>
          <w:color w:val="000000"/>
          <w:lang w:val="en-US"/>
        </w:rPr>
        <w:t>, most</w:t>
      </w:r>
      <w:r w:rsidRPr="00BF7B7C">
        <w:rPr>
          <w:rFonts w:ascii="Arial" w:hAnsi="Arial" w:cs="Arial"/>
          <w:bCs/>
          <w:color w:val="000000"/>
          <w:lang w:val="en-US"/>
        </w:rPr>
        <w:t xml:space="preserve"> centers contributing to the RISC database are referral centers for</w:t>
      </w:r>
      <w:r w:rsidR="005F4717">
        <w:rPr>
          <w:rFonts w:ascii="Arial" w:hAnsi="Arial" w:cs="Arial"/>
          <w:bCs/>
          <w:color w:val="000000"/>
          <w:lang w:val="en-US"/>
        </w:rPr>
        <w:t xml:space="preserve"> UTC</w:t>
      </w:r>
      <w:r w:rsidR="00E338B6" w:rsidRPr="00BF7B7C">
        <w:rPr>
          <w:rFonts w:ascii="Arial" w:hAnsi="Arial" w:cs="Arial"/>
          <w:bCs/>
          <w:color w:val="000000"/>
          <w:lang w:val="en-US"/>
        </w:rPr>
        <w:t xml:space="preserve"> </w:t>
      </w:r>
      <w:r w:rsidRPr="00BF7B7C">
        <w:rPr>
          <w:rFonts w:ascii="Arial" w:hAnsi="Arial" w:cs="Arial"/>
          <w:bCs/>
          <w:color w:val="000000"/>
          <w:lang w:val="en-US"/>
        </w:rPr>
        <w:t>and, therefore, community practice is not fully represented. In spi</w:t>
      </w:r>
      <w:r w:rsidR="00275460">
        <w:rPr>
          <w:rFonts w:ascii="Arial" w:hAnsi="Arial" w:cs="Arial"/>
          <w:bCs/>
          <w:color w:val="000000"/>
          <w:lang w:val="en-US"/>
        </w:rPr>
        <w:t>te of these limitations, our</w:t>
      </w:r>
      <w:r w:rsidRPr="00BF7B7C">
        <w:rPr>
          <w:rFonts w:ascii="Arial" w:hAnsi="Arial" w:cs="Arial"/>
          <w:bCs/>
          <w:color w:val="000000"/>
          <w:lang w:val="en-US"/>
        </w:rPr>
        <w:t xml:space="preserve"> data are original and potentially useful for clinical practice and future research. Apart from the depiction of practice patterns across countries with different health and insurance systems, the RISC database </w:t>
      </w:r>
      <w:r w:rsidR="00275460">
        <w:rPr>
          <w:rFonts w:ascii="Arial" w:hAnsi="Arial" w:cs="Arial"/>
          <w:bCs/>
          <w:color w:val="000000"/>
          <w:lang w:val="en-US"/>
        </w:rPr>
        <w:t>enabled</w:t>
      </w:r>
      <w:r w:rsidRPr="00BF7B7C">
        <w:rPr>
          <w:rFonts w:ascii="Arial" w:hAnsi="Arial" w:cs="Arial"/>
          <w:bCs/>
          <w:color w:val="000000"/>
          <w:lang w:val="en-US"/>
        </w:rPr>
        <w:t xml:space="preserve"> the study of so far unexplored s</w:t>
      </w:r>
      <w:r w:rsidR="003B273C">
        <w:rPr>
          <w:rFonts w:ascii="Arial" w:hAnsi="Arial" w:cs="Arial"/>
          <w:bCs/>
          <w:color w:val="000000"/>
          <w:lang w:val="en-US"/>
        </w:rPr>
        <w:t>ubjects, such as the comparison</w:t>
      </w:r>
      <w:r w:rsidRPr="00BF7B7C">
        <w:rPr>
          <w:rFonts w:ascii="Arial" w:hAnsi="Arial" w:cs="Arial"/>
          <w:bCs/>
          <w:color w:val="000000"/>
          <w:lang w:val="en-US"/>
        </w:rPr>
        <w:t xml:space="preserve"> between cisplatin and carboplatin, as well as the value of the recently established criteria of </w:t>
      </w:r>
      <w:r w:rsidR="00091A10">
        <w:rPr>
          <w:rFonts w:ascii="Arial" w:hAnsi="Arial" w:cs="Arial"/>
          <w:bCs/>
          <w:color w:val="000000"/>
          <w:lang w:val="en-US"/>
        </w:rPr>
        <w:t>eligibility</w:t>
      </w:r>
      <w:r w:rsidRPr="00BF7B7C">
        <w:rPr>
          <w:rFonts w:ascii="Arial" w:hAnsi="Arial" w:cs="Arial"/>
          <w:bCs/>
          <w:color w:val="000000"/>
          <w:lang w:val="en-US"/>
        </w:rPr>
        <w:t>-for-cisplatin and the impact of deviations from these criteria on outcome. Given that a randomized study, directly comparing cisplatin with carboplatin is unlikely, this analysis provides the highest possible level of evidence to this question, while it also provides useful benchmarks of the outcome of the various subgroups of patients with a</w:t>
      </w:r>
      <w:r w:rsidR="005F4717">
        <w:rPr>
          <w:rFonts w:ascii="Arial" w:hAnsi="Arial" w:cs="Arial"/>
          <w:bCs/>
          <w:color w:val="000000"/>
          <w:lang w:val="en-US"/>
        </w:rPr>
        <w:t>UTC</w:t>
      </w:r>
      <w:r w:rsidRPr="00BF7B7C">
        <w:rPr>
          <w:rFonts w:ascii="Arial" w:hAnsi="Arial" w:cs="Arial"/>
          <w:bCs/>
          <w:color w:val="000000"/>
          <w:lang w:val="en-US"/>
        </w:rPr>
        <w:t xml:space="preserve">.  </w:t>
      </w:r>
    </w:p>
    <w:p w14:paraId="6BE37826" w14:textId="1D026AED" w:rsidR="00C7598C" w:rsidRPr="00BF7B7C" w:rsidRDefault="003B273C">
      <w:pPr>
        <w:autoSpaceDE w:val="0"/>
        <w:autoSpaceDN w:val="0"/>
        <w:adjustRightInd w:val="0"/>
        <w:spacing w:line="480" w:lineRule="auto"/>
        <w:jc w:val="both"/>
        <w:rPr>
          <w:rFonts w:ascii="Arial" w:hAnsi="Arial" w:cs="Arial"/>
          <w:bCs/>
          <w:color w:val="000000"/>
          <w:lang w:val="en-US"/>
        </w:rPr>
      </w:pPr>
      <w:r>
        <w:rPr>
          <w:rFonts w:ascii="Arial" w:hAnsi="Arial" w:cs="Arial"/>
          <w:bCs/>
          <w:color w:val="000000"/>
          <w:lang w:val="en-US"/>
        </w:rPr>
        <w:t>Fisty-six % of patients were ineligible-for-cisplatin</w:t>
      </w:r>
      <w:r w:rsidR="00C7598C" w:rsidRPr="00BF7B7C">
        <w:rPr>
          <w:rFonts w:ascii="Arial" w:hAnsi="Arial" w:cs="Arial"/>
          <w:bCs/>
          <w:color w:val="000000"/>
          <w:lang w:val="en-US"/>
        </w:rPr>
        <w:t>. The distribution of the different criteria are strikingly similar among ou</w:t>
      </w:r>
      <w:r w:rsidR="00D62B09" w:rsidRPr="00BF7B7C">
        <w:rPr>
          <w:rFonts w:ascii="Arial" w:hAnsi="Arial" w:cs="Arial"/>
          <w:bCs/>
          <w:color w:val="000000"/>
          <w:lang w:val="en-US"/>
        </w:rPr>
        <w:t>r study, a Greek cohort study</w:t>
      </w:r>
      <w:hyperlink w:anchor="_ENREF_10" w:tooltip="Bamias, 2016 #4763" w:history="1">
        <w:r w:rsidR="00224D48" w:rsidRPr="00BF7B7C">
          <w:rPr>
            <w:rFonts w:ascii="Arial" w:hAnsi="Arial" w:cs="Arial"/>
            <w:bCs/>
            <w:color w:val="000000"/>
            <w:lang w:val="en-US"/>
          </w:rPr>
          <w:fldChar w:fldCharType="begin">
            <w:fldData xml:space="preserve">PEVuZE5vdGU+PENpdGU+PEF1dGhvcj5CYW1pYXM8L0F1dGhvcj48WWVhcj4yMDE2PC9ZZWFyPjxS
ZWNOdW0+NDc2MzwvUmVjTnVtPjxEaXNwbGF5VGV4dD48c3R5bGUgZmFjZT0ic3VwZXJzY3JpcHQi
PjEwPC9zdHlsZT48L0Rpc3BsYXlUZXh0PjxyZWNvcmQ+PHJlYy1udW1iZXI+NDc2MzwvcmVjLW51
bWJlcj48Zm9yZWlnbi1rZXlzPjxrZXkgYXBwPSJFTiIgZGItaWQ9IjJ3eGFzMGFmYXphMnJvZWR6
YTlwMGFzaDlmc3JkMnphZnQ1ZiI+NDc2Mzwva2V5PjwvZm9yZWlnbi1rZXlzPjxyZWYtdHlwZSBu
YW1lPSJKb3VybmFsIEFydGljbGUiPjE3PC9yZWYtdHlwZT48Y29udHJpYnV0b3JzPjxhdXRob3Jz
PjxhdXRob3I+QmFtaWFzLCBBLjwvYXV0aG9yPjxhdXRob3I+UGVyb3VraWRpcywgUy48L2F1dGhv
cj48YXV0aG9yPlN0YW1hdG9wb3Vsb3UsIFMuPC9hdXRob3I+PGF1dGhvcj5UemFubmlzLCBLLjwv
YXV0aG9yPjxhdXRob3I+S291dHNvdWtvcywgSy48L2F1dGhvcj48YXV0aG9yPkFuZHJlYWRpcywg
Qy48L2F1dGhvcj48YXV0aG9yPkJvemlvbmVsb3UsIFYuPC9hdXRob3I+PGF1dGhvcj5QaXN0YWxt
YXR6aWFuLCBOLjwvYXV0aG9yPjxhdXRob3I+UGFwYXRzb3JpcywgQS48L2F1dGhvcj48YXV0aG9y
PlN0cmF2b2RpbW9zLCBLLjwvYXV0aG9yPjxhdXRob3I+VmFydGhhbGl0aXMsIEkuPC9hdXRob3I+
PGF1dGhvcj5LYXJhbW91emlzLCBNLjwvYXV0aG9yPjxhdXRob3I+TWlsYWtpLCBHLjwvYXV0aG9y
PjxhdXRob3I+QWdvcmFzdG9zLCBBLjwvYXV0aG9yPjxhdXRob3I+S2VudGVwb3ppZGlzLCBOLjwv
YXV0aG9yPjxhdXRob3I+QW5kcm91bGFraXMsIE4uPC9hdXRob3I+PGF1dGhvcj5Cb21wb2xha2ks
IEkuPC9hdXRob3I+PGF1dGhvcj5LYWxvZm9ub3MsIEguPC9hdXRob3I+PGF1dGhvcj5NYXZyb3Vk
aXMsIEQuPC9hdXRob3I+PGF1dGhvcj5EaW1vcG91bG9zLCBNLiBBLjwvYXV0aG9yPjwvYXV0aG9y
cz48L2NvbnRyaWJ1dG9ycz48YXV0aC1hZGRyZXNzPkRlcGFydG1lbnQgb2YgQ2xpbmljYWwgVGhl
cmFwZXV0aWNzLCBVbml2ZXJzaXR5IG9mIEF0aGVucywgQXRoZW5zLCBHcmVlY2UuJiN4RDtEaXZp
c2lvbiBvZiBPbmNvbG9neSwgRGVwYXJ0bWVudCBvZiBNZWRpY2luZSwgVW5pdmVyc2l0eSBIb3Nw
aXRhbCwgVW5pdmVyc2l0eSBvZiBQYXRyYXMgTWVkaWNhbCBTY2hvb2wsIFBhdHJhcywgR3JlZWNl
LiYjeEQ7MXN0IERlcGFydG1lbnQgb2YgTWVkaWNhbCBPbmNvbG9neSwgJnF1b3Q7QWdpb3MgU2F2
dmFzJnF1b3Q7IEhvc3BpdGFsLCBBdGhlbnMsIEdyZWVjZS4mI3hEO0RlcGFydG1lbnQgb2YgQ2xp
bmljYWwgVGhlcmFwZXV0aWNzLCBVbml2ZXJzaXR5IG9mIEF0aGVucywgQXRoZW5zLCBHcmVlY2Uu
IEVsZWN0cm9uaWMgYWRkcmVzczoga291dHNvdWtvcy5rQGdtYWlsLmNvbS4mI3hEOzNyZCBEZXBh
cnRtZW50IG9mIENsaW5pY2FsIE9uY29sb2d5LCBUaGVhZ2VuaW9uIENhbmNlciBIb3NwaXRhbCwg
VGhlc3NhbG9uaWtpLCBHcmVlY2UuJiN4RDtEZXBhcnRtZW50IG9mIE1lZGljYWwgT25jb2xvZ3ks
IFVuaXZlcnNpdHkgSG9zcGl0YWwgb2YgSGVyYWtsaW9uLCBhbmQgTWVkaWNhbCBTY2hvb2wsIFVu
aXZlcnNpdHkgb2YgQ3JldGUsIEhlcmFrbGlvbiwgQ3JldGUsIEdyZWVjZS4mI3hEOyZxdW90O01p
dGVyYSZxdW90OyBIb3NwaXRhbCwgQXRoZW5zLCBHcmVlY2UuJiN4RDsybmQgRGVwYXJ0bWVudCBv
ZiBVcm9sb2d5LCBTaXNtYW5vZ2xpbyBIb3NwaXRhbCwgU2Nob29sIG9mIE1lZGljaW5lLCBVbml2
ZXJzaXR5IG9mIEF0aGVucywgQXRoZW5zLCBHcmVlY2UuJiN4RDtEZXBhcnRtZW50IG9mIFVyb2xv
Z3ksIEF0aGVucyBVbml2ZXJzaXR5IE1lZGljYWwgU2Nob29sLCBMYWlrbyBIb3NwaXRhbCwgQXRo
ZW5zLCBHcmVlY2UuJiN4RDtEZXBhcnRtZW50IG9mIE1lZGljYWwgT25jb2xvZ3ksIEdlbmVyYWwg
SG9zcGl0YWwgb2YgQ2hhbmlhLCBDaGFuaWEsIEdyZWVjZS4mI3hEOyZxdW90O0xlZmtvcyBTdGF2
cm9zJnF1b3Q7IEhvc3BpdGFsLCBBdGhlbnMsIEdyZWVjZS4mI3hEO0RlcGFydG1lbnQgb2YgTWVk
aWNhbCBPbmNvbG9neSwgVmVuaXplbGlvIEhvc3BpdGFsLCBIZXJha2xpb24sIEdyZWVjZS4mI3hE
O01lZGljYWwgT25jb2xvZ3kgRGVwYXJ0bWVudCwgMjUxIEdlbmVyYWwgQWlyIEZvcmNlIEhvc3Bp
dGFsLCBBdGhlbnMsIEdyZWVjZS48L2F1dGgtYWRkcmVzcz48dGl0bGVzPjx0aXRsZT5VdGlsaXph
dGlvbiBvZiBTeXN0ZW1pYyBDaGVtb3RoZXJhcHkgaW4gQWR2YW5jZWQgVXJvdGhlbGlhbCBDYW5j
ZXI6IEEgUmV0cm9zcGVjdGl2ZSBDb2xsYWJvcmF0aXZlIFN0dWR5IGJ5IHRoZSBIZWxsZW5pYyBH
ZW5pdG91cmluYXJ5IENhbmNlciBHcm91cCAoSEdVQ0cpPC90aXRsZT48c2Vjb25kYXJ5LXRpdGxl
PkNsaW4gR2VuaXRvdXJpbiBDYW5jZXI8L3NlY29uZGFyeS10aXRsZT48YWx0LXRpdGxlPkNsaW5p
Y2FsIGdlbml0b3VyaW5hcnkgY2FuY2VyPC9hbHQtdGl0bGU+PC90aXRsZXM+PHBlcmlvZGljYWw+
PGZ1bGwtdGl0bGU+Q2xpbiBHZW5pdG91cmluIENhbmNlcjwvZnVsbC10aXRsZT48L3BlcmlvZGlj
YWw+PGFsdC1wZXJpb2RpY2FsPjxmdWxsLXRpdGxlPkNsaW5pY2FsIGdlbml0b3VyaW5hcnkgY2Fu
Y2VyPC9mdWxsLXRpdGxlPjwvYWx0LXBlcmlvZGljYWw+PHBhZ2VzPmUxNTMtOTwvcGFnZXM+PHZv
bHVtZT4xNDwvdm9sdW1lPjxudW1iZXI+MjwvbnVtYmVyPjxkYXRlcz48eWVhcj4yMDE2PC95ZWFy
PjxwdWItZGF0ZXM+PGRhdGU+QXByPC9kYXRlPjwvcHViLWRhdGVzPjwvZGF0ZXM+PGlzYm4+MTkz
OC0wNjgyIChFbGVjdHJvbmljKSYjeEQ7MTU1OC03NjczIChMaW5raW5nKTwvaXNibj48YWNjZXNz
aW9uLW51bT4yNjQzNzkwOTwvYWNjZXNzaW9uLW51bT48dXJscz48cmVsYXRlZC11cmxzPjx1cmw+
aHR0cDovL3d3dy5uY2JpLm5sbS5uaWguZ292L3B1Ym1lZC8yNjQzNzkwOTwvdXJsPjwvcmVsYXRl
ZC11cmxzPjwvdXJscz48ZWxlY3Ryb25pYy1yZXNvdXJjZS1udW0+MTAuMTAxNi9qLmNsZ2MuMjAx
NS4wOS4wMDk8L2VsZWN0cm9uaWMtcmVzb3VyY2UtbnVtPjwvcmVjb3JkPjwvQ2l0ZT48L0VuZE5v
dGU+AG==
</w:fldData>
          </w:fldChar>
        </w:r>
        <w:r w:rsidR="008822D4" w:rsidRPr="00BF7B7C">
          <w:rPr>
            <w:rFonts w:ascii="Arial" w:hAnsi="Arial" w:cs="Arial"/>
            <w:bCs/>
            <w:color w:val="000000"/>
            <w:lang w:val="en-US"/>
          </w:rPr>
          <w:instrText xml:space="preserve"> ADDIN EN.CITE </w:instrText>
        </w:r>
        <w:r w:rsidR="00224D48" w:rsidRPr="00BF7B7C">
          <w:rPr>
            <w:rFonts w:ascii="Arial" w:hAnsi="Arial" w:cs="Arial"/>
            <w:bCs/>
            <w:color w:val="000000"/>
            <w:lang w:val="en-US"/>
          </w:rPr>
          <w:fldChar w:fldCharType="begin">
            <w:fldData xml:space="preserve">PEVuZE5vdGU+PENpdGU+PEF1dGhvcj5CYW1pYXM8L0F1dGhvcj48WWVhcj4yMDE2PC9ZZWFyPjxS
ZWNOdW0+NDc2MzwvUmVjTnVtPjxEaXNwbGF5VGV4dD48c3R5bGUgZmFjZT0ic3VwZXJzY3JpcHQi
PjEwPC9zdHlsZT48L0Rpc3BsYXlUZXh0PjxyZWNvcmQ+PHJlYy1udW1iZXI+NDc2MzwvcmVjLW51
bWJlcj48Zm9yZWlnbi1rZXlzPjxrZXkgYXBwPSJFTiIgZGItaWQ9IjJ3eGFzMGFmYXphMnJvZWR6
YTlwMGFzaDlmc3JkMnphZnQ1ZiI+NDc2Mzwva2V5PjwvZm9yZWlnbi1rZXlzPjxyZWYtdHlwZSBu
YW1lPSJKb3VybmFsIEFydGljbGUiPjE3PC9yZWYtdHlwZT48Y29udHJpYnV0b3JzPjxhdXRob3Jz
PjxhdXRob3I+QmFtaWFzLCBBLjwvYXV0aG9yPjxhdXRob3I+UGVyb3VraWRpcywgUy48L2F1dGhv
cj48YXV0aG9yPlN0YW1hdG9wb3Vsb3UsIFMuPC9hdXRob3I+PGF1dGhvcj5UemFubmlzLCBLLjwv
YXV0aG9yPjxhdXRob3I+S291dHNvdWtvcywgSy48L2F1dGhvcj48YXV0aG9yPkFuZHJlYWRpcywg
Qy48L2F1dGhvcj48YXV0aG9yPkJvemlvbmVsb3UsIFYuPC9hdXRob3I+PGF1dGhvcj5QaXN0YWxt
YXR6aWFuLCBOLjwvYXV0aG9yPjxhdXRob3I+UGFwYXRzb3JpcywgQS48L2F1dGhvcj48YXV0aG9y
PlN0cmF2b2RpbW9zLCBLLjwvYXV0aG9yPjxhdXRob3I+VmFydGhhbGl0aXMsIEkuPC9hdXRob3I+
PGF1dGhvcj5LYXJhbW91emlzLCBNLjwvYXV0aG9yPjxhdXRob3I+TWlsYWtpLCBHLjwvYXV0aG9y
PjxhdXRob3I+QWdvcmFzdG9zLCBBLjwvYXV0aG9yPjxhdXRob3I+S2VudGVwb3ppZGlzLCBOLjwv
YXV0aG9yPjxhdXRob3I+QW5kcm91bGFraXMsIE4uPC9hdXRob3I+PGF1dGhvcj5Cb21wb2xha2ks
IEkuPC9hdXRob3I+PGF1dGhvcj5LYWxvZm9ub3MsIEguPC9hdXRob3I+PGF1dGhvcj5NYXZyb3Vk
aXMsIEQuPC9hdXRob3I+PGF1dGhvcj5EaW1vcG91bG9zLCBNLiBBLjwvYXV0aG9yPjwvYXV0aG9y
cz48L2NvbnRyaWJ1dG9ycz48YXV0aC1hZGRyZXNzPkRlcGFydG1lbnQgb2YgQ2xpbmljYWwgVGhl
cmFwZXV0aWNzLCBVbml2ZXJzaXR5IG9mIEF0aGVucywgQXRoZW5zLCBHcmVlY2UuJiN4RDtEaXZp
c2lvbiBvZiBPbmNvbG9neSwgRGVwYXJ0bWVudCBvZiBNZWRpY2luZSwgVW5pdmVyc2l0eSBIb3Nw
aXRhbCwgVW5pdmVyc2l0eSBvZiBQYXRyYXMgTWVkaWNhbCBTY2hvb2wsIFBhdHJhcywgR3JlZWNl
LiYjeEQ7MXN0IERlcGFydG1lbnQgb2YgTWVkaWNhbCBPbmNvbG9neSwgJnF1b3Q7QWdpb3MgU2F2
dmFzJnF1b3Q7IEhvc3BpdGFsLCBBdGhlbnMsIEdyZWVjZS4mI3hEO0RlcGFydG1lbnQgb2YgQ2xp
bmljYWwgVGhlcmFwZXV0aWNzLCBVbml2ZXJzaXR5IG9mIEF0aGVucywgQXRoZW5zLCBHcmVlY2Uu
IEVsZWN0cm9uaWMgYWRkcmVzczoga291dHNvdWtvcy5rQGdtYWlsLmNvbS4mI3hEOzNyZCBEZXBh
cnRtZW50IG9mIENsaW5pY2FsIE9uY29sb2d5LCBUaGVhZ2VuaW9uIENhbmNlciBIb3NwaXRhbCwg
VGhlc3NhbG9uaWtpLCBHcmVlY2UuJiN4RDtEZXBhcnRtZW50IG9mIE1lZGljYWwgT25jb2xvZ3ks
IFVuaXZlcnNpdHkgSG9zcGl0YWwgb2YgSGVyYWtsaW9uLCBhbmQgTWVkaWNhbCBTY2hvb2wsIFVu
aXZlcnNpdHkgb2YgQ3JldGUsIEhlcmFrbGlvbiwgQ3JldGUsIEdyZWVjZS4mI3hEOyZxdW90O01p
dGVyYSZxdW90OyBIb3NwaXRhbCwgQXRoZW5zLCBHcmVlY2UuJiN4RDsybmQgRGVwYXJ0bWVudCBv
ZiBVcm9sb2d5LCBTaXNtYW5vZ2xpbyBIb3NwaXRhbCwgU2Nob29sIG9mIE1lZGljaW5lLCBVbml2
ZXJzaXR5IG9mIEF0aGVucywgQXRoZW5zLCBHcmVlY2UuJiN4RDtEZXBhcnRtZW50IG9mIFVyb2xv
Z3ksIEF0aGVucyBVbml2ZXJzaXR5IE1lZGljYWwgU2Nob29sLCBMYWlrbyBIb3NwaXRhbCwgQXRo
ZW5zLCBHcmVlY2UuJiN4RDtEZXBhcnRtZW50IG9mIE1lZGljYWwgT25jb2xvZ3ksIEdlbmVyYWwg
SG9zcGl0YWwgb2YgQ2hhbmlhLCBDaGFuaWEsIEdyZWVjZS4mI3hEOyZxdW90O0xlZmtvcyBTdGF2
cm9zJnF1b3Q7IEhvc3BpdGFsLCBBdGhlbnMsIEdyZWVjZS4mI3hEO0RlcGFydG1lbnQgb2YgTWVk
aWNhbCBPbmNvbG9neSwgVmVuaXplbGlvIEhvc3BpdGFsLCBIZXJha2xpb24sIEdyZWVjZS4mI3hE
O01lZGljYWwgT25jb2xvZ3kgRGVwYXJ0bWVudCwgMjUxIEdlbmVyYWwgQWlyIEZvcmNlIEhvc3Bp
dGFsLCBBdGhlbnMsIEdyZWVjZS48L2F1dGgtYWRkcmVzcz48dGl0bGVzPjx0aXRsZT5VdGlsaXph
dGlvbiBvZiBTeXN0ZW1pYyBDaGVtb3RoZXJhcHkgaW4gQWR2YW5jZWQgVXJvdGhlbGlhbCBDYW5j
ZXI6IEEgUmV0cm9zcGVjdGl2ZSBDb2xsYWJvcmF0aXZlIFN0dWR5IGJ5IHRoZSBIZWxsZW5pYyBH
ZW5pdG91cmluYXJ5IENhbmNlciBHcm91cCAoSEdVQ0cpPC90aXRsZT48c2Vjb25kYXJ5LXRpdGxl
PkNsaW4gR2VuaXRvdXJpbiBDYW5jZXI8L3NlY29uZGFyeS10aXRsZT48YWx0LXRpdGxlPkNsaW5p
Y2FsIGdlbml0b3VyaW5hcnkgY2FuY2VyPC9hbHQtdGl0bGU+PC90aXRsZXM+PHBlcmlvZGljYWw+
PGZ1bGwtdGl0bGU+Q2xpbiBHZW5pdG91cmluIENhbmNlcjwvZnVsbC10aXRsZT48L3BlcmlvZGlj
YWw+PGFsdC1wZXJpb2RpY2FsPjxmdWxsLXRpdGxlPkNsaW5pY2FsIGdlbml0b3VyaW5hcnkgY2Fu
Y2VyPC9mdWxsLXRpdGxlPjwvYWx0LXBlcmlvZGljYWw+PHBhZ2VzPmUxNTMtOTwvcGFnZXM+PHZv
bHVtZT4xNDwvdm9sdW1lPjxudW1iZXI+MjwvbnVtYmVyPjxkYXRlcz48eWVhcj4yMDE2PC95ZWFy
PjxwdWItZGF0ZXM+PGRhdGU+QXByPC9kYXRlPjwvcHViLWRhdGVzPjwvZGF0ZXM+PGlzYm4+MTkz
OC0wNjgyIChFbGVjdHJvbmljKSYjeEQ7MTU1OC03NjczIChMaW5raW5nKTwvaXNibj48YWNjZXNz
aW9uLW51bT4yNjQzNzkwOTwvYWNjZXNzaW9uLW51bT48dXJscz48cmVsYXRlZC11cmxzPjx1cmw+
aHR0cDovL3d3dy5uY2JpLm5sbS5uaWguZ292L3B1Ym1lZC8yNjQzNzkwOTwvdXJsPjwvcmVsYXRl
ZC11cmxzPjwvdXJscz48ZWxlY3Ryb25pYy1yZXNvdXJjZS1udW0+MTAuMTAxNi9qLmNsZ2MuMjAx
NS4wOS4wMDk8L2VsZWN0cm9uaWMtcmVzb3VyY2UtbnVtPjwvcmVjb3JkPjwvQ2l0ZT48L0VuZE5v
dGU+AG==
</w:fldData>
          </w:fldChar>
        </w:r>
        <w:r w:rsidR="008822D4" w:rsidRPr="00BF7B7C">
          <w:rPr>
            <w:rFonts w:ascii="Arial" w:hAnsi="Arial" w:cs="Arial"/>
            <w:bCs/>
            <w:color w:val="000000"/>
            <w:lang w:val="en-US"/>
          </w:rPr>
          <w:instrText xml:space="preserve"> ADDIN EN.CITE.DATA </w:instrText>
        </w:r>
        <w:r w:rsidR="00224D48" w:rsidRPr="00BF7B7C">
          <w:rPr>
            <w:rFonts w:ascii="Arial" w:hAnsi="Arial" w:cs="Arial"/>
            <w:bCs/>
            <w:color w:val="000000"/>
            <w:lang w:val="en-US"/>
          </w:rPr>
        </w:r>
        <w:r w:rsidR="00224D48" w:rsidRPr="00BF7B7C">
          <w:rPr>
            <w:rFonts w:ascii="Arial" w:hAnsi="Arial" w:cs="Arial"/>
            <w:bCs/>
            <w:color w:val="000000"/>
            <w:lang w:val="en-US"/>
          </w:rPr>
          <w:fldChar w:fldCharType="end"/>
        </w:r>
        <w:r w:rsidR="00224D48" w:rsidRPr="00BF7B7C">
          <w:rPr>
            <w:rFonts w:ascii="Arial" w:hAnsi="Arial" w:cs="Arial"/>
            <w:bCs/>
            <w:color w:val="000000"/>
            <w:lang w:val="en-US"/>
          </w:rPr>
        </w:r>
        <w:r w:rsidR="00224D48" w:rsidRPr="00BF7B7C">
          <w:rPr>
            <w:rFonts w:ascii="Arial" w:hAnsi="Arial" w:cs="Arial"/>
            <w:bCs/>
            <w:color w:val="000000"/>
            <w:lang w:val="en-US"/>
          </w:rPr>
          <w:fldChar w:fldCharType="separate"/>
        </w:r>
        <w:r w:rsidR="008822D4" w:rsidRPr="00BF7B7C">
          <w:rPr>
            <w:rFonts w:ascii="Arial" w:hAnsi="Arial" w:cs="Arial"/>
            <w:bCs/>
            <w:noProof/>
            <w:color w:val="000000"/>
            <w:vertAlign w:val="superscript"/>
            <w:lang w:val="en-US"/>
          </w:rPr>
          <w:t>10</w:t>
        </w:r>
        <w:r w:rsidR="00224D48" w:rsidRPr="00BF7B7C">
          <w:rPr>
            <w:rFonts w:ascii="Arial" w:hAnsi="Arial" w:cs="Arial"/>
            <w:bCs/>
            <w:color w:val="000000"/>
            <w:lang w:val="en-US"/>
          </w:rPr>
          <w:fldChar w:fldCharType="end"/>
        </w:r>
      </w:hyperlink>
      <w:r w:rsidR="00C7598C" w:rsidRPr="00BF7B7C">
        <w:rPr>
          <w:rFonts w:ascii="Arial" w:hAnsi="Arial" w:cs="Arial"/>
          <w:bCs/>
          <w:color w:val="000000"/>
          <w:lang w:val="en-US"/>
        </w:rPr>
        <w:t xml:space="preserve"> as well as a recen</w:t>
      </w:r>
      <w:r w:rsidR="005753D5" w:rsidRPr="00BF7B7C">
        <w:rPr>
          <w:rFonts w:ascii="Arial" w:hAnsi="Arial" w:cs="Arial"/>
          <w:bCs/>
          <w:color w:val="000000"/>
          <w:lang w:val="en-US"/>
        </w:rPr>
        <w:t>tly reported phase II study</w:t>
      </w:r>
      <w:r w:rsidR="00C7598C" w:rsidRPr="00BF7B7C">
        <w:rPr>
          <w:rFonts w:ascii="Arial" w:hAnsi="Arial" w:cs="Arial"/>
          <w:bCs/>
          <w:color w:val="000000"/>
          <w:lang w:val="en-US"/>
        </w:rPr>
        <w:t>.</w:t>
      </w:r>
      <w:r w:rsidR="00014A63" w:rsidRPr="002B636C">
        <w:rPr>
          <w:rFonts w:ascii="Arial" w:hAnsi="Arial" w:cs="Arial"/>
          <w:bCs/>
          <w:color w:val="000000"/>
          <w:vertAlign w:val="superscript"/>
          <w:lang w:val="en-US"/>
        </w:rPr>
        <w:t>1</w:t>
      </w:r>
      <w:hyperlink w:anchor="_ENREF_11" w:tooltip="Bellmunt, 2016 #4764" w:history="1">
        <w:r w:rsidR="00014A63" w:rsidRPr="002B636C">
          <w:rPr>
            <w:rFonts w:ascii="Arial" w:hAnsi="Arial" w:cs="Arial"/>
            <w:bCs/>
            <w:color w:val="000000"/>
            <w:vertAlign w:val="superscript"/>
            <w:lang w:val="en-US"/>
          </w:rPr>
          <w:t>4</w:t>
        </w:r>
      </w:hyperlink>
      <w:r w:rsidR="00C7598C" w:rsidRPr="00BF7B7C">
        <w:rPr>
          <w:rFonts w:ascii="Arial" w:hAnsi="Arial" w:cs="Arial"/>
          <w:bCs/>
          <w:color w:val="000000"/>
          <w:lang w:val="en-US"/>
        </w:rPr>
        <w:t xml:space="preserve"> This similarity supports the validity of these criteria and their applicability in the context of clinical trials. Interestingly, in another phase II study, the percentage of he</w:t>
      </w:r>
      <w:r w:rsidR="005753D5" w:rsidRPr="00BF7B7C">
        <w:rPr>
          <w:rFonts w:ascii="Arial" w:hAnsi="Arial" w:cs="Arial"/>
          <w:bCs/>
          <w:color w:val="000000"/>
          <w:lang w:val="en-US"/>
        </w:rPr>
        <w:t>aring impairment was higher</w:t>
      </w:r>
      <w:r w:rsidR="000316D8" w:rsidRPr="002B636C">
        <w:rPr>
          <w:rFonts w:ascii="Arial" w:hAnsi="Arial" w:cs="Arial"/>
          <w:bCs/>
          <w:color w:val="000000"/>
          <w:vertAlign w:val="superscript"/>
          <w:lang w:val="en-US"/>
        </w:rPr>
        <w:t>1</w:t>
      </w:r>
      <w:hyperlink w:anchor="_ENREF_12" w:tooltip="Balar, 2016 #4765" w:history="1">
        <w:r w:rsidR="000316D8" w:rsidRPr="002B636C">
          <w:rPr>
            <w:rFonts w:ascii="Arial" w:hAnsi="Arial" w:cs="Arial"/>
            <w:bCs/>
            <w:color w:val="000000"/>
            <w:vertAlign w:val="superscript"/>
            <w:lang w:val="en-US"/>
          </w:rPr>
          <w:t>5</w:t>
        </w:r>
      </w:hyperlink>
      <w:r w:rsidR="000316D8" w:rsidRPr="00BF7B7C">
        <w:rPr>
          <w:rFonts w:ascii="Arial" w:hAnsi="Arial" w:cs="Arial"/>
          <w:bCs/>
          <w:color w:val="000000"/>
          <w:lang w:val="en-US"/>
        </w:rPr>
        <w:t xml:space="preserve"> </w:t>
      </w:r>
      <w:r w:rsidR="00C7598C" w:rsidRPr="00BF7B7C">
        <w:rPr>
          <w:rFonts w:ascii="Arial" w:hAnsi="Arial" w:cs="Arial"/>
          <w:bCs/>
          <w:color w:val="000000"/>
          <w:lang w:val="en-US"/>
        </w:rPr>
        <w:t xml:space="preserve">underlying the importance of excluding this factor by specific questioning. </w:t>
      </w:r>
    </w:p>
    <w:p w14:paraId="10853E79" w14:textId="225A4A63" w:rsidR="00C7598C" w:rsidRPr="00BF7B7C" w:rsidRDefault="008506F3">
      <w:pPr>
        <w:autoSpaceDE w:val="0"/>
        <w:autoSpaceDN w:val="0"/>
        <w:adjustRightInd w:val="0"/>
        <w:spacing w:line="480" w:lineRule="auto"/>
        <w:jc w:val="both"/>
        <w:rPr>
          <w:rFonts w:ascii="Arial" w:hAnsi="Arial" w:cs="Arial"/>
          <w:bCs/>
          <w:color w:val="000000"/>
          <w:lang w:val="en-US"/>
        </w:rPr>
      </w:pPr>
      <w:r>
        <w:rPr>
          <w:rFonts w:ascii="Arial" w:hAnsi="Arial" w:cs="Arial"/>
          <w:bCs/>
          <w:color w:val="000000"/>
          <w:lang w:val="en-US"/>
        </w:rPr>
        <w:t xml:space="preserve">Twenty-five </w:t>
      </w:r>
      <w:r w:rsidR="003333D2" w:rsidRPr="00BF7B7C">
        <w:rPr>
          <w:rFonts w:ascii="Arial" w:hAnsi="Arial" w:cs="Arial"/>
          <w:bCs/>
          <w:color w:val="000000"/>
          <w:lang w:val="en-US"/>
        </w:rPr>
        <w:t xml:space="preserve">% </w:t>
      </w:r>
      <w:r>
        <w:rPr>
          <w:rFonts w:ascii="Arial" w:hAnsi="Arial" w:cs="Arial"/>
          <w:bCs/>
          <w:color w:val="000000"/>
          <w:lang w:val="en-US"/>
        </w:rPr>
        <w:t>of</w:t>
      </w:r>
      <w:r w:rsidR="00C7598C" w:rsidRPr="00BF7B7C">
        <w:rPr>
          <w:rFonts w:ascii="Arial" w:hAnsi="Arial" w:cs="Arial"/>
          <w:bCs/>
          <w:color w:val="000000"/>
          <w:lang w:val="en-US"/>
        </w:rPr>
        <w:t xml:space="preserve"> patients not receiving cispl</w:t>
      </w:r>
      <w:r w:rsidR="00091A10">
        <w:rPr>
          <w:rFonts w:ascii="Arial" w:hAnsi="Arial" w:cs="Arial"/>
          <w:bCs/>
          <w:color w:val="000000"/>
          <w:lang w:val="en-US"/>
        </w:rPr>
        <w:t>atin</w:t>
      </w:r>
      <w:r>
        <w:rPr>
          <w:rFonts w:ascii="Arial" w:hAnsi="Arial" w:cs="Arial"/>
          <w:bCs/>
          <w:color w:val="000000"/>
          <w:lang w:val="en-US"/>
        </w:rPr>
        <w:t xml:space="preserve"> were eligible for this agent. T</w:t>
      </w:r>
      <w:r w:rsidR="00091A10">
        <w:rPr>
          <w:rFonts w:ascii="Arial" w:hAnsi="Arial" w:cs="Arial"/>
          <w:bCs/>
          <w:color w:val="000000"/>
          <w:lang w:val="en-US"/>
        </w:rPr>
        <w:t>his deviation</w:t>
      </w:r>
      <w:r>
        <w:rPr>
          <w:rFonts w:ascii="Arial" w:hAnsi="Arial" w:cs="Arial"/>
          <w:bCs/>
          <w:color w:val="000000"/>
          <w:lang w:val="en-US"/>
        </w:rPr>
        <w:t xml:space="preserve"> was mainly due to</w:t>
      </w:r>
      <w:r w:rsidR="00C7598C" w:rsidRPr="00BF7B7C">
        <w:rPr>
          <w:rFonts w:ascii="Arial" w:hAnsi="Arial" w:cs="Arial"/>
          <w:bCs/>
          <w:color w:val="000000"/>
          <w:lang w:val="en-US"/>
        </w:rPr>
        <w:t xml:space="preserve"> advanced age and co-morbidities, especially hypertension, diabetes and COPD. This practice </w:t>
      </w:r>
      <w:r w:rsidR="00AB6343" w:rsidRPr="00BF7B7C">
        <w:rPr>
          <w:rFonts w:ascii="Arial" w:hAnsi="Arial" w:cs="Arial"/>
          <w:bCs/>
          <w:color w:val="000000"/>
          <w:lang w:val="en-US"/>
        </w:rPr>
        <w:t xml:space="preserve">may </w:t>
      </w:r>
      <w:r w:rsidR="00C7598C" w:rsidRPr="00BF7B7C">
        <w:rPr>
          <w:rFonts w:ascii="Arial" w:hAnsi="Arial" w:cs="Arial"/>
          <w:bCs/>
          <w:color w:val="000000"/>
          <w:lang w:val="en-US"/>
        </w:rPr>
        <w:t>not</w:t>
      </w:r>
      <w:r w:rsidR="00DB58DC" w:rsidRPr="00BF7B7C">
        <w:rPr>
          <w:rFonts w:ascii="Arial" w:hAnsi="Arial" w:cs="Arial"/>
          <w:bCs/>
          <w:color w:val="000000"/>
          <w:lang w:val="en-US"/>
        </w:rPr>
        <w:t xml:space="preserve"> be</w:t>
      </w:r>
      <w:r w:rsidR="00C7598C" w:rsidRPr="00BF7B7C">
        <w:rPr>
          <w:rFonts w:ascii="Arial" w:hAnsi="Arial" w:cs="Arial"/>
          <w:bCs/>
          <w:color w:val="000000"/>
          <w:lang w:val="en-US"/>
        </w:rPr>
        <w:t xml:space="preserve"> justified </w:t>
      </w:r>
      <w:r w:rsidR="008545D2" w:rsidRPr="00BF7B7C">
        <w:rPr>
          <w:rFonts w:ascii="Arial" w:hAnsi="Arial" w:cs="Arial"/>
          <w:bCs/>
          <w:color w:val="000000"/>
          <w:lang w:val="en-US"/>
        </w:rPr>
        <w:t xml:space="preserve">as </w:t>
      </w:r>
      <w:r w:rsidR="00C7598C" w:rsidRPr="00BF7B7C">
        <w:rPr>
          <w:rFonts w:ascii="Arial" w:hAnsi="Arial" w:cs="Arial"/>
          <w:bCs/>
          <w:color w:val="000000"/>
          <w:lang w:val="en-US"/>
        </w:rPr>
        <w:t>our analysis showed that pat</w:t>
      </w:r>
      <w:r w:rsidR="00FB2B57">
        <w:rPr>
          <w:rFonts w:ascii="Arial" w:hAnsi="Arial" w:cs="Arial"/>
          <w:bCs/>
          <w:color w:val="000000"/>
          <w:lang w:val="en-US"/>
        </w:rPr>
        <w:t>ients with these co-morbidities</w:t>
      </w:r>
      <w:r w:rsidR="008545D2" w:rsidRPr="00BF7B7C">
        <w:rPr>
          <w:rFonts w:ascii="Arial" w:hAnsi="Arial" w:cs="Arial"/>
          <w:bCs/>
          <w:color w:val="000000"/>
          <w:lang w:val="en-US"/>
        </w:rPr>
        <w:t xml:space="preserve"> </w:t>
      </w:r>
      <w:r w:rsidR="00C7598C" w:rsidRPr="00BF7B7C">
        <w:rPr>
          <w:rFonts w:ascii="Arial" w:hAnsi="Arial" w:cs="Arial"/>
          <w:bCs/>
          <w:color w:val="000000"/>
          <w:lang w:val="en-US"/>
        </w:rPr>
        <w:t>derive</w:t>
      </w:r>
      <w:r w:rsidR="00FB2B57">
        <w:rPr>
          <w:rFonts w:ascii="Arial" w:hAnsi="Arial" w:cs="Arial"/>
          <w:bCs/>
          <w:color w:val="000000"/>
          <w:lang w:val="en-US"/>
        </w:rPr>
        <w:t>d</w:t>
      </w:r>
      <w:r w:rsidR="00C7598C" w:rsidRPr="00BF7B7C">
        <w:rPr>
          <w:rFonts w:ascii="Arial" w:hAnsi="Arial" w:cs="Arial"/>
          <w:bCs/>
          <w:color w:val="000000"/>
          <w:lang w:val="en-US"/>
        </w:rPr>
        <w:t xml:space="preserve"> the same benefit from cisplatin administration as their</w:t>
      </w:r>
      <w:r w:rsidR="00091A10">
        <w:rPr>
          <w:rFonts w:ascii="Arial" w:hAnsi="Arial" w:cs="Arial"/>
          <w:bCs/>
          <w:color w:val="000000"/>
          <w:lang w:val="en-US"/>
        </w:rPr>
        <w:t xml:space="preserve"> counterparts. Deviations </w:t>
      </w:r>
      <w:r w:rsidR="00C7598C" w:rsidRPr="00BF7B7C">
        <w:rPr>
          <w:rFonts w:ascii="Arial" w:hAnsi="Arial" w:cs="Arial"/>
          <w:bCs/>
          <w:color w:val="000000"/>
          <w:lang w:val="en-US"/>
        </w:rPr>
        <w:t xml:space="preserve">were </w:t>
      </w:r>
      <w:r>
        <w:rPr>
          <w:rFonts w:ascii="Arial" w:hAnsi="Arial" w:cs="Arial"/>
          <w:bCs/>
          <w:color w:val="000000"/>
          <w:lang w:val="en-US"/>
        </w:rPr>
        <w:t xml:space="preserve">also </w:t>
      </w:r>
      <w:r w:rsidR="00C7598C" w:rsidRPr="00BF7B7C">
        <w:rPr>
          <w:rFonts w:ascii="Arial" w:hAnsi="Arial" w:cs="Arial"/>
          <w:bCs/>
          <w:color w:val="000000"/>
          <w:lang w:val="en-US"/>
        </w:rPr>
        <w:t>more common in low-volume cen</w:t>
      </w:r>
      <w:r w:rsidR="00014A63">
        <w:rPr>
          <w:rFonts w:ascii="Arial" w:hAnsi="Arial" w:cs="Arial"/>
          <w:bCs/>
          <w:color w:val="000000"/>
          <w:lang w:val="en-US"/>
        </w:rPr>
        <w:t xml:space="preserve">ters. </w:t>
      </w:r>
      <w:r w:rsidR="00091A10">
        <w:rPr>
          <w:rFonts w:ascii="Arial" w:hAnsi="Arial" w:cs="Arial"/>
          <w:bCs/>
          <w:color w:val="000000"/>
          <w:lang w:val="en-US"/>
        </w:rPr>
        <w:t>T</w:t>
      </w:r>
      <w:r w:rsidR="00C7598C" w:rsidRPr="00BF7B7C">
        <w:rPr>
          <w:rFonts w:ascii="Arial" w:hAnsi="Arial" w:cs="Arial"/>
          <w:bCs/>
          <w:color w:val="000000"/>
          <w:lang w:val="en-US"/>
        </w:rPr>
        <w:t xml:space="preserve">his finding may imply that centers with lesser experience in treating </w:t>
      </w:r>
      <w:r w:rsidR="005F4717">
        <w:rPr>
          <w:rFonts w:ascii="Arial" w:hAnsi="Arial" w:cs="Arial"/>
          <w:bCs/>
          <w:color w:val="000000"/>
          <w:lang w:val="en-US"/>
        </w:rPr>
        <w:t>UTC</w:t>
      </w:r>
      <w:r w:rsidR="00C7598C" w:rsidRPr="00BF7B7C">
        <w:rPr>
          <w:rFonts w:ascii="Arial" w:hAnsi="Arial" w:cs="Arial"/>
          <w:bCs/>
          <w:color w:val="000000"/>
          <w:lang w:val="en-US"/>
        </w:rPr>
        <w:t xml:space="preserve"> are less </w:t>
      </w:r>
      <w:r w:rsidR="00AB6343" w:rsidRPr="00BF7B7C">
        <w:rPr>
          <w:rFonts w:ascii="Arial" w:hAnsi="Arial" w:cs="Arial"/>
          <w:bCs/>
          <w:color w:val="000000"/>
          <w:lang w:val="en-US"/>
        </w:rPr>
        <w:t xml:space="preserve">aggressive </w:t>
      </w:r>
      <w:r w:rsidR="00C7598C" w:rsidRPr="00BF7B7C">
        <w:rPr>
          <w:rFonts w:ascii="Arial" w:hAnsi="Arial" w:cs="Arial"/>
          <w:bCs/>
          <w:color w:val="000000"/>
          <w:lang w:val="en-US"/>
        </w:rPr>
        <w:t>with cisplatin utilization.</w:t>
      </w:r>
    </w:p>
    <w:p w14:paraId="62BA5463" w14:textId="061D85F7" w:rsidR="00091A10" w:rsidRDefault="00C7598C">
      <w:pPr>
        <w:autoSpaceDE w:val="0"/>
        <w:autoSpaceDN w:val="0"/>
        <w:adjustRightInd w:val="0"/>
        <w:spacing w:line="480" w:lineRule="auto"/>
        <w:jc w:val="both"/>
        <w:rPr>
          <w:rFonts w:ascii="Arial" w:hAnsi="Arial" w:cs="Arial"/>
          <w:bCs/>
          <w:color w:val="000000"/>
          <w:lang w:val="en-US"/>
        </w:rPr>
      </w:pPr>
      <w:r w:rsidRPr="00BF7B7C">
        <w:rPr>
          <w:rFonts w:ascii="Arial" w:hAnsi="Arial" w:cs="Arial"/>
          <w:bCs/>
          <w:color w:val="000000"/>
          <w:lang w:val="en-US"/>
        </w:rPr>
        <w:t xml:space="preserve">Cisplatin administration was associated with OS benefit. </w:t>
      </w:r>
      <w:r w:rsidR="00D402FD" w:rsidRPr="00BF7B7C">
        <w:rPr>
          <w:rFonts w:ascii="Arial" w:hAnsi="Arial" w:cs="Arial"/>
          <w:bCs/>
          <w:color w:val="000000"/>
          <w:lang w:val="en-US"/>
        </w:rPr>
        <w:t xml:space="preserve">An inherent bias exists </w:t>
      </w:r>
      <w:r w:rsidR="003333D2" w:rsidRPr="00BF7B7C">
        <w:rPr>
          <w:rFonts w:ascii="Arial" w:hAnsi="Arial" w:cs="Arial"/>
          <w:bCs/>
          <w:color w:val="000000"/>
          <w:lang w:val="en-US"/>
        </w:rPr>
        <w:t xml:space="preserve">in this analysis </w:t>
      </w:r>
      <w:r w:rsidR="00D402FD" w:rsidRPr="00BF7B7C">
        <w:rPr>
          <w:rFonts w:ascii="Arial" w:hAnsi="Arial" w:cs="Arial"/>
          <w:bCs/>
          <w:color w:val="000000"/>
          <w:lang w:val="en-US"/>
        </w:rPr>
        <w:t>due to distinct patient profi</w:t>
      </w:r>
      <w:r w:rsidR="00FB2B57">
        <w:rPr>
          <w:rFonts w:ascii="Arial" w:hAnsi="Arial" w:cs="Arial"/>
          <w:bCs/>
          <w:color w:val="000000"/>
          <w:lang w:val="en-US"/>
        </w:rPr>
        <w:t>les of better PS</w:t>
      </w:r>
      <w:r w:rsidR="00D402FD" w:rsidRPr="00BF7B7C">
        <w:rPr>
          <w:rFonts w:ascii="Arial" w:hAnsi="Arial" w:cs="Arial"/>
          <w:bCs/>
          <w:color w:val="000000"/>
          <w:lang w:val="en-US"/>
        </w:rPr>
        <w:t xml:space="preserve"> and fewer distant metastases in the cisplatin group. To overcome these imbalances, we used multivariate analyses, which showed that this benefit was independent of other prognostic factors. </w:t>
      </w:r>
      <w:r w:rsidRPr="00BF7B7C">
        <w:rPr>
          <w:rFonts w:ascii="Arial" w:hAnsi="Arial" w:cs="Arial"/>
          <w:bCs/>
          <w:color w:val="000000"/>
          <w:lang w:val="en-US"/>
        </w:rPr>
        <w:t>Th</w:t>
      </w:r>
      <w:r w:rsidR="00D402FD" w:rsidRPr="00BF7B7C">
        <w:rPr>
          <w:rFonts w:ascii="Arial" w:hAnsi="Arial" w:cs="Arial"/>
          <w:bCs/>
          <w:color w:val="000000"/>
          <w:lang w:val="en-US"/>
        </w:rPr>
        <w:t>e OS</w:t>
      </w:r>
      <w:r w:rsidRPr="00BF7B7C">
        <w:rPr>
          <w:rFonts w:ascii="Arial" w:hAnsi="Arial" w:cs="Arial"/>
          <w:bCs/>
          <w:color w:val="000000"/>
          <w:lang w:val="en-US"/>
        </w:rPr>
        <w:t xml:space="preserve"> bene</w:t>
      </w:r>
      <w:r w:rsidR="00091A10">
        <w:rPr>
          <w:rFonts w:ascii="Arial" w:hAnsi="Arial" w:cs="Arial"/>
          <w:bCs/>
          <w:color w:val="000000"/>
          <w:lang w:val="en-US"/>
        </w:rPr>
        <w:t xml:space="preserve">fit was more pronounced in the </w:t>
      </w:r>
      <w:r w:rsidR="008506F3">
        <w:rPr>
          <w:rFonts w:ascii="Arial" w:hAnsi="Arial" w:cs="Arial"/>
          <w:bCs/>
          <w:color w:val="000000"/>
          <w:lang w:val="en-US"/>
        </w:rPr>
        <w:t>eligible-for-cisplatin</w:t>
      </w:r>
      <w:r w:rsidRPr="00BF7B7C">
        <w:rPr>
          <w:rFonts w:ascii="Arial" w:hAnsi="Arial" w:cs="Arial"/>
          <w:bCs/>
          <w:color w:val="000000"/>
          <w:lang w:val="en-US"/>
        </w:rPr>
        <w:t xml:space="preserve"> population, suggesting that this feature is an important factor</w:t>
      </w:r>
      <w:r w:rsidR="00AB6343" w:rsidRPr="00BF7B7C">
        <w:rPr>
          <w:rFonts w:ascii="Arial" w:hAnsi="Arial" w:cs="Arial"/>
          <w:bCs/>
          <w:color w:val="000000"/>
          <w:lang w:val="en-US"/>
        </w:rPr>
        <w:t xml:space="preserve"> associated with</w:t>
      </w:r>
      <w:r w:rsidRPr="00BF7B7C">
        <w:rPr>
          <w:rFonts w:ascii="Arial" w:hAnsi="Arial" w:cs="Arial"/>
          <w:bCs/>
          <w:color w:val="000000"/>
          <w:lang w:val="en-US"/>
        </w:rPr>
        <w:t xml:space="preserve"> benefit from cisplatin-based chemotherapy. This notion</w:t>
      </w:r>
      <w:r w:rsidR="00014A63">
        <w:rPr>
          <w:rFonts w:ascii="Arial" w:hAnsi="Arial" w:cs="Arial"/>
          <w:bCs/>
          <w:color w:val="000000"/>
          <w:lang w:val="en-US"/>
        </w:rPr>
        <w:t xml:space="preserve"> is strengthened by the finding</w:t>
      </w:r>
      <w:r w:rsidRPr="00BF7B7C">
        <w:rPr>
          <w:rFonts w:ascii="Arial" w:hAnsi="Arial" w:cs="Arial"/>
          <w:bCs/>
          <w:color w:val="000000"/>
          <w:lang w:val="en-US"/>
        </w:rPr>
        <w:t xml:space="preserve"> that </w:t>
      </w:r>
      <w:r w:rsidR="00AC6C68" w:rsidRPr="00BF7B7C">
        <w:rPr>
          <w:rFonts w:ascii="Arial" w:hAnsi="Arial" w:cs="Arial"/>
          <w:bCs/>
          <w:color w:val="000000"/>
          <w:lang w:val="en-US"/>
        </w:rPr>
        <w:t xml:space="preserve">outcome of </w:t>
      </w:r>
      <w:r w:rsidR="008506F3">
        <w:rPr>
          <w:rFonts w:ascii="Arial" w:hAnsi="Arial" w:cs="Arial"/>
          <w:bCs/>
          <w:color w:val="000000"/>
          <w:lang w:val="en-US"/>
        </w:rPr>
        <w:t>eligible patients</w:t>
      </w:r>
      <w:r w:rsidRPr="00BF7B7C">
        <w:rPr>
          <w:rFonts w:ascii="Arial" w:hAnsi="Arial" w:cs="Arial"/>
          <w:bCs/>
          <w:color w:val="000000"/>
          <w:lang w:val="en-US"/>
        </w:rPr>
        <w:t xml:space="preserve"> was not better </w:t>
      </w:r>
      <w:r w:rsidR="0009448E" w:rsidRPr="00BF7B7C">
        <w:rPr>
          <w:rFonts w:ascii="Arial" w:hAnsi="Arial" w:cs="Arial"/>
          <w:bCs/>
          <w:color w:val="000000"/>
          <w:lang w:val="en-US"/>
        </w:rPr>
        <w:t xml:space="preserve">than that of </w:t>
      </w:r>
      <w:r w:rsidR="00091A10">
        <w:rPr>
          <w:rFonts w:ascii="Arial" w:hAnsi="Arial" w:cs="Arial"/>
          <w:bCs/>
          <w:color w:val="000000"/>
          <w:lang w:val="en-US"/>
        </w:rPr>
        <w:t>ineligible</w:t>
      </w:r>
      <w:r w:rsidR="0009448E" w:rsidRPr="00BF7B7C">
        <w:rPr>
          <w:rFonts w:ascii="Arial" w:hAnsi="Arial" w:cs="Arial"/>
          <w:bCs/>
          <w:color w:val="000000"/>
          <w:lang w:val="en-US"/>
        </w:rPr>
        <w:t xml:space="preserve"> patients when cisplatin was not used</w:t>
      </w:r>
      <w:r w:rsidR="00091A10">
        <w:rPr>
          <w:rFonts w:ascii="Arial" w:hAnsi="Arial" w:cs="Arial"/>
          <w:bCs/>
          <w:color w:val="000000"/>
          <w:lang w:val="en-US"/>
        </w:rPr>
        <w:t>. E</w:t>
      </w:r>
      <w:r w:rsidR="008506F3">
        <w:rPr>
          <w:rFonts w:ascii="Arial" w:hAnsi="Arial" w:cs="Arial"/>
          <w:bCs/>
          <w:color w:val="000000"/>
          <w:lang w:val="en-US"/>
        </w:rPr>
        <w:t>ligible</w:t>
      </w:r>
      <w:r w:rsidRPr="00BF7B7C">
        <w:rPr>
          <w:rFonts w:ascii="Arial" w:hAnsi="Arial" w:cs="Arial"/>
          <w:bCs/>
          <w:color w:val="000000"/>
          <w:lang w:val="en-US"/>
        </w:rPr>
        <w:t xml:space="preserve"> patients treated with cisplatin had a median OS of 19.4 months, which compares favorably with those reported in randomized trials.</w:t>
      </w:r>
      <w:r w:rsidR="000316D8" w:rsidRPr="002B636C">
        <w:rPr>
          <w:rFonts w:ascii="Arial" w:hAnsi="Arial" w:cs="Arial"/>
          <w:bCs/>
          <w:color w:val="000000"/>
          <w:vertAlign w:val="superscript"/>
          <w:lang w:val="en-US"/>
        </w:rPr>
        <w:t>16-20</w:t>
      </w:r>
      <w:r w:rsidR="00091A10">
        <w:rPr>
          <w:rFonts w:ascii="Arial" w:hAnsi="Arial" w:cs="Arial"/>
          <w:bCs/>
          <w:color w:val="000000"/>
          <w:lang w:val="en-US"/>
        </w:rPr>
        <w:t xml:space="preserve"> In contrast, </w:t>
      </w:r>
      <w:r w:rsidR="008506F3">
        <w:rPr>
          <w:rFonts w:ascii="Arial" w:hAnsi="Arial" w:cs="Arial"/>
          <w:bCs/>
          <w:color w:val="000000"/>
          <w:lang w:val="en-US"/>
        </w:rPr>
        <w:t>eligible</w:t>
      </w:r>
      <w:r w:rsidRPr="00BF7B7C">
        <w:rPr>
          <w:rFonts w:ascii="Arial" w:hAnsi="Arial" w:cs="Arial"/>
          <w:bCs/>
          <w:color w:val="000000"/>
          <w:lang w:val="en-US"/>
        </w:rPr>
        <w:t xml:space="preserve"> patients not treated with cisplatin had a median OS of 12 months. This clinically meaningful difference underlines</w:t>
      </w:r>
      <w:r w:rsidR="00091A10">
        <w:rPr>
          <w:rFonts w:ascii="Arial" w:hAnsi="Arial" w:cs="Arial"/>
          <w:bCs/>
          <w:color w:val="000000"/>
          <w:lang w:val="en-US"/>
        </w:rPr>
        <w:t xml:space="preserve"> the importance of adhering to </w:t>
      </w:r>
      <w:r w:rsidR="008506F3">
        <w:rPr>
          <w:rFonts w:ascii="Arial" w:hAnsi="Arial" w:cs="Arial"/>
          <w:bCs/>
          <w:color w:val="000000"/>
          <w:lang w:val="en-US"/>
        </w:rPr>
        <w:t>Galsky’s</w:t>
      </w:r>
      <w:r w:rsidRPr="00BF7B7C">
        <w:rPr>
          <w:rFonts w:ascii="Arial" w:hAnsi="Arial" w:cs="Arial"/>
          <w:bCs/>
          <w:color w:val="000000"/>
          <w:lang w:val="en-US"/>
        </w:rPr>
        <w:t xml:space="preserve"> criteria in order to ensure optimal outcome.</w:t>
      </w:r>
      <w:r w:rsidR="008F5736">
        <w:rPr>
          <w:rFonts w:ascii="Arial" w:hAnsi="Arial" w:cs="Arial"/>
          <w:bCs/>
          <w:color w:val="000000"/>
          <w:lang w:val="en-US"/>
        </w:rPr>
        <w:t xml:space="preserve"> </w:t>
      </w:r>
      <w:r w:rsidR="006A362C">
        <w:rPr>
          <w:rFonts w:ascii="Arial" w:hAnsi="Arial" w:cs="Arial"/>
          <w:bCs/>
          <w:color w:val="000000"/>
          <w:lang w:val="en-US"/>
        </w:rPr>
        <w:t>It is, therefore,</w:t>
      </w:r>
      <w:r w:rsidR="008506F3">
        <w:rPr>
          <w:rFonts w:ascii="Arial" w:hAnsi="Arial" w:cs="Arial"/>
          <w:bCs/>
          <w:color w:val="000000"/>
          <w:lang w:val="en-US"/>
        </w:rPr>
        <w:t xml:space="preserve"> </w:t>
      </w:r>
      <w:r w:rsidR="006A362C">
        <w:rPr>
          <w:rFonts w:ascii="Arial" w:hAnsi="Arial" w:cs="Arial"/>
          <w:bCs/>
          <w:color w:val="000000"/>
          <w:lang w:val="en-US"/>
        </w:rPr>
        <w:t>important</w:t>
      </w:r>
      <w:r w:rsidR="008506F3">
        <w:rPr>
          <w:rFonts w:ascii="Arial" w:hAnsi="Arial" w:cs="Arial"/>
          <w:bCs/>
          <w:color w:val="000000"/>
          <w:lang w:val="en-US"/>
        </w:rPr>
        <w:t xml:space="preserve"> </w:t>
      </w:r>
      <w:r w:rsidR="006A362C">
        <w:rPr>
          <w:rFonts w:ascii="Arial" w:hAnsi="Arial" w:cs="Arial"/>
          <w:bCs/>
          <w:color w:val="000000"/>
          <w:lang w:val="en-US"/>
        </w:rPr>
        <w:t>to</w:t>
      </w:r>
      <w:r w:rsidR="00014A63">
        <w:rPr>
          <w:rFonts w:ascii="Arial" w:hAnsi="Arial" w:cs="Arial"/>
          <w:bCs/>
          <w:color w:val="000000"/>
          <w:lang w:val="en-US"/>
        </w:rPr>
        <w:t xml:space="preserve"> promptly</w:t>
      </w:r>
      <w:r w:rsidR="008F5736">
        <w:rPr>
          <w:rFonts w:ascii="Arial" w:hAnsi="Arial" w:cs="Arial"/>
          <w:bCs/>
          <w:color w:val="000000"/>
          <w:lang w:val="en-US"/>
        </w:rPr>
        <w:t xml:space="preserve"> identify and correct potentially rev</w:t>
      </w:r>
      <w:r w:rsidR="00014A63">
        <w:rPr>
          <w:rFonts w:ascii="Arial" w:hAnsi="Arial" w:cs="Arial"/>
          <w:bCs/>
          <w:color w:val="000000"/>
          <w:lang w:val="en-US"/>
        </w:rPr>
        <w:t xml:space="preserve">ersible causes of </w:t>
      </w:r>
      <w:r w:rsidR="008506F3">
        <w:rPr>
          <w:rFonts w:ascii="Arial" w:hAnsi="Arial" w:cs="Arial"/>
          <w:bCs/>
          <w:color w:val="000000"/>
          <w:lang w:val="en-US"/>
        </w:rPr>
        <w:t>ineligibility</w:t>
      </w:r>
      <w:r w:rsidR="008F5736">
        <w:rPr>
          <w:rFonts w:ascii="Arial" w:hAnsi="Arial" w:cs="Arial"/>
          <w:bCs/>
          <w:color w:val="000000"/>
          <w:lang w:val="en-US"/>
        </w:rPr>
        <w:t xml:space="preserve">, such as recently established </w:t>
      </w:r>
      <w:r w:rsidR="008506F3">
        <w:rPr>
          <w:rFonts w:ascii="Arial" w:hAnsi="Arial" w:cs="Arial"/>
          <w:bCs/>
          <w:color w:val="000000"/>
          <w:lang w:val="en-US"/>
        </w:rPr>
        <w:t xml:space="preserve">renal impairment due to </w:t>
      </w:r>
      <w:r w:rsidR="008F5736">
        <w:rPr>
          <w:rFonts w:ascii="Arial" w:hAnsi="Arial" w:cs="Arial"/>
          <w:bCs/>
          <w:color w:val="000000"/>
          <w:lang w:val="en-US"/>
        </w:rPr>
        <w:t>urinary</w:t>
      </w:r>
      <w:r w:rsidR="008F5736" w:rsidRPr="008F5736">
        <w:rPr>
          <w:rFonts w:ascii="Arial" w:hAnsi="Arial" w:cs="Arial"/>
          <w:bCs/>
          <w:color w:val="000000"/>
          <w:lang w:val="en-US"/>
        </w:rPr>
        <w:t xml:space="preserve"> tract obstruction by primary tumor</w:t>
      </w:r>
      <w:r w:rsidR="008F5736">
        <w:rPr>
          <w:rFonts w:ascii="Arial" w:hAnsi="Arial" w:cs="Arial"/>
          <w:bCs/>
          <w:color w:val="000000"/>
          <w:lang w:val="en-US"/>
        </w:rPr>
        <w:t xml:space="preserve">. </w:t>
      </w:r>
    </w:p>
    <w:p w14:paraId="21444F28" w14:textId="62FE277B" w:rsidR="00C7598C" w:rsidRPr="00BF7B7C" w:rsidRDefault="00091A10">
      <w:pPr>
        <w:autoSpaceDE w:val="0"/>
        <w:autoSpaceDN w:val="0"/>
        <w:adjustRightInd w:val="0"/>
        <w:spacing w:line="480" w:lineRule="auto"/>
        <w:jc w:val="both"/>
        <w:rPr>
          <w:rFonts w:ascii="Arial" w:hAnsi="Arial" w:cs="Arial"/>
          <w:bCs/>
          <w:color w:val="000000"/>
          <w:lang w:val="en-US"/>
        </w:rPr>
      </w:pPr>
      <w:r>
        <w:rPr>
          <w:rFonts w:ascii="Arial" w:hAnsi="Arial" w:cs="Arial"/>
          <w:bCs/>
          <w:color w:val="000000"/>
          <w:lang w:val="en-US"/>
        </w:rPr>
        <w:t xml:space="preserve">Optimal therapy for cisplatin-ineligible patients suffering from aUTC remains an unmet medical need. </w:t>
      </w:r>
      <w:r w:rsidR="008506F3">
        <w:rPr>
          <w:rFonts w:ascii="Arial" w:hAnsi="Arial" w:cs="Arial"/>
          <w:bCs/>
          <w:color w:val="000000"/>
          <w:lang w:val="en-US"/>
        </w:rPr>
        <w:t>Importantly, cisplatin was used in 38% of ineligible patients but this</w:t>
      </w:r>
      <w:r>
        <w:rPr>
          <w:rFonts w:ascii="Arial" w:hAnsi="Arial" w:cs="Arial"/>
          <w:bCs/>
          <w:color w:val="000000"/>
          <w:lang w:val="en-US"/>
        </w:rPr>
        <w:t xml:space="preserve"> was not associated with an</w:t>
      </w:r>
      <w:r w:rsidR="00246CF0" w:rsidRPr="00BF7B7C">
        <w:rPr>
          <w:rFonts w:ascii="Arial" w:hAnsi="Arial" w:cs="Arial"/>
          <w:bCs/>
          <w:color w:val="000000"/>
          <w:lang w:val="en-US"/>
        </w:rPr>
        <w:t xml:space="preserve"> equ</w:t>
      </w:r>
      <w:r w:rsidR="00767CDD">
        <w:rPr>
          <w:rFonts w:ascii="Arial" w:hAnsi="Arial" w:cs="Arial"/>
          <w:bCs/>
          <w:color w:val="000000"/>
          <w:lang w:val="en-US"/>
        </w:rPr>
        <w:t>ally favorable effect as among eligible</w:t>
      </w:r>
      <w:r w:rsidR="00246CF0" w:rsidRPr="00BF7B7C">
        <w:rPr>
          <w:rFonts w:ascii="Arial" w:hAnsi="Arial" w:cs="Arial"/>
          <w:bCs/>
          <w:color w:val="000000"/>
          <w:lang w:val="en-US"/>
        </w:rPr>
        <w:t xml:space="preserve"> patients</w:t>
      </w:r>
      <w:r w:rsidR="00834184">
        <w:rPr>
          <w:rFonts w:ascii="Arial" w:hAnsi="Arial" w:cs="Arial"/>
          <w:bCs/>
          <w:color w:val="000000"/>
          <w:lang w:val="en-US"/>
        </w:rPr>
        <w:t>, which implies that cisplatin-ineligibility may be a surrogate for a more aggressive tumor behavior and not merely unfitness for this particular agent</w:t>
      </w:r>
      <w:r w:rsidR="00C7598C" w:rsidRPr="00BF7B7C">
        <w:rPr>
          <w:rFonts w:ascii="Arial" w:hAnsi="Arial" w:cs="Arial"/>
          <w:bCs/>
          <w:color w:val="000000"/>
          <w:lang w:val="en-US"/>
        </w:rPr>
        <w:t>. Currently, carboplatin-based chemotherapy is considered the</w:t>
      </w:r>
      <w:r w:rsidR="005753D5" w:rsidRPr="00BF7B7C">
        <w:rPr>
          <w:rFonts w:ascii="Arial" w:hAnsi="Arial" w:cs="Arial"/>
          <w:bCs/>
          <w:color w:val="000000"/>
          <w:lang w:val="en-US"/>
        </w:rPr>
        <w:t xml:space="preserve"> standard for </w:t>
      </w:r>
      <w:r w:rsidR="00767CDD">
        <w:rPr>
          <w:rFonts w:ascii="Arial" w:hAnsi="Arial" w:cs="Arial"/>
          <w:bCs/>
          <w:color w:val="000000"/>
          <w:lang w:val="en-US"/>
        </w:rPr>
        <w:t>i</w:t>
      </w:r>
      <w:r w:rsidR="00527376">
        <w:rPr>
          <w:rFonts w:ascii="Arial" w:hAnsi="Arial" w:cs="Arial"/>
          <w:bCs/>
          <w:color w:val="000000"/>
          <w:lang w:val="en-US"/>
        </w:rPr>
        <w:t>neligible</w:t>
      </w:r>
      <w:r w:rsidR="003333D2" w:rsidRPr="00BF7B7C">
        <w:rPr>
          <w:rFonts w:ascii="Arial" w:hAnsi="Arial" w:cs="Arial"/>
          <w:bCs/>
          <w:color w:val="000000"/>
          <w:lang w:val="en-US"/>
        </w:rPr>
        <w:t>-for-cisplatin</w:t>
      </w:r>
      <w:r w:rsidR="005753D5" w:rsidRPr="00BF7B7C">
        <w:rPr>
          <w:rFonts w:ascii="Arial" w:hAnsi="Arial" w:cs="Arial"/>
          <w:bCs/>
          <w:color w:val="000000"/>
          <w:lang w:val="en-US"/>
        </w:rPr>
        <w:t xml:space="preserve"> patients</w:t>
      </w:r>
      <w:r w:rsidR="00C7598C" w:rsidRPr="00BF7B7C">
        <w:rPr>
          <w:rFonts w:ascii="Arial" w:hAnsi="Arial" w:cs="Arial"/>
          <w:bCs/>
          <w:color w:val="000000"/>
          <w:lang w:val="en-US"/>
        </w:rPr>
        <w:t>.</w:t>
      </w:r>
      <w:r w:rsidR="000316D8" w:rsidRPr="002B636C">
        <w:rPr>
          <w:rFonts w:ascii="Arial" w:hAnsi="Arial" w:cs="Arial"/>
          <w:bCs/>
          <w:color w:val="000000"/>
          <w:vertAlign w:val="superscript"/>
          <w:lang w:val="en-US"/>
        </w:rPr>
        <w:t>21</w:t>
      </w:r>
      <w:r w:rsidR="00C7598C" w:rsidRPr="00BF7B7C">
        <w:rPr>
          <w:rFonts w:ascii="Arial" w:hAnsi="Arial" w:cs="Arial"/>
          <w:bCs/>
          <w:color w:val="000000"/>
          <w:lang w:val="en-US"/>
        </w:rPr>
        <w:t xml:space="preserve"> Our results support this recommendation, since carboplatin-based chemotherapy produced a longer median OS than non-platinum therapy. Nevertheless, the median OS of 9.5 months emphasizes the need for developing more effective choices for this population. In this context, the </w:t>
      </w:r>
      <w:r w:rsidR="00014A63" w:rsidRPr="00014A63">
        <w:rPr>
          <w:rFonts w:ascii="Arial" w:hAnsi="Arial" w:cs="Arial"/>
          <w:bCs/>
          <w:color w:val="000000"/>
          <w:lang w:val="en-US"/>
        </w:rPr>
        <w:t xml:space="preserve">median OS of 15.9 months </w:t>
      </w:r>
      <w:r w:rsidR="00C7598C" w:rsidRPr="00BF7B7C">
        <w:rPr>
          <w:rFonts w:ascii="Arial" w:hAnsi="Arial" w:cs="Arial"/>
          <w:bCs/>
          <w:color w:val="000000"/>
          <w:lang w:val="en-US"/>
        </w:rPr>
        <w:t>recent</w:t>
      </w:r>
      <w:r w:rsidR="00014A63">
        <w:rPr>
          <w:rFonts w:ascii="Arial" w:hAnsi="Arial" w:cs="Arial"/>
          <w:bCs/>
          <w:color w:val="000000"/>
          <w:lang w:val="en-US"/>
        </w:rPr>
        <w:t xml:space="preserve">ly reported for </w:t>
      </w:r>
      <w:r w:rsidR="00C7598C" w:rsidRPr="00BF7B7C">
        <w:rPr>
          <w:rFonts w:ascii="Arial" w:hAnsi="Arial" w:cs="Arial"/>
          <w:bCs/>
          <w:color w:val="000000"/>
          <w:lang w:val="en-US"/>
        </w:rPr>
        <w:t>the programmed-death-ligand 1 (PD</w:t>
      </w:r>
      <w:r w:rsidR="00085AF9" w:rsidRPr="00BF7B7C">
        <w:rPr>
          <w:rFonts w:ascii="Arial" w:hAnsi="Arial" w:cs="Arial"/>
          <w:bCs/>
          <w:color w:val="000000"/>
          <w:lang w:val="en-US"/>
        </w:rPr>
        <w:t>-</w:t>
      </w:r>
      <w:r w:rsidR="00C7598C" w:rsidRPr="00BF7B7C">
        <w:rPr>
          <w:rFonts w:ascii="Arial" w:hAnsi="Arial" w:cs="Arial"/>
          <w:bCs/>
          <w:color w:val="000000"/>
          <w:lang w:val="en-US"/>
        </w:rPr>
        <w:t>L1)</w:t>
      </w:r>
      <w:r w:rsidR="00014A63">
        <w:rPr>
          <w:rFonts w:ascii="Arial" w:hAnsi="Arial" w:cs="Arial"/>
          <w:bCs/>
          <w:color w:val="000000"/>
          <w:lang w:val="en-US"/>
        </w:rPr>
        <w:t xml:space="preserve"> </w:t>
      </w:r>
      <w:r w:rsidR="00F47E1D">
        <w:rPr>
          <w:rFonts w:ascii="Arial" w:hAnsi="Arial" w:cs="Arial"/>
          <w:bCs/>
          <w:color w:val="000000"/>
          <w:lang w:val="en-US"/>
        </w:rPr>
        <w:t xml:space="preserve">inhibitor </w:t>
      </w:r>
      <w:r w:rsidR="00014A63">
        <w:rPr>
          <w:rFonts w:ascii="Arial" w:hAnsi="Arial" w:cs="Arial"/>
          <w:bCs/>
          <w:color w:val="000000"/>
          <w:lang w:val="en-US"/>
        </w:rPr>
        <w:t>atezolizumab</w:t>
      </w:r>
      <w:r w:rsidR="00C7598C" w:rsidRPr="00BF7B7C">
        <w:rPr>
          <w:rFonts w:ascii="Arial" w:hAnsi="Arial" w:cs="Arial"/>
          <w:bCs/>
          <w:color w:val="000000"/>
          <w:lang w:val="en-US"/>
        </w:rPr>
        <w:t xml:space="preserve"> in </w:t>
      </w:r>
      <w:r w:rsidR="004A2BAA">
        <w:rPr>
          <w:rFonts w:ascii="Arial" w:hAnsi="Arial" w:cs="Arial"/>
          <w:bCs/>
          <w:color w:val="000000"/>
          <w:lang w:val="en-US"/>
        </w:rPr>
        <w:t>1</w:t>
      </w:r>
      <w:r w:rsidR="004A2BAA" w:rsidRPr="004A2BAA">
        <w:rPr>
          <w:rFonts w:ascii="Arial" w:hAnsi="Arial" w:cs="Arial"/>
          <w:bCs/>
          <w:color w:val="000000"/>
          <w:vertAlign w:val="superscript"/>
          <w:lang w:val="en-US"/>
        </w:rPr>
        <w:t>st</w:t>
      </w:r>
      <w:r w:rsidR="004A2BAA">
        <w:rPr>
          <w:rFonts w:ascii="Arial" w:hAnsi="Arial" w:cs="Arial"/>
          <w:bCs/>
          <w:color w:val="000000"/>
          <w:lang w:val="en-US"/>
        </w:rPr>
        <w:t xml:space="preserve">-line treatment of </w:t>
      </w:r>
      <w:r w:rsidR="00D202DF">
        <w:rPr>
          <w:rFonts w:ascii="Arial" w:hAnsi="Arial" w:cs="Arial"/>
          <w:bCs/>
          <w:color w:val="000000"/>
          <w:lang w:val="en-US"/>
        </w:rPr>
        <w:t>ineligible</w:t>
      </w:r>
      <w:r w:rsidR="00C7598C" w:rsidRPr="00BF7B7C">
        <w:rPr>
          <w:rFonts w:ascii="Arial" w:hAnsi="Arial" w:cs="Arial"/>
          <w:bCs/>
          <w:color w:val="000000"/>
          <w:lang w:val="en-US"/>
        </w:rPr>
        <w:t>-</w:t>
      </w:r>
      <w:r w:rsidR="00014A63">
        <w:rPr>
          <w:rFonts w:ascii="Arial" w:hAnsi="Arial" w:cs="Arial"/>
          <w:bCs/>
          <w:color w:val="000000"/>
          <w:lang w:val="en-US"/>
        </w:rPr>
        <w:t>for-cisplatin patients appears</w:t>
      </w:r>
      <w:r w:rsidR="005753D5" w:rsidRPr="00BF7B7C">
        <w:rPr>
          <w:rFonts w:ascii="Arial" w:hAnsi="Arial" w:cs="Arial"/>
          <w:bCs/>
          <w:color w:val="000000"/>
          <w:lang w:val="en-US"/>
        </w:rPr>
        <w:t xml:space="preserve"> particularly promising</w:t>
      </w:r>
      <w:r w:rsidR="00C7598C" w:rsidRPr="00BF7B7C">
        <w:rPr>
          <w:rFonts w:ascii="Arial" w:hAnsi="Arial" w:cs="Arial"/>
          <w:bCs/>
          <w:color w:val="000000"/>
          <w:lang w:val="en-US"/>
        </w:rPr>
        <w:t>.</w:t>
      </w:r>
      <w:r w:rsidR="000316D8" w:rsidRPr="002B636C">
        <w:rPr>
          <w:rFonts w:ascii="Arial" w:hAnsi="Arial" w:cs="Arial"/>
          <w:bCs/>
          <w:color w:val="000000"/>
          <w:vertAlign w:val="superscript"/>
          <w:lang w:val="en-US"/>
        </w:rPr>
        <w:t>14</w:t>
      </w:r>
      <w:r w:rsidR="000316D8" w:rsidRPr="002B636C" w:rsidDel="000316D8">
        <w:rPr>
          <w:lang w:val="en-US"/>
        </w:rPr>
        <w:t xml:space="preserve"> </w:t>
      </w:r>
    </w:p>
    <w:p w14:paraId="549D684E" w14:textId="601C0621" w:rsidR="00C7598C" w:rsidRPr="00BF7B7C" w:rsidRDefault="00C7598C">
      <w:pPr>
        <w:autoSpaceDE w:val="0"/>
        <w:autoSpaceDN w:val="0"/>
        <w:adjustRightInd w:val="0"/>
        <w:spacing w:line="480" w:lineRule="auto"/>
        <w:jc w:val="both"/>
        <w:rPr>
          <w:rFonts w:ascii="Arial" w:hAnsi="Arial" w:cs="Arial"/>
          <w:bCs/>
          <w:color w:val="000000"/>
          <w:lang w:val="en-US"/>
        </w:rPr>
      </w:pPr>
      <w:r w:rsidRPr="00BF7B7C">
        <w:rPr>
          <w:rFonts w:ascii="Arial" w:hAnsi="Arial" w:cs="Arial"/>
          <w:bCs/>
          <w:color w:val="000000"/>
          <w:lang w:val="en-US"/>
        </w:rPr>
        <w:t xml:space="preserve">The findings of this study set clear targets to improve our management of advanced </w:t>
      </w:r>
      <w:r w:rsidR="00014A63">
        <w:rPr>
          <w:rFonts w:ascii="Arial" w:hAnsi="Arial" w:cs="Arial"/>
          <w:bCs/>
          <w:color w:val="000000"/>
          <w:lang w:val="en-US"/>
        </w:rPr>
        <w:t>U</w:t>
      </w:r>
      <w:r w:rsidR="00B469F8">
        <w:rPr>
          <w:rFonts w:ascii="Arial" w:hAnsi="Arial" w:cs="Arial"/>
          <w:bCs/>
          <w:color w:val="000000"/>
          <w:lang w:val="en-US"/>
        </w:rPr>
        <w:t>T</w:t>
      </w:r>
      <w:r w:rsidR="00014A63">
        <w:rPr>
          <w:rFonts w:ascii="Arial" w:hAnsi="Arial" w:cs="Arial"/>
          <w:bCs/>
          <w:color w:val="000000"/>
          <w:lang w:val="en-US"/>
        </w:rPr>
        <w:t>C</w:t>
      </w:r>
      <w:r w:rsidR="00F47E1D">
        <w:rPr>
          <w:rFonts w:ascii="Arial" w:hAnsi="Arial" w:cs="Arial"/>
          <w:bCs/>
          <w:color w:val="000000"/>
          <w:lang w:val="en-US"/>
        </w:rPr>
        <w:t>. S</w:t>
      </w:r>
      <w:r w:rsidR="00767CDD">
        <w:rPr>
          <w:rFonts w:ascii="Arial" w:hAnsi="Arial" w:cs="Arial"/>
          <w:bCs/>
          <w:color w:val="000000"/>
          <w:lang w:val="en-US"/>
        </w:rPr>
        <w:t>trong emphasis on</w:t>
      </w:r>
      <w:r w:rsidR="00085AF9" w:rsidRPr="00BF7B7C">
        <w:rPr>
          <w:rFonts w:ascii="Arial" w:hAnsi="Arial" w:cs="Arial"/>
          <w:bCs/>
          <w:color w:val="000000"/>
          <w:lang w:val="en-US"/>
        </w:rPr>
        <w:t xml:space="preserve"> the</w:t>
      </w:r>
      <w:r w:rsidR="00527376">
        <w:rPr>
          <w:rFonts w:ascii="Arial" w:hAnsi="Arial" w:cs="Arial"/>
          <w:bCs/>
          <w:color w:val="000000"/>
          <w:lang w:val="en-US"/>
        </w:rPr>
        <w:t xml:space="preserve"> </w:t>
      </w:r>
      <w:r w:rsidR="00834184">
        <w:rPr>
          <w:rFonts w:ascii="Arial" w:hAnsi="Arial" w:cs="Arial"/>
          <w:bCs/>
          <w:color w:val="000000"/>
          <w:lang w:val="en-US"/>
        </w:rPr>
        <w:t>eli</w:t>
      </w:r>
      <w:r w:rsidR="00767CDD">
        <w:rPr>
          <w:rFonts w:ascii="Arial" w:hAnsi="Arial" w:cs="Arial"/>
          <w:bCs/>
          <w:color w:val="000000"/>
          <w:lang w:val="en-US"/>
        </w:rPr>
        <w:t>gi</w:t>
      </w:r>
      <w:r w:rsidR="00834184">
        <w:rPr>
          <w:rFonts w:ascii="Arial" w:hAnsi="Arial" w:cs="Arial"/>
          <w:bCs/>
          <w:color w:val="000000"/>
          <w:lang w:val="en-US"/>
        </w:rPr>
        <w:t>bility</w:t>
      </w:r>
      <w:r w:rsidRPr="00BF7B7C">
        <w:rPr>
          <w:rFonts w:ascii="Arial" w:hAnsi="Arial" w:cs="Arial"/>
          <w:bCs/>
          <w:color w:val="000000"/>
          <w:lang w:val="en-US"/>
        </w:rPr>
        <w:t xml:space="preserve"> criteria should be </w:t>
      </w:r>
      <w:r w:rsidR="00085AF9" w:rsidRPr="00BF7B7C">
        <w:rPr>
          <w:rFonts w:ascii="Arial" w:hAnsi="Arial" w:cs="Arial"/>
          <w:bCs/>
          <w:color w:val="000000"/>
          <w:lang w:val="en-US"/>
        </w:rPr>
        <w:t xml:space="preserve">considered </w:t>
      </w:r>
      <w:r w:rsidR="00834184">
        <w:rPr>
          <w:rFonts w:ascii="Arial" w:hAnsi="Arial" w:cs="Arial"/>
          <w:bCs/>
          <w:color w:val="000000"/>
          <w:lang w:val="en-US"/>
        </w:rPr>
        <w:t>by</w:t>
      </w:r>
      <w:r w:rsidRPr="00BF7B7C">
        <w:rPr>
          <w:rFonts w:ascii="Arial" w:hAnsi="Arial" w:cs="Arial"/>
          <w:bCs/>
          <w:color w:val="000000"/>
          <w:lang w:val="en-US"/>
        </w:rPr>
        <w:t xml:space="preserve"> Urology</w:t>
      </w:r>
      <w:r w:rsidR="00834184">
        <w:rPr>
          <w:rFonts w:ascii="Arial" w:hAnsi="Arial" w:cs="Arial"/>
          <w:bCs/>
          <w:color w:val="000000"/>
          <w:lang w:val="en-US"/>
        </w:rPr>
        <w:t xml:space="preserve"> and Oncology</w:t>
      </w:r>
      <w:r w:rsidRPr="00BF7B7C">
        <w:rPr>
          <w:rFonts w:ascii="Arial" w:hAnsi="Arial" w:cs="Arial"/>
          <w:bCs/>
          <w:color w:val="000000"/>
          <w:lang w:val="en-US"/>
        </w:rPr>
        <w:t xml:space="preserve"> Scientific and Professional Societies as well as academic institut</w:t>
      </w:r>
      <w:r w:rsidR="00D43D6F">
        <w:rPr>
          <w:rFonts w:ascii="Arial" w:hAnsi="Arial" w:cs="Arial"/>
          <w:bCs/>
          <w:color w:val="000000"/>
          <w:lang w:val="en-US"/>
        </w:rPr>
        <w:t>ions and health care providers a</w:t>
      </w:r>
      <w:r w:rsidRPr="00BF7B7C">
        <w:rPr>
          <w:rFonts w:ascii="Arial" w:hAnsi="Arial" w:cs="Arial"/>
          <w:bCs/>
          <w:color w:val="000000"/>
          <w:lang w:val="en-US"/>
        </w:rPr>
        <w:t xml:space="preserve">t national and international level. Referral to centers with experience in treating </w:t>
      </w:r>
      <w:r w:rsidR="00014A63">
        <w:rPr>
          <w:rFonts w:ascii="Arial" w:hAnsi="Arial" w:cs="Arial"/>
          <w:bCs/>
          <w:color w:val="000000"/>
          <w:lang w:val="en-US"/>
        </w:rPr>
        <w:t>U</w:t>
      </w:r>
      <w:r w:rsidR="00B469F8">
        <w:rPr>
          <w:rFonts w:ascii="Arial" w:hAnsi="Arial" w:cs="Arial"/>
          <w:bCs/>
          <w:color w:val="000000"/>
          <w:lang w:val="en-US"/>
        </w:rPr>
        <w:t>T</w:t>
      </w:r>
      <w:r w:rsidR="00014A63">
        <w:rPr>
          <w:rFonts w:ascii="Arial" w:hAnsi="Arial" w:cs="Arial"/>
          <w:bCs/>
          <w:color w:val="000000"/>
          <w:lang w:val="en-US"/>
        </w:rPr>
        <w:t>C</w:t>
      </w:r>
      <w:r w:rsidRPr="00BF7B7C">
        <w:rPr>
          <w:rFonts w:ascii="Arial" w:hAnsi="Arial" w:cs="Arial"/>
          <w:bCs/>
          <w:color w:val="000000"/>
          <w:lang w:val="en-US"/>
        </w:rPr>
        <w:t xml:space="preserve"> will improve utilization of c</w:t>
      </w:r>
      <w:r w:rsidR="00767CDD">
        <w:rPr>
          <w:rFonts w:ascii="Arial" w:hAnsi="Arial" w:cs="Arial"/>
          <w:bCs/>
          <w:color w:val="000000"/>
          <w:lang w:val="en-US"/>
        </w:rPr>
        <w:t xml:space="preserve">isplatin-based chemotherapy. It should be noted that </w:t>
      </w:r>
      <w:r w:rsidRPr="00BF7B7C">
        <w:rPr>
          <w:rFonts w:ascii="Arial" w:hAnsi="Arial" w:cs="Arial"/>
          <w:bCs/>
          <w:color w:val="000000"/>
          <w:lang w:val="en-US"/>
        </w:rPr>
        <w:t xml:space="preserve">patients included in this analysis were treated prior to the </w:t>
      </w:r>
      <w:r w:rsidR="00527376">
        <w:rPr>
          <w:rFonts w:ascii="Arial" w:hAnsi="Arial" w:cs="Arial"/>
          <w:bCs/>
          <w:color w:val="000000"/>
          <w:lang w:val="en-US"/>
        </w:rPr>
        <w:t xml:space="preserve">publication of </w:t>
      </w:r>
      <w:r w:rsidR="00767CDD">
        <w:rPr>
          <w:rFonts w:ascii="Arial" w:hAnsi="Arial" w:cs="Arial"/>
          <w:bCs/>
          <w:color w:val="000000"/>
          <w:lang w:val="en-US"/>
        </w:rPr>
        <w:t>Galsky et al</w:t>
      </w:r>
      <w:r w:rsidRPr="00BF7B7C">
        <w:rPr>
          <w:rFonts w:ascii="Arial" w:hAnsi="Arial" w:cs="Arial"/>
          <w:bCs/>
          <w:color w:val="000000"/>
          <w:lang w:val="en-US"/>
        </w:rPr>
        <w:t xml:space="preserve"> (2011). It could be speculated that adhe</w:t>
      </w:r>
      <w:r w:rsidR="00767CDD">
        <w:rPr>
          <w:rFonts w:ascii="Arial" w:hAnsi="Arial" w:cs="Arial"/>
          <w:bCs/>
          <w:color w:val="000000"/>
          <w:lang w:val="en-US"/>
        </w:rPr>
        <w:t>rence to eligibility</w:t>
      </w:r>
      <w:r w:rsidR="00014A63">
        <w:rPr>
          <w:rFonts w:ascii="Arial" w:hAnsi="Arial" w:cs="Arial"/>
          <w:bCs/>
          <w:color w:val="000000"/>
          <w:lang w:val="en-US"/>
        </w:rPr>
        <w:t xml:space="preserve"> criteria has</w:t>
      </w:r>
      <w:r w:rsidRPr="00BF7B7C">
        <w:rPr>
          <w:rFonts w:ascii="Arial" w:hAnsi="Arial" w:cs="Arial"/>
          <w:bCs/>
          <w:color w:val="000000"/>
          <w:lang w:val="en-US"/>
        </w:rPr>
        <w:t xml:space="preserve"> been improved since. </w:t>
      </w:r>
      <w:r w:rsidR="00767CDD">
        <w:rPr>
          <w:rFonts w:ascii="Arial" w:hAnsi="Arial" w:cs="Arial"/>
          <w:bCs/>
          <w:color w:val="000000"/>
          <w:lang w:val="en-US"/>
        </w:rPr>
        <w:t xml:space="preserve">Nevertheless, </w:t>
      </w:r>
      <w:r w:rsidR="00D62B09" w:rsidRPr="00BF7B7C">
        <w:rPr>
          <w:rFonts w:ascii="Arial" w:hAnsi="Arial" w:cs="Arial"/>
          <w:bCs/>
          <w:color w:val="000000"/>
          <w:lang w:val="en-US"/>
        </w:rPr>
        <w:t>recent observational studies</w:t>
      </w:r>
      <w:r w:rsidRPr="00BF7B7C">
        <w:rPr>
          <w:rFonts w:ascii="Arial" w:hAnsi="Arial" w:cs="Arial"/>
          <w:bCs/>
          <w:color w:val="000000"/>
          <w:lang w:val="en-US"/>
        </w:rPr>
        <w:t xml:space="preserve"> suggested that considerable deviations stil</w:t>
      </w:r>
      <w:r w:rsidR="005753D5" w:rsidRPr="00BF7B7C">
        <w:rPr>
          <w:rFonts w:ascii="Arial" w:hAnsi="Arial" w:cs="Arial"/>
          <w:bCs/>
          <w:color w:val="000000"/>
          <w:lang w:val="en-US"/>
        </w:rPr>
        <w:t>l exist in everyday practice</w:t>
      </w:r>
      <w:r w:rsidRPr="00BF7B7C">
        <w:rPr>
          <w:rFonts w:ascii="Arial" w:hAnsi="Arial" w:cs="Arial"/>
          <w:bCs/>
          <w:color w:val="000000"/>
          <w:lang w:val="en-US"/>
        </w:rPr>
        <w:t>.</w:t>
      </w:r>
      <w:hyperlink w:anchor="_ENREF_9" w:tooltip="Galsky, 2011 #4762" w:history="1">
        <w:r w:rsidR="00527376" w:rsidRPr="00527376">
          <w:rPr>
            <w:rFonts w:ascii="Arial" w:hAnsi="Arial" w:cs="Arial"/>
            <w:bCs/>
            <w:color w:val="000000"/>
            <w:vertAlign w:val="superscript"/>
            <w:lang w:val="en-US"/>
          </w:rPr>
          <w:t>10</w:t>
        </w:r>
      </w:hyperlink>
    </w:p>
    <w:p w14:paraId="7DB4755C" w14:textId="77777777" w:rsidR="00616B9F" w:rsidRDefault="00616B9F" w:rsidP="007C22CE">
      <w:pPr>
        <w:spacing w:after="160" w:line="480" w:lineRule="auto"/>
        <w:jc w:val="both"/>
        <w:rPr>
          <w:rFonts w:ascii="Arial" w:hAnsi="Arial" w:cs="Arial"/>
          <w:bCs/>
          <w:color w:val="000000"/>
          <w:lang w:val="en-US"/>
        </w:rPr>
      </w:pPr>
    </w:p>
    <w:p w14:paraId="1FD91B0A" w14:textId="77777777" w:rsidR="00616B9F" w:rsidRPr="00616B9F" w:rsidRDefault="00616B9F" w:rsidP="007C22CE">
      <w:pPr>
        <w:spacing w:after="160" w:line="480" w:lineRule="auto"/>
        <w:jc w:val="both"/>
        <w:rPr>
          <w:rFonts w:ascii="Arial" w:hAnsi="Arial" w:cs="Arial"/>
          <w:b/>
          <w:bCs/>
          <w:color w:val="000000"/>
          <w:lang w:val="en-US"/>
        </w:rPr>
      </w:pPr>
      <w:r w:rsidRPr="00616B9F">
        <w:rPr>
          <w:rFonts w:ascii="Arial" w:hAnsi="Arial" w:cs="Arial"/>
          <w:b/>
          <w:bCs/>
          <w:color w:val="000000"/>
          <w:lang w:val="en-US"/>
        </w:rPr>
        <w:t>Conclusions</w:t>
      </w:r>
    </w:p>
    <w:p w14:paraId="35B749B6" w14:textId="27E035C4" w:rsidR="007C22CE" w:rsidRPr="00BF7B7C" w:rsidRDefault="00616B9F" w:rsidP="007C22CE">
      <w:pPr>
        <w:spacing w:after="160" w:line="480" w:lineRule="auto"/>
        <w:jc w:val="both"/>
        <w:rPr>
          <w:rFonts w:ascii="Arial" w:hAnsi="Arial" w:cs="Arial"/>
          <w:bCs/>
          <w:color w:val="000000"/>
          <w:lang w:val="en-US"/>
        </w:rPr>
      </w:pPr>
      <w:r>
        <w:rPr>
          <w:rFonts w:ascii="Arial" w:hAnsi="Arial" w:cs="Arial"/>
          <w:bCs/>
          <w:color w:val="000000"/>
          <w:lang w:val="en-US"/>
        </w:rPr>
        <w:t>A</w:t>
      </w:r>
      <w:r w:rsidR="00085AF9" w:rsidRPr="00BF7B7C">
        <w:rPr>
          <w:rFonts w:ascii="Arial" w:hAnsi="Arial" w:cs="Arial"/>
          <w:bCs/>
          <w:color w:val="000000"/>
          <w:lang w:val="en-US"/>
        </w:rPr>
        <w:t xml:space="preserve">ll efforts should be made to treat </w:t>
      </w:r>
      <w:r w:rsidR="00834184">
        <w:rPr>
          <w:rFonts w:ascii="Arial" w:hAnsi="Arial" w:cs="Arial"/>
          <w:bCs/>
          <w:color w:val="000000"/>
          <w:lang w:val="en-US"/>
        </w:rPr>
        <w:t>eligible-for-cisplatin</w:t>
      </w:r>
      <w:r w:rsidR="00C7598C" w:rsidRPr="00BF7B7C">
        <w:rPr>
          <w:rFonts w:ascii="Arial" w:hAnsi="Arial" w:cs="Arial"/>
          <w:bCs/>
          <w:color w:val="000000"/>
          <w:lang w:val="en-US"/>
        </w:rPr>
        <w:t xml:space="preserve"> patients with </w:t>
      </w:r>
      <w:r w:rsidR="007C22CE" w:rsidRPr="00BF7B7C">
        <w:rPr>
          <w:rFonts w:ascii="Arial" w:hAnsi="Arial" w:cs="Arial"/>
          <w:bCs/>
          <w:color w:val="000000"/>
          <w:lang w:val="en-US"/>
        </w:rPr>
        <w:t>a</w:t>
      </w:r>
      <w:r w:rsidR="00B469F8">
        <w:rPr>
          <w:rFonts w:ascii="Arial" w:hAnsi="Arial" w:cs="Arial"/>
          <w:bCs/>
          <w:color w:val="000000"/>
          <w:lang w:val="en-US"/>
        </w:rPr>
        <w:t>UTC</w:t>
      </w:r>
      <w:r w:rsidR="007C22CE" w:rsidRPr="00BF7B7C">
        <w:rPr>
          <w:rFonts w:ascii="Arial" w:hAnsi="Arial" w:cs="Arial"/>
          <w:bCs/>
          <w:color w:val="000000"/>
          <w:lang w:val="en-US"/>
        </w:rPr>
        <w:t xml:space="preserve"> </w:t>
      </w:r>
      <w:r w:rsidR="00C7598C" w:rsidRPr="00BF7B7C">
        <w:rPr>
          <w:rFonts w:ascii="Arial" w:hAnsi="Arial" w:cs="Arial"/>
          <w:bCs/>
          <w:color w:val="000000"/>
          <w:lang w:val="en-US"/>
        </w:rPr>
        <w:t xml:space="preserve">with cisplatin-based chemotherapy to achieve the best possible outcome. </w:t>
      </w:r>
      <w:r w:rsidR="008545D2" w:rsidRPr="00BF7B7C">
        <w:rPr>
          <w:rFonts w:ascii="Arial" w:hAnsi="Arial" w:cs="Arial"/>
          <w:bCs/>
          <w:color w:val="000000"/>
          <w:lang w:val="en-US"/>
        </w:rPr>
        <w:t xml:space="preserve">The field should recognize that cisplatin may be underutilized and that </w:t>
      </w:r>
      <w:r w:rsidR="00FF7902" w:rsidRPr="00BF7B7C">
        <w:rPr>
          <w:rFonts w:ascii="Arial" w:hAnsi="Arial" w:cs="Arial"/>
          <w:bCs/>
          <w:color w:val="000000"/>
          <w:lang w:val="en-US"/>
        </w:rPr>
        <w:t xml:space="preserve">adherence to published criteria </w:t>
      </w:r>
      <w:r w:rsidR="008545D2" w:rsidRPr="00BF7B7C">
        <w:rPr>
          <w:rFonts w:ascii="Arial" w:hAnsi="Arial" w:cs="Arial"/>
          <w:bCs/>
          <w:color w:val="000000"/>
          <w:lang w:val="en-US"/>
        </w:rPr>
        <w:t>can help increase appropriate cisplatin use</w:t>
      </w:r>
      <w:r w:rsidR="00FF7902" w:rsidRPr="00BF7B7C">
        <w:rPr>
          <w:rFonts w:ascii="Arial" w:hAnsi="Arial" w:cs="Arial"/>
          <w:bCs/>
          <w:color w:val="000000"/>
          <w:lang w:val="en-US"/>
        </w:rPr>
        <w:t xml:space="preserve">. </w:t>
      </w:r>
      <w:r w:rsidR="00C7598C" w:rsidRPr="00BF7B7C">
        <w:rPr>
          <w:rFonts w:ascii="Arial" w:hAnsi="Arial" w:cs="Arial"/>
          <w:bCs/>
          <w:color w:val="000000"/>
          <w:lang w:val="en-US"/>
        </w:rPr>
        <w:t xml:space="preserve">Novel, more effective therapies for </w:t>
      </w:r>
      <w:r w:rsidR="00D202DF">
        <w:rPr>
          <w:rFonts w:ascii="Arial" w:hAnsi="Arial" w:cs="Arial"/>
          <w:bCs/>
          <w:color w:val="000000"/>
          <w:lang w:val="en-US"/>
        </w:rPr>
        <w:t>ineligible</w:t>
      </w:r>
      <w:r w:rsidR="00C7598C" w:rsidRPr="00BF7B7C">
        <w:rPr>
          <w:rFonts w:ascii="Arial" w:hAnsi="Arial" w:cs="Arial"/>
          <w:bCs/>
          <w:color w:val="000000"/>
          <w:lang w:val="en-US"/>
        </w:rPr>
        <w:t xml:space="preserve">-for-cisplatin patients should be sought through clinical trials specifically focused in this population. </w:t>
      </w:r>
    </w:p>
    <w:p w14:paraId="539388A2" w14:textId="77777777" w:rsidR="00695E2D" w:rsidRPr="00BF7B7C" w:rsidRDefault="00695E2D">
      <w:pPr>
        <w:rPr>
          <w:rFonts w:ascii="Arial" w:hAnsi="Arial" w:cs="Arial"/>
          <w:b/>
          <w:bCs/>
          <w:color w:val="000000"/>
          <w:lang w:val="en-GB"/>
        </w:rPr>
      </w:pPr>
      <w:r w:rsidRPr="00BF7B7C">
        <w:rPr>
          <w:rFonts w:ascii="Arial" w:hAnsi="Arial" w:cs="Arial"/>
          <w:b/>
          <w:bCs/>
          <w:color w:val="000000"/>
          <w:lang w:val="en-GB"/>
        </w:rPr>
        <w:br w:type="page"/>
      </w:r>
    </w:p>
    <w:p w14:paraId="5DED8D8F" w14:textId="77777777" w:rsidR="000B0E10" w:rsidRDefault="00695E2D" w:rsidP="00930742">
      <w:pPr>
        <w:pStyle w:val="a5"/>
        <w:spacing w:line="240" w:lineRule="auto"/>
        <w:rPr>
          <w:rFonts w:ascii="Arial" w:hAnsi="Arial" w:cs="Arial"/>
          <w:b/>
        </w:rPr>
      </w:pPr>
      <w:r w:rsidRPr="00BF7B7C">
        <w:rPr>
          <w:rFonts w:ascii="Arial" w:hAnsi="Arial" w:cs="Arial"/>
          <w:b/>
        </w:rPr>
        <w:t>Tables</w:t>
      </w:r>
    </w:p>
    <w:p w14:paraId="7D5C9790" w14:textId="77777777" w:rsidR="00930742" w:rsidRDefault="00930742" w:rsidP="00930742">
      <w:pPr>
        <w:pStyle w:val="a5"/>
        <w:spacing w:line="240" w:lineRule="auto"/>
        <w:rPr>
          <w:rFonts w:ascii="Arial" w:hAnsi="Arial" w:cs="Arial"/>
        </w:rPr>
      </w:pPr>
    </w:p>
    <w:p w14:paraId="642F6FBD" w14:textId="6E1C1B0C" w:rsidR="005A1A39" w:rsidRPr="005A1A39" w:rsidRDefault="005A1A39" w:rsidP="005A1A39">
      <w:pPr>
        <w:jc w:val="both"/>
        <w:rPr>
          <w:rFonts w:ascii="Arial" w:hAnsi="Arial" w:cs="Arial"/>
          <w:lang w:val="en-US"/>
        </w:rPr>
      </w:pPr>
      <w:r>
        <w:rPr>
          <w:rFonts w:ascii="Arial" w:hAnsi="Arial" w:cs="Arial"/>
          <w:lang w:val="en-US"/>
        </w:rPr>
        <w:t>Table 1</w:t>
      </w:r>
      <w:r w:rsidRPr="005A1A39">
        <w:rPr>
          <w:rFonts w:ascii="Arial" w:hAnsi="Arial" w:cs="Arial"/>
          <w:lang w:val="en-US"/>
        </w:rPr>
        <w:t xml:space="preserve">. Baseline characteristics of 1426 patients </w:t>
      </w:r>
      <w:r w:rsidR="00837D66">
        <w:rPr>
          <w:rFonts w:ascii="Arial" w:hAnsi="Arial" w:cs="Arial"/>
          <w:lang w:val="en-US"/>
        </w:rPr>
        <w:t>according to the type of</w:t>
      </w:r>
      <w:r w:rsidRPr="005A1A39">
        <w:rPr>
          <w:rFonts w:ascii="Arial" w:hAnsi="Arial" w:cs="Arial"/>
          <w:lang w:val="en-US"/>
        </w:rPr>
        <w:t xml:space="preserve"> 1</w:t>
      </w:r>
      <w:r w:rsidRPr="005A1A39">
        <w:rPr>
          <w:rFonts w:ascii="Arial" w:hAnsi="Arial" w:cs="Arial"/>
          <w:vertAlign w:val="superscript"/>
          <w:lang w:val="en-US"/>
        </w:rPr>
        <w:t>st</w:t>
      </w:r>
      <w:r w:rsidRPr="005A1A39">
        <w:rPr>
          <w:rFonts w:ascii="Arial" w:hAnsi="Arial" w:cs="Arial"/>
          <w:lang w:val="en-US"/>
        </w:rPr>
        <w:t>-line chemotherapy.</w:t>
      </w:r>
      <w:r w:rsidRPr="005A1A39">
        <w:rPr>
          <w:rFonts w:ascii="Arial" w:hAnsi="Arial" w:cs="Arial"/>
          <w:vertAlign w:val="superscript"/>
          <w:lang w:val="en-US"/>
        </w:rPr>
        <w:t>1</w:t>
      </w:r>
    </w:p>
    <w:p w14:paraId="0ADE8C64" w14:textId="77777777" w:rsidR="005A1A39" w:rsidRPr="005A1A39" w:rsidRDefault="005A1A39" w:rsidP="005A1A39">
      <w:pPr>
        <w:jc w:val="both"/>
        <w:rPr>
          <w:rFonts w:ascii="Arial" w:hAnsi="Arial" w:cs="Arial"/>
          <w:lang w:val="en-US"/>
        </w:rPr>
      </w:pPr>
    </w:p>
    <w:tbl>
      <w:tblPr>
        <w:tblW w:w="10915" w:type="dxa"/>
        <w:tblInd w:w="-1026"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253"/>
        <w:gridCol w:w="1984"/>
        <w:gridCol w:w="1843"/>
        <w:gridCol w:w="1701"/>
        <w:gridCol w:w="1134"/>
      </w:tblGrid>
      <w:tr w:rsidR="005A1A39" w:rsidRPr="005A1A39" w14:paraId="7296964F" w14:textId="77777777" w:rsidTr="00280481">
        <w:tc>
          <w:tcPr>
            <w:tcW w:w="4253" w:type="dxa"/>
            <w:tcBorders>
              <w:right w:val="nil"/>
            </w:tcBorders>
          </w:tcPr>
          <w:p w14:paraId="16BC8CEE" w14:textId="77777777" w:rsidR="005A1A39" w:rsidRPr="005A1A39" w:rsidRDefault="005A1A39" w:rsidP="005A1A39">
            <w:pPr>
              <w:jc w:val="both"/>
              <w:rPr>
                <w:rFonts w:ascii="Arial" w:hAnsi="Arial" w:cs="Arial"/>
                <w:lang w:val="en-US"/>
              </w:rPr>
            </w:pPr>
            <w:r w:rsidRPr="005A1A39">
              <w:rPr>
                <w:rFonts w:ascii="Arial" w:hAnsi="Arial" w:cs="Arial"/>
                <w:lang w:val="en-US"/>
              </w:rPr>
              <w:t>Characteristic</w:t>
            </w:r>
          </w:p>
        </w:tc>
        <w:tc>
          <w:tcPr>
            <w:tcW w:w="1984" w:type="dxa"/>
            <w:tcBorders>
              <w:left w:val="nil"/>
              <w:right w:val="nil"/>
            </w:tcBorders>
          </w:tcPr>
          <w:p w14:paraId="5A774D91" w14:textId="77777777" w:rsidR="005A1A39" w:rsidRPr="005A1A39" w:rsidRDefault="005A1A39" w:rsidP="005A1A39">
            <w:pPr>
              <w:jc w:val="center"/>
              <w:rPr>
                <w:rFonts w:ascii="Arial" w:hAnsi="Arial" w:cs="Arial"/>
                <w:lang w:val="en-US"/>
              </w:rPr>
            </w:pPr>
            <w:r w:rsidRPr="005A1A39">
              <w:rPr>
                <w:rFonts w:ascii="Arial" w:hAnsi="Arial" w:cs="Arial"/>
                <w:lang w:val="en-US"/>
              </w:rPr>
              <w:t>Cisplatin</w:t>
            </w:r>
          </w:p>
        </w:tc>
        <w:tc>
          <w:tcPr>
            <w:tcW w:w="1843" w:type="dxa"/>
            <w:tcBorders>
              <w:left w:val="nil"/>
              <w:right w:val="nil"/>
            </w:tcBorders>
          </w:tcPr>
          <w:p w14:paraId="2DE79BFA" w14:textId="77777777" w:rsidR="005A1A39" w:rsidRPr="005A1A39" w:rsidRDefault="005A1A39" w:rsidP="005A1A39">
            <w:pPr>
              <w:jc w:val="center"/>
              <w:rPr>
                <w:rFonts w:ascii="Arial" w:hAnsi="Arial" w:cs="Arial"/>
                <w:lang w:val="en-US"/>
              </w:rPr>
            </w:pPr>
            <w:r w:rsidRPr="005A1A39">
              <w:rPr>
                <w:rFonts w:ascii="Arial" w:hAnsi="Arial" w:cs="Arial"/>
                <w:lang w:val="en-US"/>
              </w:rPr>
              <w:t>Carboplatin</w:t>
            </w:r>
          </w:p>
        </w:tc>
        <w:tc>
          <w:tcPr>
            <w:tcW w:w="1701" w:type="dxa"/>
            <w:tcBorders>
              <w:left w:val="nil"/>
              <w:right w:val="nil"/>
            </w:tcBorders>
          </w:tcPr>
          <w:p w14:paraId="295799AB" w14:textId="77777777" w:rsidR="005A1A39" w:rsidRPr="005A1A39" w:rsidRDefault="005A1A39" w:rsidP="005A1A39">
            <w:pPr>
              <w:jc w:val="center"/>
              <w:rPr>
                <w:rFonts w:ascii="Arial" w:hAnsi="Arial" w:cs="Arial"/>
                <w:lang w:val="en-US"/>
              </w:rPr>
            </w:pPr>
            <w:r w:rsidRPr="005A1A39">
              <w:rPr>
                <w:rFonts w:ascii="Arial" w:hAnsi="Arial" w:cs="Arial"/>
                <w:lang w:val="en-US"/>
              </w:rPr>
              <w:t>Other</w:t>
            </w:r>
          </w:p>
        </w:tc>
        <w:tc>
          <w:tcPr>
            <w:tcW w:w="1134" w:type="dxa"/>
            <w:tcBorders>
              <w:left w:val="nil"/>
            </w:tcBorders>
          </w:tcPr>
          <w:p w14:paraId="20AEF26A" w14:textId="77777777" w:rsidR="005A1A39" w:rsidRPr="005A1A39" w:rsidRDefault="005A1A39" w:rsidP="005A1A39">
            <w:pPr>
              <w:jc w:val="center"/>
              <w:rPr>
                <w:rFonts w:ascii="Arial" w:hAnsi="Arial" w:cs="Arial"/>
                <w:lang w:val="en-US"/>
              </w:rPr>
            </w:pPr>
            <w:r w:rsidRPr="005A1A39">
              <w:rPr>
                <w:rFonts w:ascii="Arial" w:hAnsi="Arial" w:cs="Arial"/>
                <w:lang w:val="en-US"/>
              </w:rPr>
              <w:t>P value</w:t>
            </w:r>
          </w:p>
        </w:tc>
      </w:tr>
      <w:tr w:rsidR="005A1A39" w:rsidRPr="005A1A39" w14:paraId="0F6BE365" w14:textId="77777777" w:rsidTr="00280481">
        <w:trPr>
          <w:cantSplit/>
        </w:trPr>
        <w:tc>
          <w:tcPr>
            <w:tcW w:w="4253" w:type="dxa"/>
            <w:tcBorders>
              <w:right w:val="nil"/>
            </w:tcBorders>
          </w:tcPr>
          <w:p w14:paraId="161151AF" w14:textId="77777777" w:rsidR="005A1A39" w:rsidRPr="005A1A39" w:rsidRDefault="005A1A39" w:rsidP="005A1A39">
            <w:pPr>
              <w:jc w:val="both"/>
              <w:rPr>
                <w:rFonts w:ascii="Arial" w:hAnsi="Arial" w:cs="Arial"/>
                <w:lang w:val="en-US"/>
              </w:rPr>
            </w:pPr>
          </w:p>
        </w:tc>
        <w:tc>
          <w:tcPr>
            <w:tcW w:w="5528" w:type="dxa"/>
            <w:gridSpan w:val="3"/>
            <w:tcBorders>
              <w:left w:val="nil"/>
              <w:right w:val="nil"/>
            </w:tcBorders>
          </w:tcPr>
          <w:p w14:paraId="31775927" w14:textId="77777777" w:rsidR="005A1A39" w:rsidRPr="005A1A39" w:rsidRDefault="005A1A39" w:rsidP="005A1A39">
            <w:pPr>
              <w:jc w:val="center"/>
              <w:rPr>
                <w:rFonts w:ascii="Arial" w:hAnsi="Arial" w:cs="Arial"/>
                <w:lang w:val="en-US"/>
              </w:rPr>
            </w:pPr>
            <w:r w:rsidRPr="005A1A39">
              <w:rPr>
                <w:rFonts w:ascii="Arial" w:hAnsi="Arial" w:cs="Arial"/>
                <w:lang w:val="en-US"/>
              </w:rPr>
              <w:t>Median, range</w:t>
            </w:r>
          </w:p>
        </w:tc>
        <w:tc>
          <w:tcPr>
            <w:tcW w:w="1134" w:type="dxa"/>
            <w:tcBorders>
              <w:left w:val="nil"/>
            </w:tcBorders>
          </w:tcPr>
          <w:p w14:paraId="4AA3F7F2" w14:textId="77777777" w:rsidR="005A1A39" w:rsidRPr="005A1A39" w:rsidRDefault="005A1A39" w:rsidP="005A1A39">
            <w:pPr>
              <w:jc w:val="center"/>
              <w:rPr>
                <w:rFonts w:ascii="Arial" w:hAnsi="Arial" w:cs="Arial"/>
                <w:lang w:val="en-US"/>
              </w:rPr>
            </w:pPr>
          </w:p>
        </w:tc>
      </w:tr>
      <w:tr w:rsidR="005A1A39" w:rsidRPr="005A1A39" w14:paraId="7B4278E5" w14:textId="77777777" w:rsidTr="00280481">
        <w:tc>
          <w:tcPr>
            <w:tcW w:w="4253" w:type="dxa"/>
            <w:tcBorders>
              <w:right w:val="nil"/>
            </w:tcBorders>
          </w:tcPr>
          <w:p w14:paraId="38FF636C" w14:textId="77777777" w:rsidR="005A1A39" w:rsidRPr="005A1A39" w:rsidRDefault="005A1A39" w:rsidP="005A1A39">
            <w:pPr>
              <w:jc w:val="both"/>
              <w:rPr>
                <w:rFonts w:ascii="Arial" w:hAnsi="Arial" w:cs="Arial"/>
                <w:lang w:val="en-US"/>
              </w:rPr>
            </w:pPr>
            <w:r w:rsidRPr="005A1A39">
              <w:rPr>
                <w:rFonts w:ascii="Arial" w:hAnsi="Arial" w:cs="Arial"/>
                <w:lang w:val="en-US"/>
              </w:rPr>
              <w:t>Age (n=1411)</w:t>
            </w:r>
          </w:p>
        </w:tc>
        <w:tc>
          <w:tcPr>
            <w:tcW w:w="1984" w:type="dxa"/>
            <w:tcBorders>
              <w:left w:val="nil"/>
              <w:right w:val="nil"/>
            </w:tcBorders>
          </w:tcPr>
          <w:p w14:paraId="3895F5E2" w14:textId="77777777" w:rsidR="005A1A39" w:rsidRPr="005A1A39" w:rsidRDefault="005A1A39" w:rsidP="005A1A39">
            <w:pPr>
              <w:jc w:val="center"/>
              <w:rPr>
                <w:rFonts w:ascii="Arial" w:hAnsi="Arial" w:cs="Arial"/>
                <w:lang w:val="en-GB"/>
              </w:rPr>
            </w:pPr>
            <w:r w:rsidRPr="005A1A39">
              <w:rPr>
                <w:rFonts w:ascii="Arial" w:hAnsi="Arial" w:cs="Arial"/>
                <w:lang w:val="en-GB"/>
              </w:rPr>
              <w:t>65.1, 34-87</w:t>
            </w:r>
          </w:p>
        </w:tc>
        <w:tc>
          <w:tcPr>
            <w:tcW w:w="1843" w:type="dxa"/>
            <w:tcBorders>
              <w:left w:val="nil"/>
              <w:right w:val="nil"/>
            </w:tcBorders>
          </w:tcPr>
          <w:p w14:paraId="6C06BC29" w14:textId="77777777" w:rsidR="005A1A39" w:rsidRPr="005A1A39" w:rsidRDefault="005A1A39" w:rsidP="005A1A39">
            <w:pPr>
              <w:jc w:val="center"/>
              <w:rPr>
                <w:rFonts w:ascii="Arial" w:hAnsi="Arial" w:cs="Arial"/>
                <w:lang w:val="en-US"/>
              </w:rPr>
            </w:pPr>
            <w:r w:rsidRPr="005A1A39">
              <w:rPr>
                <w:rFonts w:ascii="Arial" w:hAnsi="Arial" w:cs="Arial"/>
                <w:lang w:val="en-US"/>
              </w:rPr>
              <w:t>71, 38.8-92.9</w:t>
            </w:r>
          </w:p>
        </w:tc>
        <w:tc>
          <w:tcPr>
            <w:tcW w:w="1701" w:type="dxa"/>
            <w:tcBorders>
              <w:left w:val="nil"/>
              <w:right w:val="nil"/>
            </w:tcBorders>
          </w:tcPr>
          <w:p w14:paraId="596D61A9" w14:textId="77777777" w:rsidR="005A1A39" w:rsidRPr="005A1A39" w:rsidRDefault="005A1A39" w:rsidP="005A1A39">
            <w:pPr>
              <w:jc w:val="center"/>
              <w:rPr>
                <w:rFonts w:ascii="Arial" w:hAnsi="Arial" w:cs="Arial"/>
                <w:lang w:val="en-US"/>
              </w:rPr>
            </w:pPr>
            <w:r w:rsidRPr="005A1A39">
              <w:rPr>
                <w:rFonts w:ascii="Arial" w:hAnsi="Arial" w:cs="Arial"/>
                <w:lang w:val="en-US"/>
              </w:rPr>
              <w:t>68.4, 34-92</w:t>
            </w:r>
          </w:p>
        </w:tc>
        <w:tc>
          <w:tcPr>
            <w:tcW w:w="1134" w:type="dxa"/>
            <w:tcBorders>
              <w:left w:val="nil"/>
            </w:tcBorders>
          </w:tcPr>
          <w:p w14:paraId="54487878" w14:textId="77777777" w:rsidR="005A1A39" w:rsidRPr="005A1A39" w:rsidRDefault="005A1A39" w:rsidP="005A1A39">
            <w:pPr>
              <w:jc w:val="center"/>
              <w:rPr>
                <w:rFonts w:ascii="Arial" w:hAnsi="Arial" w:cs="Arial"/>
                <w:lang w:val="en-US"/>
              </w:rPr>
            </w:pPr>
            <w:r w:rsidRPr="005A1A39">
              <w:rPr>
                <w:rFonts w:ascii="Arial" w:hAnsi="Arial" w:cs="Arial"/>
                <w:lang w:val="en-US"/>
              </w:rPr>
              <w:t>&lt;0.001</w:t>
            </w:r>
          </w:p>
        </w:tc>
      </w:tr>
      <w:tr w:rsidR="005A1A39" w:rsidRPr="005A1A39" w14:paraId="12ECAE18" w14:textId="77777777" w:rsidTr="00280481">
        <w:tc>
          <w:tcPr>
            <w:tcW w:w="4253" w:type="dxa"/>
            <w:tcBorders>
              <w:right w:val="nil"/>
            </w:tcBorders>
          </w:tcPr>
          <w:p w14:paraId="4024D936" w14:textId="77777777" w:rsidR="005A1A39" w:rsidRPr="005A1A39" w:rsidRDefault="005A1A39" w:rsidP="005A1A39">
            <w:pPr>
              <w:jc w:val="both"/>
              <w:rPr>
                <w:rFonts w:ascii="Arial" w:hAnsi="Arial" w:cs="Arial"/>
                <w:lang w:val="en-US"/>
              </w:rPr>
            </w:pPr>
            <w:r w:rsidRPr="005A1A39">
              <w:rPr>
                <w:rFonts w:ascii="Arial" w:hAnsi="Arial" w:cs="Arial"/>
                <w:lang w:val="en-US"/>
              </w:rPr>
              <w:t>Creatinine clearance (n=990)</w:t>
            </w:r>
          </w:p>
        </w:tc>
        <w:tc>
          <w:tcPr>
            <w:tcW w:w="1984" w:type="dxa"/>
            <w:tcBorders>
              <w:left w:val="nil"/>
              <w:right w:val="nil"/>
            </w:tcBorders>
          </w:tcPr>
          <w:p w14:paraId="60ADB55F" w14:textId="77777777" w:rsidR="005A1A39" w:rsidRPr="005A1A39" w:rsidRDefault="005A1A39" w:rsidP="005A1A39">
            <w:pPr>
              <w:jc w:val="center"/>
              <w:rPr>
                <w:rFonts w:ascii="Arial" w:hAnsi="Arial" w:cs="Arial"/>
                <w:lang w:val="de-DE"/>
              </w:rPr>
            </w:pPr>
            <w:r w:rsidRPr="005A1A39">
              <w:rPr>
                <w:rFonts w:ascii="Arial" w:hAnsi="Arial" w:cs="Arial"/>
                <w:lang w:val="de-DE"/>
              </w:rPr>
              <w:t>72.6, 20.2-486.2</w:t>
            </w:r>
          </w:p>
        </w:tc>
        <w:tc>
          <w:tcPr>
            <w:tcW w:w="1843" w:type="dxa"/>
            <w:tcBorders>
              <w:left w:val="nil"/>
              <w:right w:val="nil"/>
            </w:tcBorders>
          </w:tcPr>
          <w:p w14:paraId="0313E5AB" w14:textId="77777777" w:rsidR="005A1A39" w:rsidRPr="005A1A39" w:rsidRDefault="005A1A39" w:rsidP="005A1A39">
            <w:pPr>
              <w:jc w:val="center"/>
              <w:rPr>
                <w:rFonts w:ascii="Arial" w:hAnsi="Arial" w:cs="Arial"/>
                <w:lang w:val="de-DE"/>
              </w:rPr>
            </w:pPr>
            <w:r w:rsidRPr="005A1A39">
              <w:rPr>
                <w:rFonts w:ascii="Arial" w:hAnsi="Arial" w:cs="Arial"/>
                <w:lang w:val="de-DE"/>
              </w:rPr>
              <w:t>50.5, 1.6-334.6</w:t>
            </w:r>
          </w:p>
        </w:tc>
        <w:tc>
          <w:tcPr>
            <w:tcW w:w="1701" w:type="dxa"/>
            <w:tcBorders>
              <w:left w:val="nil"/>
              <w:right w:val="nil"/>
            </w:tcBorders>
          </w:tcPr>
          <w:p w14:paraId="2D5E70AB" w14:textId="77777777" w:rsidR="005A1A39" w:rsidRPr="005A1A39" w:rsidRDefault="005A1A39" w:rsidP="005A1A39">
            <w:pPr>
              <w:jc w:val="center"/>
              <w:rPr>
                <w:rFonts w:ascii="Arial" w:hAnsi="Arial" w:cs="Arial"/>
                <w:lang w:val="de-DE"/>
              </w:rPr>
            </w:pPr>
            <w:r w:rsidRPr="005A1A39">
              <w:rPr>
                <w:rFonts w:ascii="Arial" w:hAnsi="Arial" w:cs="Arial"/>
                <w:lang w:val="de-DE"/>
              </w:rPr>
              <w:t>54, 8.6-164.8</w:t>
            </w:r>
          </w:p>
        </w:tc>
        <w:tc>
          <w:tcPr>
            <w:tcW w:w="1134" w:type="dxa"/>
            <w:tcBorders>
              <w:left w:val="nil"/>
            </w:tcBorders>
          </w:tcPr>
          <w:p w14:paraId="1B1515A9" w14:textId="77777777" w:rsidR="005A1A39" w:rsidRPr="005A1A39" w:rsidRDefault="005A1A39" w:rsidP="005A1A39">
            <w:pPr>
              <w:jc w:val="center"/>
              <w:rPr>
                <w:rFonts w:ascii="Arial" w:hAnsi="Arial" w:cs="Arial"/>
                <w:lang w:val="de-DE"/>
              </w:rPr>
            </w:pPr>
            <w:r w:rsidRPr="005A1A39">
              <w:rPr>
                <w:rFonts w:ascii="Arial" w:hAnsi="Arial" w:cs="Arial"/>
                <w:lang w:val="de-DE"/>
              </w:rPr>
              <w:t>&lt;0.001</w:t>
            </w:r>
          </w:p>
        </w:tc>
      </w:tr>
      <w:tr w:rsidR="005A1A39" w:rsidRPr="005A1A39" w14:paraId="4499E862" w14:textId="77777777" w:rsidTr="00280481">
        <w:trPr>
          <w:cantSplit/>
        </w:trPr>
        <w:tc>
          <w:tcPr>
            <w:tcW w:w="4253" w:type="dxa"/>
            <w:tcBorders>
              <w:right w:val="nil"/>
            </w:tcBorders>
          </w:tcPr>
          <w:p w14:paraId="1CDF7CF4" w14:textId="77777777" w:rsidR="005A1A39" w:rsidRPr="005A1A39" w:rsidRDefault="005A1A39" w:rsidP="005A1A39">
            <w:pPr>
              <w:jc w:val="both"/>
              <w:rPr>
                <w:rFonts w:ascii="Arial" w:hAnsi="Arial" w:cs="Arial"/>
                <w:lang w:val="de-DE"/>
              </w:rPr>
            </w:pPr>
          </w:p>
        </w:tc>
        <w:tc>
          <w:tcPr>
            <w:tcW w:w="5528" w:type="dxa"/>
            <w:gridSpan w:val="3"/>
            <w:tcBorders>
              <w:left w:val="nil"/>
              <w:right w:val="nil"/>
            </w:tcBorders>
          </w:tcPr>
          <w:p w14:paraId="44C952E4" w14:textId="77777777" w:rsidR="005A1A39" w:rsidRPr="005A1A39" w:rsidRDefault="005A1A39" w:rsidP="005A1A39">
            <w:pPr>
              <w:jc w:val="center"/>
              <w:rPr>
                <w:rFonts w:ascii="Arial" w:hAnsi="Arial" w:cs="Arial"/>
                <w:lang w:val="de-DE"/>
              </w:rPr>
            </w:pPr>
            <w:r w:rsidRPr="005A1A39">
              <w:rPr>
                <w:rFonts w:ascii="Arial" w:hAnsi="Arial" w:cs="Arial"/>
                <w:lang w:val="de-DE"/>
              </w:rPr>
              <w:t>N (%)</w:t>
            </w:r>
          </w:p>
        </w:tc>
        <w:tc>
          <w:tcPr>
            <w:tcW w:w="1134" w:type="dxa"/>
            <w:tcBorders>
              <w:left w:val="nil"/>
            </w:tcBorders>
          </w:tcPr>
          <w:p w14:paraId="7A7DBBC8" w14:textId="77777777" w:rsidR="005A1A39" w:rsidRPr="005A1A39" w:rsidRDefault="005A1A39" w:rsidP="005A1A39">
            <w:pPr>
              <w:jc w:val="center"/>
              <w:rPr>
                <w:rFonts w:ascii="Arial" w:hAnsi="Arial" w:cs="Arial"/>
                <w:lang w:val="de-DE"/>
              </w:rPr>
            </w:pPr>
          </w:p>
        </w:tc>
      </w:tr>
      <w:tr w:rsidR="005A1A39" w:rsidRPr="005A1A39" w14:paraId="21FBC3E8" w14:textId="77777777" w:rsidTr="00280481">
        <w:tc>
          <w:tcPr>
            <w:tcW w:w="4253" w:type="dxa"/>
            <w:tcBorders>
              <w:right w:val="nil"/>
            </w:tcBorders>
          </w:tcPr>
          <w:p w14:paraId="5F74D3D6" w14:textId="77777777" w:rsidR="005A1A39" w:rsidRPr="005A1A39" w:rsidRDefault="005A1A39" w:rsidP="005A1A39">
            <w:pPr>
              <w:jc w:val="both"/>
              <w:rPr>
                <w:rFonts w:ascii="Arial" w:hAnsi="Arial" w:cs="Arial"/>
                <w:lang w:val="de-DE"/>
              </w:rPr>
            </w:pPr>
            <w:r w:rsidRPr="005A1A39">
              <w:rPr>
                <w:rFonts w:ascii="Arial" w:hAnsi="Arial" w:cs="Arial"/>
                <w:lang w:val="de-DE"/>
              </w:rPr>
              <w:t>Gender (n=1417)</w:t>
            </w:r>
          </w:p>
          <w:p w14:paraId="1FEFA996" w14:textId="77777777" w:rsidR="005A1A39" w:rsidRPr="005A1A39" w:rsidRDefault="005A1A39" w:rsidP="005A1A39">
            <w:pPr>
              <w:jc w:val="both"/>
              <w:rPr>
                <w:rFonts w:ascii="Arial" w:hAnsi="Arial" w:cs="Arial"/>
                <w:lang w:val="de-DE"/>
              </w:rPr>
            </w:pPr>
            <w:r w:rsidRPr="005A1A39">
              <w:rPr>
                <w:rFonts w:ascii="Arial" w:hAnsi="Arial" w:cs="Arial"/>
                <w:lang w:val="de-DE"/>
              </w:rPr>
              <w:t>M</w:t>
            </w:r>
          </w:p>
          <w:p w14:paraId="4849A819" w14:textId="77777777" w:rsidR="005A1A39" w:rsidRPr="005A1A39" w:rsidRDefault="005A1A39" w:rsidP="005A1A39">
            <w:pPr>
              <w:jc w:val="both"/>
              <w:rPr>
                <w:rFonts w:ascii="Arial" w:hAnsi="Arial" w:cs="Arial"/>
                <w:lang w:val="de-DE"/>
              </w:rPr>
            </w:pPr>
            <w:r w:rsidRPr="005A1A39">
              <w:rPr>
                <w:rFonts w:ascii="Arial" w:hAnsi="Arial" w:cs="Arial"/>
                <w:lang w:val="de-DE"/>
              </w:rPr>
              <w:t>F</w:t>
            </w:r>
          </w:p>
        </w:tc>
        <w:tc>
          <w:tcPr>
            <w:tcW w:w="1984" w:type="dxa"/>
            <w:tcBorders>
              <w:left w:val="nil"/>
              <w:right w:val="nil"/>
            </w:tcBorders>
          </w:tcPr>
          <w:p w14:paraId="4CC2A14C" w14:textId="77777777" w:rsidR="005A1A39" w:rsidRPr="005A1A39" w:rsidRDefault="005A1A39" w:rsidP="005A1A39">
            <w:pPr>
              <w:jc w:val="center"/>
              <w:rPr>
                <w:rFonts w:ascii="Arial" w:hAnsi="Arial" w:cs="Arial"/>
                <w:lang w:val="de-DE"/>
              </w:rPr>
            </w:pPr>
          </w:p>
          <w:p w14:paraId="61B2AEC2" w14:textId="77777777" w:rsidR="005A1A39" w:rsidRPr="005A1A39" w:rsidRDefault="005A1A39" w:rsidP="005A1A39">
            <w:pPr>
              <w:jc w:val="center"/>
              <w:rPr>
                <w:rFonts w:ascii="Arial" w:hAnsi="Arial" w:cs="Arial"/>
                <w:lang w:val="de-DE"/>
              </w:rPr>
            </w:pPr>
            <w:r w:rsidRPr="005A1A39">
              <w:rPr>
                <w:rFonts w:ascii="Arial" w:hAnsi="Arial" w:cs="Arial"/>
                <w:lang w:val="de-DE"/>
              </w:rPr>
              <w:t>583 (81.5)</w:t>
            </w:r>
          </w:p>
          <w:p w14:paraId="1EE733A0" w14:textId="77777777" w:rsidR="005A1A39" w:rsidRPr="005A1A39" w:rsidRDefault="005A1A39" w:rsidP="005A1A39">
            <w:pPr>
              <w:jc w:val="center"/>
              <w:rPr>
                <w:rFonts w:ascii="Arial" w:hAnsi="Arial" w:cs="Arial"/>
                <w:lang w:val="de-DE"/>
              </w:rPr>
            </w:pPr>
            <w:r w:rsidRPr="005A1A39">
              <w:rPr>
                <w:rFonts w:ascii="Arial" w:hAnsi="Arial" w:cs="Arial"/>
                <w:lang w:val="de-DE"/>
              </w:rPr>
              <w:t>132 (18.5)</w:t>
            </w:r>
          </w:p>
        </w:tc>
        <w:tc>
          <w:tcPr>
            <w:tcW w:w="1843" w:type="dxa"/>
            <w:tcBorders>
              <w:left w:val="nil"/>
              <w:right w:val="nil"/>
            </w:tcBorders>
          </w:tcPr>
          <w:p w14:paraId="26B4513A" w14:textId="77777777" w:rsidR="005A1A39" w:rsidRPr="005A1A39" w:rsidRDefault="005A1A39" w:rsidP="005A1A39">
            <w:pPr>
              <w:jc w:val="center"/>
              <w:rPr>
                <w:rFonts w:ascii="Arial" w:hAnsi="Arial" w:cs="Arial"/>
                <w:lang w:val="de-DE"/>
              </w:rPr>
            </w:pPr>
          </w:p>
          <w:p w14:paraId="6E9CD836" w14:textId="77777777" w:rsidR="005A1A39" w:rsidRPr="005A1A39" w:rsidRDefault="005A1A39" w:rsidP="005A1A39">
            <w:pPr>
              <w:jc w:val="center"/>
              <w:rPr>
                <w:rFonts w:ascii="Arial" w:hAnsi="Arial" w:cs="Arial"/>
                <w:lang w:val="de-DE"/>
              </w:rPr>
            </w:pPr>
            <w:r w:rsidRPr="005A1A39">
              <w:rPr>
                <w:rFonts w:ascii="Arial" w:hAnsi="Arial" w:cs="Arial"/>
                <w:lang w:val="de-DE"/>
              </w:rPr>
              <w:t>325 (76.1)</w:t>
            </w:r>
          </w:p>
          <w:p w14:paraId="121F8E06" w14:textId="77777777" w:rsidR="005A1A39" w:rsidRPr="005A1A39" w:rsidRDefault="005A1A39" w:rsidP="005A1A39">
            <w:pPr>
              <w:jc w:val="center"/>
              <w:rPr>
                <w:rFonts w:ascii="Arial" w:hAnsi="Arial" w:cs="Arial"/>
                <w:lang w:val="de-DE"/>
              </w:rPr>
            </w:pPr>
            <w:r w:rsidRPr="005A1A39">
              <w:rPr>
                <w:rFonts w:ascii="Arial" w:hAnsi="Arial" w:cs="Arial"/>
                <w:lang w:val="de-DE"/>
              </w:rPr>
              <w:t>102 (23.9)</w:t>
            </w:r>
          </w:p>
        </w:tc>
        <w:tc>
          <w:tcPr>
            <w:tcW w:w="1701" w:type="dxa"/>
            <w:tcBorders>
              <w:left w:val="nil"/>
              <w:right w:val="nil"/>
            </w:tcBorders>
          </w:tcPr>
          <w:p w14:paraId="5F984023" w14:textId="77777777" w:rsidR="005A1A39" w:rsidRPr="005A1A39" w:rsidRDefault="005A1A39" w:rsidP="005A1A39">
            <w:pPr>
              <w:jc w:val="center"/>
              <w:rPr>
                <w:rFonts w:ascii="Arial" w:hAnsi="Arial" w:cs="Arial"/>
                <w:lang w:val="de-DE"/>
              </w:rPr>
            </w:pPr>
          </w:p>
          <w:p w14:paraId="6EE17540" w14:textId="77777777" w:rsidR="005A1A39" w:rsidRPr="005A1A39" w:rsidRDefault="005A1A39" w:rsidP="005A1A39">
            <w:pPr>
              <w:jc w:val="center"/>
              <w:rPr>
                <w:rFonts w:ascii="Arial" w:hAnsi="Arial" w:cs="Arial"/>
                <w:lang w:val="de-DE"/>
              </w:rPr>
            </w:pPr>
            <w:r w:rsidRPr="005A1A39">
              <w:rPr>
                <w:rFonts w:ascii="Arial" w:hAnsi="Arial" w:cs="Arial"/>
                <w:lang w:val="de-DE"/>
              </w:rPr>
              <w:t>208 (75.6)</w:t>
            </w:r>
          </w:p>
          <w:p w14:paraId="5A5BFFBA" w14:textId="77777777" w:rsidR="005A1A39" w:rsidRPr="005A1A39" w:rsidRDefault="005A1A39" w:rsidP="005A1A39">
            <w:pPr>
              <w:jc w:val="center"/>
              <w:rPr>
                <w:rFonts w:ascii="Arial" w:hAnsi="Arial" w:cs="Arial"/>
                <w:lang w:val="de-DE"/>
              </w:rPr>
            </w:pPr>
            <w:r w:rsidRPr="005A1A39">
              <w:rPr>
                <w:rFonts w:ascii="Arial" w:hAnsi="Arial" w:cs="Arial"/>
                <w:lang w:val="de-DE"/>
              </w:rPr>
              <w:t>67 (24.4)</w:t>
            </w:r>
          </w:p>
        </w:tc>
        <w:tc>
          <w:tcPr>
            <w:tcW w:w="1134" w:type="dxa"/>
            <w:tcBorders>
              <w:left w:val="nil"/>
            </w:tcBorders>
          </w:tcPr>
          <w:p w14:paraId="166E5691" w14:textId="77777777" w:rsidR="005A1A39" w:rsidRPr="005A1A39" w:rsidRDefault="005A1A39" w:rsidP="005A1A39">
            <w:pPr>
              <w:jc w:val="center"/>
              <w:rPr>
                <w:rFonts w:ascii="Arial" w:hAnsi="Arial" w:cs="Arial"/>
                <w:lang w:val="de-DE"/>
              </w:rPr>
            </w:pPr>
            <w:r w:rsidRPr="005A1A39">
              <w:rPr>
                <w:rFonts w:ascii="Arial" w:hAnsi="Arial" w:cs="Arial"/>
                <w:lang w:val="de-DE"/>
              </w:rPr>
              <w:t>0.035</w:t>
            </w:r>
          </w:p>
        </w:tc>
      </w:tr>
      <w:tr w:rsidR="005A1A39" w:rsidRPr="005A1A39" w14:paraId="75018454" w14:textId="77777777" w:rsidTr="00280481">
        <w:tc>
          <w:tcPr>
            <w:tcW w:w="4253" w:type="dxa"/>
            <w:tcBorders>
              <w:right w:val="nil"/>
            </w:tcBorders>
          </w:tcPr>
          <w:p w14:paraId="52975CD8" w14:textId="77777777" w:rsidR="005A1A39" w:rsidRPr="005A1A39" w:rsidRDefault="005A1A39" w:rsidP="005A1A39">
            <w:pPr>
              <w:jc w:val="both"/>
              <w:rPr>
                <w:rFonts w:ascii="Arial" w:hAnsi="Arial" w:cs="Arial"/>
                <w:lang w:val="en-US"/>
              </w:rPr>
            </w:pPr>
            <w:r w:rsidRPr="005A1A39">
              <w:rPr>
                <w:rFonts w:ascii="Arial" w:hAnsi="Arial" w:cs="Arial"/>
                <w:lang w:val="en-US"/>
              </w:rPr>
              <w:t>Neoadjuvant chemotherapy (n=1343)</w:t>
            </w:r>
          </w:p>
          <w:p w14:paraId="13D1A1D7" w14:textId="77777777" w:rsidR="005A1A39" w:rsidRPr="005A1A39" w:rsidRDefault="005A1A39" w:rsidP="005A1A39">
            <w:pPr>
              <w:jc w:val="both"/>
              <w:rPr>
                <w:rFonts w:ascii="Arial" w:hAnsi="Arial" w:cs="Arial"/>
                <w:lang w:val="en-US"/>
              </w:rPr>
            </w:pPr>
            <w:r w:rsidRPr="005A1A39">
              <w:rPr>
                <w:rFonts w:ascii="Arial" w:hAnsi="Arial" w:cs="Arial"/>
                <w:lang w:val="en-US"/>
              </w:rPr>
              <w:t>Yes</w:t>
            </w:r>
          </w:p>
          <w:p w14:paraId="6C3A60A3" w14:textId="77777777" w:rsidR="005A1A39" w:rsidRPr="005A1A39" w:rsidRDefault="005A1A39" w:rsidP="005A1A39">
            <w:pPr>
              <w:jc w:val="both"/>
              <w:rPr>
                <w:rFonts w:ascii="Arial" w:hAnsi="Arial" w:cs="Arial"/>
                <w:lang w:val="en-US"/>
              </w:rPr>
            </w:pPr>
            <w:r w:rsidRPr="005A1A39">
              <w:rPr>
                <w:rFonts w:ascii="Arial" w:hAnsi="Arial" w:cs="Arial"/>
                <w:lang w:val="en-US"/>
              </w:rPr>
              <w:t>No</w:t>
            </w:r>
          </w:p>
        </w:tc>
        <w:tc>
          <w:tcPr>
            <w:tcW w:w="1984" w:type="dxa"/>
            <w:tcBorders>
              <w:left w:val="nil"/>
              <w:right w:val="nil"/>
            </w:tcBorders>
          </w:tcPr>
          <w:p w14:paraId="169A3B83" w14:textId="77777777" w:rsidR="005A1A39" w:rsidRPr="005A1A39" w:rsidRDefault="005A1A39" w:rsidP="005A1A39">
            <w:pPr>
              <w:jc w:val="center"/>
              <w:rPr>
                <w:rFonts w:ascii="Arial" w:hAnsi="Arial" w:cs="Arial"/>
                <w:lang w:val="en-US"/>
              </w:rPr>
            </w:pPr>
          </w:p>
          <w:p w14:paraId="35E9D274" w14:textId="77777777" w:rsidR="005A1A39" w:rsidRPr="005A1A39" w:rsidRDefault="005A1A39" w:rsidP="005A1A39">
            <w:pPr>
              <w:jc w:val="center"/>
              <w:rPr>
                <w:rFonts w:ascii="Arial" w:hAnsi="Arial" w:cs="Arial"/>
                <w:lang w:val="en-US"/>
              </w:rPr>
            </w:pPr>
            <w:r w:rsidRPr="005A1A39">
              <w:rPr>
                <w:rFonts w:ascii="Arial" w:hAnsi="Arial" w:cs="Arial"/>
                <w:lang w:val="en-GB"/>
              </w:rPr>
              <w:t>47 (6.8)</w:t>
            </w:r>
          </w:p>
          <w:p w14:paraId="663B7904" w14:textId="77777777" w:rsidR="005A1A39" w:rsidRPr="005A1A39" w:rsidRDefault="005A1A39" w:rsidP="005A1A39">
            <w:pPr>
              <w:jc w:val="center"/>
              <w:rPr>
                <w:rFonts w:ascii="Arial" w:hAnsi="Arial" w:cs="Arial"/>
                <w:lang w:val="en-US"/>
              </w:rPr>
            </w:pPr>
            <w:r w:rsidRPr="005A1A39">
              <w:rPr>
                <w:rFonts w:ascii="Arial" w:hAnsi="Arial" w:cs="Arial"/>
                <w:lang w:val="en-GB"/>
              </w:rPr>
              <w:t>639 (93.2)</w:t>
            </w:r>
          </w:p>
        </w:tc>
        <w:tc>
          <w:tcPr>
            <w:tcW w:w="1843" w:type="dxa"/>
            <w:tcBorders>
              <w:left w:val="nil"/>
              <w:right w:val="nil"/>
            </w:tcBorders>
          </w:tcPr>
          <w:p w14:paraId="129E763B" w14:textId="77777777" w:rsidR="005A1A39" w:rsidRPr="005A1A39" w:rsidRDefault="005A1A39" w:rsidP="005A1A39">
            <w:pPr>
              <w:jc w:val="center"/>
              <w:rPr>
                <w:rFonts w:ascii="Arial" w:hAnsi="Arial" w:cs="Arial"/>
                <w:lang w:val="en-US"/>
              </w:rPr>
            </w:pPr>
          </w:p>
          <w:p w14:paraId="642A7EDD" w14:textId="77777777" w:rsidR="005A1A39" w:rsidRPr="005A1A39" w:rsidRDefault="005A1A39" w:rsidP="005A1A39">
            <w:pPr>
              <w:jc w:val="center"/>
              <w:rPr>
                <w:rFonts w:ascii="Arial" w:hAnsi="Arial" w:cs="Arial"/>
                <w:lang w:val="en-US"/>
              </w:rPr>
            </w:pPr>
            <w:r w:rsidRPr="005A1A39">
              <w:rPr>
                <w:rFonts w:ascii="Arial" w:hAnsi="Arial" w:cs="Arial"/>
                <w:lang w:val="en-US"/>
              </w:rPr>
              <w:t>44 (11.4)</w:t>
            </w:r>
          </w:p>
          <w:p w14:paraId="4D51BE6C" w14:textId="77777777" w:rsidR="005A1A39" w:rsidRPr="005A1A39" w:rsidRDefault="005A1A39" w:rsidP="005A1A39">
            <w:pPr>
              <w:jc w:val="center"/>
              <w:rPr>
                <w:rFonts w:ascii="Arial" w:hAnsi="Arial" w:cs="Arial"/>
                <w:lang w:val="en-US"/>
              </w:rPr>
            </w:pPr>
            <w:r w:rsidRPr="005A1A39">
              <w:rPr>
                <w:rFonts w:ascii="Arial" w:hAnsi="Arial" w:cs="Arial"/>
                <w:lang w:val="en-US"/>
              </w:rPr>
              <w:t>343 (88.6)</w:t>
            </w:r>
          </w:p>
        </w:tc>
        <w:tc>
          <w:tcPr>
            <w:tcW w:w="1701" w:type="dxa"/>
            <w:tcBorders>
              <w:left w:val="nil"/>
              <w:right w:val="nil"/>
            </w:tcBorders>
          </w:tcPr>
          <w:p w14:paraId="540322C7" w14:textId="77777777" w:rsidR="005A1A39" w:rsidRPr="005A1A39" w:rsidRDefault="005A1A39" w:rsidP="005A1A39">
            <w:pPr>
              <w:jc w:val="center"/>
              <w:rPr>
                <w:rFonts w:ascii="Arial" w:hAnsi="Arial" w:cs="Arial"/>
                <w:lang w:val="en-US"/>
              </w:rPr>
            </w:pPr>
          </w:p>
          <w:p w14:paraId="175A1B90" w14:textId="77777777" w:rsidR="005A1A39" w:rsidRPr="005A1A39" w:rsidRDefault="005A1A39" w:rsidP="005A1A39">
            <w:pPr>
              <w:jc w:val="center"/>
              <w:rPr>
                <w:rFonts w:ascii="Arial" w:hAnsi="Arial" w:cs="Arial"/>
                <w:lang w:val="en-US"/>
              </w:rPr>
            </w:pPr>
            <w:r w:rsidRPr="005A1A39">
              <w:rPr>
                <w:rFonts w:ascii="Arial" w:hAnsi="Arial" w:cs="Arial"/>
                <w:lang w:val="en-US"/>
              </w:rPr>
              <w:t>88 (32.6)</w:t>
            </w:r>
          </w:p>
          <w:p w14:paraId="76E03308" w14:textId="77777777" w:rsidR="005A1A39" w:rsidRPr="005A1A39" w:rsidRDefault="005A1A39" w:rsidP="005A1A39">
            <w:pPr>
              <w:jc w:val="center"/>
              <w:rPr>
                <w:rFonts w:ascii="Arial" w:hAnsi="Arial" w:cs="Arial"/>
                <w:lang w:val="en-US"/>
              </w:rPr>
            </w:pPr>
            <w:r w:rsidRPr="005A1A39">
              <w:rPr>
                <w:rFonts w:ascii="Arial" w:hAnsi="Arial" w:cs="Arial"/>
                <w:lang w:val="en-US"/>
              </w:rPr>
              <w:t>182 (67.4)</w:t>
            </w:r>
          </w:p>
        </w:tc>
        <w:tc>
          <w:tcPr>
            <w:tcW w:w="1134" w:type="dxa"/>
            <w:tcBorders>
              <w:left w:val="nil"/>
            </w:tcBorders>
          </w:tcPr>
          <w:p w14:paraId="1212C44D" w14:textId="77777777" w:rsidR="005A1A39" w:rsidRPr="005A1A39" w:rsidRDefault="005A1A39" w:rsidP="005A1A39">
            <w:pPr>
              <w:jc w:val="center"/>
              <w:rPr>
                <w:rFonts w:ascii="Arial" w:hAnsi="Arial" w:cs="Arial"/>
                <w:lang w:val="en-US"/>
              </w:rPr>
            </w:pPr>
            <w:r w:rsidRPr="005A1A39">
              <w:rPr>
                <w:rFonts w:ascii="Arial" w:hAnsi="Arial" w:cs="Arial"/>
                <w:lang w:val="en-US"/>
              </w:rPr>
              <w:t>&lt;0.001</w:t>
            </w:r>
          </w:p>
        </w:tc>
      </w:tr>
      <w:tr w:rsidR="005A1A39" w:rsidRPr="005A1A39" w14:paraId="4A21DB56" w14:textId="77777777" w:rsidTr="00280481">
        <w:tc>
          <w:tcPr>
            <w:tcW w:w="4253" w:type="dxa"/>
            <w:tcBorders>
              <w:right w:val="nil"/>
            </w:tcBorders>
          </w:tcPr>
          <w:p w14:paraId="563E79DC" w14:textId="77777777" w:rsidR="005A1A39" w:rsidRPr="005A1A39" w:rsidRDefault="005A1A39" w:rsidP="005A1A39">
            <w:pPr>
              <w:jc w:val="both"/>
              <w:rPr>
                <w:rFonts w:ascii="Arial" w:hAnsi="Arial" w:cs="Arial"/>
                <w:lang w:val="en-US"/>
              </w:rPr>
            </w:pPr>
            <w:r w:rsidRPr="005A1A39">
              <w:rPr>
                <w:rFonts w:ascii="Arial" w:hAnsi="Arial" w:cs="Arial"/>
                <w:lang w:val="en-US"/>
              </w:rPr>
              <w:t>Charlson Comorbidity Index (n=1345)</w:t>
            </w:r>
          </w:p>
          <w:p w14:paraId="35D5C3C4" w14:textId="77777777" w:rsidR="005A1A39" w:rsidRPr="005A1A39" w:rsidRDefault="005A1A39" w:rsidP="005A1A39">
            <w:pPr>
              <w:jc w:val="both"/>
              <w:rPr>
                <w:rFonts w:ascii="Arial" w:hAnsi="Arial" w:cs="Arial"/>
                <w:lang w:val="en-US"/>
              </w:rPr>
            </w:pPr>
            <w:r w:rsidRPr="005A1A39">
              <w:rPr>
                <w:rFonts w:ascii="Arial" w:hAnsi="Arial" w:cs="Arial"/>
                <w:lang w:val="en-US"/>
              </w:rPr>
              <w:t>0</w:t>
            </w:r>
          </w:p>
          <w:p w14:paraId="64C3FDAF" w14:textId="77777777" w:rsidR="005A1A39" w:rsidRPr="005A1A39" w:rsidRDefault="005A1A39" w:rsidP="005A1A39">
            <w:pPr>
              <w:jc w:val="both"/>
              <w:rPr>
                <w:rFonts w:ascii="Arial" w:hAnsi="Arial" w:cs="Arial"/>
                <w:lang w:val="en-US"/>
              </w:rPr>
            </w:pPr>
            <w:r w:rsidRPr="005A1A39">
              <w:rPr>
                <w:rFonts w:ascii="Arial" w:hAnsi="Arial" w:cs="Arial"/>
                <w:lang w:val="en-US"/>
              </w:rPr>
              <w:t>1-2</w:t>
            </w:r>
          </w:p>
          <w:p w14:paraId="4DE8075A" w14:textId="77777777" w:rsidR="005A1A39" w:rsidRPr="005A1A39" w:rsidRDefault="005A1A39" w:rsidP="005A1A39">
            <w:pPr>
              <w:jc w:val="both"/>
              <w:rPr>
                <w:rFonts w:ascii="Arial" w:hAnsi="Arial" w:cs="Arial"/>
                <w:lang w:val="en-US"/>
              </w:rPr>
            </w:pPr>
            <w:r w:rsidRPr="005A1A39">
              <w:rPr>
                <w:rFonts w:ascii="Arial" w:hAnsi="Arial" w:cs="Arial"/>
                <w:lang w:val="en-US"/>
              </w:rPr>
              <w:t>&gt;2</w:t>
            </w:r>
          </w:p>
        </w:tc>
        <w:tc>
          <w:tcPr>
            <w:tcW w:w="1984" w:type="dxa"/>
            <w:tcBorders>
              <w:left w:val="nil"/>
              <w:right w:val="nil"/>
            </w:tcBorders>
          </w:tcPr>
          <w:p w14:paraId="596EED4C" w14:textId="77777777" w:rsidR="005A1A39" w:rsidRPr="005A1A39" w:rsidRDefault="005A1A39" w:rsidP="005A1A39">
            <w:pPr>
              <w:jc w:val="center"/>
              <w:rPr>
                <w:rFonts w:ascii="Arial" w:hAnsi="Arial" w:cs="Arial"/>
                <w:lang w:val="en-US"/>
              </w:rPr>
            </w:pPr>
          </w:p>
          <w:p w14:paraId="0F926224" w14:textId="77777777" w:rsidR="005A1A39" w:rsidRPr="005A1A39" w:rsidRDefault="005A1A39" w:rsidP="005A1A39">
            <w:pPr>
              <w:jc w:val="center"/>
              <w:rPr>
                <w:rFonts w:ascii="Arial" w:hAnsi="Arial" w:cs="Arial"/>
                <w:lang w:val="en-GB"/>
              </w:rPr>
            </w:pPr>
            <w:r w:rsidRPr="005A1A39">
              <w:rPr>
                <w:rFonts w:ascii="Arial" w:hAnsi="Arial" w:cs="Arial"/>
                <w:lang w:val="en-GB"/>
              </w:rPr>
              <w:t>388 (55.9)</w:t>
            </w:r>
          </w:p>
          <w:p w14:paraId="7DCBB745" w14:textId="77777777" w:rsidR="005A1A39" w:rsidRPr="005A1A39" w:rsidRDefault="005A1A39" w:rsidP="005A1A39">
            <w:pPr>
              <w:jc w:val="center"/>
              <w:rPr>
                <w:rFonts w:ascii="Arial" w:hAnsi="Arial" w:cs="Arial"/>
                <w:lang w:val="en-GB"/>
              </w:rPr>
            </w:pPr>
            <w:r w:rsidRPr="005A1A39">
              <w:rPr>
                <w:rFonts w:ascii="Arial" w:hAnsi="Arial" w:cs="Arial"/>
                <w:lang w:val="en-GB"/>
              </w:rPr>
              <w:t xml:space="preserve">190 </w:t>
            </w:r>
            <w:r w:rsidRPr="005A1A39">
              <w:rPr>
                <w:rFonts w:ascii="Arial" w:hAnsi="Arial" w:cs="Arial"/>
                <w:lang w:val="en-US"/>
              </w:rPr>
              <w:t>(</w:t>
            </w:r>
            <w:r w:rsidRPr="005A1A39">
              <w:rPr>
                <w:rFonts w:ascii="Arial" w:hAnsi="Arial" w:cs="Arial"/>
                <w:lang w:val="en-GB"/>
              </w:rPr>
              <w:t>27.4</w:t>
            </w:r>
            <w:r w:rsidRPr="005A1A39">
              <w:rPr>
                <w:rFonts w:ascii="Arial" w:hAnsi="Arial" w:cs="Arial"/>
                <w:lang w:val="en-US"/>
              </w:rPr>
              <w:t>)</w:t>
            </w:r>
          </w:p>
          <w:p w14:paraId="0B42DB1D" w14:textId="77777777" w:rsidR="005A1A39" w:rsidRPr="005A1A39" w:rsidRDefault="005A1A39" w:rsidP="005A1A39">
            <w:pPr>
              <w:jc w:val="center"/>
              <w:rPr>
                <w:rFonts w:ascii="Arial" w:hAnsi="Arial" w:cs="Arial"/>
                <w:lang w:val="en-US"/>
              </w:rPr>
            </w:pPr>
            <w:r w:rsidRPr="005A1A39">
              <w:rPr>
                <w:rFonts w:ascii="Arial" w:hAnsi="Arial" w:cs="Arial"/>
                <w:lang w:val="en-US"/>
              </w:rPr>
              <w:t>116 (16.7)</w:t>
            </w:r>
          </w:p>
        </w:tc>
        <w:tc>
          <w:tcPr>
            <w:tcW w:w="1843" w:type="dxa"/>
            <w:tcBorders>
              <w:left w:val="nil"/>
              <w:right w:val="nil"/>
            </w:tcBorders>
          </w:tcPr>
          <w:p w14:paraId="1EDCA38E" w14:textId="77777777" w:rsidR="005A1A39" w:rsidRPr="005A1A39" w:rsidRDefault="005A1A39" w:rsidP="005A1A39">
            <w:pPr>
              <w:jc w:val="center"/>
              <w:rPr>
                <w:rFonts w:ascii="Arial" w:hAnsi="Arial" w:cs="Arial"/>
                <w:lang w:val="en-US"/>
              </w:rPr>
            </w:pPr>
          </w:p>
          <w:p w14:paraId="117B4506" w14:textId="77777777" w:rsidR="005A1A39" w:rsidRPr="005A1A39" w:rsidRDefault="005A1A39" w:rsidP="005A1A39">
            <w:pPr>
              <w:jc w:val="center"/>
              <w:rPr>
                <w:rFonts w:ascii="Arial" w:hAnsi="Arial" w:cs="Arial"/>
                <w:lang w:val="en-US"/>
              </w:rPr>
            </w:pPr>
            <w:r w:rsidRPr="005A1A39">
              <w:rPr>
                <w:rFonts w:ascii="Arial" w:hAnsi="Arial" w:cs="Arial"/>
                <w:lang w:val="en-US"/>
              </w:rPr>
              <w:t>169 (42.3)</w:t>
            </w:r>
          </w:p>
          <w:p w14:paraId="4113A0C4" w14:textId="77777777" w:rsidR="005A1A39" w:rsidRPr="005A1A39" w:rsidRDefault="005A1A39" w:rsidP="005A1A39">
            <w:pPr>
              <w:jc w:val="center"/>
              <w:rPr>
                <w:rFonts w:ascii="Arial" w:hAnsi="Arial" w:cs="Arial"/>
                <w:lang w:val="en-US"/>
              </w:rPr>
            </w:pPr>
            <w:r w:rsidRPr="005A1A39">
              <w:rPr>
                <w:rFonts w:ascii="Arial" w:hAnsi="Arial" w:cs="Arial"/>
                <w:lang w:val="en-US"/>
              </w:rPr>
              <w:t>103 (25.7)</w:t>
            </w:r>
          </w:p>
          <w:p w14:paraId="290B51C7" w14:textId="77777777" w:rsidR="005A1A39" w:rsidRPr="005A1A39" w:rsidRDefault="005A1A39" w:rsidP="005A1A39">
            <w:pPr>
              <w:jc w:val="center"/>
              <w:rPr>
                <w:rFonts w:ascii="Arial" w:hAnsi="Arial" w:cs="Arial"/>
                <w:lang w:val="en-US"/>
              </w:rPr>
            </w:pPr>
            <w:r w:rsidRPr="005A1A39">
              <w:rPr>
                <w:rFonts w:ascii="Arial" w:hAnsi="Arial" w:cs="Arial"/>
                <w:lang w:val="en-US"/>
              </w:rPr>
              <w:t>128 (32)</w:t>
            </w:r>
          </w:p>
        </w:tc>
        <w:tc>
          <w:tcPr>
            <w:tcW w:w="1701" w:type="dxa"/>
            <w:tcBorders>
              <w:left w:val="nil"/>
              <w:right w:val="nil"/>
            </w:tcBorders>
          </w:tcPr>
          <w:p w14:paraId="324CF937" w14:textId="77777777" w:rsidR="005A1A39" w:rsidRPr="005A1A39" w:rsidRDefault="005A1A39" w:rsidP="005A1A39">
            <w:pPr>
              <w:jc w:val="center"/>
              <w:rPr>
                <w:rFonts w:ascii="Arial" w:hAnsi="Arial" w:cs="Arial"/>
                <w:lang w:val="en-US"/>
              </w:rPr>
            </w:pPr>
          </w:p>
          <w:p w14:paraId="4E01761E" w14:textId="77777777" w:rsidR="005A1A39" w:rsidRPr="005A1A39" w:rsidRDefault="005A1A39" w:rsidP="005A1A39">
            <w:pPr>
              <w:jc w:val="center"/>
              <w:rPr>
                <w:rFonts w:ascii="Arial" w:hAnsi="Arial" w:cs="Arial"/>
                <w:lang w:val="en-US"/>
              </w:rPr>
            </w:pPr>
            <w:r w:rsidRPr="005A1A39">
              <w:rPr>
                <w:rFonts w:ascii="Arial" w:hAnsi="Arial" w:cs="Arial"/>
                <w:lang w:val="en-US"/>
              </w:rPr>
              <w:t>89 (35.5)</w:t>
            </w:r>
          </w:p>
          <w:p w14:paraId="291D2D26" w14:textId="77777777" w:rsidR="005A1A39" w:rsidRPr="005A1A39" w:rsidRDefault="005A1A39" w:rsidP="005A1A39">
            <w:pPr>
              <w:jc w:val="center"/>
              <w:rPr>
                <w:rFonts w:ascii="Arial" w:hAnsi="Arial" w:cs="Arial"/>
                <w:lang w:val="en-US"/>
              </w:rPr>
            </w:pPr>
            <w:r w:rsidRPr="005A1A39">
              <w:rPr>
                <w:rFonts w:ascii="Arial" w:hAnsi="Arial" w:cs="Arial"/>
                <w:lang w:val="en-US"/>
              </w:rPr>
              <w:t>94 (37.4)</w:t>
            </w:r>
          </w:p>
          <w:p w14:paraId="5F59D2E2" w14:textId="77777777" w:rsidR="005A1A39" w:rsidRPr="005A1A39" w:rsidRDefault="005A1A39" w:rsidP="005A1A39">
            <w:pPr>
              <w:jc w:val="center"/>
              <w:rPr>
                <w:rFonts w:ascii="Arial" w:hAnsi="Arial" w:cs="Arial"/>
                <w:lang w:val="en-US"/>
              </w:rPr>
            </w:pPr>
            <w:r w:rsidRPr="005A1A39">
              <w:rPr>
                <w:rFonts w:ascii="Arial" w:hAnsi="Arial" w:cs="Arial"/>
                <w:lang w:val="en-US"/>
              </w:rPr>
              <w:t>68 (27.1)</w:t>
            </w:r>
          </w:p>
        </w:tc>
        <w:tc>
          <w:tcPr>
            <w:tcW w:w="1134" w:type="dxa"/>
            <w:tcBorders>
              <w:left w:val="nil"/>
            </w:tcBorders>
          </w:tcPr>
          <w:p w14:paraId="13FC1E44" w14:textId="77777777" w:rsidR="005A1A39" w:rsidRPr="005A1A39" w:rsidRDefault="005A1A39" w:rsidP="005A1A39">
            <w:pPr>
              <w:jc w:val="center"/>
              <w:rPr>
                <w:rFonts w:ascii="Arial" w:hAnsi="Arial" w:cs="Arial"/>
                <w:lang w:val="en-US"/>
              </w:rPr>
            </w:pPr>
            <w:r w:rsidRPr="005A1A39">
              <w:rPr>
                <w:rFonts w:ascii="Arial" w:hAnsi="Arial" w:cs="Arial"/>
                <w:lang w:val="en-US"/>
              </w:rPr>
              <w:t>&lt;0.001</w:t>
            </w:r>
          </w:p>
        </w:tc>
      </w:tr>
      <w:tr w:rsidR="005A1A39" w:rsidRPr="005A1A39" w14:paraId="5C054457" w14:textId="77777777" w:rsidTr="00280481">
        <w:tc>
          <w:tcPr>
            <w:tcW w:w="4253" w:type="dxa"/>
            <w:tcBorders>
              <w:right w:val="nil"/>
            </w:tcBorders>
          </w:tcPr>
          <w:p w14:paraId="0FE85AC5" w14:textId="77777777" w:rsidR="005A1A39" w:rsidRPr="005A1A39" w:rsidRDefault="005A1A39" w:rsidP="005A1A39">
            <w:pPr>
              <w:jc w:val="both"/>
              <w:rPr>
                <w:rFonts w:ascii="Arial" w:hAnsi="Arial" w:cs="Arial"/>
                <w:lang w:val="en-US"/>
              </w:rPr>
            </w:pPr>
            <w:r w:rsidRPr="005A1A39">
              <w:rPr>
                <w:rFonts w:ascii="Arial" w:hAnsi="Arial" w:cs="Arial"/>
                <w:lang w:val="en-US"/>
              </w:rPr>
              <w:t>Primary site (n=1399)</w:t>
            </w:r>
          </w:p>
          <w:p w14:paraId="5FEEF9F4" w14:textId="77777777" w:rsidR="005A1A39" w:rsidRPr="005A1A39" w:rsidRDefault="005A1A39" w:rsidP="005A1A39">
            <w:pPr>
              <w:jc w:val="both"/>
              <w:rPr>
                <w:rFonts w:ascii="Arial" w:hAnsi="Arial" w:cs="Arial"/>
                <w:lang w:val="en-US"/>
              </w:rPr>
            </w:pPr>
            <w:r w:rsidRPr="005A1A39">
              <w:rPr>
                <w:rFonts w:ascii="Arial" w:hAnsi="Arial" w:cs="Arial"/>
                <w:lang w:val="en-US"/>
              </w:rPr>
              <w:t>Bladder</w:t>
            </w:r>
          </w:p>
          <w:p w14:paraId="6DF7DCEE" w14:textId="77777777" w:rsidR="005A1A39" w:rsidRPr="005A1A39" w:rsidRDefault="005A1A39" w:rsidP="005A1A39">
            <w:pPr>
              <w:jc w:val="both"/>
              <w:rPr>
                <w:rFonts w:ascii="Arial" w:hAnsi="Arial" w:cs="Arial"/>
                <w:lang w:val="en-US"/>
              </w:rPr>
            </w:pPr>
            <w:r w:rsidRPr="005A1A39">
              <w:rPr>
                <w:rFonts w:ascii="Arial" w:hAnsi="Arial" w:cs="Arial"/>
                <w:lang w:val="en-US"/>
              </w:rPr>
              <w:t>Other</w:t>
            </w:r>
          </w:p>
        </w:tc>
        <w:tc>
          <w:tcPr>
            <w:tcW w:w="1984" w:type="dxa"/>
            <w:tcBorders>
              <w:left w:val="nil"/>
              <w:right w:val="nil"/>
            </w:tcBorders>
          </w:tcPr>
          <w:p w14:paraId="58E387C0" w14:textId="77777777" w:rsidR="005A1A39" w:rsidRPr="005A1A39" w:rsidRDefault="005A1A39" w:rsidP="005A1A39">
            <w:pPr>
              <w:jc w:val="center"/>
              <w:rPr>
                <w:rFonts w:ascii="Arial" w:hAnsi="Arial" w:cs="Arial"/>
                <w:lang w:val="en-US"/>
              </w:rPr>
            </w:pPr>
          </w:p>
          <w:p w14:paraId="2BDBC32B" w14:textId="77777777" w:rsidR="005A1A39" w:rsidRPr="005A1A39" w:rsidRDefault="005A1A39" w:rsidP="005A1A39">
            <w:pPr>
              <w:jc w:val="center"/>
              <w:rPr>
                <w:rFonts w:ascii="Arial" w:hAnsi="Arial" w:cs="Arial"/>
                <w:lang w:val="en-GB"/>
              </w:rPr>
            </w:pPr>
            <w:r w:rsidRPr="005A1A39">
              <w:rPr>
                <w:rFonts w:ascii="Arial" w:hAnsi="Arial" w:cs="Arial"/>
                <w:lang w:val="en-GB"/>
              </w:rPr>
              <w:t>591 (83.2)</w:t>
            </w:r>
          </w:p>
          <w:p w14:paraId="28DB0A1C" w14:textId="77777777" w:rsidR="005A1A39" w:rsidRPr="005A1A39" w:rsidRDefault="005A1A39" w:rsidP="005A1A39">
            <w:pPr>
              <w:jc w:val="center"/>
              <w:rPr>
                <w:rFonts w:ascii="Arial" w:hAnsi="Arial" w:cs="Arial"/>
                <w:lang w:val="en-US"/>
              </w:rPr>
            </w:pPr>
            <w:r w:rsidRPr="005A1A39">
              <w:rPr>
                <w:rFonts w:ascii="Arial" w:hAnsi="Arial" w:cs="Arial"/>
                <w:lang w:val="en-GB"/>
              </w:rPr>
              <w:t>119 (16.8)</w:t>
            </w:r>
          </w:p>
        </w:tc>
        <w:tc>
          <w:tcPr>
            <w:tcW w:w="1843" w:type="dxa"/>
            <w:tcBorders>
              <w:left w:val="nil"/>
              <w:right w:val="nil"/>
            </w:tcBorders>
          </w:tcPr>
          <w:p w14:paraId="761FA491" w14:textId="77777777" w:rsidR="005A1A39" w:rsidRPr="005A1A39" w:rsidRDefault="005A1A39" w:rsidP="005A1A39">
            <w:pPr>
              <w:jc w:val="center"/>
              <w:rPr>
                <w:rFonts w:ascii="Arial" w:hAnsi="Arial" w:cs="Arial"/>
                <w:lang w:val="en-US"/>
              </w:rPr>
            </w:pPr>
          </w:p>
          <w:p w14:paraId="36F94B0F" w14:textId="77777777" w:rsidR="005A1A39" w:rsidRPr="005A1A39" w:rsidRDefault="005A1A39" w:rsidP="005A1A39">
            <w:pPr>
              <w:jc w:val="center"/>
              <w:rPr>
                <w:rFonts w:ascii="Arial" w:hAnsi="Arial" w:cs="Arial"/>
                <w:lang w:val="en-US"/>
              </w:rPr>
            </w:pPr>
            <w:r w:rsidRPr="005A1A39">
              <w:rPr>
                <w:rFonts w:ascii="Arial" w:hAnsi="Arial" w:cs="Arial"/>
                <w:lang w:val="en-US"/>
              </w:rPr>
              <w:t>334 (80.1)</w:t>
            </w:r>
          </w:p>
          <w:p w14:paraId="14C14602" w14:textId="77777777" w:rsidR="005A1A39" w:rsidRPr="005A1A39" w:rsidRDefault="005A1A39" w:rsidP="005A1A39">
            <w:pPr>
              <w:jc w:val="center"/>
              <w:rPr>
                <w:rFonts w:ascii="Arial" w:hAnsi="Arial" w:cs="Arial"/>
                <w:lang w:val="en-US"/>
              </w:rPr>
            </w:pPr>
            <w:r w:rsidRPr="005A1A39">
              <w:rPr>
                <w:rFonts w:ascii="Arial" w:hAnsi="Arial" w:cs="Arial"/>
                <w:lang w:val="en-US"/>
              </w:rPr>
              <w:t>83 (19.9)</w:t>
            </w:r>
          </w:p>
        </w:tc>
        <w:tc>
          <w:tcPr>
            <w:tcW w:w="1701" w:type="dxa"/>
            <w:tcBorders>
              <w:left w:val="nil"/>
              <w:right w:val="nil"/>
            </w:tcBorders>
          </w:tcPr>
          <w:p w14:paraId="55A7801C" w14:textId="77777777" w:rsidR="005A1A39" w:rsidRPr="005A1A39" w:rsidRDefault="005A1A39" w:rsidP="005A1A39">
            <w:pPr>
              <w:jc w:val="center"/>
              <w:rPr>
                <w:rFonts w:ascii="Arial" w:hAnsi="Arial" w:cs="Arial"/>
                <w:lang w:val="en-US"/>
              </w:rPr>
            </w:pPr>
          </w:p>
          <w:p w14:paraId="15EA93A8" w14:textId="77777777" w:rsidR="005A1A39" w:rsidRPr="005A1A39" w:rsidRDefault="005A1A39" w:rsidP="005A1A39">
            <w:pPr>
              <w:jc w:val="center"/>
              <w:rPr>
                <w:rFonts w:ascii="Arial" w:hAnsi="Arial" w:cs="Arial"/>
                <w:lang w:val="en-US"/>
              </w:rPr>
            </w:pPr>
            <w:r w:rsidRPr="005A1A39">
              <w:rPr>
                <w:rFonts w:ascii="Arial" w:hAnsi="Arial" w:cs="Arial"/>
                <w:lang w:val="en-US"/>
              </w:rPr>
              <w:t>223 (82)</w:t>
            </w:r>
          </w:p>
          <w:p w14:paraId="632F5392" w14:textId="77777777" w:rsidR="005A1A39" w:rsidRPr="005A1A39" w:rsidRDefault="005A1A39" w:rsidP="005A1A39">
            <w:pPr>
              <w:jc w:val="center"/>
              <w:rPr>
                <w:rFonts w:ascii="Arial" w:hAnsi="Arial" w:cs="Arial"/>
                <w:lang w:val="en-US"/>
              </w:rPr>
            </w:pPr>
            <w:r w:rsidRPr="005A1A39">
              <w:rPr>
                <w:rFonts w:ascii="Arial" w:hAnsi="Arial" w:cs="Arial"/>
                <w:lang w:val="en-US"/>
              </w:rPr>
              <w:t>49 (18.)</w:t>
            </w:r>
          </w:p>
        </w:tc>
        <w:tc>
          <w:tcPr>
            <w:tcW w:w="1134" w:type="dxa"/>
            <w:tcBorders>
              <w:left w:val="nil"/>
            </w:tcBorders>
          </w:tcPr>
          <w:p w14:paraId="29A5E314" w14:textId="77777777" w:rsidR="005A1A39" w:rsidRPr="005A1A39" w:rsidRDefault="005A1A39" w:rsidP="005A1A39">
            <w:pPr>
              <w:jc w:val="center"/>
              <w:rPr>
                <w:rFonts w:ascii="Arial" w:hAnsi="Arial" w:cs="Arial"/>
                <w:lang w:val="en-US"/>
              </w:rPr>
            </w:pPr>
            <w:r w:rsidRPr="005A1A39">
              <w:rPr>
                <w:rFonts w:ascii="Arial" w:hAnsi="Arial" w:cs="Arial"/>
                <w:lang w:val="en-US"/>
              </w:rPr>
              <w:t>0.414</w:t>
            </w:r>
          </w:p>
        </w:tc>
      </w:tr>
      <w:tr w:rsidR="005A1A39" w:rsidRPr="005A1A39" w14:paraId="2C669623" w14:textId="77777777" w:rsidTr="00280481">
        <w:tc>
          <w:tcPr>
            <w:tcW w:w="4253" w:type="dxa"/>
            <w:tcBorders>
              <w:bottom w:val="single" w:sz="4" w:space="0" w:color="auto"/>
              <w:right w:val="nil"/>
            </w:tcBorders>
          </w:tcPr>
          <w:p w14:paraId="511BA1C9" w14:textId="77777777" w:rsidR="005A1A39" w:rsidRPr="005A1A39" w:rsidRDefault="005A1A39" w:rsidP="005A1A39">
            <w:pPr>
              <w:jc w:val="both"/>
              <w:rPr>
                <w:rFonts w:ascii="Arial" w:hAnsi="Arial" w:cs="Arial"/>
                <w:lang w:val="en-US"/>
              </w:rPr>
            </w:pPr>
            <w:r w:rsidRPr="005A1A39">
              <w:rPr>
                <w:rFonts w:ascii="Arial" w:hAnsi="Arial" w:cs="Arial"/>
                <w:lang w:val="en-US"/>
              </w:rPr>
              <w:t>Histology (n=1411)</w:t>
            </w:r>
          </w:p>
          <w:p w14:paraId="2C1A703E" w14:textId="77777777" w:rsidR="005A1A39" w:rsidRPr="005A1A39" w:rsidRDefault="005A1A39" w:rsidP="005A1A39">
            <w:pPr>
              <w:jc w:val="both"/>
              <w:rPr>
                <w:rFonts w:ascii="Arial" w:hAnsi="Arial" w:cs="Arial"/>
                <w:lang w:val="en-US"/>
              </w:rPr>
            </w:pPr>
            <w:r w:rsidRPr="005A1A39">
              <w:rPr>
                <w:rFonts w:ascii="Arial" w:hAnsi="Arial" w:cs="Arial"/>
                <w:lang w:val="en-US"/>
              </w:rPr>
              <w:t>Urothelial</w:t>
            </w:r>
          </w:p>
          <w:p w14:paraId="0D50B44C" w14:textId="77777777" w:rsidR="005A1A39" w:rsidRPr="005A1A39" w:rsidRDefault="005A1A39" w:rsidP="005A1A39">
            <w:pPr>
              <w:jc w:val="both"/>
              <w:rPr>
                <w:rFonts w:ascii="Arial" w:hAnsi="Arial" w:cs="Arial"/>
                <w:lang w:val="en-US"/>
              </w:rPr>
            </w:pPr>
            <w:r w:rsidRPr="005A1A39">
              <w:rPr>
                <w:rFonts w:ascii="Arial" w:hAnsi="Arial" w:cs="Arial"/>
                <w:lang w:val="en-US"/>
              </w:rPr>
              <w:t>Mixed</w:t>
            </w:r>
          </w:p>
          <w:p w14:paraId="6C217CCE" w14:textId="77777777" w:rsidR="005A1A39" w:rsidRPr="005A1A39" w:rsidRDefault="005A1A39" w:rsidP="005A1A39">
            <w:pPr>
              <w:jc w:val="both"/>
              <w:rPr>
                <w:rFonts w:ascii="Arial" w:hAnsi="Arial" w:cs="Arial"/>
                <w:lang w:val="en-US"/>
              </w:rPr>
            </w:pPr>
            <w:r w:rsidRPr="005A1A39">
              <w:rPr>
                <w:rFonts w:ascii="Arial" w:hAnsi="Arial" w:cs="Arial"/>
                <w:lang w:val="en-US"/>
              </w:rPr>
              <w:t>Other</w:t>
            </w:r>
          </w:p>
        </w:tc>
        <w:tc>
          <w:tcPr>
            <w:tcW w:w="1984" w:type="dxa"/>
            <w:tcBorders>
              <w:left w:val="nil"/>
              <w:bottom w:val="single" w:sz="4" w:space="0" w:color="auto"/>
              <w:right w:val="nil"/>
            </w:tcBorders>
          </w:tcPr>
          <w:p w14:paraId="5BBDE9B0" w14:textId="77777777" w:rsidR="005A1A39" w:rsidRPr="005A1A39" w:rsidRDefault="005A1A39" w:rsidP="005A1A39">
            <w:pPr>
              <w:jc w:val="center"/>
              <w:rPr>
                <w:rFonts w:ascii="Arial" w:hAnsi="Arial" w:cs="Arial"/>
                <w:lang w:val="en-US"/>
              </w:rPr>
            </w:pPr>
          </w:p>
          <w:p w14:paraId="1FBAF2B6" w14:textId="77777777" w:rsidR="005A1A39" w:rsidRPr="005A1A39" w:rsidRDefault="005A1A39" w:rsidP="005A1A39">
            <w:pPr>
              <w:jc w:val="center"/>
              <w:rPr>
                <w:rFonts w:ascii="Arial" w:hAnsi="Arial" w:cs="Arial"/>
                <w:lang w:val="en-US"/>
              </w:rPr>
            </w:pPr>
            <w:r w:rsidRPr="005A1A39">
              <w:rPr>
                <w:rFonts w:ascii="Arial" w:hAnsi="Arial" w:cs="Arial"/>
                <w:lang w:val="en-US"/>
              </w:rPr>
              <w:t>640 (89.5)</w:t>
            </w:r>
          </w:p>
          <w:p w14:paraId="61FDE790" w14:textId="77777777" w:rsidR="005A1A39" w:rsidRPr="005A1A39" w:rsidRDefault="005A1A39" w:rsidP="005A1A39">
            <w:pPr>
              <w:jc w:val="center"/>
              <w:rPr>
                <w:rFonts w:ascii="Arial" w:hAnsi="Arial" w:cs="Arial"/>
                <w:lang w:val="en-US"/>
              </w:rPr>
            </w:pPr>
            <w:r w:rsidRPr="005A1A39">
              <w:rPr>
                <w:rFonts w:ascii="Arial" w:hAnsi="Arial" w:cs="Arial"/>
                <w:lang w:val="en-US"/>
              </w:rPr>
              <w:t>46 (6.4)</w:t>
            </w:r>
          </w:p>
          <w:p w14:paraId="64A96909" w14:textId="77777777" w:rsidR="005A1A39" w:rsidRPr="005A1A39" w:rsidRDefault="005A1A39" w:rsidP="005A1A39">
            <w:pPr>
              <w:jc w:val="center"/>
              <w:rPr>
                <w:rFonts w:ascii="Arial" w:hAnsi="Arial" w:cs="Arial"/>
                <w:lang w:val="en-US"/>
              </w:rPr>
            </w:pPr>
            <w:r w:rsidRPr="005A1A39">
              <w:rPr>
                <w:rFonts w:ascii="Arial" w:hAnsi="Arial" w:cs="Arial"/>
                <w:lang w:val="en-US"/>
              </w:rPr>
              <w:t>29 (4.1)</w:t>
            </w:r>
          </w:p>
        </w:tc>
        <w:tc>
          <w:tcPr>
            <w:tcW w:w="1843" w:type="dxa"/>
            <w:tcBorders>
              <w:left w:val="nil"/>
              <w:bottom w:val="single" w:sz="4" w:space="0" w:color="auto"/>
              <w:right w:val="nil"/>
            </w:tcBorders>
          </w:tcPr>
          <w:p w14:paraId="522F636C" w14:textId="77777777" w:rsidR="005A1A39" w:rsidRPr="005A1A39" w:rsidRDefault="005A1A39" w:rsidP="005A1A39">
            <w:pPr>
              <w:jc w:val="center"/>
              <w:rPr>
                <w:rFonts w:ascii="Arial" w:hAnsi="Arial" w:cs="Arial"/>
                <w:lang w:val="en-US"/>
              </w:rPr>
            </w:pPr>
          </w:p>
          <w:p w14:paraId="7F060850" w14:textId="77777777" w:rsidR="005A1A39" w:rsidRPr="005A1A39" w:rsidRDefault="005A1A39" w:rsidP="005A1A39">
            <w:pPr>
              <w:jc w:val="center"/>
              <w:rPr>
                <w:rFonts w:ascii="Arial" w:hAnsi="Arial" w:cs="Arial"/>
                <w:lang w:val="en-US"/>
              </w:rPr>
            </w:pPr>
            <w:r w:rsidRPr="005A1A39">
              <w:rPr>
                <w:rFonts w:ascii="Arial" w:hAnsi="Arial" w:cs="Arial"/>
                <w:lang w:val="en-US"/>
              </w:rPr>
              <w:t>371 (88.1)</w:t>
            </w:r>
          </w:p>
          <w:p w14:paraId="2579DC5A" w14:textId="77777777" w:rsidR="005A1A39" w:rsidRPr="005A1A39" w:rsidRDefault="005A1A39" w:rsidP="005A1A39">
            <w:pPr>
              <w:jc w:val="center"/>
              <w:rPr>
                <w:rFonts w:ascii="Arial" w:hAnsi="Arial" w:cs="Arial"/>
                <w:lang w:val="en-US"/>
              </w:rPr>
            </w:pPr>
            <w:r w:rsidRPr="005A1A39">
              <w:rPr>
                <w:rFonts w:ascii="Arial" w:hAnsi="Arial" w:cs="Arial"/>
                <w:lang w:val="en-US"/>
              </w:rPr>
              <w:t>31 (7.4)</w:t>
            </w:r>
          </w:p>
          <w:p w14:paraId="4F0722C4" w14:textId="77777777" w:rsidR="005A1A39" w:rsidRPr="005A1A39" w:rsidRDefault="005A1A39" w:rsidP="005A1A39">
            <w:pPr>
              <w:jc w:val="center"/>
              <w:rPr>
                <w:rFonts w:ascii="Arial" w:hAnsi="Arial" w:cs="Arial"/>
                <w:lang w:val="en-US"/>
              </w:rPr>
            </w:pPr>
            <w:r w:rsidRPr="005A1A39">
              <w:rPr>
                <w:rFonts w:ascii="Arial" w:hAnsi="Arial" w:cs="Arial"/>
                <w:lang w:val="en-US"/>
              </w:rPr>
              <w:t>19 (4.5)</w:t>
            </w:r>
          </w:p>
        </w:tc>
        <w:tc>
          <w:tcPr>
            <w:tcW w:w="1701" w:type="dxa"/>
            <w:tcBorders>
              <w:left w:val="nil"/>
              <w:bottom w:val="single" w:sz="4" w:space="0" w:color="auto"/>
              <w:right w:val="nil"/>
            </w:tcBorders>
          </w:tcPr>
          <w:p w14:paraId="5FCD8A46" w14:textId="77777777" w:rsidR="005A1A39" w:rsidRPr="005A1A39" w:rsidRDefault="005A1A39" w:rsidP="005A1A39">
            <w:pPr>
              <w:jc w:val="center"/>
              <w:rPr>
                <w:rFonts w:ascii="Arial" w:hAnsi="Arial" w:cs="Arial"/>
                <w:lang w:val="en-US"/>
              </w:rPr>
            </w:pPr>
          </w:p>
          <w:p w14:paraId="6B3E8DCC" w14:textId="77777777" w:rsidR="005A1A39" w:rsidRPr="005A1A39" w:rsidRDefault="005A1A39" w:rsidP="005A1A39">
            <w:pPr>
              <w:jc w:val="center"/>
              <w:rPr>
                <w:rFonts w:ascii="Arial" w:hAnsi="Arial" w:cs="Arial"/>
                <w:lang w:val="en-US"/>
              </w:rPr>
            </w:pPr>
            <w:r w:rsidRPr="005A1A39">
              <w:rPr>
                <w:rFonts w:ascii="Arial" w:hAnsi="Arial" w:cs="Arial"/>
                <w:lang w:val="en-US"/>
              </w:rPr>
              <w:t>229 (83.3)</w:t>
            </w:r>
          </w:p>
          <w:p w14:paraId="59D2BA4D" w14:textId="77777777" w:rsidR="005A1A39" w:rsidRPr="005A1A39" w:rsidRDefault="005A1A39" w:rsidP="005A1A39">
            <w:pPr>
              <w:jc w:val="center"/>
              <w:rPr>
                <w:rFonts w:ascii="Arial" w:hAnsi="Arial" w:cs="Arial"/>
                <w:lang w:val="en-US"/>
              </w:rPr>
            </w:pPr>
            <w:r w:rsidRPr="005A1A39">
              <w:rPr>
                <w:rFonts w:ascii="Arial" w:hAnsi="Arial" w:cs="Arial"/>
                <w:lang w:val="en-US"/>
              </w:rPr>
              <w:t>28 (10.2)</w:t>
            </w:r>
          </w:p>
          <w:p w14:paraId="04420B18" w14:textId="77777777" w:rsidR="005A1A39" w:rsidRPr="005A1A39" w:rsidRDefault="005A1A39" w:rsidP="005A1A39">
            <w:pPr>
              <w:jc w:val="center"/>
              <w:rPr>
                <w:rFonts w:ascii="Arial" w:hAnsi="Arial" w:cs="Arial"/>
                <w:lang w:val="en-US"/>
              </w:rPr>
            </w:pPr>
            <w:r w:rsidRPr="005A1A39">
              <w:rPr>
                <w:rFonts w:ascii="Arial" w:hAnsi="Arial" w:cs="Arial"/>
                <w:lang w:val="en-US"/>
              </w:rPr>
              <w:t>18 (6.5)</w:t>
            </w:r>
          </w:p>
        </w:tc>
        <w:tc>
          <w:tcPr>
            <w:tcW w:w="1134" w:type="dxa"/>
            <w:tcBorders>
              <w:left w:val="nil"/>
              <w:bottom w:val="single" w:sz="4" w:space="0" w:color="auto"/>
            </w:tcBorders>
          </w:tcPr>
          <w:p w14:paraId="74B05981" w14:textId="77777777" w:rsidR="005A1A39" w:rsidRPr="005A1A39" w:rsidRDefault="005A1A39" w:rsidP="005A1A39">
            <w:pPr>
              <w:jc w:val="center"/>
              <w:rPr>
                <w:rFonts w:ascii="Arial" w:hAnsi="Arial" w:cs="Arial"/>
                <w:lang w:val="en-US"/>
              </w:rPr>
            </w:pPr>
            <w:r w:rsidRPr="005A1A39">
              <w:rPr>
                <w:rFonts w:ascii="Arial" w:hAnsi="Arial" w:cs="Arial"/>
                <w:lang w:val="en-US"/>
              </w:rPr>
              <w:t>0.121</w:t>
            </w:r>
          </w:p>
        </w:tc>
      </w:tr>
      <w:tr w:rsidR="005A1A39" w:rsidRPr="005A1A39" w14:paraId="51A0C8D6" w14:textId="77777777" w:rsidTr="00280481">
        <w:tc>
          <w:tcPr>
            <w:tcW w:w="4253" w:type="dxa"/>
            <w:tcBorders>
              <w:right w:val="nil"/>
            </w:tcBorders>
          </w:tcPr>
          <w:p w14:paraId="769A8252" w14:textId="77777777" w:rsidR="005A1A39" w:rsidRPr="005A1A39" w:rsidRDefault="005A1A39" w:rsidP="005A1A39">
            <w:pPr>
              <w:jc w:val="both"/>
              <w:rPr>
                <w:rFonts w:ascii="Arial" w:hAnsi="Arial" w:cs="Arial"/>
                <w:lang w:val="en-US"/>
              </w:rPr>
            </w:pPr>
            <w:r w:rsidRPr="005A1A39">
              <w:rPr>
                <w:rFonts w:ascii="Arial" w:hAnsi="Arial" w:cs="Arial"/>
                <w:lang w:val="en-US"/>
              </w:rPr>
              <w:t>ECOG PS (n=1107)</w:t>
            </w:r>
          </w:p>
          <w:p w14:paraId="20867A2E" w14:textId="77777777" w:rsidR="005A1A39" w:rsidRPr="005A1A39" w:rsidRDefault="005A1A39" w:rsidP="005A1A39">
            <w:pPr>
              <w:jc w:val="both"/>
              <w:rPr>
                <w:rFonts w:ascii="Arial" w:hAnsi="Arial" w:cs="Arial"/>
                <w:lang w:val="fr-FR"/>
              </w:rPr>
            </w:pPr>
            <w:r w:rsidRPr="005A1A39">
              <w:rPr>
                <w:rFonts w:ascii="Arial" w:hAnsi="Arial" w:cs="Arial"/>
                <w:lang w:val="fr-FR"/>
              </w:rPr>
              <w:t>0</w:t>
            </w:r>
          </w:p>
          <w:p w14:paraId="6209E9E3" w14:textId="77777777" w:rsidR="005A1A39" w:rsidRPr="005A1A39" w:rsidRDefault="005A1A39" w:rsidP="005A1A39">
            <w:pPr>
              <w:jc w:val="both"/>
              <w:rPr>
                <w:rFonts w:ascii="Arial" w:hAnsi="Arial" w:cs="Arial"/>
                <w:lang w:val="fr-FR"/>
              </w:rPr>
            </w:pPr>
            <w:r w:rsidRPr="005A1A39">
              <w:rPr>
                <w:rFonts w:ascii="Arial" w:hAnsi="Arial" w:cs="Arial"/>
                <w:lang w:val="fr-FR"/>
              </w:rPr>
              <w:t>1</w:t>
            </w:r>
          </w:p>
          <w:p w14:paraId="315E85A1" w14:textId="77777777" w:rsidR="005A1A39" w:rsidRPr="005A1A39" w:rsidRDefault="005A1A39" w:rsidP="005A1A39">
            <w:pPr>
              <w:jc w:val="both"/>
              <w:rPr>
                <w:rFonts w:ascii="Arial" w:hAnsi="Arial" w:cs="Arial"/>
                <w:lang w:val="fr-FR"/>
              </w:rPr>
            </w:pPr>
            <w:r w:rsidRPr="005A1A39">
              <w:rPr>
                <w:rFonts w:ascii="Arial" w:hAnsi="Arial" w:cs="Arial"/>
                <w:lang w:val="fr-FR"/>
              </w:rPr>
              <w:t>2</w:t>
            </w:r>
          </w:p>
          <w:p w14:paraId="12393500" w14:textId="77777777" w:rsidR="005A1A39" w:rsidRPr="005A1A39" w:rsidRDefault="005A1A39" w:rsidP="005A1A39">
            <w:pPr>
              <w:jc w:val="both"/>
              <w:rPr>
                <w:rFonts w:ascii="Arial" w:hAnsi="Arial" w:cs="Arial"/>
                <w:lang w:val="fr-FR"/>
              </w:rPr>
            </w:pPr>
            <w:r w:rsidRPr="005A1A39">
              <w:rPr>
                <w:rFonts w:ascii="Arial" w:hAnsi="Arial" w:cs="Arial"/>
                <w:lang w:val="fr-FR"/>
              </w:rPr>
              <w:t>3</w:t>
            </w:r>
          </w:p>
          <w:p w14:paraId="37B30DBA" w14:textId="77777777" w:rsidR="005A1A39" w:rsidRPr="005A1A39" w:rsidRDefault="005A1A39" w:rsidP="005A1A39">
            <w:pPr>
              <w:jc w:val="both"/>
              <w:rPr>
                <w:rFonts w:ascii="Arial" w:hAnsi="Arial" w:cs="Arial"/>
                <w:lang w:val="fr-FR"/>
              </w:rPr>
            </w:pPr>
            <w:r w:rsidRPr="005A1A39">
              <w:rPr>
                <w:rFonts w:ascii="Arial" w:hAnsi="Arial" w:cs="Arial"/>
                <w:lang w:val="fr-FR"/>
              </w:rPr>
              <w:t>4</w:t>
            </w:r>
          </w:p>
        </w:tc>
        <w:tc>
          <w:tcPr>
            <w:tcW w:w="1984" w:type="dxa"/>
            <w:tcBorders>
              <w:left w:val="nil"/>
              <w:right w:val="nil"/>
            </w:tcBorders>
          </w:tcPr>
          <w:p w14:paraId="6B227268" w14:textId="77777777" w:rsidR="005A1A39" w:rsidRPr="005A1A39" w:rsidRDefault="005A1A39" w:rsidP="005A1A39">
            <w:pPr>
              <w:jc w:val="center"/>
              <w:rPr>
                <w:rFonts w:ascii="Arial" w:hAnsi="Arial" w:cs="Arial"/>
                <w:lang w:val="fr-FR"/>
              </w:rPr>
            </w:pPr>
          </w:p>
          <w:p w14:paraId="238BF7D2" w14:textId="77777777" w:rsidR="005A1A39" w:rsidRPr="005A1A39" w:rsidRDefault="005A1A39" w:rsidP="005A1A39">
            <w:pPr>
              <w:jc w:val="center"/>
              <w:rPr>
                <w:rFonts w:ascii="Arial" w:hAnsi="Arial" w:cs="Arial"/>
                <w:lang w:val="fr-FR"/>
              </w:rPr>
            </w:pPr>
            <w:r w:rsidRPr="005A1A39">
              <w:rPr>
                <w:rFonts w:ascii="Arial" w:hAnsi="Arial" w:cs="Arial"/>
                <w:lang w:val="fr-FR"/>
              </w:rPr>
              <w:t>257 (44.5)</w:t>
            </w:r>
          </w:p>
          <w:p w14:paraId="4BAEE677" w14:textId="77777777" w:rsidR="005A1A39" w:rsidRPr="005A1A39" w:rsidRDefault="005A1A39" w:rsidP="005A1A39">
            <w:pPr>
              <w:jc w:val="center"/>
              <w:rPr>
                <w:rFonts w:ascii="Arial" w:hAnsi="Arial" w:cs="Arial"/>
                <w:lang w:val="fr-FR"/>
              </w:rPr>
            </w:pPr>
            <w:r w:rsidRPr="005A1A39">
              <w:rPr>
                <w:rFonts w:ascii="Arial" w:hAnsi="Arial" w:cs="Arial"/>
                <w:lang w:val="fr-FR"/>
              </w:rPr>
              <w:t>268 (46.5)</w:t>
            </w:r>
          </w:p>
          <w:p w14:paraId="0FCC3F65" w14:textId="77777777" w:rsidR="005A1A39" w:rsidRPr="005A1A39" w:rsidRDefault="005A1A39" w:rsidP="005A1A39">
            <w:pPr>
              <w:jc w:val="center"/>
              <w:rPr>
                <w:rFonts w:ascii="Arial" w:hAnsi="Arial" w:cs="Arial"/>
                <w:lang w:val="fr-FR"/>
              </w:rPr>
            </w:pPr>
            <w:r w:rsidRPr="005A1A39">
              <w:rPr>
                <w:rFonts w:ascii="Arial" w:hAnsi="Arial" w:cs="Arial"/>
                <w:lang w:val="fr-FR"/>
              </w:rPr>
              <w:t>44 (7.6)</w:t>
            </w:r>
          </w:p>
          <w:p w14:paraId="29A8C934" w14:textId="77777777" w:rsidR="005A1A39" w:rsidRPr="005A1A39" w:rsidRDefault="005A1A39" w:rsidP="005A1A39">
            <w:pPr>
              <w:jc w:val="center"/>
              <w:rPr>
                <w:rFonts w:ascii="Arial" w:hAnsi="Arial" w:cs="Arial"/>
                <w:lang w:val="fr-FR"/>
              </w:rPr>
            </w:pPr>
            <w:r w:rsidRPr="005A1A39">
              <w:rPr>
                <w:rFonts w:ascii="Arial" w:hAnsi="Arial" w:cs="Arial"/>
                <w:lang w:val="fr-FR"/>
              </w:rPr>
              <w:t>7 (1.2)</w:t>
            </w:r>
          </w:p>
          <w:p w14:paraId="4B3B9C9E" w14:textId="77777777" w:rsidR="005A1A39" w:rsidRPr="005A1A39" w:rsidRDefault="005A1A39" w:rsidP="005A1A39">
            <w:pPr>
              <w:jc w:val="center"/>
              <w:rPr>
                <w:rFonts w:ascii="Arial" w:hAnsi="Arial" w:cs="Arial"/>
                <w:lang w:val="fr-FR"/>
              </w:rPr>
            </w:pPr>
            <w:r w:rsidRPr="005A1A39">
              <w:rPr>
                <w:rFonts w:ascii="Arial" w:hAnsi="Arial" w:cs="Arial"/>
                <w:lang w:val="fr-FR"/>
              </w:rPr>
              <w:t>1 (0.2)</w:t>
            </w:r>
          </w:p>
        </w:tc>
        <w:tc>
          <w:tcPr>
            <w:tcW w:w="1843" w:type="dxa"/>
            <w:tcBorders>
              <w:left w:val="nil"/>
              <w:right w:val="nil"/>
            </w:tcBorders>
          </w:tcPr>
          <w:p w14:paraId="48F4333D" w14:textId="77777777" w:rsidR="005A1A39" w:rsidRPr="005A1A39" w:rsidRDefault="005A1A39" w:rsidP="005A1A39">
            <w:pPr>
              <w:jc w:val="center"/>
              <w:rPr>
                <w:rFonts w:ascii="Arial" w:hAnsi="Arial" w:cs="Arial"/>
                <w:lang w:val="fr-FR"/>
              </w:rPr>
            </w:pPr>
          </w:p>
          <w:p w14:paraId="5B5E7CD5" w14:textId="77777777" w:rsidR="005A1A39" w:rsidRPr="005A1A39" w:rsidRDefault="005A1A39" w:rsidP="005A1A39">
            <w:pPr>
              <w:jc w:val="center"/>
              <w:rPr>
                <w:rFonts w:ascii="Arial" w:hAnsi="Arial" w:cs="Arial"/>
                <w:lang w:val="fr-FR"/>
              </w:rPr>
            </w:pPr>
            <w:r w:rsidRPr="005A1A39">
              <w:rPr>
                <w:rFonts w:ascii="Arial" w:hAnsi="Arial" w:cs="Arial"/>
                <w:lang w:val="fr-FR"/>
              </w:rPr>
              <w:t>70 (21.4)</w:t>
            </w:r>
          </w:p>
          <w:p w14:paraId="52E7D0C4" w14:textId="77777777" w:rsidR="005A1A39" w:rsidRPr="005A1A39" w:rsidRDefault="005A1A39" w:rsidP="005A1A39">
            <w:pPr>
              <w:jc w:val="center"/>
              <w:rPr>
                <w:rFonts w:ascii="Arial" w:hAnsi="Arial" w:cs="Arial"/>
                <w:lang w:val="fr-FR"/>
              </w:rPr>
            </w:pPr>
            <w:r w:rsidRPr="005A1A39">
              <w:rPr>
                <w:rFonts w:ascii="Arial" w:hAnsi="Arial" w:cs="Arial"/>
                <w:lang w:val="fr-FR"/>
              </w:rPr>
              <w:t>160 (48.9)</w:t>
            </w:r>
          </w:p>
          <w:p w14:paraId="2240E3CB" w14:textId="77777777" w:rsidR="005A1A39" w:rsidRPr="005A1A39" w:rsidRDefault="005A1A39" w:rsidP="005A1A39">
            <w:pPr>
              <w:jc w:val="center"/>
              <w:rPr>
                <w:rFonts w:ascii="Arial" w:hAnsi="Arial" w:cs="Arial"/>
                <w:lang w:val="fr-FR"/>
              </w:rPr>
            </w:pPr>
            <w:r w:rsidRPr="005A1A39">
              <w:rPr>
                <w:rFonts w:ascii="Arial" w:hAnsi="Arial" w:cs="Arial"/>
                <w:lang w:val="fr-FR"/>
              </w:rPr>
              <w:t>80 (24.5)</w:t>
            </w:r>
          </w:p>
          <w:p w14:paraId="2E6FAE80" w14:textId="77777777" w:rsidR="005A1A39" w:rsidRPr="005A1A39" w:rsidRDefault="005A1A39" w:rsidP="005A1A39">
            <w:pPr>
              <w:jc w:val="center"/>
              <w:rPr>
                <w:rFonts w:ascii="Arial" w:hAnsi="Arial" w:cs="Arial"/>
                <w:lang w:val="fr-FR"/>
              </w:rPr>
            </w:pPr>
            <w:r w:rsidRPr="005A1A39">
              <w:rPr>
                <w:rFonts w:ascii="Arial" w:hAnsi="Arial" w:cs="Arial"/>
                <w:lang w:val="fr-FR"/>
              </w:rPr>
              <w:t>14 (4.3)</w:t>
            </w:r>
          </w:p>
          <w:p w14:paraId="0D86307B" w14:textId="77777777" w:rsidR="005A1A39" w:rsidRPr="005A1A39" w:rsidRDefault="005A1A39" w:rsidP="005A1A39">
            <w:pPr>
              <w:jc w:val="center"/>
              <w:rPr>
                <w:rFonts w:ascii="Arial" w:hAnsi="Arial" w:cs="Arial"/>
                <w:lang w:val="fr-FR"/>
              </w:rPr>
            </w:pPr>
            <w:r w:rsidRPr="005A1A39">
              <w:rPr>
                <w:rFonts w:ascii="Arial" w:hAnsi="Arial" w:cs="Arial"/>
                <w:lang w:val="fr-FR"/>
              </w:rPr>
              <w:t>3 (0.9)</w:t>
            </w:r>
          </w:p>
        </w:tc>
        <w:tc>
          <w:tcPr>
            <w:tcW w:w="1701" w:type="dxa"/>
            <w:tcBorders>
              <w:left w:val="nil"/>
              <w:right w:val="nil"/>
            </w:tcBorders>
          </w:tcPr>
          <w:p w14:paraId="6FFE9933" w14:textId="77777777" w:rsidR="005A1A39" w:rsidRPr="005A1A39" w:rsidRDefault="005A1A39" w:rsidP="005A1A39">
            <w:pPr>
              <w:jc w:val="center"/>
              <w:rPr>
                <w:rFonts w:ascii="Arial" w:hAnsi="Arial" w:cs="Arial"/>
                <w:lang w:val="fr-FR"/>
              </w:rPr>
            </w:pPr>
          </w:p>
          <w:p w14:paraId="1548346A" w14:textId="77777777" w:rsidR="005A1A39" w:rsidRPr="005A1A39" w:rsidRDefault="005A1A39" w:rsidP="005A1A39">
            <w:pPr>
              <w:jc w:val="center"/>
              <w:rPr>
                <w:rFonts w:ascii="Arial" w:hAnsi="Arial" w:cs="Arial"/>
                <w:lang w:val="fr-FR"/>
              </w:rPr>
            </w:pPr>
            <w:r w:rsidRPr="005A1A39">
              <w:rPr>
                <w:rFonts w:ascii="Arial" w:hAnsi="Arial" w:cs="Arial"/>
                <w:lang w:val="fr-FR"/>
              </w:rPr>
              <w:t>49 (24.1)</w:t>
            </w:r>
          </w:p>
          <w:p w14:paraId="0E0F75CA" w14:textId="77777777" w:rsidR="005A1A39" w:rsidRPr="005A1A39" w:rsidRDefault="005A1A39" w:rsidP="005A1A39">
            <w:pPr>
              <w:jc w:val="center"/>
              <w:rPr>
                <w:rFonts w:ascii="Arial" w:hAnsi="Arial" w:cs="Arial"/>
                <w:lang w:val="fr-FR"/>
              </w:rPr>
            </w:pPr>
            <w:r w:rsidRPr="005A1A39">
              <w:rPr>
                <w:rFonts w:ascii="Arial" w:hAnsi="Arial" w:cs="Arial"/>
                <w:lang w:val="fr-FR"/>
              </w:rPr>
              <w:t>110 (54.2)</w:t>
            </w:r>
          </w:p>
          <w:p w14:paraId="02269177" w14:textId="77777777" w:rsidR="005A1A39" w:rsidRPr="005A1A39" w:rsidRDefault="005A1A39" w:rsidP="005A1A39">
            <w:pPr>
              <w:jc w:val="center"/>
              <w:rPr>
                <w:rFonts w:ascii="Arial" w:hAnsi="Arial" w:cs="Arial"/>
                <w:lang w:val="fr-FR"/>
              </w:rPr>
            </w:pPr>
            <w:r w:rsidRPr="005A1A39">
              <w:rPr>
                <w:rFonts w:ascii="Arial" w:hAnsi="Arial" w:cs="Arial"/>
                <w:lang w:val="fr-FR"/>
              </w:rPr>
              <w:t>36 (17.7)</w:t>
            </w:r>
          </w:p>
          <w:p w14:paraId="1CA735DC" w14:textId="77777777" w:rsidR="005A1A39" w:rsidRPr="005A1A39" w:rsidRDefault="005A1A39" w:rsidP="005A1A39">
            <w:pPr>
              <w:jc w:val="center"/>
              <w:rPr>
                <w:rFonts w:ascii="Arial" w:hAnsi="Arial" w:cs="Arial"/>
                <w:lang w:val="fr-FR"/>
              </w:rPr>
            </w:pPr>
            <w:r w:rsidRPr="005A1A39">
              <w:rPr>
                <w:rFonts w:ascii="Arial" w:hAnsi="Arial" w:cs="Arial"/>
                <w:lang w:val="fr-FR"/>
              </w:rPr>
              <w:t>8 (3.9)</w:t>
            </w:r>
          </w:p>
          <w:p w14:paraId="55C9F22B" w14:textId="77777777" w:rsidR="005A1A39" w:rsidRPr="005A1A39" w:rsidRDefault="005A1A39" w:rsidP="005A1A39">
            <w:pPr>
              <w:jc w:val="center"/>
              <w:rPr>
                <w:rFonts w:ascii="Arial" w:hAnsi="Arial" w:cs="Arial"/>
                <w:lang w:val="fr-FR"/>
              </w:rPr>
            </w:pPr>
            <w:r w:rsidRPr="005A1A39">
              <w:rPr>
                <w:rFonts w:ascii="Arial" w:hAnsi="Arial" w:cs="Arial"/>
                <w:lang w:val="fr-FR"/>
              </w:rPr>
              <w:t>0 (0)</w:t>
            </w:r>
          </w:p>
        </w:tc>
        <w:tc>
          <w:tcPr>
            <w:tcW w:w="1134" w:type="dxa"/>
            <w:tcBorders>
              <w:left w:val="nil"/>
            </w:tcBorders>
          </w:tcPr>
          <w:p w14:paraId="3F5C43C6" w14:textId="77777777" w:rsidR="005A1A39" w:rsidRPr="005A1A39" w:rsidRDefault="005A1A39" w:rsidP="005A1A39">
            <w:pPr>
              <w:jc w:val="center"/>
              <w:rPr>
                <w:rFonts w:ascii="Arial" w:hAnsi="Arial" w:cs="Arial"/>
                <w:lang w:val="fr-FR"/>
              </w:rPr>
            </w:pPr>
            <w:r w:rsidRPr="005A1A39">
              <w:rPr>
                <w:rFonts w:ascii="Arial" w:hAnsi="Arial" w:cs="Arial"/>
                <w:lang w:val="fr-FR"/>
              </w:rPr>
              <w:t>&lt;0.001</w:t>
            </w:r>
          </w:p>
        </w:tc>
      </w:tr>
      <w:tr w:rsidR="005A1A39" w:rsidRPr="005A1A39" w14:paraId="2E3E5E92" w14:textId="77777777" w:rsidTr="00280481">
        <w:tc>
          <w:tcPr>
            <w:tcW w:w="4253" w:type="dxa"/>
            <w:tcBorders>
              <w:right w:val="nil"/>
            </w:tcBorders>
          </w:tcPr>
          <w:p w14:paraId="2045A5A4" w14:textId="77777777" w:rsidR="005A1A39" w:rsidRPr="005A1A39" w:rsidRDefault="005A1A39" w:rsidP="005A1A39">
            <w:pPr>
              <w:jc w:val="both"/>
              <w:rPr>
                <w:rFonts w:ascii="Arial" w:hAnsi="Arial" w:cs="Arial"/>
                <w:lang w:val="fr-FR"/>
              </w:rPr>
            </w:pPr>
            <w:r w:rsidRPr="005A1A39">
              <w:rPr>
                <w:rFonts w:ascii="Arial" w:hAnsi="Arial" w:cs="Arial"/>
                <w:lang w:val="fr-FR"/>
              </w:rPr>
              <w:t>Center</w:t>
            </w:r>
          </w:p>
          <w:p w14:paraId="6A0D7E45" w14:textId="77777777" w:rsidR="005A1A39" w:rsidRPr="005A1A39" w:rsidRDefault="005A1A39" w:rsidP="005A1A39">
            <w:pPr>
              <w:jc w:val="both"/>
              <w:rPr>
                <w:rFonts w:ascii="Arial" w:hAnsi="Arial" w:cs="Arial"/>
                <w:lang w:val="en-US"/>
              </w:rPr>
            </w:pPr>
            <w:r w:rsidRPr="005A1A39">
              <w:rPr>
                <w:rFonts w:ascii="Arial" w:hAnsi="Arial" w:cs="Arial"/>
                <w:lang w:val="en-US"/>
              </w:rPr>
              <w:t>High-volume (n&gt;100)</w:t>
            </w:r>
          </w:p>
          <w:p w14:paraId="22B1FE66" w14:textId="77777777" w:rsidR="005A1A39" w:rsidRPr="005A1A39" w:rsidRDefault="005A1A39" w:rsidP="005A1A39">
            <w:pPr>
              <w:jc w:val="both"/>
              <w:rPr>
                <w:rFonts w:ascii="Arial" w:hAnsi="Arial" w:cs="Arial"/>
                <w:lang w:val="en-US"/>
              </w:rPr>
            </w:pPr>
            <w:r w:rsidRPr="005A1A39">
              <w:rPr>
                <w:rFonts w:ascii="Arial" w:hAnsi="Arial" w:cs="Arial"/>
                <w:lang w:val="en-US"/>
              </w:rPr>
              <w:t>Low-volume (n&lt;=100)</w:t>
            </w:r>
          </w:p>
        </w:tc>
        <w:tc>
          <w:tcPr>
            <w:tcW w:w="1984" w:type="dxa"/>
            <w:tcBorders>
              <w:left w:val="nil"/>
              <w:right w:val="nil"/>
            </w:tcBorders>
          </w:tcPr>
          <w:p w14:paraId="21796706" w14:textId="77777777" w:rsidR="005A1A39" w:rsidRPr="005A1A39" w:rsidRDefault="005A1A39" w:rsidP="005A1A39">
            <w:pPr>
              <w:jc w:val="center"/>
              <w:rPr>
                <w:rFonts w:ascii="Arial" w:hAnsi="Arial" w:cs="Arial"/>
                <w:lang w:val="en-US"/>
              </w:rPr>
            </w:pPr>
          </w:p>
          <w:p w14:paraId="2F120C6E" w14:textId="77777777" w:rsidR="005A1A39" w:rsidRPr="005A1A39" w:rsidRDefault="005A1A39" w:rsidP="005A1A39">
            <w:pPr>
              <w:jc w:val="center"/>
              <w:rPr>
                <w:rFonts w:ascii="Arial" w:hAnsi="Arial" w:cs="Arial"/>
                <w:lang w:val="en-US"/>
              </w:rPr>
            </w:pPr>
            <w:r w:rsidRPr="005A1A39">
              <w:rPr>
                <w:rFonts w:ascii="Arial" w:hAnsi="Arial" w:cs="Arial"/>
                <w:lang w:val="en-US"/>
              </w:rPr>
              <w:t>276 (38.2)</w:t>
            </w:r>
          </w:p>
          <w:p w14:paraId="6273B459" w14:textId="77777777" w:rsidR="005A1A39" w:rsidRPr="005A1A39" w:rsidRDefault="005A1A39" w:rsidP="005A1A39">
            <w:pPr>
              <w:jc w:val="center"/>
              <w:rPr>
                <w:rFonts w:ascii="Arial" w:hAnsi="Arial" w:cs="Arial"/>
                <w:lang w:val="en-US"/>
              </w:rPr>
            </w:pPr>
            <w:r w:rsidRPr="005A1A39">
              <w:rPr>
                <w:rFonts w:ascii="Arial" w:hAnsi="Arial" w:cs="Arial"/>
                <w:lang w:val="en-US"/>
              </w:rPr>
              <w:t>446 (61.8)</w:t>
            </w:r>
          </w:p>
        </w:tc>
        <w:tc>
          <w:tcPr>
            <w:tcW w:w="1843" w:type="dxa"/>
            <w:tcBorders>
              <w:left w:val="nil"/>
              <w:right w:val="nil"/>
            </w:tcBorders>
          </w:tcPr>
          <w:p w14:paraId="0BDA92C0" w14:textId="77777777" w:rsidR="005A1A39" w:rsidRPr="005A1A39" w:rsidRDefault="005A1A39" w:rsidP="005A1A39">
            <w:pPr>
              <w:jc w:val="center"/>
              <w:rPr>
                <w:rFonts w:ascii="Arial" w:hAnsi="Arial" w:cs="Arial"/>
                <w:lang w:val="en-US"/>
              </w:rPr>
            </w:pPr>
          </w:p>
          <w:p w14:paraId="7CF4FE9B" w14:textId="77777777" w:rsidR="005A1A39" w:rsidRPr="005A1A39" w:rsidRDefault="005A1A39" w:rsidP="005A1A39">
            <w:pPr>
              <w:jc w:val="center"/>
              <w:rPr>
                <w:rFonts w:ascii="Arial" w:hAnsi="Arial" w:cs="Arial"/>
                <w:lang w:val="en-US"/>
              </w:rPr>
            </w:pPr>
            <w:r w:rsidRPr="005A1A39">
              <w:rPr>
                <w:rFonts w:ascii="Arial" w:hAnsi="Arial" w:cs="Arial"/>
                <w:lang w:val="en-US"/>
              </w:rPr>
              <w:t>140 (32.7)</w:t>
            </w:r>
          </w:p>
          <w:p w14:paraId="5DD87A84" w14:textId="77777777" w:rsidR="005A1A39" w:rsidRPr="005A1A39" w:rsidRDefault="005A1A39" w:rsidP="005A1A39">
            <w:pPr>
              <w:jc w:val="center"/>
              <w:rPr>
                <w:rFonts w:ascii="Arial" w:hAnsi="Arial" w:cs="Arial"/>
                <w:lang w:val="en-US"/>
              </w:rPr>
            </w:pPr>
            <w:r w:rsidRPr="005A1A39">
              <w:rPr>
                <w:rFonts w:ascii="Arial" w:hAnsi="Arial" w:cs="Arial"/>
                <w:lang w:val="en-US"/>
              </w:rPr>
              <w:t>288 (67.3)</w:t>
            </w:r>
          </w:p>
        </w:tc>
        <w:tc>
          <w:tcPr>
            <w:tcW w:w="1701" w:type="dxa"/>
            <w:tcBorders>
              <w:left w:val="nil"/>
              <w:right w:val="nil"/>
            </w:tcBorders>
          </w:tcPr>
          <w:p w14:paraId="54E0FDAF" w14:textId="77777777" w:rsidR="005A1A39" w:rsidRPr="005A1A39" w:rsidRDefault="005A1A39" w:rsidP="005A1A39">
            <w:pPr>
              <w:jc w:val="center"/>
              <w:rPr>
                <w:rFonts w:ascii="Arial" w:hAnsi="Arial" w:cs="Arial"/>
                <w:lang w:val="en-US"/>
              </w:rPr>
            </w:pPr>
          </w:p>
          <w:p w14:paraId="3FE11123" w14:textId="77777777" w:rsidR="005A1A39" w:rsidRPr="005A1A39" w:rsidRDefault="005A1A39" w:rsidP="005A1A39">
            <w:pPr>
              <w:jc w:val="center"/>
              <w:rPr>
                <w:rFonts w:ascii="Arial" w:hAnsi="Arial" w:cs="Arial"/>
                <w:lang w:val="en-US"/>
              </w:rPr>
            </w:pPr>
            <w:r w:rsidRPr="005A1A39">
              <w:rPr>
                <w:rFonts w:ascii="Arial" w:hAnsi="Arial" w:cs="Arial"/>
                <w:lang w:val="en-US"/>
              </w:rPr>
              <w:t>49 (17.8)</w:t>
            </w:r>
          </w:p>
          <w:p w14:paraId="385B3B97" w14:textId="77777777" w:rsidR="005A1A39" w:rsidRPr="005A1A39" w:rsidRDefault="005A1A39" w:rsidP="005A1A39">
            <w:pPr>
              <w:jc w:val="center"/>
              <w:rPr>
                <w:rFonts w:ascii="Arial" w:hAnsi="Arial" w:cs="Arial"/>
                <w:lang w:val="en-US"/>
              </w:rPr>
            </w:pPr>
            <w:r w:rsidRPr="005A1A39">
              <w:rPr>
                <w:rFonts w:ascii="Arial" w:hAnsi="Arial" w:cs="Arial"/>
                <w:lang w:val="en-US"/>
              </w:rPr>
              <w:t>227 (82.2)</w:t>
            </w:r>
          </w:p>
        </w:tc>
        <w:tc>
          <w:tcPr>
            <w:tcW w:w="1134" w:type="dxa"/>
            <w:tcBorders>
              <w:left w:val="nil"/>
            </w:tcBorders>
          </w:tcPr>
          <w:p w14:paraId="4852DEE9" w14:textId="77777777" w:rsidR="005A1A39" w:rsidRPr="005A1A39" w:rsidRDefault="005A1A39" w:rsidP="005A1A39">
            <w:pPr>
              <w:jc w:val="center"/>
              <w:rPr>
                <w:rFonts w:ascii="Arial" w:hAnsi="Arial" w:cs="Arial"/>
                <w:lang w:val="en-US"/>
              </w:rPr>
            </w:pPr>
            <w:r w:rsidRPr="005A1A39">
              <w:rPr>
                <w:rFonts w:ascii="Arial" w:hAnsi="Arial" w:cs="Arial"/>
                <w:lang w:val="en-US"/>
              </w:rPr>
              <w:t>&lt;0.001</w:t>
            </w:r>
          </w:p>
        </w:tc>
      </w:tr>
      <w:tr w:rsidR="005A1A39" w:rsidRPr="005A1A39" w14:paraId="32A18F43" w14:textId="77777777" w:rsidTr="00280481">
        <w:tc>
          <w:tcPr>
            <w:tcW w:w="4253" w:type="dxa"/>
            <w:tcBorders>
              <w:right w:val="nil"/>
            </w:tcBorders>
          </w:tcPr>
          <w:p w14:paraId="29BEDD49" w14:textId="77777777" w:rsidR="005A1A39" w:rsidRPr="005A1A39" w:rsidRDefault="005A1A39" w:rsidP="005A1A39">
            <w:pPr>
              <w:jc w:val="both"/>
              <w:rPr>
                <w:rFonts w:ascii="Arial" w:hAnsi="Arial" w:cs="Arial"/>
                <w:lang w:val="en-US"/>
              </w:rPr>
            </w:pPr>
            <w:r w:rsidRPr="005A1A39">
              <w:rPr>
                <w:rFonts w:ascii="Arial" w:hAnsi="Arial" w:cs="Arial"/>
                <w:lang w:val="en-US"/>
              </w:rPr>
              <w:t>Metastatic sites (n=1426)</w:t>
            </w:r>
          </w:p>
          <w:p w14:paraId="1A3BEF9F" w14:textId="77777777" w:rsidR="005A1A39" w:rsidRPr="005A1A39" w:rsidRDefault="005A1A39" w:rsidP="005A1A39">
            <w:pPr>
              <w:jc w:val="both"/>
              <w:rPr>
                <w:rFonts w:ascii="Arial" w:hAnsi="Arial" w:cs="Arial"/>
                <w:lang w:val="en-US"/>
              </w:rPr>
            </w:pPr>
            <w:r w:rsidRPr="005A1A39">
              <w:rPr>
                <w:rFonts w:ascii="Arial" w:hAnsi="Arial" w:cs="Arial"/>
                <w:lang w:val="en-US"/>
              </w:rPr>
              <w:t>Locoregional</w:t>
            </w:r>
          </w:p>
          <w:p w14:paraId="08645FC9" w14:textId="77777777" w:rsidR="005A1A39" w:rsidRPr="005A1A39" w:rsidRDefault="005A1A39" w:rsidP="005A1A39">
            <w:pPr>
              <w:jc w:val="both"/>
              <w:rPr>
                <w:rFonts w:ascii="Arial" w:hAnsi="Arial" w:cs="Arial"/>
                <w:lang w:val="en-US"/>
              </w:rPr>
            </w:pPr>
            <w:r w:rsidRPr="005A1A39">
              <w:rPr>
                <w:rFonts w:ascii="Arial" w:hAnsi="Arial" w:cs="Arial"/>
                <w:lang w:val="en-US"/>
              </w:rPr>
              <w:t>Lymph nodes</w:t>
            </w:r>
          </w:p>
          <w:p w14:paraId="0DBB5E44" w14:textId="77777777" w:rsidR="005A1A39" w:rsidRPr="005A1A39" w:rsidRDefault="005A1A39" w:rsidP="005A1A39">
            <w:pPr>
              <w:jc w:val="both"/>
              <w:rPr>
                <w:rFonts w:ascii="Arial" w:hAnsi="Arial" w:cs="Arial"/>
                <w:lang w:val="en-US"/>
              </w:rPr>
            </w:pPr>
            <w:r w:rsidRPr="005A1A39">
              <w:rPr>
                <w:rFonts w:ascii="Arial" w:hAnsi="Arial" w:cs="Arial"/>
                <w:lang w:val="en-US"/>
              </w:rPr>
              <w:t>Bone</w:t>
            </w:r>
          </w:p>
          <w:p w14:paraId="681C0BAD" w14:textId="77777777" w:rsidR="005A1A39" w:rsidRPr="005A1A39" w:rsidRDefault="005A1A39" w:rsidP="005A1A39">
            <w:pPr>
              <w:jc w:val="both"/>
              <w:rPr>
                <w:rFonts w:ascii="Arial" w:hAnsi="Arial" w:cs="Arial"/>
                <w:lang w:val="en-US"/>
              </w:rPr>
            </w:pPr>
            <w:r w:rsidRPr="005A1A39">
              <w:rPr>
                <w:rFonts w:ascii="Arial" w:hAnsi="Arial" w:cs="Arial"/>
                <w:lang w:val="en-US"/>
              </w:rPr>
              <w:t>Lung</w:t>
            </w:r>
          </w:p>
          <w:p w14:paraId="16F8D5CD" w14:textId="77777777" w:rsidR="005A1A39" w:rsidRPr="005A1A39" w:rsidRDefault="005A1A39" w:rsidP="005A1A39">
            <w:pPr>
              <w:jc w:val="both"/>
              <w:rPr>
                <w:rFonts w:ascii="Arial" w:hAnsi="Arial" w:cs="Arial"/>
                <w:lang w:val="en-US"/>
              </w:rPr>
            </w:pPr>
            <w:r w:rsidRPr="005A1A39">
              <w:rPr>
                <w:rFonts w:ascii="Arial" w:hAnsi="Arial" w:cs="Arial"/>
                <w:lang w:val="en-US"/>
              </w:rPr>
              <w:t>Liver</w:t>
            </w:r>
          </w:p>
          <w:p w14:paraId="632EC6CD" w14:textId="77777777" w:rsidR="005A1A39" w:rsidRPr="005A1A39" w:rsidRDefault="005A1A39" w:rsidP="005A1A39">
            <w:pPr>
              <w:jc w:val="both"/>
              <w:rPr>
                <w:rFonts w:ascii="Arial" w:hAnsi="Arial" w:cs="Arial"/>
                <w:lang w:val="en-US"/>
              </w:rPr>
            </w:pPr>
            <w:r w:rsidRPr="005A1A39">
              <w:rPr>
                <w:rFonts w:ascii="Arial" w:hAnsi="Arial" w:cs="Arial"/>
                <w:lang w:val="en-US"/>
              </w:rPr>
              <w:t>Brain</w:t>
            </w:r>
          </w:p>
          <w:p w14:paraId="148DA28F" w14:textId="77777777" w:rsidR="005A1A39" w:rsidRPr="005A1A39" w:rsidRDefault="005A1A39" w:rsidP="005A1A39">
            <w:pPr>
              <w:jc w:val="both"/>
              <w:rPr>
                <w:rFonts w:ascii="Arial" w:hAnsi="Arial" w:cs="Arial"/>
                <w:lang w:val="en-US"/>
              </w:rPr>
            </w:pPr>
            <w:r w:rsidRPr="005A1A39">
              <w:rPr>
                <w:rFonts w:ascii="Arial" w:hAnsi="Arial" w:cs="Arial"/>
                <w:lang w:val="en-US"/>
              </w:rPr>
              <w:t>Adrenal</w:t>
            </w:r>
          </w:p>
          <w:p w14:paraId="18A1F3A3" w14:textId="77777777" w:rsidR="005A1A39" w:rsidRPr="005A1A39" w:rsidRDefault="005A1A39" w:rsidP="005A1A39">
            <w:pPr>
              <w:jc w:val="both"/>
              <w:rPr>
                <w:rFonts w:ascii="Arial" w:hAnsi="Arial" w:cs="Arial"/>
                <w:lang w:val="en-US"/>
              </w:rPr>
            </w:pPr>
            <w:r w:rsidRPr="005A1A39">
              <w:rPr>
                <w:rFonts w:ascii="Arial" w:hAnsi="Arial" w:cs="Arial"/>
                <w:lang w:val="en-US"/>
              </w:rPr>
              <w:t>Peritoneum</w:t>
            </w:r>
          </w:p>
          <w:p w14:paraId="180C63B9" w14:textId="77777777" w:rsidR="005A1A39" w:rsidRPr="005A1A39" w:rsidRDefault="005A1A39" w:rsidP="005A1A39">
            <w:pPr>
              <w:jc w:val="both"/>
              <w:rPr>
                <w:rFonts w:ascii="Arial" w:hAnsi="Arial" w:cs="Arial"/>
                <w:lang w:val="en-US"/>
              </w:rPr>
            </w:pPr>
          </w:p>
          <w:p w14:paraId="2E5A69D4" w14:textId="77777777" w:rsidR="005A1A39" w:rsidRPr="005A1A39" w:rsidRDefault="005A1A39" w:rsidP="005A1A39">
            <w:pPr>
              <w:jc w:val="both"/>
              <w:rPr>
                <w:rFonts w:ascii="Arial" w:hAnsi="Arial" w:cs="Arial"/>
                <w:lang w:val="en-US"/>
              </w:rPr>
            </w:pPr>
            <w:r w:rsidRPr="005A1A39">
              <w:rPr>
                <w:rFonts w:ascii="Arial" w:hAnsi="Arial" w:cs="Arial"/>
                <w:lang w:val="en-US"/>
              </w:rPr>
              <w:t>Distant</w:t>
            </w:r>
          </w:p>
        </w:tc>
        <w:tc>
          <w:tcPr>
            <w:tcW w:w="1984" w:type="dxa"/>
            <w:tcBorders>
              <w:left w:val="nil"/>
              <w:right w:val="nil"/>
            </w:tcBorders>
          </w:tcPr>
          <w:p w14:paraId="5D9AB7A4" w14:textId="77777777" w:rsidR="005A1A39" w:rsidRPr="005A1A39" w:rsidRDefault="005A1A39" w:rsidP="005A1A39">
            <w:pPr>
              <w:jc w:val="center"/>
              <w:rPr>
                <w:rFonts w:ascii="Arial" w:hAnsi="Arial" w:cs="Arial"/>
                <w:lang w:val="en-US"/>
              </w:rPr>
            </w:pPr>
          </w:p>
          <w:p w14:paraId="1383EF50" w14:textId="77777777" w:rsidR="005A1A39" w:rsidRPr="005A1A39" w:rsidRDefault="005A1A39" w:rsidP="005A1A39">
            <w:pPr>
              <w:jc w:val="center"/>
              <w:rPr>
                <w:rFonts w:ascii="Arial" w:hAnsi="Arial" w:cs="Arial"/>
                <w:lang w:val="en-US"/>
              </w:rPr>
            </w:pPr>
            <w:r w:rsidRPr="005A1A39">
              <w:rPr>
                <w:rFonts w:ascii="Arial" w:hAnsi="Arial" w:cs="Arial"/>
                <w:lang w:val="en-US"/>
              </w:rPr>
              <w:t>136 (18.9)</w:t>
            </w:r>
          </w:p>
          <w:p w14:paraId="478096A5" w14:textId="77777777" w:rsidR="005A1A39" w:rsidRPr="005A1A39" w:rsidRDefault="005A1A39" w:rsidP="005A1A39">
            <w:pPr>
              <w:jc w:val="center"/>
              <w:rPr>
                <w:rFonts w:ascii="Arial" w:hAnsi="Arial" w:cs="Arial"/>
                <w:lang w:val="en-US"/>
              </w:rPr>
            </w:pPr>
            <w:r w:rsidRPr="005A1A39">
              <w:rPr>
                <w:rFonts w:ascii="Arial" w:hAnsi="Arial" w:cs="Arial"/>
                <w:lang w:val="en-US"/>
              </w:rPr>
              <w:t>451 (62.5)</w:t>
            </w:r>
          </w:p>
          <w:p w14:paraId="2B2015D4" w14:textId="77777777" w:rsidR="005A1A39" w:rsidRPr="005A1A39" w:rsidRDefault="005A1A39" w:rsidP="005A1A39">
            <w:pPr>
              <w:jc w:val="center"/>
              <w:rPr>
                <w:rFonts w:ascii="Arial" w:hAnsi="Arial" w:cs="Arial"/>
                <w:lang w:val="en-US"/>
              </w:rPr>
            </w:pPr>
            <w:r w:rsidRPr="005A1A39">
              <w:rPr>
                <w:rFonts w:ascii="Arial" w:hAnsi="Arial" w:cs="Arial"/>
                <w:lang w:val="en-US"/>
              </w:rPr>
              <w:t>159 (22)</w:t>
            </w:r>
          </w:p>
          <w:p w14:paraId="08F23059" w14:textId="77777777" w:rsidR="005A1A39" w:rsidRPr="005A1A39" w:rsidRDefault="005A1A39" w:rsidP="005A1A39">
            <w:pPr>
              <w:jc w:val="center"/>
              <w:rPr>
                <w:rFonts w:ascii="Arial" w:hAnsi="Arial" w:cs="Arial"/>
                <w:lang w:val="en-US"/>
              </w:rPr>
            </w:pPr>
            <w:r w:rsidRPr="005A1A39">
              <w:rPr>
                <w:rFonts w:ascii="Arial" w:hAnsi="Arial" w:cs="Arial"/>
                <w:lang w:val="en-US"/>
              </w:rPr>
              <w:t>188 (26)</w:t>
            </w:r>
          </w:p>
          <w:p w14:paraId="4E358100" w14:textId="77777777" w:rsidR="005A1A39" w:rsidRPr="005A1A39" w:rsidRDefault="005A1A39" w:rsidP="005A1A39">
            <w:pPr>
              <w:jc w:val="center"/>
              <w:rPr>
                <w:rFonts w:ascii="Arial" w:hAnsi="Arial" w:cs="Arial"/>
                <w:lang w:val="en-US"/>
              </w:rPr>
            </w:pPr>
            <w:r w:rsidRPr="005A1A39">
              <w:rPr>
                <w:rFonts w:ascii="Arial" w:hAnsi="Arial" w:cs="Arial"/>
                <w:lang w:val="en-US"/>
              </w:rPr>
              <w:t>130 (18)</w:t>
            </w:r>
          </w:p>
          <w:p w14:paraId="75A2BF74" w14:textId="77777777" w:rsidR="005A1A39" w:rsidRPr="005A1A39" w:rsidRDefault="005A1A39" w:rsidP="005A1A39">
            <w:pPr>
              <w:jc w:val="center"/>
              <w:rPr>
                <w:rFonts w:ascii="Arial" w:hAnsi="Arial" w:cs="Arial"/>
                <w:lang w:val="en-US"/>
              </w:rPr>
            </w:pPr>
            <w:r w:rsidRPr="005A1A39">
              <w:rPr>
                <w:rFonts w:ascii="Arial" w:hAnsi="Arial" w:cs="Arial"/>
                <w:lang w:val="en-US"/>
              </w:rPr>
              <w:t>15 (2.1)</w:t>
            </w:r>
          </w:p>
          <w:p w14:paraId="7F97B8E7" w14:textId="77777777" w:rsidR="005A1A39" w:rsidRPr="005A1A39" w:rsidRDefault="005A1A39" w:rsidP="005A1A39">
            <w:pPr>
              <w:jc w:val="center"/>
              <w:rPr>
                <w:rFonts w:ascii="Arial" w:hAnsi="Arial" w:cs="Arial"/>
                <w:lang w:val="en-US"/>
              </w:rPr>
            </w:pPr>
            <w:r w:rsidRPr="005A1A39">
              <w:rPr>
                <w:rFonts w:ascii="Arial" w:hAnsi="Arial" w:cs="Arial"/>
                <w:lang w:val="en-US"/>
              </w:rPr>
              <w:t>18 (2.5)</w:t>
            </w:r>
          </w:p>
          <w:p w14:paraId="7A9D682E" w14:textId="77777777" w:rsidR="005A1A39" w:rsidRPr="005A1A39" w:rsidRDefault="005A1A39" w:rsidP="005A1A39">
            <w:pPr>
              <w:jc w:val="center"/>
              <w:rPr>
                <w:rFonts w:ascii="Arial" w:hAnsi="Arial" w:cs="Arial"/>
                <w:lang w:val="en-US"/>
              </w:rPr>
            </w:pPr>
            <w:r w:rsidRPr="005A1A39">
              <w:rPr>
                <w:rFonts w:ascii="Arial" w:hAnsi="Arial" w:cs="Arial"/>
                <w:lang w:val="en-US"/>
              </w:rPr>
              <w:t>19 (2.6)</w:t>
            </w:r>
          </w:p>
          <w:p w14:paraId="03B2AD11" w14:textId="77777777" w:rsidR="005A1A39" w:rsidRPr="005A1A39" w:rsidRDefault="005A1A39" w:rsidP="005A1A39">
            <w:pPr>
              <w:jc w:val="center"/>
              <w:rPr>
                <w:rFonts w:ascii="Arial" w:hAnsi="Arial" w:cs="Arial"/>
                <w:lang w:val="en-US"/>
              </w:rPr>
            </w:pPr>
          </w:p>
          <w:p w14:paraId="78A61E7E" w14:textId="77777777" w:rsidR="005A1A39" w:rsidRPr="005A1A39" w:rsidRDefault="005A1A39" w:rsidP="005A1A39">
            <w:pPr>
              <w:jc w:val="center"/>
              <w:rPr>
                <w:rFonts w:ascii="Arial" w:hAnsi="Arial" w:cs="Arial"/>
                <w:lang w:val="en-US"/>
              </w:rPr>
            </w:pPr>
            <w:r w:rsidRPr="005A1A39">
              <w:rPr>
                <w:rFonts w:ascii="Arial" w:hAnsi="Arial" w:cs="Arial"/>
                <w:lang w:val="en-US"/>
              </w:rPr>
              <w:t>384 (53.2)</w:t>
            </w:r>
          </w:p>
        </w:tc>
        <w:tc>
          <w:tcPr>
            <w:tcW w:w="1843" w:type="dxa"/>
            <w:tcBorders>
              <w:left w:val="nil"/>
              <w:right w:val="nil"/>
            </w:tcBorders>
          </w:tcPr>
          <w:p w14:paraId="17ECC641" w14:textId="77777777" w:rsidR="005A1A39" w:rsidRPr="005A1A39" w:rsidRDefault="005A1A39" w:rsidP="005A1A39">
            <w:pPr>
              <w:jc w:val="center"/>
              <w:rPr>
                <w:rFonts w:ascii="Arial" w:hAnsi="Arial" w:cs="Arial"/>
                <w:lang w:val="en-US"/>
              </w:rPr>
            </w:pPr>
          </w:p>
          <w:p w14:paraId="717E7677" w14:textId="77777777" w:rsidR="005A1A39" w:rsidRPr="005A1A39" w:rsidRDefault="005A1A39" w:rsidP="005A1A39">
            <w:pPr>
              <w:jc w:val="center"/>
              <w:rPr>
                <w:rFonts w:ascii="Arial" w:hAnsi="Arial" w:cs="Arial"/>
                <w:lang w:val="en-US"/>
              </w:rPr>
            </w:pPr>
            <w:r w:rsidRPr="005A1A39">
              <w:rPr>
                <w:rFonts w:ascii="Arial" w:hAnsi="Arial" w:cs="Arial"/>
                <w:lang w:val="en-US"/>
              </w:rPr>
              <w:t>80 (18.7)</w:t>
            </w:r>
          </w:p>
          <w:p w14:paraId="1B939EAE" w14:textId="77777777" w:rsidR="005A1A39" w:rsidRPr="005A1A39" w:rsidRDefault="005A1A39" w:rsidP="005A1A39">
            <w:pPr>
              <w:jc w:val="center"/>
              <w:rPr>
                <w:rFonts w:ascii="Arial" w:hAnsi="Arial" w:cs="Arial"/>
                <w:lang w:val="en-US"/>
              </w:rPr>
            </w:pPr>
            <w:r w:rsidRPr="005A1A39">
              <w:rPr>
                <w:rFonts w:ascii="Arial" w:hAnsi="Arial" w:cs="Arial"/>
                <w:lang w:val="en-US"/>
              </w:rPr>
              <w:t>263 (61.5)</w:t>
            </w:r>
          </w:p>
          <w:p w14:paraId="093B3EF9" w14:textId="77777777" w:rsidR="005A1A39" w:rsidRPr="005A1A39" w:rsidRDefault="005A1A39" w:rsidP="005A1A39">
            <w:pPr>
              <w:jc w:val="center"/>
              <w:rPr>
                <w:rFonts w:ascii="Arial" w:hAnsi="Arial" w:cs="Arial"/>
                <w:lang w:val="en-US"/>
              </w:rPr>
            </w:pPr>
            <w:r w:rsidRPr="005A1A39">
              <w:rPr>
                <w:rFonts w:ascii="Arial" w:hAnsi="Arial" w:cs="Arial"/>
                <w:lang w:val="en-US"/>
              </w:rPr>
              <w:t>131 (30.6)</w:t>
            </w:r>
          </w:p>
          <w:p w14:paraId="40EB8E0E" w14:textId="77777777" w:rsidR="005A1A39" w:rsidRPr="005A1A39" w:rsidRDefault="005A1A39" w:rsidP="005A1A39">
            <w:pPr>
              <w:jc w:val="center"/>
              <w:rPr>
                <w:rFonts w:ascii="Arial" w:hAnsi="Arial" w:cs="Arial"/>
                <w:lang w:val="en-US"/>
              </w:rPr>
            </w:pPr>
            <w:r w:rsidRPr="005A1A39">
              <w:rPr>
                <w:rFonts w:ascii="Arial" w:hAnsi="Arial" w:cs="Arial"/>
                <w:lang w:val="en-US"/>
              </w:rPr>
              <w:t>113 (26.4)</w:t>
            </w:r>
          </w:p>
          <w:p w14:paraId="27B58063" w14:textId="77777777" w:rsidR="005A1A39" w:rsidRPr="005A1A39" w:rsidRDefault="005A1A39" w:rsidP="005A1A39">
            <w:pPr>
              <w:jc w:val="center"/>
              <w:rPr>
                <w:rFonts w:ascii="Arial" w:hAnsi="Arial" w:cs="Arial"/>
                <w:lang w:val="en-US"/>
              </w:rPr>
            </w:pPr>
            <w:r w:rsidRPr="005A1A39">
              <w:rPr>
                <w:rFonts w:ascii="Arial" w:hAnsi="Arial" w:cs="Arial"/>
                <w:lang w:val="en-US"/>
              </w:rPr>
              <w:t>78 (18.2)</w:t>
            </w:r>
          </w:p>
          <w:p w14:paraId="790B0C82" w14:textId="77777777" w:rsidR="005A1A39" w:rsidRPr="005A1A39" w:rsidRDefault="005A1A39" w:rsidP="005A1A39">
            <w:pPr>
              <w:jc w:val="center"/>
              <w:rPr>
                <w:rFonts w:ascii="Arial" w:hAnsi="Arial" w:cs="Arial"/>
                <w:lang w:val="en-US"/>
              </w:rPr>
            </w:pPr>
            <w:r w:rsidRPr="005A1A39">
              <w:rPr>
                <w:rFonts w:ascii="Arial" w:hAnsi="Arial" w:cs="Arial"/>
                <w:lang w:val="en-US"/>
              </w:rPr>
              <w:t>7 (1.6)</w:t>
            </w:r>
          </w:p>
          <w:p w14:paraId="37EBE06C" w14:textId="77777777" w:rsidR="005A1A39" w:rsidRPr="005A1A39" w:rsidRDefault="005A1A39" w:rsidP="005A1A39">
            <w:pPr>
              <w:jc w:val="center"/>
              <w:rPr>
                <w:rFonts w:ascii="Arial" w:hAnsi="Arial" w:cs="Arial"/>
                <w:lang w:val="en-US"/>
              </w:rPr>
            </w:pPr>
            <w:r w:rsidRPr="005A1A39">
              <w:rPr>
                <w:rFonts w:ascii="Arial" w:hAnsi="Arial" w:cs="Arial"/>
                <w:lang w:val="en-US"/>
              </w:rPr>
              <w:t>15 (3.5)</w:t>
            </w:r>
          </w:p>
          <w:p w14:paraId="6F0D5930" w14:textId="77777777" w:rsidR="005A1A39" w:rsidRPr="005A1A39" w:rsidRDefault="005A1A39" w:rsidP="005A1A39">
            <w:pPr>
              <w:jc w:val="center"/>
              <w:rPr>
                <w:rFonts w:ascii="Arial" w:hAnsi="Arial" w:cs="Arial"/>
                <w:lang w:val="en-US"/>
              </w:rPr>
            </w:pPr>
            <w:r w:rsidRPr="005A1A39">
              <w:rPr>
                <w:rFonts w:ascii="Arial" w:hAnsi="Arial" w:cs="Arial"/>
                <w:lang w:val="en-US"/>
              </w:rPr>
              <w:t>22 (5.1)</w:t>
            </w:r>
          </w:p>
          <w:p w14:paraId="6E236AFD" w14:textId="77777777" w:rsidR="005A1A39" w:rsidRPr="005A1A39" w:rsidRDefault="005A1A39" w:rsidP="005A1A39">
            <w:pPr>
              <w:jc w:val="center"/>
              <w:rPr>
                <w:rFonts w:ascii="Arial" w:hAnsi="Arial" w:cs="Arial"/>
                <w:lang w:val="en-US"/>
              </w:rPr>
            </w:pPr>
          </w:p>
          <w:p w14:paraId="5FCC631F" w14:textId="77777777" w:rsidR="005A1A39" w:rsidRPr="005A1A39" w:rsidRDefault="005A1A39" w:rsidP="005A1A39">
            <w:pPr>
              <w:jc w:val="center"/>
              <w:rPr>
                <w:rFonts w:ascii="Arial" w:hAnsi="Arial" w:cs="Arial"/>
                <w:lang w:val="en-US"/>
              </w:rPr>
            </w:pPr>
            <w:r w:rsidRPr="005A1A39">
              <w:rPr>
                <w:rFonts w:ascii="Arial" w:hAnsi="Arial" w:cs="Arial"/>
                <w:lang w:val="en-US"/>
              </w:rPr>
              <w:t>258 (60.3)</w:t>
            </w:r>
          </w:p>
        </w:tc>
        <w:tc>
          <w:tcPr>
            <w:tcW w:w="1701" w:type="dxa"/>
            <w:tcBorders>
              <w:left w:val="nil"/>
              <w:right w:val="nil"/>
            </w:tcBorders>
          </w:tcPr>
          <w:p w14:paraId="3F0375CD" w14:textId="77777777" w:rsidR="005A1A39" w:rsidRPr="005A1A39" w:rsidRDefault="005A1A39" w:rsidP="005A1A39">
            <w:pPr>
              <w:jc w:val="center"/>
              <w:rPr>
                <w:rFonts w:ascii="Arial" w:hAnsi="Arial" w:cs="Arial"/>
                <w:lang w:val="en-US"/>
              </w:rPr>
            </w:pPr>
          </w:p>
          <w:p w14:paraId="02CB15A3" w14:textId="77777777" w:rsidR="005A1A39" w:rsidRPr="005A1A39" w:rsidRDefault="005A1A39" w:rsidP="005A1A39">
            <w:pPr>
              <w:jc w:val="center"/>
              <w:rPr>
                <w:rFonts w:ascii="Arial" w:hAnsi="Arial" w:cs="Arial"/>
                <w:lang w:val="en-US"/>
              </w:rPr>
            </w:pPr>
            <w:r w:rsidRPr="005A1A39">
              <w:rPr>
                <w:rFonts w:ascii="Arial" w:hAnsi="Arial" w:cs="Arial"/>
                <w:lang w:val="en-US"/>
              </w:rPr>
              <w:t>51 (18.5)</w:t>
            </w:r>
          </w:p>
          <w:p w14:paraId="4409D1BA" w14:textId="77777777" w:rsidR="005A1A39" w:rsidRPr="005A1A39" w:rsidRDefault="005A1A39" w:rsidP="005A1A39">
            <w:pPr>
              <w:jc w:val="center"/>
              <w:rPr>
                <w:rFonts w:ascii="Arial" w:hAnsi="Arial" w:cs="Arial"/>
                <w:lang w:val="en-US"/>
              </w:rPr>
            </w:pPr>
            <w:r w:rsidRPr="005A1A39">
              <w:rPr>
                <w:rFonts w:ascii="Arial" w:hAnsi="Arial" w:cs="Arial"/>
                <w:lang w:val="en-US"/>
              </w:rPr>
              <w:t>161 (58.3)</w:t>
            </w:r>
          </w:p>
          <w:p w14:paraId="47BF994D" w14:textId="77777777" w:rsidR="005A1A39" w:rsidRPr="005A1A39" w:rsidRDefault="005A1A39" w:rsidP="005A1A39">
            <w:pPr>
              <w:jc w:val="center"/>
              <w:rPr>
                <w:rFonts w:ascii="Arial" w:hAnsi="Arial" w:cs="Arial"/>
                <w:lang w:val="en-US"/>
              </w:rPr>
            </w:pPr>
            <w:r w:rsidRPr="005A1A39">
              <w:rPr>
                <w:rFonts w:ascii="Arial" w:hAnsi="Arial" w:cs="Arial"/>
                <w:lang w:val="en-US"/>
              </w:rPr>
              <w:t>78 (28.3)</w:t>
            </w:r>
          </w:p>
          <w:p w14:paraId="1C68E974" w14:textId="77777777" w:rsidR="005A1A39" w:rsidRPr="005A1A39" w:rsidRDefault="005A1A39" w:rsidP="005A1A39">
            <w:pPr>
              <w:jc w:val="center"/>
              <w:rPr>
                <w:rFonts w:ascii="Arial" w:hAnsi="Arial" w:cs="Arial"/>
                <w:lang w:val="en-US"/>
              </w:rPr>
            </w:pPr>
            <w:r w:rsidRPr="005A1A39">
              <w:rPr>
                <w:rFonts w:ascii="Arial" w:hAnsi="Arial" w:cs="Arial"/>
                <w:lang w:val="en-US"/>
              </w:rPr>
              <w:t>80 (29)</w:t>
            </w:r>
          </w:p>
          <w:p w14:paraId="7FD0CFBE" w14:textId="77777777" w:rsidR="005A1A39" w:rsidRPr="005A1A39" w:rsidRDefault="005A1A39" w:rsidP="005A1A39">
            <w:pPr>
              <w:jc w:val="center"/>
              <w:rPr>
                <w:rFonts w:ascii="Arial" w:hAnsi="Arial" w:cs="Arial"/>
                <w:lang w:val="en-US"/>
              </w:rPr>
            </w:pPr>
            <w:r w:rsidRPr="005A1A39">
              <w:rPr>
                <w:rFonts w:ascii="Arial" w:hAnsi="Arial" w:cs="Arial"/>
                <w:lang w:val="en-US"/>
              </w:rPr>
              <w:t>44 (15.9)</w:t>
            </w:r>
          </w:p>
          <w:p w14:paraId="08BEAC9B" w14:textId="77777777" w:rsidR="005A1A39" w:rsidRPr="005A1A39" w:rsidRDefault="005A1A39" w:rsidP="005A1A39">
            <w:pPr>
              <w:jc w:val="center"/>
              <w:rPr>
                <w:rFonts w:ascii="Arial" w:hAnsi="Arial" w:cs="Arial"/>
                <w:lang w:val="en-US"/>
              </w:rPr>
            </w:pPr>
            <w:r w:rsidRPr="005A1A39">
              <w:rPr>
                <w:rFonts w:ascii="Arial" w:hAnsi="Arial" w:cs="Arial"/>
                <w:lang w:val="en-US"/>
              </w:rPr>
              <w:t>3 (1.1)</w:t>
            </w:r>
          </w:p>
          <w:p w14:paraId="15F05E19" w14:textId="77777777" w:rsidR="005A1A39" w:rsidRPr="005A1A39" w:rsidRDefault="005A1A39" w:rsidP="005A1A39">
            <w:pPr>
              <w:jc w:val="center"/>
              <w:rPr>
                <w:rFonts w:ascii="Arial" w:hAnsi="Arial" w:cs="Arial"/>
                <w:lang w:val="en-US"/>
              </w:rPr>
            </w:pPr>
            <w:r w:rsidRPr="005A1A39">
              <w:rPr>
                <w:rFonts w:ascii="Arial" w:hAnsi="Arial" w:cs="Arial"/>
                <w:lang w:val="en-US"/>
              </w:rPr>
              <w:t>9 (3.3)</w:t>
            </w:r>
          </w:p>
          <w:p w14:paraId="4156A9DE" w14:textId="77777777" w:rsidR="005A1A39" w:rsidRPr="005A1A39" w:rsidRDefault="005A1A39" w:rsidP="005A1A39">
            <w:pPr>
              <w:jc w:val="center"/>
              <w:rPr>
                <w:rFonts w:ascii="Arial" w:hAnsi="Arial" w:cs="Arial"/>
                <w:lang w:val="en-US"/>
              </w:rPr>
            </w:pPr>
            <w:r w:rsidRPr="005A1A39">
              <w:rPr>
                <w:rFonts w:ascii="Arial" w:hAnsi="Arial" w:cs="Arial"/>
                <w:lang w:val="en-US"/>
              </w:rPr>
              <w:t>20 (7.3)</w:t>
            </w:r>
          </w:p>
          <w:p w14:paraId="34BF79BF" w14:textId="77777777" w:rsidR="005A1A39" w:rsidRPr="005A1A39" w:rsidRDefault="005A1A39" w:rsidP="005A1A39">
            <w:pPr>
              <w:jc w:val="center"/>
              <w:rPr>
                <w:rFonts w:ascii="Arial" w:hAnsi="Arial" w:cs="Arial"/>
                <w:lang w:val="en-US"/>
              </w:rPr>
            </w:pPr>
          </w:p>
          <w:p w14:paraId="30AE74E5" w14:textId="77777777" w:rsidR="005A1A39" w:rsidRPr="005A1A39" w:rsidRDefault="005A1A39" w:rsidP="005A1A39">
            <w:pPr>
              <w:jc w:val="center"/>
              <w:rPr>
                <w:rFonts w:ascii="Arial" w:hAnsi="Arial" w:cs="Arial"/>
                <w:lang w:val="en-US"/>
              </w:rPr>
            </w:pPr>
            <w:r w:rsidRPr="005A1A39">
              <w:rPr>
                <w:rFonts w:ascii="Arial" w:hAnsi="Arial" w:cs="Arial"/>
                <w:lang w:val="en-US"/>
              </w:rPr>
              <w:t>176 (63.8)</w:t>
            </w:r>
          </w:p>
        </w:tc>
        <w:tc>
          <w:tcPr>
            <w:tcW w:w="1134" w:type="dxa"/>
            <w:tcBorders>
              <w:left w:val="nil"/>
            </w:tcBorders>
          </w:tcPr>
          <w:p w14:paraId="2FC74D3C" w14:textId="77777777" w:rsidR="005A1A39" w:rsidRPr="005A1A39" w:rsidRDefault="005A1A39" w:rsidP="005A1A39">
            <w:pPr>
              <w:jc w:val="center"/>
              <w:rPr>
                <w:rFonts w:ascii="Arial" w:hAnsi="Arial" w:cs="Arial"/>
                <w:lang w:val="en-US"/>
              </w:rPr>
            </w:pPr>
          </w:p>
          <w:p w14:paraId="0BEABAAF" w14:textId="77777777" w:rsidR="005A1A39" w:rsidRPr="005A1A39" w:rsidRDefault="005A1A39" w:rsidP="005A1A39">
            <w:pPr>
              <w:jc w:val="center"/>
              <w:rPr>
                <w:rFonts w:ascii="Arial" w:hAnsi="Arial" w:cs="Arial"/>
                <w:lang w:val="en-US"/>
              </w:rPr>
            </w:pPr>
            <w:r w:rsidRPr="005A1A39">
              <w:rPr>
                <w:rFonts w:ascii="Arial" w:hAnsi="Arial" w:cs="Arial"/>
                <w:lang w:val="en-US"/>
              </w:rPr>
              <w:t>0.991</w:t>
            </w:r>
          </w:p>
          <w:p w14:paraId="470894C7" w14:textId="77777777" w:rsidR="005A1A39" w:rsidRPr="005A1A39" w:rsidRDefault="005A1A39" w:rsidP="005A1A39">
            <w:pPr>
              <w:jc w:val="center"/>
              <w:rPr>
                <w:rFonts w:ascii="Arial" w:hAnsi="Arial" w:cs="Arial"/>
                <w:lang w:val="en-US"/>
              </w:rPr>
            </w:pPr>
            <w:r w:rsidRPr="005A1A39">
              <w:rPr>
                <w:rFonts w:ascii="Arial" w:hAnsi="Arial" w:cs="Arial"/>
                <w:lang w:val="en-US"/>
              </w:rPr>
              <w:t>0.487</w:t>
            </w:r>
          </w:p>
          <w:p w14:paraId="2F4081E4" w14:textId="77777777" w:rsidR="005A1A39" w:rsidRPr="005A1A39" w:rsidRDefault="005A1A39" w:rsidP="005A1A39">
            <w:pPr>
              <w:jc w:val="center"/>
              <w:rPr>
                <w:rFonts w:ascii="Arial" w:hAnsi="Arial" w:cs="Arial"/>
                <w:lang w:val="en-US"/>
              </w:rPr>
            </w:pPr>
            <w:r w:rsidRPr="005A1A39">
              <w:rPr>
                <w:rFonts w:ascii="Arial" w:hAnsi="Arial" w:cs="Arial"/>
                <w:lang w:val="en-US"/>
              </w:rPr>
              <w:t>0.003</w:t>
            </w:r>
          </w:p>
          <w:p w14:paraId="58C3DB5F" w14:textId="77777777" w:rsidR="005A1A39" w:rsidRPr="005A1A39" w:rsidRDefault="005A1A39" w:rsidP="005A1A39">
            <w:pPr>
              <w:jc w:val="center"/>
              <w:rPr>
                <w:rFonts w:ascii="Arial" w:hAnsi="Arial" w:cs="Arial"/>
                <w:lang w:val="en-US"/>
              </w:rPr>
            </w:pPr>
            <w:r w:rsidRPr="005A1A39">
              <w:rPr>
                <w:rFonts w:ascii="Arial" w:hAnsi="Arial" w:cs="Arial"/>
                <w:lang w:val="en-US"/>
              </w:rPr>
              <w:t>0.632</w:t>
            </w:r>
          </w:p>
          <w:p w14:paraId="6CC3B9A7" w14:textId="77777777" w:rsidR="005A1A39" w:rsidRPr="005A1A39" w:rsidRDefault="005A1A39" w:rsidP="005A1A39">
            <w:pPr>
              <w:jc w:val="center"/>
              <w:rPr>
                <w:rFonts w:ascii="Arial" w:hAnsi="Arial" w:cs="Arial"/>
                <w:lang w:val="en-US"/>
              </w:rPr>
            </w:pPr>
            <w:r w:rsidRPr="005A1A39">
              <w:rPr>
                <w:rFonts w:ascii="Arial" w:hAnsi="Arial" w:cs="Arial"/>
                <w:lang w:val="en-US"/>
              </w:rPr>
              <w:t>0.7</w:t>
            </w:r>
          </w:p>
          <w:p w14:paraId="2BB63C52" w14:textId="77777777" w:rsidR="005A1A39" w:rsidRPr="005A1A39" w:rsidRDefault="005A1A39" w:rsidP="005A1A39">
            <w:pPr>
              <w:jc w:val="center"/>
              <w:rPr>
                <w:rFonts w:ascii="Arial" w:hAnsi="Arial" w:cs="Arial"/>
                <w:lang w:val="en-US"/>
              </w:rPr>
            </w:pPr>
            <w:r w:rsidRPr="005A1A39">
              <w:rPr>
                <w:rFonts w:ascii="Arial" w:hAnsi="Arial" w:cs="Arial"/>
                <w:lang w:val="en-US"/>
              </w:rPr>
              <w:t>0.552</w:t>
            </w:r>
          </w:p>
          <w:p w14:paraId="0934EAFC" w14:textId="77777777" w:rsidR="005A1A39" w:rsidRPr="005A1A39" w:rsidRDefault="005A1A39" w:rsidP="005A1A39">
            <w:pPr>
              <w:jc w:val="center"/>
              <w:rPr>
                <w:rFonts w:ascii="Arial" w:hAnsi="Arial" w:cs="Arial"/>
                <w:lang w:val="en-US"/>
              </w:rPr>
            </w:pPr>
            <w:r w:rsidRPr="005A1A39">
              <w:rPr>
                <w:rFonts w:ascii="Arial" w:hAnsi="Arial" w:cs="Arial"/>
                <w:lang w:val="en-US"/>
              </w:rPr>
              <w:t>0.582</w:t>
            </w:r>
          </w:p>
          <w:p w14:paraId="4E278D2E" w14:textId="77777777" w:rsidR="005A1A39" w:rsidRPr="005A1A39" w:rsidRDefault="005A1A39" w:rsidP="005A1A39">
            <w:pPr>
              <w:jc w:val="center"/>
              <w:rPr>
                <w:rFonts w:ascii="Arial" w:hAnsi="Arial" w:cs="Arial"/>
                <w:lang w:val="en-US"/>
              </w:rPr>
            </w:pPr>
            <w:r w:rsidRPr="005A1A39">
              <w:rPr>
                <w:rFonts w:ascii="Arial" w:hAnsi="Arial" w:cs="Arial"/>
                <w:lang w:val="en-US"/>
              </w:rPr>
              <w:t>0.003</w:t>
            </w:r>
          </w:p>
          <w:p w14:paraId="5E5FEA10" w14:textId="77777777" w:rsidR="005A1A39" w:rsidRPr="005A1A39" w:rsidRDefault="005A1A39" w:rsidP="005A1A39">
            <w:pPr>
              <w:jc w:val="center"/>
              <w:rPr>
                <w:rFonts w:ascii="Arial" w:hAnsi="Arial" w:cs="Arial"/>
                <w:lang w:val="en-US"/>
              </w:rPr>
            </w:pPr>
          </w:p>
          <w:p w14:paraId="20A3452D" w14:textId="77777777" w:rsidR="005A1A39" w:rsidRPr="005A1A39" w:rsidRDefault="005A1A39" w:rsidP="005A1A39">
            <w:pPr>
              <w:jc w:val="center"/>
              <w:rPr>
                <w:rFonts w:ascii="Arial" w:hAnsi="Arial" w:cs="Arial"/>
                <w:lang w:val="en-US"/>
              </w:rPr>
            </w:pPr>
            <w:r w:rsidRPr="005A1A39">
              <w:rPr>
                <w:rFonts w:ascii="Arial" w:hAnsi="Arial" w:cs="Arial"/>
                <w:lang w:val="en-US"/>
              </w:rPr>
              <w:t>0.004</w:t>
            </w:r>
          </w:p>
        </w:tc>
      </w:tr>
      <w:tr w:rsidR="005A1A39" w:rsidRPr="005A1A39" w14:paraId="57303C5B" w14:textId="77777777" w:rsidTr="00280481">
        <w:tc>
          <w:tcPr>
            <w:tcW w:w="4253" w:type="dxa"/>
            <w:tcBorders>
              <w:right w:val="nil"/>
            </w:tcBorders>
          </w:tcPr>
          <w:p w14:paraId="7B01D4DA" w14:textId="77777777" w:rsidR="005A1A39" w:rsidRPr="005A1A39" w:rsidRDefault="005A1A39" w:rsidP="005A1A39">
            <w:pPr>
              <w:jc w:val="both"/>
              <w:rPr>
                <w:rFonts w:ascii="Arial" w:hAnsi="Arial" w:cs="Arial"/>
                <w:lang w:val="en-US"/>
              </w:rPr>
            </w:pPr>
            <w:r w:rsidRPr="005A1A39">
              <w:rPr>
                <w:rFonts w:ascii="Arial" w:hAnsi="Arial" w:cs="Arial"/>
                <w:lang w:val="en-US"/>
              </w:rPr>
              <w:t>Risk stratification (n=1107)</w:t>
            </w:r>
          </w:p>
          <w:p w14:paraId="104FB565" w14:textId="77777777" w:rsidR="005A1A39" w:rsidRPr="005A1A39" w:rsidRDefault="005A1A39" w:rsidP="005A1A39">
            <w:pPr>
              <w:jc w:val="both"/>
              <w:rPr>
                <w:rFonts w:ascii="Arial" w:hAnsi="Arial" w:cs="Arial"/>
                <w:lang w:val="en-US"/>
              </w:rPr>
            </w:pPr>
            <w:r w:rsidRPr="005A1A39">
              <w:rPr>
                <w:rFonts w:ascii="Arial" w:hAnsi="Arial" w:cs="Arial"/>
                <w:lang w:val="en-US"/>
              </w:rPr>
              <w:t>Low</w:t>
            </w:r>
          </w:p>
          <w:p w14:paraId="5CEEA374" w14:textId="77777777" w:rsidR="005A1A39" w:rsidRPr="005A1A39" w:rsidRDefault="005A1A39" w:rsidP="005A1A39">
            <w:pPr>
              <w:jc w:val="both"/>
              <w:rPr>
                <w:rFonts w:ascii="Arial" w:hAnsi="Arial" w:cs="Arial"/>
                <w:lang w:val="en-US"/>
              </w:rPr>
            </w:pPr>
            <w:r w:rsidRPr="005A1A39">
              <w:rPr>
                <w:rFonts w:ascii="Arial" w:hAnsi="Arial" w:cs="Arial"/>
                <w:lang w:val="en-US"/>
              </w:rPr>
              <w:t>Intermediate</w:t>
            </w:r>
          </w:p>
          <w:p w14:paraId="4A018915" w14:textId="77777777" w:rsidR="005A1A39" w:rsidRPr="005A1A39" w:rsidRDefault="005A1A39" w:rsidP="005A1A39">
            <w:pPr>
              <w:jc w:val="both"/>
              <w:rPr>
                <w:rFonts w:ascii="Arial" w:hAnsi="Arial" w:cs="Arial"/>
                <w:lang w:val="en-US"/>
              </w:rPr>
            </w:pPr>
            <w:r w:rsidRPr="005A1A39">
              <w:rPr>
                <w:rFonts w:ascii="Arial" w:hAnsi="Arial" w:cs="Arial"/>
                <w:lang w:val="en-US"/>
              </w:rPr>
              <w:t>High</w:t>
            </w:r>
          </w:p>
        </w:tc>
        <w:tc>
          <w:tcPr>
            <w:tcW w:w="1984" w:type="dxa"/>
            <w:tcBorders>
              <w:left w:val="nil"/>
              <w:right w:val="nil"/>
            </w:tcBorders>
          </w:tcPr>
          <w:p w14:paraId="37F4D2B5" w14:textId="77777777" w:rsidR="005A1A39" w:rsidRPr="005A1A39" w:rsidRDefault="005A1A39" w:rsidP="005A1A39">
            <w:pPr>
              <w:jc w:val="center"/>
              <w:rPr>
                <w:rFonts w:ascii="Arial" w:hAnsi="Arial" w:cs="Arial"/>
                <w:lang w:val="en-US"/>
              </w:rPr>
            </w:pPr>
          </w:p>
          <w:p w14:paraId="464428B2" w14:textId="77777777" w:rsidR="005A1A39" w:rsidRPr="005A1A39" w:rsidRDefault="005A1A39" w:rsidP="005A1A39">
            <w:pPr>
              <w:jc w:val="center"/>
              <w:rPr>
                <w:rFonts w:ascii="Arial" w:hAnsi="Arial" w:cs="Arial"/>
                <w:lang w:val="en-US"/>
              </w:rPr>
            </w:pPr>
            <w:r w:rsidRPr="005A1A39">
              <w:rPr>
                <w:rFonts w:ascii="Arial" w:hAnsi="Arial" w:cs="Arial"/>
                <w:lang w:val="en-US"/>
              </w:rPr>
              <w:t>257 (44.5)</w:t>
            </w:r>
          </w:p>
          <w:p w14:paraId="3FD9FE52" w14:textId="77777777" w:rsidR="005A1A39" w:rsidRPr="005A1A39" w:rsidRDefault="005A1A39" w:rsidP="005A1A39">
            <w:pPr>
              <w:jc w:val="center"/>
              <w:rPr>
                <w:rFonts w:ascii="Arial" w:hAnsi="Arial" w:cs="Arial"/>
                <w:lang w:val="en-US"/>
              </w:rPr>
            </w:pPr>
            <w:r w:rsidRPr="005A1A39">
              <w:rPr>
                <w:rFonts w:ascii="Arial" w:hAnsi="Arial" w:cs="Arial"/>
                <w:lang w:val="en-US"/>
              </w:rPr>
              <w:t>283 (49.1)</w:t>
            </w:r>
          </w:p>
          <w:p w14:paraId="28FE5879" w14:textId="77777777" w:rsidR="005A1A39" w:rsidRPr="005A1A39" w:rsidRDefault="005A1A39" w:rsidP="005A1A39">
            <w:pPr>
              <w:jc w:val="center"/>
              <w:rPr>
                <w:rFonts w:ascii="Arial" w:hAnsi="Arial" w:cs="Arial"/>
                <w:lang w:val="en-US"/>
              </w:rPr>
            </w:pPr>
            <w:r w:rsidRPr="005A1A39">
              <w:rPr>
                <w:rFonts w:ascii="Arial" w:hAnsi="Arial" w:cs="Arial"/>
                <w:lang w:val="en-US"/>
              </w:rPr>
              <w:t>37 (6.4)</w:t>
            </w:r>
          </w:p>
        </w:tc>
        <w:tc>
          <w:tcPr>
            <w:tcW w:w="1843" w:type="dxa"/>
            <w:tcBorders>
              <w:left w:val="nil"/>
              <w:right w:val="nil"/>
            </w:tcBorders>
          </w:tcPr>
          <w:p w14:paraId="4094D4C7" w14:textId="77777777" w:rsidR="005A1A39" w:rsidRPr="005A1A39" w:rsidRDefault="005A1A39" w:rsidP="005A1A39">
            <w:pPr>
              <w:jc w:val="center"/>
              <w:rPr>
                <w:rFonts w:ascii="Arial" w:hAnsi="Arial" w:cs="Arial"/>
                <w:lang w:val="en-US"/>
              </w:rPr>
            </w:pPr>
          </w:p>
          <w:p w14:paraId="28B3A053" w14:textId="77777777" w:rsidR="005A1A39" w:rsidRPr="005A1A39" w:rsidRDefault="005A1A39" w:rsidP="005A1A39">
            <w:pPr>
              <w:jc w:val="center"/>
              <w:rPr>
                <w:rFonts w:ascii="Arial" w:hAnsi="Arial" w:cs="Arial"/>
                <w:lang w:val="en-US"/>
              </w:rPr>
            </w:pPr>
            <w:r w:rsidRPr="005A1A39">
              <w:rPr>
                <w:rFonts w:ascii="Arial" w:hAnsi="Arial" w:cs="Arial"/>
                <w:lang w:val="en-US"/>
              </w:rPr>
              <w:t>96 (29.4)</w:t>
            </w:r>
          </w:p>
          <w:p w14:paraId="0E1A5551" w14:textId="77777777" w:rsidR="005A1A39" w:rsidRPr="005A1A39" w:rsidRDefault="005A1A39" w:rsidP="005A1A39">
            <w:pPr>
              <w:jc w:val="center"/>
              <w:rPr>
                <w:rFonts w:ascii="Arial" w:hAnsi="Arial" w:cs="Arial"/>
                <w:lang w:val="en-US"/>
              </w:rPr>
            </w:pPr>
            <w:r w:rsidRPr="005A1A39">
              <w:rPr>
                <w:rFonts w:ascii="Arial" w:hAnsi="Arial" w:cs="Arial"/>
                <w:lang w:val="en-US"/>
              </w:rPr>
              <w:t>164 (50.1)</w:t>
            </w:r>
          </w:p>
          <w:p w14:paraId="2347AAA4" w14:textId="77777777" w:rsidR="005A1A39" w:rsidRPr="005A1A39" w:rsidRDefault="005A1A39" w:rsidP="005A1A39">
            <w:pPr>
              <w:jc w:val="center"/>
              <w:rPr>
                <w:rFonts w:ascii="Arial" w:hAnsi="Arial" w:cs="Arial"/>
                <w:lang w:val="en-US"/>
              </w:rPr>
            </w:pPr>
            <w:r w:rsidRPr="005A1A39">
              <w:rPr>
                <w:rFonts w:ascii="Arial" w:hAnsi="Arial" w:cs="Arial"/>
                <w:lang w:val="en-US"/>
              </w:rPr>
              <w:t>67 (20.5)</w:t>
            </w:r>
          </w:p>
        </w:tc>
        <w:tc>
          <w:tcPr>
            <w:tcW w:w="1701" w:type="dxa"/>
            <w:tcBorders>
              <w:left w:val="nil"/>
              <w:right w:val="nil"/>
            </w:tcBorders>
          </w:tcPr>
          <w:p w14:paraId="0F6A217C" w14:textId="77777777" w:rsidR="005A1A39" w:rsidRPr="005A1A39" w:rsidRDefault="005A1A39" w:rsidP="005A1A39">
            <w:pPr>
              <w:jc w:val="center"/>
              <w:rPr>
                <w:rFonts w:ascii="Arial" w:hAnsi="Arial" w:cs="Arial"/>
                <w:lang w:val="en-US"/>
              </w:rPr>
            </w:pPr>
          </w:p>
          <w:p w14:paraId="75934598" w14:textId="77777777" w:rsidR="005A1A39" w:rsidRPr="005A1A39" w:rsidRDefault="005A1A39" w:rsidP="005A1A39">
            <w:pPr>
              <w:jc w:val="center"/>
              <w:rPr>
                <w:rFonts w:ascii="Arial" w:hAnsi="Arial" w:cs="Arial"/>
                <w:lang w:val="en-US"/>
              </w:rPr>
            </w:pPr>
            <w:r w:rsidRPr="005A1A39">
              <w:rPr>
                <w:rFonts w:ascii="Arial" w:hAnsi="Arial" w:cs="Arial"/>
                <w:lang w:val="en-US"/>
              </w:rPr>
              <w:t>54 (26.6)</w:t>
            </w:r>
          </w:p>
          <w:p w14:paraId="2DE1D739" w14:textId="77777777" w:rsidR="005A1A39" w:rsidRPr="005A1A39" w:rsidRDefault="005A1A39" w:rsidP="005A1A39">
            <w:pPr>
              <w:jc w:val="center"/>
              <w:rPr>
                <w:rFonts w:ascii="Arial" w:hAnsi="Arial" w:cs="Arial"/>
                <w:lang w:val="en-US"/>
              </w:rPr>
            </w:pPr>
            <w:r w:rsidRPr="005A1A39">
              <w:rPr>
                <w:rFonts w:ascii="Arial" w:hAnsi="Arial" w:cs="Arial"/>
                <w:lang w:val="en-US"/>
              </w:rPr>
              <w:t>119 (58.6)</w:t>
            </w:r>
          </w:p>
          <w:p w14:paraId="4C0A7B0D" w14:textId="77777777" w:rsidR="005A1A39" w:rsidRPr="005A1A39" w:rsidRDefault="005A1A39" w:rsidP="005A1A39">
            <w:pPr>
              <w:jc w:val="center"/>
              <w:rPr>
                <w:rFonts w:ascii="Arial" w:hAnsi="Arial" w:cs="Arial"/>
                <w:lang w:val="en-US"/>
              </w:rPr>
            </w:pPr>
            <w:r w:rsidRPr="005A1A39">
              <w:rPr>
                <w:rFonts w:ascii="Arial" w:hAnsi="Arial" w:cs="Arial"/>
                <w:lang w:val="en-US"/>
              </w:rPr>
              <w:t>30 (14.8)</w:t>
            </w:r>
          </w:p>
        </w:tc>
        <w:tc>
          <w:tcPr>
            <w:tcW w:w="1134" w:type="dxa"/>
            <w:tcBorders>
              <w:left w:val="nil"/>
            </w:tcBorders>
          </w:tcPr>
          <w:p w14:paraId="491F774A" w14:textId="77777777" w:rsidR="005A1A39" w:rsidRPr="005A1A39" w:rsidRDefault="005A1A39" w:rsidP="005A1A39">
            <w:pPr>
              <w:jc w:val="center"/>
              <w:rPr>
                <w:rFonts w:ascii="Arial" w:hAnsi="Arial" w:cs="Arial"/>
                <w:lang w:val="en-US"/>
              </w:rPr>
            </w:pPr>
            <w:r w:rsidRPr="005A1A39">
              <w:rPr>
                <w:rFonts w:ascii="Arial" w:hAnsi="Arial" w:cs="Arial"/>
                <w:lang w:val="en-US"/>
              </w:rPr>
              <w:t>&lt;0.001</w:t>
            </w:r>
          </w:p>
        </w:tc>
      </w:tr>
      <w:tr w:rsidR="005A1A39" w:rsidRPr="005A1A39" w14:paraId="380549DB" w14:textId="77777777" w:rsidTr="00280481">
        <w:trPr>
          <w:trHeight w:val="263"/>
        </w:trPr>
        <w:tc>
          <w:tcPr>
            <w:tcW w:w="10915" w:type="dxa"/>
            <w:gridSpan w:val="5"/>
            <w:tcBorders>
              <w:bottom w:val="single" w:sz="4" w:space="0" w:color="auto"/>
            </w:tcBorders>
          </w:tcPr>
          <w:p w14:paraId="70884D2A" w14:textId="77777777" w:rsidR="005A1A39" w:rsidRPr="005A1A39" w:rsidRDefault="005A1A39" w:rsidP="005A1A39">
            <w:pPr>
              <w:jc w:val="center"/>
              <w:rPr>
                <w:rFonts w:ascii="Arial" w:hAnsi="Arial" w:cs="Arial"/>
                <w:lang w:val="en-US"/>
              </w:rPr>
            </w:pPr>
          </w:p>
        </w:tc>
      </w:tr>
      <w:tr w:rsidR="005A1A39" w:rsidRPr="005A1A39" w14:paraId="4AFC97DA" w14:textId="77777777" w:rsidTr="00280481">
        <w:trPr>
          <w:cantSplit/>
          <w:trHeight w:val="263"/>
        </w:trPr>
        <w:tc>
          <w:tcPr>
            <w:tcW w:w="4253" w:type="dxa"/>
            <w:vMerge w:val="restart"/>
            <w:tcBorders>
              <w:right w:val="nil"/>
            </w:tcBorders>
          </w:tcPr>
          <w:p w14:paraId="3DEF2B4E" w14:textId="77777777" w:rsidR="005A1A39" w:rsidRPr="005A1A39" w:rsidRDefault="005A1A39" w:rsidP="005A1A39">
            <w:pPr>
              <w:jc w:val="both"/>
              <w:rPr>
                <w:rFonts w:ascii="Arial" w:hAnsi="Arial" w:cs="Arial"/>
                <w:lang w:val="en-US"/>
              </w:rPr>
            </w:pPr>
            <w:r w:rsidRPr="005A1A39">
              <w:rPr>
                <w:rFonts w:ascii="Arial" w:hAnsi="Arial" w:cs="Arial"/>
                <w:lang w:val="en-US"/>
              </w:rPr>
              <w:t>Chemotherapy group</w:t>
            </w:r>
          </w:p>
          <w:p w14:paraId="1B5D1386" w14:textId="77777777" w:rsidR="005A1A39" w:rsidRPr="005A1A39" w:rsidRDefault="005A1A39" w:rsidP="005A1A39">
            <w:pPr>
              <w:jc w:val="both"/>
              <w:rPr>
                <w:rFonts w:ascii="Arial" w:hAnsi="Arial" w:cs="Arial"/>
                <w:lang w:val="en-US"/>
              </w:rPr>
            </w:pPr>
          </w:p>
        </w:tc>
        <w:tc>
          <w:tcPr>
            <w:tcW w:w="1984" w:type="dxa"/>
            <w:vMerge w:val="restart"/>
            <w:tcBorders>
              <w:left w:val="nil"/>
              <w:right w:val="nil"/>
            </w:tcBorders>
          </w:tcPr>
          <w:p w14:paraId="5CC2BA65" w14:textId="77777777" w:rsidR="005A1A39" w:rsidRPr="005A1A39" w:rsidRDefault="005A1A39" w:rsidP="005A1A39">
            <w:pPr>
              <w:jc w:val="center"/>
              <w:rPr>
                <w:rFonts w:ascii="Arial" w:hAnsi="Arial" w:cs="Arial"/>
                <w:lang w:val="en-US"/>
              </w:rPr>
            </w:pPr>
            <w:r w:rsidRPr="005A1A39">
              <w:rPr>
                <w:rFonts w:ascii="Arial" w:hAnsi="Arial" w:cs="Arial"/>
                <w:lang w:val="en-US"/>
              </w:rPr>
              <w:t>n (%)</w:t>
            </w:r>
          </w:p>
          <w:p w14:paraId="35758FCE" w14:textId="77777777" w:rsidR="005A1A39" w:rsidRPr="005A1A39" w:rsidRDefault="005A1A39" w:rsidP="005A1A39">
            <w:pPr>
              <w:jc w:val="center"/>
              <w:rPr>
                <w:rFonts w:ascii="Arial" w:hAnsi="Arial" w:cs="Arial"/>
                <w:lang w:val="en-US"/>
              </w:rPr>
            </w:pPr>
          </w:p>
        </w:tc>
        <w:tc>
          <w:tcPr>
            <w:tcW w:w="3544" w:type="dxa"/>
            <w:gridSpan w:val="2"/>
            <w:tcBorders>
              <w:left w:val="nil"/>
              <w:right w:val="nil"/>
            </w:tcBorders>
          </w:tcPr>
          <w:p w14:paraId="7A1AA6E0" w14:textId="77777777" w:rsidR="005A1A39" w:rsidRPr="005A1A39" w:rsidRDefault="005A1A39" w:rsidP="005A1A39">
            <w:pPr>
              <w:jc w:val="center"/>
              <w:rPr>
                <w:rFonts w:ascii="Arial" w:hAnsi="Arial" w:cs="Arial"/>
                <w:lang w:val="en-US"/>
              </w:rPr>
            </w:pPr>
            <w:r w:rsidRPr="005A1A39">
              <w:rPr>
                <w:rFonts w:ascii="Arial" w:hAnsi="Arial" w:cs="Arial"/>
                <w:lang w:val="en-US"/>
              </w:rPr>
              <w:t>cycles</w:t>
            </w:r>
          </w:p>
        </w:tc>
        <w:tc>
          <w:tcPr>
            <w:tcW w:w="1134" w:type="dxa"/>
            <w:vMerge w:val="restart"/>
            <w:tcBorders>
              <w:left w:val="nil"/>
            </w:tcBorders>
          </w:tcPr>
          <w:p w14:paraId="6B80E5CB" w14:textId="77777777" w:rsidR="005A1A39" w:rsidRPr="005A1A39" w:rsidRDefault="005A1A39" w:rsidP="005A1A39">
            <w:pPr>
              <w:jc w:val="center"/>
              <w:rPr>
                <w:rFonts w:ascii="Arial" w:hAnsi="Arial" w:cs="Arial"/>
                <w:lang w:val="en-US"/>
              </w:rPr>
            </w:pPr>
          </w:p>
        </w:tc>
      </w:tr>
      <w:tr w:rsidR="005A1A39" w:rsidRPr="005A1A39" w14:paraId="03260462" w14:textId="77777777" w:rsidTr="00280481">
        <w:trPr>
          <w:cantSplit/>
          <w:trHeight w:val="267"/>
        </w:trPr>
        <w:tc>
          <w:tcPr>
            <w:tcW w:w="4253" w:type="dxa"/>
            <w:vMerge/>
            <w:tcBorders>
              <w:right w:val="nil"/>
            </w:tcBorders>
          </w:tcPr>
          <w:p w14:paraId="575A70D1" w14:textId="77777777" w:rsidR="005A1A39" w:rsidRPr="005A1A39" w:rsidRDefault="005A1A39" w:rsidP="005A1A39">
            <w:pPr>
              <w:jc w:val="both"/>
              <w:rPr>
                <w:rFonts w:ascii="Arial" w:hAnsi="Arial" w:cs="Arial"/>
                <w:lang w:val="en-US"/>
              </w:rPr>
            </w:pPr>
          </w:p>
        </w:tc>
        <w:tc>
          <w:tcPr>
            <w:tcW w:w="1984" w:type="dxa"/>
            <w:vMerge/>
            <w:tcBorders>
              <w:left w:val="nil"/>
              <w:right w:val="nil"/>
            </w:tcBorders>
          </w:tcPr>
          <w:p w14:paraId="43A6EDF9" w14:textId="77777777" w:rsidR="005A1A39" w:rsidRPr="005A1A39" w:rsidRDefault="005A1A39" w:rsidP="005A1A39">
            <w:pPr>
              <w:jc w:val="center"/>
              <w:rPr>
                <w:rFonts w:ascii="Arial" w:hAnsi="Arial" w:cs="Arial"/>
                <w:lang w:val="en-US"/>
              </w:rPr>
            </w:pPr>
          </w:p>
        </w:tc>
        <w:tc>
          <w:tcPr>
            <w:tcW w:w="1843" w:type="dxa"/>
            <w:tcBorders>
              <w:left w:val="nil"/>
              <w:right w:val="nil"/>
            </w:tcBorders>
          </w:tcPr>
          <w:p w14:paraId="76044072" w14:textId="77777777" w:rsidR="005A1A39" w:rsidRPr="005A1A39" w:rsidRDefault="005A1A39" w:rsidP="005A1A39">
            <w:pPr>
              <w:jc w:val="center"/>
              <w:rPr>
                <w:rFonts w:ascii="Arial" w:hAnsi="Arial" w:cs="Arial"/>
                <w:lang w:val="en-US"/>
              </w:rPr>
            </w:pPr>
            <w:r w:rsidRPr="005A1A39">
              <w:rPr>
                <w:rFonts w:ascii="Arial" w:hAnsi="Arial" w:cs="Arial"/>
                <w:lang w:val="en-US"/>
              </w:rPr>
              <w:t>Median</w:t>
            </w:r>
          </w:p>
        </w:tc>
        <w:tc>
          <w:tcPr>
            <w:tcW w:w="1701" w:type="dxa"/>
            <w:tcBorders>
              <w:left w:val="nil"/>
              <w:right w:val="nil"/>
            </w:tcBorders>
          </w:tcPr>
          <w:p w14:paraId="1C295133" w14:textId="77777777" w:rsidR="005A1A39" w:rsidRPr="005A1A39" w:rsidRDefault="005A1A39" w:rsidP="005A1A39">
            <w:pPr>
              <w:jc w:val="center"/>
              <w:rPr>
                <w:rFonts w:ascii="Arial" w:hAnsi="Arial" w:cs="Arial"/>
                <w:lang w:val="en-US"/>
              </w:rPr>
            </w:pPr>
            <w:r w:rsidRPr="005A1A39">
              <w:rPr>
                <w:rFonts w:ascii="Arial" w:hAnsi="Arial" w:cs="Arial"/>
                <w:lang w:val="en-US"/>
              </w:rPr>
              <w:t>Range</w:t>
            </w:r>
          </w:p>
        </w:tc>
        <w:tc>
          <w:tcPr>
            <w:tcW w:w="1134" w:type="dxa"/>
            <w:vMerge/>
            <w:tcBorders>
              <w:left w:val="nil"/>
            </w:tcBorders>
          </w:tcPr>
          <w:p w14:paraId="781CC7B3" w14:textId="77777777" w:rsidR="005A1A39" w:rsidRPr="005A1A39" w:rsidRDefault="005A1A39" w:rsidP="005A1A39">
            <w:pPr>
              <w:jc w:val="center"/>
              <w:rPr>
                <w:rFonts w:ascii="Arial" w:hAnsi="Arial" w:cs="Arial"/>
                <w:lang w:val="en-US"/>
              </w:rPr>
            </w:pPr>
          </w:p>
        </w:tc>
      </w:tr>
      <w:tr w:rsidR="005A1A39" w:rsidRPr="005A1A39" w14:paraId="4FED2EEB" w14:textId="77777777" w:rsidTr="00280481">
        <w:trPr>
          <w:trHeight w:val="838"/>
        </w:trPr>
        <w:tc>
          <w:tcPr>
            <w:tcW w:w="4253" w:type="dxa"/>
            <w:tcBorders>
              <w:right w:val="nil"/>
            </w:tcBorders>
          </w:tcPr>
          <w:p w14:paraId="6482DBDF" w14:textId="77777777" w:rsidR="005A1A39" w:rsidRPr="005A1A39" w:rsidRDefault="005A1A39" w:rsidP="005A1A39">
            <w:pPr>
              <w:jc w:val="both"/>
              <w:rPr>
                <w:rFonts w:ascii="Arial" w:hAnsi="Arial" w:cs="Arial"/>
                <w:lang w:val="en-US"/>
              </w:rPr>
            </w:pPr>
            <w:r w:rsidRPr="005A1A39">
              <w:rPr>
                <w:rFonts w:ascii="Arial" w:hAnsi="Arial" w:cs="Arial"/>
                <w:lang w:val="en-US"/>
              </w:rPr>
              <w:t>Cisplatin-based</w:t>
            </w:r>
          </w:p>
          <w:p w14:paraId="0B39E3AB" w14:textId="77777777" w:rsidR="005A1A39" w:rsidRPr="005A1A39" w:rsidRDefault="005A1A39" w:rsidP="005A1A39">
            <w:pPr>
              <w:jc w:val="both"/>
              <w:rPr>
                <w:rFonts w:ascii="Arial" w:hAnsi="Arial" w:cs="Arial"/>
                <w:lang w:val="en-US"/>
              </w:rPr>
            </w:pPr>
            <w:r w:rsidRPr="005A1A39">
              <w:rPr>
                <w:rFonts w:ascii="Arial" w:hAnsi="Arial" w:cs="Arial"/>
                <w:lang w:val="en-US"/>
              </w:rPr>
              <w:t>Carboplatin-based</w:t>
            </w:r>
          </w:p>
          <w:p w14:paraId="46DFBF95" w14:textId="77777777" w:rsidR="005A1A39" w:rsidRPr="005A1A39" w:rsidRDefault="005A1A39" w:rsidP="005A1A39">
            <w:pPr>
              <w:jc w:val="both"/>
              <w:rPr>
                <w:rFonts w:ascii="Arial" w:hAnsi="Arial" w:cs="Arial"/>
                <w:lang w:val="en-US"/>
              </w:rPr>
            </w:pPr>
            <w:r w:rsidRPr="005A1A39">
              <w:rPr>
                <w:rFonts w:ascii="Arial" w:hAnsi="Arial" w:cs="Arial"/>
                <w:lang w:val="en-US"/>
              </w:rPr>
              <w:t>Other</w:t>
            </w:r>
          </w:p>
        </w:tc>
        <w:tc>
          <w:tcPr>
            <w:tcW w:w="1984" w:type="dxa"/>
            <w:tcBorders>
              <w:left w:val="nil"/>
              <w:right w:val="nil"/>
            </w:tcBorders>
          </w:tcPr>
          <w:p w14:paraId="10C59445" w14:textId="77777777" w:rsidR="005A1A39" w:rsidRPr="005A1A39" w:rsidRDefault="005A1A39" w:rsidP="005A1A39">
            <w:pPr>
              <w:jc w:val="center"/>
              <w:rPr>
                <w:rFonts w:ascii="Arial" w:hAnsi="Arial" w:cs="Arial"/>
                <w:lang w:val="en-US"/>
              </w:rPr>
            </w:pPr>
            <w:r w:rsidRPr="005A1A39">
              <w:rPr>
                <w:rFonts w:ascii="Arial" w:hAnsi="Arial" w:cs="Arial"/>
                <w:lang w:val="en-US"/>
              </w:rPr>
              <w:t>722 (50.6)</w:t>
            </w:r>
          </w:p>
          <w:p w14:paraId="06D5C614" w14:textId="77777777" w:rsidR="005A1A39" w:rsidRPr="005A1A39" w:rsidRDefault="005A1A39" w:rsidP="005A1A39">
            <w:pPr>
              <w:jc w:val="center"/>
              <w:rPr>
                <w:rFonts w:ascii="Arial" w:hAnsi="Arial" w:cs="Arial"/>
                <w:lang w:val="en-US"/>
              </w:rPr>
            </w:pPr>
            <w:r w:rsidRPr="005A1A39">
              <w:rPr>
                <w:rFonts w:ascii="Arial" w:hAnsi="Arial" w:cs="Arial"/>
                <w:lang w:val="en-US"/>
              </w:rPr>
              <w:t>428 (30)</w:t>
            </w:r>
          </w:p>
          <w:p w14:paraId="521CAAC8" w14:textId="77777777" w:rsidR="005A1A39" w:rsidRPr="005A1A39" w:rsidRDefault="005A1A39" w:rsidP="005A1A39">
            <w:pPr>
              <w:jc w:val="center"/>
              <w:rPr>
                <w:rFonts w:ascii="Arial" w:hAnsi="Arial" w:cs="Arial"/>
                <w:lang w:val="en-US"/>
              </w:rPr>
            </w:pPr>
            <w:r w:rsidRPr="005A1A39">
              <w:rPr>
                <w:rFonts w:ascii="Arial" w:hAnsi="Arial" w:cs="Arial"/>
                <w:lang w:val="en-US"/>
              </w:rPr>
              <w:t>276 (19.4)</w:t>
            </w:r>
          </w:p>
        </w:tc>
        <w:tc>
          <w:tcPr>
            <w:tcW w:w="1843" w:type="dxa"/>
            <w:tcBorders>
              <w:left w:val="nil"/>
              <w:right w:val="nil"/>
            </w:tcBorders>
          </w:tcPr>
          <w:p w14:paraId="30D0995E" w14:textId="77777777" w:rsidR="005A1A39" w:rsidRPr="005A1A39" w:rsidRDefault="005A1A39" w:rsidP="005A1A39">
            <w:pPr>
              <w:jc w:val="center"/>
              <w:rPr>
                <w:rFonts w:ascii="Arial" w:hAnsi="Arial" w:cs="Arial"/>
                <w:lang w:val="en-US"/>
              </w:rPr>
            </w:pPr>
            <w:r w:rsidRPr="005A1A39">
              <w:rPr>
                <w:rFonts w:ascii="Arial" w:hAnsi="Arial" w:cs="Arial"/>
                <w:lang w:val="en-US"/>
              </w:rPr>
              <w:t>5</w:t>
            </w:r>
          </w:p>
          <w:p w14:paraId="4D987567" w14:textId="77777777" w:rsidR="005A1A39" w:rsidRPr="005A1A39" w:rsidRDefault="005A1A39" w:rsidP="005A1A39">
            <w:pPr>
              <w:jc w:val="center"/>
              <w:rPr>
                <w:rFonts w:ascii="Arial" w:hAnsi="Arial" w:cs="Arial"/>
                <w:lang w:val="en-US"/>
              </w:rPr>
            </w:pPr>
            <w:r w:rsidRPr="005A1A39">
              <w:rPr>
                <w:rFonts w:ascii="Arial" w:hAnsi="Arial" w:cs="Arial"/>
                <w:lang w:val="en-US"/>
              </w:rPr>
              <w:t>4</w:t>
            </w:r>
          </w:p>
          <w:p w14:paraId="6CDCCA7B" w14:textId="77777777" w:rsidR="005A1A39" w:rsidRPr="005A1A39" w:rsidRDefault="005A1A39" w:rsidP="005A1A39">
            <w:pPr>
              <w:jc w:val="center"/>
              <w:rPr>
                <w:rFonts w:ascii="Arial" w:hAnsi="Arial" w:cs="Arial"/>
                <w:lang w:val="en-US"/>
              </w:rPr>
            </w:pPr>
            <w:r w:rsidRPr="005A1A39">
              <w:rPr>
                <w:rFonts w:ascii="Arial" w:hAnsi="Arial" w:cs="Arial"/>
                <w:lang w:val="en-US"/>
              </w:rPr>
              <w:t>4</w:t>
            </w:r>
          </w:p>
        </w:tc>
        <w:tc>
          <w:tcPr>
            <w:tcW w:w="1701" w:type="dxa"/>
            <w:tcBorders>
              <w:left w:val="nil"/>
              <w:right w:val="nil"/>
            </w:tcBorders>
          </w:tcPr>
          <w:p w14:paraId="6D50B742" w14:textId="77777777" w:rsidR="005A1A39" w:rsidRPr="005A1A39" w:rsidRDefault="005A1A39" w:rsidP="005A1A39">
            <w:pPr>
              <w:jc w:val="center"/>
              <w:rPr>
                <w:rFonts w:ascii="Arial" w:hAnsi="Arial" w:cs="Arial"/>
                <w:lang w:val="en-US"/>
              </w:rPr>
            </w:pPr>
            <w:r w:rsidRPr="005A1A39">
              <w:rPr>
                <w:rFonts w:ascii="Arial" w:hAnsi="Arial" w:cs="Arial"/>
                <w:lang w:val="en-US"/>
              </w:rPr>
              <w:t>1-35</w:t>
            </w:r>
          </w:p>
          <w:p w14:paraId="4C935271" w14:textId="77777777" w:rsidR="005A1A39" w:rsidRPr="005A1A39" w:rsidRDefault="005A1A39" w:rsidP="005A1A39">
            <w:pPr>
              <w:jc w:val="center"/>
              <w:rPr>
                <w:rFonts w:ascii="Arial" w:hAnsi="Arial" w:cs="Arial"/>
                <w:lang w:val="en-US"/>
              </w:rPr>
            </w:pPr>
            <w:r w:rsidRPr="005A1A39">
              <w:rPr>
                <w:rFonts w:ascii="Arial" w:hAnsi="Arial" w:cs="Arial"/>
                <w:lang w:val="en-US"/>
              </w:rPr>
              <w:t>0-21</w:t>
            </w:r>
          </w:p>
          <w:p w14:paraId="4ACE8F71" w14:textId="77777777" w:rsidR="005A1A39" w:rsidRPr="005A1A39" w:rsidRDefault="005A1A39" w:rsidP="005A1A39">
            <w:pPr>
              <w:jc w:val="center"/>
              <w:rPr>
                <w:rFonts w:ascii="Arial" w:hAnsi="Arial" w:cs="Arial"/>
                <w:lang w:val="en-US"/>
              </w:rPr>
            </w:pPr>
            <w:r w:rsidRPr="005A1A39">
              <w:rPr>
                <w:rFonts w:ascii="Arial" w:hAnsi="Arial" w:cs="Arial"/>
                <w:lang w:val="en-US"/>
              </w:rPr>
              <w:t>1-26</w:t>
            </w:r>
          </w:p>
        </w:tc>
        <w:tc>
          <w:tcPr>
            <w:tcW w:w="1134" w:type="dxa"/>
            <w:tcBorders>
              <w:left w:val="nil"/>
            </w:tcBorders>
          </w:tcPr>
          <w:p w14:paraId="7161CC72" w14:textId="77777777" w:rsidR="005A1A39" w:rsidRPr="005A1A39" w:rsidRDefault="005A1A39" w:rsidP="005A1A39">
            <w:pPr>
              <w:jc w:val="center"/>
              <w:rPr>
                <w:rFonts w:ascii="Arial" w:hAnsi="Arial" w:cs="Arial"/>
                <w:lang w:val="en-US"/>
              </w:rPr>
            </w:pPr>
          </w:p>
        </w:tc>
      </w:tr>
    </w:tbl>
    <w:p w14:paraId="592DD0CD" w14:textId="77777777" w:rsidR="005A1A39" w:rsidRPr="005A1A39" w:rsidRDefault="005A1A39" w:rsidP="005A1A39">
      <w:pPr>
        <w:jc w:val="both"/>
        <w:rPr>
          <w:rFonts w:ascii="Arial" w:hAnsi="Arial" w:cs="Arial"/>
          <w:lang w:val="en-US"/>
        </w:rPr>
      </w:pPr>
      <w:r w:rsidRPr="005A1A39">
        <w:rPr>
          <w:rFonts w:ascii="Arial" w:hAnsi="Arial" w:cs="Arial"/>
          <w:lang w:val="en-US"/>
        </w:rPr>
        <w:t>1: When missing values occurred, the number of patients are shown in brackets.</w:t>
      </w:r>
    </w:p>
    <w:p w14:paraId="4DB023BC" w14:textId="77777777" w:rsidR="005A1A39" w:rsidRPr="005A1A39" w:rsidRDefault="005A1A39" w:rsidP="005A1A39">
      <w:pPr>
        <w:jc w:val="both"/>
        <w:rPr>
          <w:rFonts w:ascii="Arial" w:hAnsi="Arial" w:cs="Arial"/>
          <w:lang w:val="en-US"/>
        </w:rPr>
      </w:pPr>
      <w:r w:rsidRPr="005A1A39">
        <w:rPr>
          <w:rFonts w:ascii="Arial" w:hAnsi="Arial" w:cs="Arial"/>
          <w:lang w:val="en-US"/>
        </w:rPr>
        <w:t xml:space="preserve">Distant metastases: metastases outside primary site and lymph nodes; Risk stratification: according to the Memorial Sloan Kettering Cancer Center [ref 8] </w:t>
      </w:r>
    </w:p>
    <w:p w14:paraId="7957C646" w14:textId="77777777" w:rsidR="005A1A39" w:rsidRDefault="005A1A39">
      <w:pPr>
        <w:rPr>
          <w:rFonts w:ascii="Arial" w:hAnsi="Arial" w:cs="Arial"/>
          <w:lang w:val="en-US"/>
        </w:rPr>
      </w:pPr>
      <w:r>
        <w:rPr>
          <w:rFonts w:ascii="Arial" w:hAnsi="Arial" w:cs="Arial"/>
          <w:lang w:val="en-US"/>
        </w:rPr>
        <w:br w:type="page"/>
      </w:r>
    </w:p>
    <w:p w14:paraId="375E699C" w14:textId="77777777" w:rsidR="00695E2D" w:rsidRDefault="00695E2D" w:rsidP="00695E2D">
      <w:pPr>
        <w:jc w:val="both"/>
        <w:rPr>
          <w:rFonts w:ascii="Arial" w:hAnsi="Arial" w:cs="Arial"/>
          <w:lang w:val="en-US"/>
        </w:rPr>
      </w:pPr>
      <w:r w:rsidRPr="00BF7B7C">
        <w:rPr>
          <w:rFonts w:ascii="Arial" w:hAnsi="Arial" w:cs="Arial"/>
          <w:lang w:val="en-US"/>
        </w:rPr>
        <w:t xml:space="preserve">Table </w:t>
      </w:r>
      <w:r w:rsidR="005A1A39">
        <w:rPr>
          <w:rFonts w:ascii="Arial" w:hAnsi="Arial" w:cs="Arial"/>
          <w:lang w:val="en-US"/>
        </w:rPr>
        <w:t>2</w:t>
      </w:r>
      <w:r w:rsidR="00954E71">
        <w:rPr>
          <w:rFonts w:ascii="Arial" w:hAnsi="Arial" w:cs="Arial"/>
          <w:lang w:val="en-US"/>
        </w:rPr>
        <w:t>. Distribution of eligible</w:t>
      </w:r>
      <w:r w:rsidRPr="00BF7B7C">
        <w:rPr>
          <w:rFonts w:ascii="Arial" w:hAnsi="Arial" w:cs="Arial"/>
          <w:lang w:val="en-US"/>
        </w:rPr>
        <w:t>-for-cisplatin patients across different treatment groups</w:t>
      </w:r>
    </w:p>
    <w:p w14:paraId="3C065B04" w14:textId="77777777" w:rsidR="00930742" w:rsidRPr="00BF7B7C" w:rsidRDefault="00930742" w:rsidP="00695E2D">
      <w:pPr>
        <w:jc w:val="both"/>
        <w:rPr>
          <w:rFonts w:ascii="Arial" w:hAnsi="Arial" w:cs="Arial"/>
          <w:lang w:val="en-US"/>
        </w:rPr>
      </w:pPr>
    </w:p>
    <w:tbl>
      <w:tblPr>
        <w:tblW w:w="9214"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1843"/>
        <w:gridCol w:w="1843"/>
        <w:gridCol w:w="1417"/>
        <w:gridCol w:w="1701"/>
      </w:tblGrid>
      <w:tr w:rsidR="00954E71" w:rsidRPr="00BF7B7C" w14:paraId="1E238382" w14:textId="77777777" w:rsidTr="00852793">
        <w:trPr>
          <w:cantSplit/>
          <w:trHeight w:val="278"/>
        </w:trPr>
        <w:tc>
          <w:tcPr>
            <w:tcW w:w="2410" w:type="dxa"/>
            <w:vMerge w:val="restart"/>
          </w:tcPr>
          <w:p w14:paraId="5ADE7E05" w14:textId="77777777" w:rsidR="00954E71" w:rsidRDefault="00954E71" w:rsidP="00DE1B8F">
            <w:pPr>
              <w:rPr>
                <w:rFonts w:ascii="Arial" w:hAnsi="Arial" w:cs="Arial"/>
                <w:lang w:val="en-US"/>
              </w:rPr>
            </w:pPr>
          </w:p>
          <w:p w14:paraId="2495704B" w14:textId="77777777" w:rsidR="00954E71" w:rsidRPr="00BF7B7C" w:rsidRDefault="00954E71" w:rsidP="00DE1B8F">
            <w:pPr>
              <w:rPr>
                <w:rFonts w:ascii="Arial" w:hAnsi="Arial" w:cs="Arial"/>
                <w:lang w:val="en-US"/>
              </w:rPr>
            </w:pPr>
            <w:r>
              <w:rPr>
                <w:rFonts w:ascii="Arial" w:hAnsi="Arial" w:cs="Arial"/>
                <w:lang w:val="en-US"/>
              </w:rPr>
              <w:t>Eligible</w:t>
            </w:r>
            <w:r w:rsidRPr="00BF7B7C">
              <w:rPr>
                <w:rFonts w:ascii="Arial" w:hAnsi="Arial" w:cs="Arial"/>
                <w:lang w:val="en-US"/>
              </w:rPr>
              <w:t>-for-cisplatin</w:t>
            </w:r>
          </w:p>
        </w:tc>
        <w:tc>
          <w:tcPr>
            <w:tcW w:w="6804" w:type="dxa"/>
            <w:gridSpan w:val="4"/>
          </w:tcPr>
          <w:p w14:paraId="1401A4FF" w14:textId="77777777" w:rsidR="00954E71" w:rsidRPr="00BF7B7C" w:rsidRDefault="00954E71" w:rsidP="00DE1B8F">
            <w:pPr>
              <w:jc w:val="center"/>
              <w:rPr>
                <w:rFonts w:ascii="Arial" w:hAnsi="Arial" w:cs="Arial"/>
                <w:lang w:val="en-US"/>
              </w:rPr>
            </w:pPr>
            <w:r>
              <w:rPr>
                <w:rFonts w:ascii="Arial" w:hAnsi="Arial" w:cs="Arial"/>
                <w:lang w:val="en-US"/>
              </w:rPr>
              <w:t>N (%)</w:t>
            </w:r>
          </w:p>
        </w:tc>
      </w:tr>
      <w:tr w:rsidR="00954E71" w:rsidRPr="00BF7B7C" w14:paraId="6A6881F0" w14:textId="77777777" w:rsidTr="00852793">
        <w:trPr>
          <w:cantSplit/>
          <w:trHeight w:val="277"/>
        </w:trPr>
        <w:tc>
          <w:tcPr>
            <w:tcW w:w="2410" w:type="dxa"/>
            <w:vMerge/>
          </w:tcPr>
          <w:p w14:paraId="5378E6E5" w14:textId="77777777" w:rsidR="00954E71" w:rsidRDefault="00954E71" w:rsidP="00DE1B8F">
            <w:pPr>
              <w:rPr>
                <w:rFonts w:ascii="Arial" w:hAnsi="Arial" w:cs="Arial"/>
                <w:lang w:val="en-US"/>
              </w:rPr>
            </w:pPr>
          </w:p>
        </w:tc>
        <w:tc>
          <w:tcPr>
            <w:tcW w:w="5103" w:type="dxa"/>
            <w:gridSpan w:val="3"/>
          </w:tcPr>
          <w:p w14:paraId="603EC2C5" w14:textId="77777777" w:rsidR="00954E71" w:rsidRPr="00BF7B7C" w:rsidRDefault="00954E71" w:rsidP="00DE1B8F">
            <w:pPr>
              <w:jc w:val="center"/>
              <w:rPr>
                <w:rFonts w:ascii="Arial" w:hAnsi="Arial" w:cs="Arial"/>
                <w:lang w:val="en-US"/>
              </w:rPr>
            </w:pPr>
            <w:r w:rsidRPr="00954E71">
              <w:rPr>
                <w:rFonts w:ascii="Arial" w:hAnsi="Arial" w:cs="Arial"/>
                <w:lang w:val="en-US"/>
              </w:rPr>
              <w:t>Therapy group</w:t>
            </w:r>
          </w:p>
        </w:tc>
        <w:tc>
          <w:tcPr>
            <w:tcW w:w="1701" w:type="dxa"/>
          </w:tcPr>
          <w:p w14:paraId="62C2E8C4" w14:textId="77777777" w:rsidR="00954E71" w:rsidRPr="00BF7B7C" w:rsidRDefault="00954E71" w:rsidP="00DE1B8F">
            <w:pPr>
              <w:jc w:val="center"/>
              <w:rPr>
                <w:rFonts w:ascii="Arial" w:hAnsi="Arial" w:cs="Arial"/>
                <w:lang w:val="en-US"/>
              </w:rPr>
            </w:pPr>
            <w:r w:rsidRPr="00954E71">
              <w:rPr>
                <w:rFonts w:ascii="Arial" w:hAnsi="Arial" w:cs="Arial"/>
                <w:lang w:val="en-US"/>
              </w:rPr>
              <w:t>Total</w:t>
            </w:r>
          </w:p>
        </w:tc>
      </w:tr>
      <w:tr w:rsidR="00954E71" w:rsidRPr="00BF7B7C" w14:paraId="0C90942D" w14:textId="77777777" w:rsidTr="00954E71">
        <w:trPr>
          <w:cantSplit/>
        </w:trPr>
        <w:tc>
          <w:tcPr>
            <w:tcW w:w="2410" w:type="dxa"/>
            <w:vMerge/>
          </w:tcPr>
          <w:p w14:paraId="464DD31E" w14:textId="77777777" w:rsidR="00954E71" w:rsidRPr="00BF7B7C" w:rsidRDefault="00954E71" w:rsidP="00DE1B8F">
            <w:pPr>
              <w:rPr>
                <w:rFonts w:ascii="Arial" w:hAnsi="Arial" w:cs="Arial"/>
                <w:lang w:val="en-US"/>
              </w:rPr>
            </w:pPr>
          </w:p>
        </w:tc>
        <w:tc>
          <w:tcPr>
            <w:tcW w:w="1843" w:type="dxa"/>
          </w:tcPr>
          <w:p w14:paraId="32A8F433" w14:textId="77777777" w:rsidR="00954E71" w:rsidRPr="00BF7B7C" w:rsidRDefault="00954E71" w:rsidP="00DE1B8F">
            <w:pPr>
              <w:jc w:val="center"/>
              <w:rPr>
                <w:rFonts w:ascii="Arial" w:hAnsi="Arial" w:cs="Arial"/>
                <w:lang w:val="en-US"/>
              </w:rPr>
            </w:pPr>
            <w:r w:rsidRPr="00BF7B7C">
              <w:rPr>
                <w:rFonts w:ascii="Arial" w:hAnsi="Arial" w:cs="Arial"/>
                <w:lang w:val="en-US"/>
              </w:rPr>
              <w:t>Cisplatin</w:t>
            </w:r>
          </w:p>
        </w:tc>
        <w:tc>
          <w:tcPr>
            <w:tcW w:w="1843" w:type="dxa"/>
          </w:tcPr>
          <w:p w14:paraId="16AD1B40" w14:textId="77777777" w:rsidR="00954E71" w:rsidRPr="00BF7B7C" w:rsidRDefault="00954E71" w:rsidP="00DE1B8F">
            <w:pPr>
              <w:jc w:val="center"/>
              <w:rPr>
                <w:rFonts w:ascii="Arial" w:hAnsi="Arial" w:cs="Arial"/>
                <w:lang w:val="en-US"/>
              </w:rPr>
            </w:pPr>
            <w:r w:rsidRPr="00BF7B7C">
              <w:rPr>
                <w:rFonts w:ascii="Arial" w:hAnsi="Arial" w:cs="Arial"/>
                <w:lang w:val="en-US"/>
              </w:rPr>
              <w:t>Carboplatin</w:t>
            </w:r>
          </w:p>
        </w:tc>
        <w:tc>
          <w:tcPr>
            <w:tcW w:w="1417" w:type="dxa"/>
          </w:tcPr>
          <w:p w14:paraId="09FB2E1C" w14:textId="77777777" w:rsidR="00954E71" w:rsidRPr="00BF7B7C" w:rsidRDefault="00954E71" w:rsidP="00DE1B8F">
            <w:pPr>
              <w:jc w:val="center"/>
              <w:rPr>
                <w:rFonts w:ascii="Arial" w:hAnsi="Arial" w:cs="Arial"/>
                <w:lang w:val="en-US"/>
              </w:rPr>
            </w:pPr>
            <w:r w:rsidRPr="00BF7B7C">
              <w:rPr>
                <w:rFonts w:ascii="Arial" w:hAnsi="Arial" w:cs="Arial"/>
                <w:lang w:val="en-US"/>
              </w:rPr>
              <w:t>Other</w:t>
            </w:r>
          </w:p>
        </w:tc>
        <w:tc>
          <w:tcPr>
            <w:tcW w:w="1701" w:type="dxa"/>
          </w:tcPr>
          <w:p w14:paraId="0424A312" w14:textId="77777777" w:rsidR="00954E71" w:rsidRPr="00BF7B7C" w:rsidRDefault="00954E71" w:rsidP="00DE1B8F">
            <w:pPr>
              <w:jc w:val="center"/>
              <w:rPr>
                <w:rFonts w:ascii="Arial" w:hAnsi="Arial" w:cs="Arial"/>
                <w:lang w:val="en-US"/>
              </w:rPr>
            </w:pPr>
          </w:p>
        </w:tc>
      </w:tr>
      <w:tr w:rsidR="00695E2D" w:rsidRPr="00BF7B7C" w14:paraId="6D090B68" w14:textId="77777777" w:rsidTr="00954E71">
        <w:tc>
          <w:tcPr>
            <w:tcW w:w="2410" w:type="dxa"/>
          </w:tcPr>
          <w:p w14:paraId="21914363" w14:textId="77777777" w:rsidR="00695E2D" w:rsidRPr="00BF7B7C" w:rsidRDefault="00695E2D" w:rsidP="00954E71">
            <w:pPr>
              <w:ind w:left="720"/>
              <w:rPr>
                <w:rFonts w:ascii="Arial" w:hAnsi="Arial" w:cs="Arial"/>
                <w:lang w:val="en-US"/>
              </w:rPr>
            </w:pPr>
            <w:r w:rsidRPr="00BF7B7C">
              <w:rPr>
                <w:rFonts w:ascii="Arial" w:hAnsi="Arial" w:cs="Arial"/>
                <w:lang w:val="en-US"/>
              </w:rPr>
              <w:t>Yes</w:t>
            </w:r>
          </w:p>
        </w:tc>
        <w:tc>
          <w:tcPr>
            <w:tcW w:w="1843" w:type="dxa"/>
          </w:tcPr>
          <w:p w14:paraId="5CD2F9EA" w14:textId="77777777" w:rsidR="00695E2D" w:rsidRPr="00BF7B7C" w:rsidRDefault="00695E2D" w:rsidP="00DE1B8F">
            <w:pPr>
              <w:jc w:val="center"/>
              <w:rPr>
                <w:rFonts w:ascii="Arial" w:hAnsi="Arial" w:cs="Arial"/>
                <w:lang w:val="en-US"/>
              </w:rPr>
            </w:pPr>
            <w:r w:rsidRPr="00BF7B7C">
              <w:rPr>
                <w:rFonts w:ascii="Arial" w:hAnsi="Arial" w:cs="Arial"/>
                <w:lang w:val="en-US"/>
              </w:rPr>
              <w:t>301 (62)</w:t>
            </w:r>
          </w:p>
        </w:tc>
        <w:tc>
          <w:tcPr>
            <w:tcW w:w="1843" w:type="dxa"/>
          </w:tcPr>
          <w:p w14:paraId="24CA74C1" w14:textId="77777777" w:rsidR="00695E2D" w:rsidRPr="00BF7B7C" w:rsidRDefault="00695E2D" w:rsidP="00DE1B8F">
            <w:pPr>
              <w:jc w:val="center"/>
              <w:rPr>
                <w:rFonts w:ascii="Arial" w:hAnsi="Arial" w:cs="Arial"/>
                <w:lang w:val="en-US"/>
              </w:rPr>
            </w:pPr>
            <w:r w:rsidRPr="00BF7B7C">
              <w:rPr>
                <w:rFonts w:ascii="Arial" w:hAnsi="Arial" w:cs="Arial"/>
                <w:lang w:val="en-US"/>
              </w:rPr>
              <w:t>63 (21)</w:t>
            </w:r>
          </w:p>
        </w:tc>
        <w:tc>
          <w:tcPr>
            <w:tcW w:w="1417" w:type="dxa"/>
          </w:tcPr>
          <w:p w14:paraId="05EDD56D" w14:textId="77777777" w:rsidR="00695E2D" w:rsidRPr="00BF7B7C" w:rsidRDefault="00695E2D" w:rsidP="00DE1B8F">
            <w:pPr>
              <w:jc w:val="center"/>
              <w:rPr>
                <w:rFonts w:ascii="Arial" w:hAnsi="Arial" w:cs="Arial"/>
                <w:lang w:val="en-US"/>
              </w:rPr>
            </w:pPr>
            <w:r w:rsidRPr="00BF7B7C">
              <w:rPr>
                <w:rFonts w:ascii="Arial" w:hAnsi="Arial" w:cs="Arial"/>
                <w:lang w:val="en-US"/>
              </w:rPr>
              <w:t>64 (32)</w:t>
            </w:r>
          </w:p>
        </w:tc>
        <w:tc>
          <w:tcPr>
            <w:tcW w:w="1701" w:type="dxa"/>
          </w:tcPr>
          <w:p w14:paraId="10216AC0" w14:textId="77777777" w:rsidR="00695E2D" w:rsidRPr="00BF7B7C" w:rsidRDefault="00695E2D" w:rsidP="00DE1B8F">
            <w:pPr>
              <w:jc w:val="center"/>
              <w:rPr>
                <w:rFonts w:ascii="Arial" w:hAnsi="Arial" w:cs="Arial"/>
                <w:lang w:val="en-US"/>
              </w:rPr>
            </w:pPr>
            <w:r w:rsidRPr="00BF7B7C">
              <w:rPr>
                <w:rFonts w:ascii="Arial" w:hAnsi="Arial" w:cs="Arial"/>
                <w:lang w:val="en-US"/>
              </w:rPr>
              <w:t>428 (43)</w:t>
            </w:r>
          </w:p>
        </w:tc>
      </w:tr>
      <w:tr w:rsidR="00695E2D" w:rsidRPr="00BF7B7C" w14:paraId="41B88103" w14:textId="77777777" w:rsidTr="00954E71">
        <w:tc>
          <w:tcPr>
            <w:tcW w:w="2410" w:type="dxa"/>
          </w:tcPr>
          <w:p w14:paraId="0F0795D0" w14:textId="77777777" w:rsidR="00695E2D" w:rsidRPr="00BF7B7C" w:rsidRDefault="00695E2D" w:rsidP="00954E71">
            <w:pPr>
              <w:ind w:left="720"/>
              <w:rPr>
                <w:rFonts w:ascii="Arial" w:hAnsi="Arial" w:cs="Arial"/>
                <w:lang w:val="en-US"/>
              </w:rPr>
            </w:pPr>
            <w:r w:rsidRPr="00BF7B7C">
              <w:rPr>
                <w:rFonts w:ascii="Arial" w:hAnsi="Arial" w:cs="Arial"/>
                <w:lang w:val="en-US"/>
              </w:rPr>
              <w:t>No</w:t>
            </w:r>
          </w:p>
        </w:tc>
        <w:tc>
          <w:tcPr>
            <w:tcW w:w="1843" w:type="dxa"/>
          </w:tcPr>
          <w:p w14:paraId="310AF7F2" w14:textId="77777777" w:rsidR="00695E2D" w:rsidRPr="00BF7B7C" w:rsidRDefault="00695E2D" w:rsidP="00DE1B8F">
            <w:pPr>
              <w:jc w:val="center"/>
              <w:rPr>
                <w:rFonts w:ascii="Arial" w:hAnsi="Arial" w:cs="Arial"/>
                <w:lang w:val="en-US"/>
              </w:rPr>
            </w:pPr>
            <w:r w:rsidRPr="00BF7B7C">
              <w:rPr>
                <w:rFonts w:ascii="Arial" w:hAnsi="Arial" w:cs="Arial"/>
                <w:lang w:val="en-US"/>
              </w:rPr>
              <w:t>186 (38)</w:t>
            </w:r>
          </w:p>
        </w:tc>
        <w:tc>
          <w:tcPr>
            <w:tcW w:w="1843" w:type="dxa"/>
          </w:tcPr>
          <w:p w14:paraId="0CD6DF46" w14:textId="77777777" w:rsidR="00695E2D" w:rsidRPr="00BF7B7C" w:rsidRDefault="00695E2D" w:rsidP="00DE1B8F">
            <w:pPr>
              <w:jc w:val="center"/>
              <w:rPr>
                <w:rFonts w:ascii="Arial" w:hAnsi="Arial" w:cs="Arial"/>
                <w:lang w:val="en-US"/>
              </w:rPr>
            </w:pPr>
            <w:r w:rsidRPr="00BF7B7C">
              <w:rPr>
                <w:rFonts w:ascii="Arial" w:hAnsi="Arial" w:cs="Arial"/>
                <w:lang w:val="en-US"/>
              </w:rPr>
              <w:t>237 (79)</w:t>
            </w:r>
          </w:p>
        </w:tc>
        <w:tc>
          <w:tcPr>
            <w:tcW w:w="1417" w:type="dxa"/>
          </w:tcPr>
          <w:p w14:paraId="2A404A89" w14:textId="77777777" w:rsidR="00695E2D" w:rsidRPr="00BF7B7C" w:rsidRDefault="00695E2D" w:rsidP="00DE1B8F">
            <w:pPr>
              <w:jc w:val="center"/>
              <w:rPr>
                <w:rFonts w:ascii="Arial" w:hAnsi="Arial" w:cs="Arial"/>
                <w:lang w:val="en-US"/>
              </w:rPr>
            </w:pPr>
            <w:r w:rsidRPr="00BF7B7C">
              <w:rPr>
                <w:rFonts w:ascii="Arial" w:hAnsi="Arial" w:cs="Arial"/>
                <w:lang w:val="en-US"/>
              </w:rPr>
              <w:t>135 (68)</w:t>
            </w:r>
          </w:p>
        </w:tc>
        <w:tc>
          <w:tcPr>
            <w:tcW w:w="1701" w:type="dxa"/>
          </w:tcPr>
          <w:p w14:paraId="7F7835E5" w14:textId="77777777" w:rsidR="00695E2D" w:rsidRPr="00BF7B7C" w:rsidRDefault="00695E2D" w:rsidP="00DE1B8F">
            <w:pPr>
              <w:jc w:val="center"/>
              <w:rPr>
                <w:rFonts w:ascii="Arial" w:hAnsi="Arial" w:cs="Arial"/>
                <w:lang w:val="en-US"/>
              </w:rPr>
            </w:pPr>
            <w:r w:rsidRPr="00BF7B7C">
              <w:rPr>
                <w:rFonts w:ascii="Arial" w:hAnsi="Arial" w:cs="Arial"/>
                <w:lang w:val="en-US"/>
              </w:rPr>
              <w:t>558 (57)</w:t>
            </w:r>
          </w:p>
        </w:tc>
      </w:tr>
      <w:tr w:rsidR="00695E2D" w:rsidRPr="00BF7B7C" w14:paraId="4422ED12" w14:textId="77777777" w:rsidTr="00954E71">
        <w:tc>
          <w:tcPr>
            <w:tcW w:w="2410" w:type="dxa"/>
          </w:tcPr>
          <w:p w14:paraId="5E3A1C71" w14:textId="77777777" w:rsidR="00695E2D" w:rsidRPr="00BF7B7C" w:rsidRDefault="00695E2D" w:rsidP="00954E71">
            <w:pPr>
              <w:ind w:left="720"/>
              <w:rPr>
                <w:rFonts w:ascii="Arial" w:hAnsi="Arial" w:cs="Arial"/>
                <w:lang w:val="en-US"/>
              </w:rPr>
            </w:pPr>
            <w:r w:rsidRPr="00BF7B7C">
              <w:rPr>
                <w:rFonts w:ascii="Arial" w:hAnsi="Arial" w:cs="Arial"/>
                <w:lang w:val="en-US"/>
              </w:rPr>
              <w:t>Total</w:t>
            </w:r>
          </w:p>
        </w:tc>
        <w:tc>
          <w:tcPr>
            <w:tcW w:w="1843" w:type="dxa"/>
          </w:tcPr>
          <w:p w14:paraId="7661F869" w14:textId="77777777" w:rsidR="00695E2D" w:rsidRPr="00BF7B7C" w:rsidRDefault="00695E2D" w:rsidP="00DE1B8F">
            <w:pPr>
              <w:jc w:val="center"/>
              <w:rPr>
                <w:rFonts w:ascii="Arial" w:hAnsi="Arial" w:cs="Arial"/>
                <w:lang w:val="en-US"/>
              </w:rPr>
            </w:pPr>
            <w:r w:rsidRPr="00BF7B7C">
              <w:rPr>
                <w:rFonts w:ascii="Arial" w:hAnsi="Arial" w:cs="Arial"/>
                <w:lang w:val="en-US"/>
              </w:rPr>
              <w:t>487 (100)</w:t>
            </w:r>
          </w:p>
        </w:tc>
        <w:tc>
          <w:tcPr>
            <w:tcW w:w="1843" w:type="dxa"/>
          </w:tcPr>
          <w:p w14:paraId="2783BA6C" w14:textId="77777777" w:rsidR="00695E2D" w:rsidRPr="00BF7B7C" w:rsidRDefault="00695E2D" w:rsidP="00DE1B8F">
            <w:pPr>
              <w:jc w:val="center"/>
              <w:rPr>
                <w:rFonts w:ascii="Arial" w:hAnsi="Arial" w:cs="Arial"/>
                <w:lang w:val="en-US"/>
              </w:rPr>
            </w:pPr>
            <w:r w:rsidRPr="00BF7B7C">
              <w:rPr>
                <w:rFonts w:ascii="Arial" w:hAnsi="Arial" w:cs="Arial"/>
                <w:lang w:val="en-US"/>
              </w:rPr>
              <w:t>300 (100)</w:t>
            </w:r>
          </w:p>
        </w:tc>
        <w:tc>
          <w:tcPr>
            <w:tcW w:w="1417" w:type="dxa"/>
          </w:tcPr>
          <w:p w14:paraId="039398D4" w14:textId="77777777" w:rsidR="00695E2D" w:rsidRPr="00BF7B7C" w:rsidRDefault="00695E2D" w:rsidP="00DE1B8F">
            <w:pPr>
              <w:jc w:val="center"/>
              <w:rPr>
                <w:rFonts w:ascii="Arial" w:hAnsi="Arial" w:cs="Arial"/>
                <w:lang w:val="en-US"/>
              </w:rPr>
            </w:pPr>
            <w:r w:rsidRPr="00BF7B7C">
              <w:rPr>
                <w:rFonts w:ascii="Arial" w:hAnsi="Arial" w:cs="Arial"/>
                <w:lang w:val="en-US"/>
              </w:rPr>
              <w:t>199 (100)</w:t>
            </w:r>
          </w:p>
        </w:tc>
        <w:tc>
          <w:tcPr>
            <w:tcW w:w="1701" w:type="dxa"/>
          </w:tcPr>
          <w:p w14:paraId="505ABD74" w14:textId="77777777" w:rsidR="00695E2D" w:rsidRPr="00BF7B7C" w:rsidRDefault="00695E2D" w:rsidP="00DE1B8F">
            <w:pPr>
              <w:jc w:val="center"/>
              <w:rPr>
                <w:rFonts w:ascii="Arial" w:hAnsi="Arial" w:cs="Arial"/>
                <w:lang w:val="en-US"/>
              </w:rPr>
            </w:pPr>
            <w:r w:rsidRPr="00BF7B7C">
              <w:rPr>
                <w:rFonts w:ascii="Arial" w:hAnsi="Arial" w:cs="Arial"/>
                <w:lang w:val="en-US"/>
              </w:rPr>
              <w:t>986 (100)</w:t>
            </w:r>
          </w:p>
        </w:tc>
      </w:tr>
    </w:tbl>
    <w:p w14:paraId="0AEDB4E4" w14:textId="77777777" w:rsidR="00695E2D" w:rsidRPr="00BF7B7C" w:rsidRDefault="00695E2D" w:rsidP="00695E2D">
      <w:pPr>
        <w:rPr>
          <w:rFonts w:ascii="Arial" w:hAnsi="Arial" w:cs="Arial"/>
          <w:lang w:val="en-US"/>
        </w:rPr>
      </w:pPr>
    </w:p>
    <w:p w14:paraId="5C415123" w14:textId="77777777" w:rsidR="00695E2D" w:rsidRPr="00BF7B7C" w:rsidRDefault="00695E2D" w:rsidP="00695E2D">
      <w:pPr>
        <w:rPr>
          <w:rFonts w:ascii="Arial" w:hAnsi="Arial" w:cs="Arial"/>
          <w:lang w:val="en-US"/>
        </w:rPr>
      </w:pPr>
      <w:r w:rsidRPr="00BF7B7C">
        <w:rPr>
          <w:rFonts w:ascii="Arial" w:hAnsi="Arial" w:cs="Arial"/>
          <w:lang w:val="en-US"/>
        </w:rPr>
        <w:br w:type="page"/>
      </w:r>
    </w:p>
    <w:p w14:paraId="50D2A267" w14:textId="77777777" w:rsidR="00695E2D" w:rsidRPr="00BF7B7C" w:rsidRDefault="00695E2D" w:rsidP="001D6D7F">
      <w:pPr>
        <w:pStyle w:val="a5"/>
        <w:spacing w:line="276" w:lineRule="auto"/>
        <w:rPr>
          <w:rFonts w:ascii="Arial" w:hAnsi="Arial" w:cs="Arial"/>
        </w:rPr>
      </w:pPr>
      <w:r w:rsidRPr="00BF7B7C">
        <w:rPr>
          <w:rFonts w:ascii="Arial" w:hAnsi="Arial" w:cs="Arial"/>
        </w:rPr>
        <w:t xml:space="preserve">Table </w:t>
      </w:r>
      <w:r w:rsidR="005A1A39">
        <w:rPr>
          <w:rFonts w:ascii="Arial" w:hAnsi="Arial" w:cs="Arial"/>
        </w:rPr>
        <w:t>3</w:t>
      </w:r>
      <w:r w:rsidRPr="00BF7B7C">
        <w:rPr>
          <w:rFonts w:ascii="Arial" w:hAnsi="Arial" w:cs="Arial"/>
        </w:rPr>
        <w:t xml:space="preserve">. </w:t>
      </w:r>
      <w:r w:rsidR="00FA2244" w:rsidRPr="00FA2244">
        <w:rPr>
          <w:rFonts w:ascii="Arial" w:hAnsi="Arial" w:cs="Arial"/>
        </w:rPr>
        <w:t>Unadjusted hazard ratios and 95% confidence for death in patients who received the first-line chemotherapy</w:t>
      </w:r>
      <w:r w:rsidR="0054659D" w:rsidRPr="002B636C">
        <w:rPr>
          <w:rFonts w:ascii="Arial" w:hAnsi="Arial" w:cs="Arial"/>
          <w:vertAlign w:val="superscript"/>
        </w:rPr>
        <w:t>1</w:t>
      </w:r>
    </w:p>
    <w:tbl>
      <w:tblPr>
        <w:tblW w:w="1021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709"/>
        <w:gridCol w:w="2557"/>
        <w:gridCol w:w="2652"/>
        <w:gridCol w:w="892"/>
      </w:tblGrid>
      <w:tr w:rsidR="000D0FCF" w14:paraId="3026D878" w14:textId="77777777" w:rsidTr="00954E71">
        <w:trPr>
          <w:trHeight w:val="369"/>
        </w:trPr>
        <w:tc>
          <w:tcPr>
            <w:tcW w:w="3402" w:type="dxa"/>
            <w:tcBorders>
              <w:top w:val="single" w:sz="4" w:space="0" w:color="auto"/>
              <w:left w:val="nil"/>
              <w:bottom w:val="single" w:sz="4" w:space="0" w:color="auto"/>
              <w:right w:val="nil"/>
            </w:tcBorders>
          </w:tcPr>
          <w:p w14:paraId="3BAD1878" w14:textId="77777777" w:rsidR="000D0FCF" w:rsidRDefault="000D0FCF" w:rsidP="0052142D">
            <w:pPr>
              <w:rPr>
                <w:rFonts w:cs="Courier New"/>
                <w:lang w:val="en-US"/>
              </w:rPr>
            </w:pPr>
          </w:p>
        </w:tc>
        <w:tc>
          <w:tcPr>
            <w:tcW w:w="709" w:type="dxa"/>
            <w:tcBorders>
              <w:top w:val="single" w:sz="4" w:space="0" w:color="auto"/>
              <w:left w:val="nil"/>
              <w:bottom w:val="single" w:sz="4" w:space="0" w:color="auto"/>
              <w:right w:val="nil"/>
            </w:tcBorders>
          </w:tcPr>
          <w:p w14:paraId="7A907F45" w14:textId="77777777" w:rsidR="000D0FCF" w:rsidRDefault="000D0FCF" w:rsidP="0052142D">
            <w:pPr>
              <w:jc w:val="center"/>
              <w:rPr>
                <w:rFonts w:cs="Courier New"/>
                <w:lang w:val="fr-FR"/>
              </w:rPr>
            </w:pPr>
            <w:r>
              <w:rPr>
                <w:rFonts w:cs="Courier New"/>
                <w:lang w:val="fr-FR"/>
              </w:rPr>
              <w:t>n</w:t>
            </w:r>
          </w:p>
        </w:tc>
        <w:tc>
          <w:tcPr>
            <w:tcW w:w="2557" w:type="dxa"/>
            <w:tcBorders>
              <w:top w:val="single" w:sz="4" w:space="0" w:color="auto"/>
              <w:left w:val="nil"/>
              <w:bottom w:val="single" w:sz="4" w:space="0" w:color="auto"/>
              <w:right w:val="nil"/>
            </w:tcBorders>
          </w:tcPr>
          <w:p w14:paraId="146F6571" w14:textId="77777777" w:rsidR="000D0FCF" w:rsidRDefault="000D0FCF" w:rsidP="0052142D">
            <w:pPr>
              <w:jc w:val="center"/>
              <w:rPr>
                <w:rFonts w:cs="Courier New"/>
                <w:lang w:val="fr-FR"/>
              </w:rPr>
            </w:pPr>
            <w:r>
              <w:rPr>
                <w:rFonts w:cs="Courier New"/>
                <w:lang w:val="fr-FR"/>
              </w:rPr>
              <w:t>Median OS (95% CI)</w:t>
            </w:r>
          </w:p>
        </w:tc>
        <w:tc>
          <w:tcPr>
            <w:tcW w:w="2652" w:type="dxa"/>
            <w:tcBorders>
              <w:top w:val="single" w:sz="4" w:space="0" w:color="auto"/>
              <w:left w:val="nil"/>
              <w:bottom w:val="single" w:sz="4" w:space="0" w:color="auto"/>
              <w:right w:val="nil"/>
            </w:tcBorders>
          </w:tcPr>
          <w:p w14:paraId="10935EC5" w14:textId="77777777" w:rsidR="000D0FCF" w:rsidRDefault="000D0FCF" w:rsidP="0052142D">
            <w:pPr>
              <w:jc w:val="center"/>
              <w:rPr>
                <w:rFonts w:cs="Courier New"/>
                <w:lang w:val="fr-FR"/>
              </w:rPr>
            </w:pPr>
            <w:r>
              <w:rPr>
                <w:rFonts w:cs="Courier New"/>
                <w:lang w:val="fr-FR"/>
              </w:rPr>
              <w:t>HR (95% CI)</w:t>
            </w:r>
          </w:p>
        </w:tc>
        <w:tc>
          <w:tcPr>
            <w:tcW w:w="892" w:type="dxa"/>
            <w:tcBorders>
              <w:top w:val="single" w:sz="4" w:space="0" w:color="auto"/>
              <w:left w:val="nil"/>
              <w:bottom w:val="single" w:sz="4" w:space="0" w:color="auto"/>
              <w:right w:val="nil"/>
            </w:tcBorders>
          </w:tcPr>
          <w:p w14:paraId="00A76052" w14:textId="77777777" w:rsidR="000D0FCF" w:rsidRDefault="000D0FCF" w:rsidP="0052142D">
            <w:pPr>
              <w:jc w:val="center"/>
              <w:rPr>
                <w:rFonts w:cs="Courier New"/>
                <w:lang w:val="fr-FR"/>
              </w:rPr>
            </w:pPr>
            <w:r>
              <w:rPr>
                <w:rFonts w:cs="Courier New"/>
                <w:lang w:val="fr-FR"/>
              </w:rPr>
              <w:t>P</w:t>
            </w:r>
          </w:p>
        </w:tc>
      </w:tr>
      <w:tr w:rsidR="000D0FCF" w14:paraId="0DA1253F" w14:textId="77777777" w:rsidTr="00954E71">
        <w:trPr>
          <w:trHeight w:val="369"/>
        </w:trPr>
        <w:tc>
          <w:tcPr>
            <w:tcW w:w="3402" w:type="dxa"/>
            <w:tcBorders>
              <w:top w:val="single" w:sz="4" w:space="0" w:color="auto"/>
              <w:left w:val="nil"/>
              <w:bottom w:val="single" w:sz="4" w:space="0" w:color="auto"/>
              <w:right w:val="nil"/>
            </w:tcBorders>
          </w:tcPr>
          <w:p w14:paraId="5D4B53A7" w14:textId="77777777" w:rsidR="000D0FCF" w:rsidRDefault="000D0FCF" w:rsidP="000D0FCF">
            <w:pPr>
              <w:rPr>
                <w:rFonts w:cs="Courier New"/>
                <w:lang w:val="en-US"/>
              </w:rPr>
            </w:pPr>
            <w:r>
              <w:rPr>
                <w:rFonts w:cs="Courier New"/>
                <w:lang w:val="en-US"/>
              </w:rPr>
              <w:t>All patients</w:t>
            </w:r>
          </w:p>
        </w:tc>
        <w:tc>
          <w:tcPr>
            <w:tcW w:w="709" w:type="dxa"/>
            <w:tcBorders>
              <w:top w:val="single" w:sz="4" w:space="0" w:color="auto"/>
              <w:left w:val="nil"/>
              <w:bottom w:val="single" w:sz="4" w:space="0" w:color="auto"/>
              <w:right w:val="nil"/>
            </w:tcBorders>
          </w:tcPr>
          <w:p w14:paraId="2DD50DC4" w14:textId="77777777" w:rsidR="000D0FCF" w:rsidRDefault="000D0FCF" w:rsidP="000D0FCF">
            <w:pPr>
              <w:jc w:val="center"/>
              <w:rPr>
                <w:rFonts w:cs="Courier New"/>
                <w:lang w:val="en-US"/>
              </w:rPr>
            </w:pPr>
            <w:r>
              <w:rPr>
                <w:rFonts w:cs="Courier New"/>
                <w:lang w:val="en-US"/>
              </w:rPr>
              <w:t>1361</w:t>
            </w:r>
          </w:p>
        </w:tc>
        <w:tc>
          <w:tcPr>
            <w:tcW w:w="2557" w:type="dxa"/>
            <w:tcBorders>
              <w:top w:val="single" w:sz="4" w:space="0" w:color="auto"/>
              <w:left w:val="nil"/>
              <w:bottom w:val="single" w:sz="4" w:space="0" w:color="auto"/>
              <w:right w:val="nil"/>
            </w:tcBorders>
          </w:tcPr>
          <w:p w14:paraId="617DDD23" w14:textId="77777777" w:rsidR="000D0FCF" w:rsidRDefault="000D0FCF" w:rsidP="000D0FCF">
            <w:pPr>
              <w:jc w:val="center"/>
              <w:rPr>
                <w:rFonts w:cs="Courier New"/>
                <w:lang w:val="en-US"/>
              </w:rPr>
            </w:pPr>
            <w:r>
              <w:rPr>
                <w:rFonts w:cs="Courier New"/>
                <w:lang w:val="en-US"/>
              </w:rPr>
              <w:t>14.8 (13.8-15.6)</w:t>
            </w:r>
          </w:p>
        </w:tc>
        <w:tc>
          <w:tcPr>
            <w:tcW w:w="2652" w:type="dxa"/>
            <w:tcBorders>
              <w:top w:val="single" w:sz="4" w:space="0" w:color="auto"/>
              <w:left w:val="nil"/>
              <w:bottom w:val="single" w:sz="4" w:space="0" w:color="auto"/>
              <w:right w:val="nil"/>
            </w:tcBorders>
          </w:tcPr>
          <w:p w14:paraId="349965C0" w14:textId="77777777" w:rsidR="000D0FCF" w:rsidRDefault="000D0FCF" w:rsidP="000D0FCF">
            <w:pPr>
              <w:rPr>
                <w:rFonts w:cs="Courier New"/>
                <w:lang w:val="en-US"/>
              </w:rPr>
            </w:pPr>
            <w:r>
              <w:rPr>
                <w:rFonts w:cs="Courier New"/>
                <w:lang w:val="en-US"/>
              </w:rPr>
              <w:t xml:space="preserve"> </w:t>
            </w:r>
          </w:p>
        </w:tc>
        <w:tc>
          <w:tcPr>
            <w:tcW w:w="892" w:type="dxa"/>
            <w:tcBorders>
              <w:top w:val="single" w:sz="4" w:space="0" w:color="auto"/>
              <w:left w:val="nil"/>
              <w:bottom w:val="single" w:sz="4" w:space="0" w:color="auto"/>
              <w:right w:val="nil"/>
            </w:tcBorders>
          </w:tcPr>
          <w:p w14:paraId="7BE14F03" w14:textId="77777777" w:rsidR="000D0FCF" w:rsidRDefault="000D0FCF" w:rsidP="0052142D">
            <w:pPr>
              <w:jc w:val="center"/>
              <w:rPr>
                <w:rFonts w:cs="Courier New"/>
                <w:lang w:val="en-US"/>
              </w:rPr>
            </w:pPr>
          </w:p>
        </w:tc>
      </w:tr>
      <w:tr w:rsidR="000D0FCF" w14:paraId="25E77651" w14:textId="77777777" w:rsidTr="00954E71">
        <w:trPr>
          <w:trHeight w:val="369"/>
        </w:trPr>
        <w:tc>
          <w:tcPr>
            <w:tcW w:w="3402" w:type="dxa"/>
            <w:tcBorders>
              <w:top w:val="single" w:sz="4" w:space="0" w:color="auto"/>
              <w:left w:val="nil"/>
              <w:bottom w:val="single" w:sz="4" w:space="0" w:color="auto"/>
              <w:right w:val="nil"/>
            </w:tcBorders>
          </w:tcPr>
          <w:p w14:paraId="7A1E9ECD" w14:textId="77777777" w:rsidR="000D0FCF" w:rsidRDefault="000D0FCF" w:rsidP="0052142D">
            <w:pPr>
              <w:rPr>
                <w:rFonts w:cs="Courier New"/>
                <w:lang w:val="en-US"/>
              </w:rPr>
            </w:pPr>
          </w:p>
        </w:tc>
        <w:tc>
          <w:tcPr>
            <w:tcW w:w="709" w:type="dxa"/>
            <w:tcBorders>
              <w:top w:val="single" w:sz="4" w:space="0" w:color="auto"/>
              <w:left w:val="nil"/>
              <w:bottom w:val="single" w:sz="4" w:space="0" w:color="auto"/>
              <w:right w:val="nil"/>
            </w:tcBorders>
          </w:tcPr>
          <w:p w14:paraId="03BF122A" w14:textId="77777777" w:rsidR="000D0FCF" w:rsidRDefault="000D0FCF" w:rsidP="0052142D">
            <w:pPr>
              <w:jc w:val="center"/>
              <w:rPr>
                <w:rFonts w:cs="Courier New"/>
                <w:lang w:val="fr-FR"/>
              </w:rPr>
            </w:pPr>
          </w:p>
        </w:tc>
        <w:tc>
          <w:tcPr>
            <w:tcW w:w="2557" w:type="dxa"/>
            <w:tcBorders>
              <w:top w:val="single" w:sz="4" w:space="0" w:color="auto"/>
              <w:left w:val="nil"/>
              <w:bottom w:val="single" w:sz="4" w:space="0" w:color="auto"/>
              <w:right w:val="nil"/>
            </w:tcBorders>
          </w:tcPr>
          <w:p w14:paraId="54289A1E" w14:textId="77777777" w:rsidR="000D0FCF" w:rsidRDefault="000D0FCF" w:rsidP="0052142D">
            <w:pPr>
              <w:jc w:val="center"/>
              <w:rPr>
                <w:rFonts w:cs="Courier New"/>
                <w:lang w:val="fr-FR"/>
              </w:rPr>
            </w:pPr>
          </w:p>
        </w:tc>
        <w:tc>
          <w:tcPr>
            <w:tcW w:w="2652" w:type="dxa"/>
            <w:tcBorders>
              <w:top w:val="single" w:sz="4" w:space="0" w:color="auto"/>
              <w:left w:val="nil"/>
              <w:bottom w:val="single" w:sz="4" w:space="0" w:color="auto"/>
              <w:right w:val="nil"/>
            </w:tcBorders>
          </w:tcPr>
          <w:p w14:paraId="34AD47F7" w14:textId="77777777" w:rsidR="000D0FCF" w:rsidRDefault="000D0FCF" w:rsidP="0052142D">
            <w:pPr>
              <w:jc w:val="center"/>
              <w:rPr>
                <w:rFonts w:cs="Courier New"/>
                <w:lang w:val="fr-FR"/>
              </w:rPr>
            </w:pPr>
          </w:p>
        </w:tc>
        <w:tc>
          <w:tcPr>
            <w:tcW w:w="892" w:type="dxa"/>
            <w:tcBorders>
              <w:top w:val="single" w:sz="4" w:space="0" w:color="auto"/>
              <w:left w:val="nil"/>
              <w:bottom w:val="single" w:sz="4" w:space="0" w:color="auto"/>
              <w:right w:val="nil"/>
            </w:tcBorders>
          </w:tcPr>
          <w:p w14:paraId="76AEAB1D" w14:textId="77777777" w:rsidR="000D0FCF" w:rsidRDefault="000D0FCF" w:rsidP="0052142D">
            <w:pPr>
              <w:jc w:val="center"/>
              <w:rPr>
                <w:rFonts w:cs="Courier New"/>
                <w:lang w:val="fr-FR"/>
              </w:rPr>
            </w:pPr>
          </w:p>
        </w:tc>
      </w:tr>
      <w:tr w:rsidR="000D0FCF" w14:paraId="0E325103" w14:textId="77777777" w:rsidTr="00954E71">
        <w:trPr>
          <w:cantSplit/>
          <w:trHeight w:val="826"/>
        </w:trPr>
        <w:tc>
          <w:tcPr>
            <w:tcW w:w="3402" w:type="dxa"/>
            <w:tcBorders>
              <w:top w:val="single" w:sz="4" w:space="0" w:color="auto"/>
              <w:left w:val="nil"/>
              <w:bottom w:val="outset" w:sz="6" w:space="0" w:color="auto"/>
              <w:right w:val="nil"/>
            </w:tcBorders>
          </w:tcPr>
          <w:p w14:paraId="3BB2C1CA" w14:textId="77777777" w:rsidR="000D0FCF" w:rsidRDefault="000D0FCF" w:rsidP="0052142D">
            <w:pPr>
              <w:rPr>
                <w:rFonts w:cs="Courier New"/>
                <w:lang w:val="en-US"/>
              </w:rPr>
            </w:pPr>
            <w:r>
              <w:rPr>
                <w:rFonts w:cs="Courier New"/>
                <w:lang w:val="en-US"/>
              </w:rPr>
              <w:t xml:space="preserve">Therapy group </w:t>
            </w:r>
          </w:p>
          <w:p w14:paraId="53C13D58" w14:textId="77777777" w:rsidR="000D0FCF" w:rsidRDefault="000D0FCF" w:rsidP="0052142D">
            <w:pPr>
              <w:ind w:left="720"/>
              <w:rPr>
                <w:rFonts w:cs="Courier New"/>
                <w:lang w:val="en-US"/>
              </w:rPr>
            </w:pPr>
            <w:r>
              <w:rPr>
                <w:rFonts w:cs="Courier New"/>
                <w:lang w:val="en-US"/>
              </w:rPr>
              <w:t>Cisplatin</w:t>
            </w:r>
          </w:p>
          <w:p w14:paraId="375B4671" w14:textId="77777777" w:rsidR="000D0FCF" w:rsidRDefault="000D0FCF" w:rsidP="0052142D">
            <w:pPr>
              <w:ind w:left="720"/>
              <w:rPr>
                <w:rFonts w:cs="Courier New"/>
                <w:lang w:val="en-US"/>
              </w:rPr>
            </w:pPr>
            <w:r>
              <w:rPr>
                <w:rFonts w:cs="Courier New"/>
                <w:lang w:val="en-US"/>
              </w:rPr>
              <w:t>Carboplatin</w:t>
            </w:r>
          </w:p>
          <w:p w14:paraId="43AA1EFD" w14:textId="77777777" w:rsidR="000D0FCF" w:rsidRDefault="000D0FCF" w:rsidP="0052142D">
            <w:pPr>
              <w:ind w:left="720"/>
              <w:rPr>
                <w:rFonts w:cs="Courier New"/>
                <w:lang w:val="en-US"/>
              </w:rPr>
            </w:pPr>
            <w:r>
              <w:rPr>
                <w:rFonts w:cs="Courier New"/>
                <w:lang w:val="en-US"/>
              </w:rPr>
              <w:t>Other</w:t>
            </w:r>
          </w:p>
        </w:tc>
        <w:tc>
          <w:tcPr>
            <w:tcW w:w="709" w:type="dxa"/>
            <w:tcBorders>
              <w:top w:val="single" w:sz="4" w:space="0" w:color="auto"/>
              <w:left w:val="nil"/>
              <w:bottom w:val="single" w:sz="4" w:space="0" w:color="auto"/>
              <w:right w:val="nil"/>
            </w:tcBorders>
          </w:tcPr>
          <w:p w14:paraId="7073A3C1" w14:textId="77777777" w:rsidR="000D0FCF" w:rsidRDefault="000D0FCF" w:rsidP="0052142D">
            <w:pPr>
              <w:jc w:val="center"/>
              <w:rPr>
                <w:rFonts w:cs="Courier New"/>
                <w:lang w:val="en-US"/>
              </w:rPr>
            </w:pPr>
          </w:p>
          <w:p w14:paraId="1F5E06C5" w14:textId="77777777" w:rsidR="000D0FCF" w:rsidRDefault="000D0FCF" w:rsidP="0052142D">
            <w:pPr>
              <w:jc w:val="center"/>
              <w:rPr>
                <w:rFonts w:cs="Courier New"/>
                <w:lang w:val="en-US"/>
              </w:rPr>
            </w:pPr>
            <w:r>
              <w:rPr>
                <w:rFonts w:cs="Courier New"/>
                <w:lang w:val="en-US"/>
              </w:rPr>
              <w:t>689</w:t>
            </w:r>
          </w:p>
          <w:p w14:paraId="75367D85" w14:textId="77777777" w:rsidR="000D0FCF" w:rsidRDefault="000D0FCF" w:rsidP="0052142D">
            <w:pPr>
              <w:jc w:val="center"/>
              <w:rPr>
                <w:rFonts w:cs="Courier New"/>
                <w:lang w:val="en-US"/>
              </w:rPr>
            </w:pPr>
            <w:r>
              <w:rPr>
                <w:rFonts w:cs="Courier New"/>
                <w:lang w:val="en-US"/>
              </w:rPr>
              <w:t>404</w:t>
            </w:r>
          </w:p>
          <w:p w14:paraId="467A3BDF" w14:textId="77777777" w:rsidR="000D0FCF" w:rsidRDefault="000D0FCF" w:rsidP="0052142D">
            <w:pPr>
              <w:jc w:val="center"/>
              <w:rPr>
                <w:rFonts w:cs="Courier New"/>
                <w:lang w:val="en-US"/>
              </w:rPr>
            </w:pPr>
            <w:r>
              <w:rPr>
                <w:rFonts w:cs="Courier New"/>
                <w:lang w:val="en-US"/>
              </w:rPr>
              <w:t>268</w:t>
            </w:r>
          </w:p>
        </w:tc>
        <w:tc>
          <w:tcPr>
            <w:tcW w:w="2557" w:type="dxa"/>
            <w:tcBorders>
              <w:top w:val="single" w:sz="4" w:space="0" w:color="auto"/>
              <w:left w:val="nil"/>
              <w:bottom w:val="single" w:sz="4" w:space="0" w:color="auto"/>
              <w:right w:val="nil"/>
            </w:tcBorders>
          </w:tcPr>
          <w:p w14:paraId="5A57AADC" w14:textId="77777777" w:rsidR="000D0FCF" w:rsidRDefault="000D0FCF" w:rsidP="0052142D">
            <w:pPr>
              <w:jc w:val="center"/>
              <w:rPr>
                <w:rFonts w:cs="Courier New"/>
                <w:lang w:val="en-US"/>
              </w:rPr>
            </w:pPr>
          </w:p>
          <w:p w14:paraId="70429362" w14:textId="77777777" w:rsidR="000D0FCF" w:rsidRDefault="000D0FCF" w:rsidP="0052142D">
            <w:pPr>
              <w:jc w:val="center"/>
              <w:rPr>
                <w:rFonts w:cs="Courier New"/>
                <w:lang w:val="en-US"/>
              </w:rPr>
            </w:pPr>
            <w:r>
              <w:rPr>
                <w:rFonts w:cs="Courier New"/>
                <w:lang w:val="en-US"/>
              </w:rPr>
              <w:t>16.7 (14.8-18.5)</w:t>
            </w:r>
          </w:p>
          <w:p w14:paraId="451D1229" w14:textId="77777777" w:rsidR="000D0FCF" w:rsidRDefault="000D0FCF" w:rsidP="0052142D">
            <w:pPr>
              <w:jc w:val="center"/>
              <w:rPr>
                <w:rFonts w:cs="Courier New"/>
                <w:lang w:val="en-US"/>
              </w:rPr>
            </w:pPr>
            <w:r>
              <w:rPr>
                <w:rFonts w:cs="Courier New"/>
                <w:lang w:val="en-US"/>
              </w:rPr>
              <w:t>10.5 (9.3-11.7)</w:t>
            </w:r>
          </w:p>
          <w:p w14:paraId="074E769B" w14:textId="77777777" w:rsidR="000D0FCF" w:rsidRDefault="000D0FCF" w:rsidP="0052142D">
            <w:pPr>
              <w:jc w:val="center"/>
              <w:rPr>
                <w:rFonts w:cs="Courier New"/>
                <w:lang w:val="en-US"/>
              </w:rPr>
            </w:pPr>
            <w:r>
              <w:rPr>
                <w:rFonts w:cs="Courier New"/>
                <w:lang w:val="en-US"/>
              </w:rPr>
              <w:t>9.8 (7.9-11.8)</w:t>
            </w:r>
          </w:p>
        </w:tc>
        <w:tc>
          <w:tcPr>
            <w:tcW w:w="2652" w:type="dxa"/>
            <w:tcBorders>
              <w:top w:val="single" w:sz="4" w:space="0" w:color="auto"/>
              <w:left w:val="nil"/>
              <w:bottom w:val="single" w:sz="4" w:space="0" w:color="auto"/>
              <w:right w:val="nil"/>
            </w:tcBorders>
          </w:tcPr>
          <w:p w14:paraId="6828C543" w14:textId="77777777" w:rsidR="000D0FCF" w:rsidRDefault="000D0FCF" w:rsidP="0052142D">
            <w:pPr>
              <w:jc w:val="center"/>
              <w:rPr>
                <w:rFonts w:cs="Courier New"/>
              </w:rPr>
            </w:pPr>
          </w:p>
          <w:p w14:paraId="7F249AF0" w14:textId="77777777" w:rsidR="000D0FCF" w:rsidRDefault="000D0FCF" w:rsidP="0052142D">
            <w:pPr>
              <w:jc w:val="center"/>
              <w:rPr>
                <w:rFonts w:cs="Courier New"/>
              </w:rPr>
            </w:pPr>
            <w:r>
              <w:rPr>
                <w:rFonts w:cs="Courier New"/>
              </w:rPr>
              <w:t>1</w:t>
            </w:r>
          </w:p>
          <w:p w14:paraId="3A58F634" w14:textId="77777777" w:rsidR="000D0FCF" w:rsidRDefault="000D0FCF" w:rsidP="0052142D">
            <w:pPr>
              <w:jc w:val="center"/>
              <w:rPr>
                <w:rFonts w:cs="Courier New"/>
              </w:rPr>
            </w:pPr>
            <w:r>
              <w:rPr>
                <w:rFonts w:cs="Courier New"/>
              </w:rPr>
              <w:t>1.71 (1.47-1.97)</w:t>
            </w:r>
          </w:p>
          <w:p w14:paraId="01E9FD0A" w14:textId="77777777" w:rsidR="000D0FCF" w:rsidRDefault="000D0FCF" w:rsidP="0052142D">
            <w:pPr>
              <w:jc w:val="center"/>
              <w:rPr>
                <w:rFonts w:cs="Courier New"/>
              </w:rPr>
            </w:pPr>
            <w:r>
              <w:rPr>
                <w:rFonts w:cs="Courier New"/>
              </w:rPr>
              <w:t>1.75 (1.47-2.09)</w:t>
            </w:r>
          </w:p>
        </w:tc>
        <w:tc>
          <w:tcPr>
            <w:tcW w:w="892" w:type="dxa"/>
            <w:tcBorders>
              <w:top w:val="single" w:sz="4" w:space="0" w:color="auto"/>
              <w:left w:val="nil"/>
              <w:bottom w:val="single" w:sz="4" w:space="0" w:color="auto"/>
              <w:right w:val="nil"/>
            </w:tcBorders>
          </w:tcPr>
          <w:p w14:paraId="089D1B70" w14:textId="77777777" w:rsidR="000D0FCF" w:rsidRDefault="000D0FCF" w:rsidP="0052142D">
            <w:pPr>
              <w:jc w:val="center"/>
              <w:rPr>
                <w:rFonts w:cs="Courier New"/>
                <w:lang w:val="en-US"/>
              </w:rPr>
            </w:pPr>
            <w:r>
              <w:rPr>
                <w:rFonts w:cs="Courier New"/>
                <w:lang w:val="en-US"/>
              </w:rPr>
              <w:t>&lt;.001</w:t>
            </w:r>
          </w:p>
        </w:tc>
      </w:tr>
      <w:tr w:rsidR="000D0FCF" w14:paraId="69F22EE7" w14:textId="77777777" w:rsidTr="00954E71">
        <w:trPr>
          <w:cantSplit/>
          <w:trHeight w:val="826"/>
        </w:trPr>
        <w:tc>
          <w:tcPr>
            <w:tcW w:w="3402" w:type="dxa"/>
            <w:tcBorders>
              <w:top w:val="outset" w:sz="6" w:space="0" w:color="auto"/>
              <w:left w:val="nil"/>
              <w:bottom w:val="outset" w:sz="6" w:space="0" w:color="auto"/>
              <w:right w:val="nil"/>
            </w:tcBorders>
            <w:vAlign w:val="center"/>
          </w:tcPr>
          <w:p w14:paraId="3B5AA8D6" w14:textId="77777777" w:rsidR="000D0FCF" w:rsidRDefault="005A4A2F" w:rsidP="0052142D">
            <w:pPr>
              <w:rPr>
                <w:lang w:val="en-US"/>
              </w:rPr>
            </w:pPr>
            <w:r>
              <w:rPr>
                <w:lang w:val="en-US"/>
              </w:rPr>
              <w:t>Eligible</w:t>
            </w:r>
            <w:r w:rsidR="000D0FCF">
              <w:rPr>
                <w:lang w:val="en-US"/>
              </w:rPr>
              <w:t>-for-cisplatin</w:t>
            </w:r>
          </w:p>
          <w:p w14:paraId="200BF2A6" w14:textId="77777777" w:rsidR="000D0FCF" w:rsidRDefault="000D0FCF" w:rsidP="0052142D">
            <w:pPr>
              <w:ind w:left="720"/>
              <w:rPr>
                <w:lang w:val="en-US"/>
              </w:rPr>
            </w:pPr>
            <w:r>
              <w:rPr>
                <w:lang w:val="en-US"/>
              </w:rPr>
              <w:t>Yes</w:t>
            </w:r>
          </w:p>
          <w:p w14:paraId="05687E75" w14:textId="77777777" w:rsidR="000D0FCF" w:rsidRDefault="000D0FCF" w:rsidP="0052142D">
            <w:pPr>
              <w:ind w:left="720"/>
              <w:rPr>
                <w:lang w:val="en-US"/>
              </w:rPr>
            </w:pPr>
            <w:r>
              <w:rPr>
                <w:lang w:val="en-US"/>
              </w:rPr>
              <w:t>No</w:t>
            </w:r>
          </w:p>
          <w:p w14:paraId="14C8122B" w14:textId="77777777" w:rsidR="000D0FCF" w:rsidRDefault="000D0FCF" w:rsidP="0052142D">
            <w:pPr>
              <w:rPr>
                <w:lang w:val="en-US"/>
              </w:rPr>
            </w:pPr>
            <w:r>
              <w:rPr>
                <w:lang w:val="en-US"/>
              </w:rPr>
              <w:t>MSKCC risk stratification</w:t>
            </w:r>
          </w:p>
          <w:p w14:paraId="5A6DAFEB" w14:textId="77777777" w:rsidR="000D0FCF" w:rsidRDefault="000D0FCF" w:rsidP="0052142D">
            <w:pPr>
              <w:ind w:left="720"/>
              <w:rPr>
                <w:lang w:val="en-US"/>
              </w:rPr>
            </w:pPr>
            <w:r>
              <w:rPr>
                <w:lang w:val="en-US"/>
              </w:rPr>
              <w:t xml:space="preserve">Low </w:t>
            </w:r>
          </w:p>
          <w:p w14:paraId="3D02C255" w14:textId="77777777" w:rsidR="000D0FCF" w:rsidRDefault="000D0FCF" w:rsidP="0052142D">
            <w:pPr>
              <w:ind w:left="720"/>
              <w:rPr>
                <w:lang w:val="en-US"/>
              </w:rPr>
            </w:pPr>
            <w:r>
              <w:rPr>
                <w:lang w:val="en-US"/>
              </w:rPr>
              <w:t>Intermediate</w:t>
            </w:r>
          </w:p>
          <w:p w14:paraId="2DE6094D" w14:textId="77777777" w:rsidR="000D0FCF" w:rsidRDefault="000D0FCF" w:rsidP="0052142D">
            <w:pPr>
              <w:ind w:left="720"/>
              <w:rPr>
                <w:lang w:val="en-US"/>
              </w:rPr>
            </w:pPr>
            <w:r>
              <w:rPr>
                <w:lang w:val="en-US"/>
              </w:rPr>
              <w:t>High</w:t>
            </w:r>
          </w:p>
        </w:tc>
        <w:tc>
          <w:tcPr>
            <w:tcW w:w="709" w:type="dxa"/>
            <w:tcBorders>
              <w:top w:val="outset" w:sz="6" w:space="0" w:color="auto"/>
              <w:left w:val="nil"/>
              <w:bottom w:val="outset" w:sz="6" w:space="0" w:color="auto"/>
              <w:right w:val="nil"/>
            </w:tcBorders>
            <w:vAlign w:val="center"/>
          </w:tcPr>
          <w:p w14:paraId="6CFFA151" w14:textId="77777777" w:rsidR="000D0FCF" w:rsidRDefault="000D0FCF" w:rsidP="0052142D">
            <w:pPr>
              <w:rPr>
                <w:lang w:val="en-US"/>
              </w:rPr>
            </w:pPr>
          </w:p>
          <w:p w14:paraId="25DC922B" w14:textId="77777777" w:rsidR="000D0FCF" w:rsidRDefault="000D0FCF" w:rsidP="0052142D">
            <w:pPr>
              <w:jc w:val="center"/>
              <w:rPr>
                <w:lang w:val="en-US"/>
              </w:rPr>
            </w:pPr>
            <w:r>
              <w:rPr>
                <w:lang w:val="en-US"/>
              </w:rPr>
              <w:t>550</w:t>
            </w:r>
          </w:p>
          <w:p w14:paraId="19E04B46" w14:textId="77777777" w:rsidR="000D0FCF" w:rsidRDefault="000D0FCF" w:rsidP="0052142D">
            <w:pPr>
              <w:jc w:val="center"/>
              <w:rPr>
                <w:lang w:val="en-US"/>
              </w:rPr>
            </w:pPr>
            <w:r>
              <w:rPr>
                <w:lang w:val="en-US"/>
              </w:rPr>
              <w:t>421</w:t>
            </w:r>
          </w:p>
          <w:p w14:paraId="4CB47320" w14:textId="77777777" w:rsidR="000D0FCF" w:rsidRDefault="000D0FCF" w:rsidP="0052142D">
            <w:pPr>
              <w:jc w:val="center"/>
              <w:rPr>
                <w:lang w:val="en-US"/>
              </w:rPr>
            </w:pPr>
          </w:p>
          <w:p w14:paraId="41B18364" w14:textId="77777777" w:rsidR="000D0FCF" w:rsidRDefault="000D0FCF" w:rsidP="0052142D">
            <w:pPr>
              <w:jc w:val="center"/>
              <w:rPr>
                <w:lang w:val="en-US"/>
              </w:rPr>
            </w:pPr>
            <w:r>
              <w:rPr>
                <w:lang w:val="en-US"/>
              </w:rPr>
              <w:t>400</w:t>
            </w:r>
          </w:p>
          <w:p w14:paraId="520A7B54" w14:textId="77777777" w:rsidR="000D0FCF" w:rsidRDefault="000D0FCF" w:rsidP="0052142D">
            <w:pPr>
              <w:jc w:val="center"/>
              <w:rPr>
                <w:lang w:val="en-US"/>
              </w:rPr>
            </w:pPr>
            <w:r>
              <w:rPr>
                <w:lang w:val="en-US"/>
              </w:rPr>
              <w:t>554</w:t>
            </w:r>
          </w:p>
          <w:p w14:paraId="772A23D9" w14:textId="77777777" w:rsidR="000D0FCF" w:rsidRDefault="000D0FCF" w:rsidP="0052142D">
            <w:pPr>
              <w:jc w:val="center"/>
              <w:rPr>
                <w:lang w:val="en-US"/>
              </w:rPr>
            </w:pPr>
            <w:r>
              <w:rPr>
                <w:lang w:val="en-US"/>
              </w:rPr>
              <w:t>131</w:t>
            </w:r>
          </w:p>
        </w:tc>
        <w:tc>
          <w:tcPr>
            <w:tcW w:w="2557" w:type="dxa"/>
            <w:tcBorders>
              <w:top w:val="outset" w:sz="6" w:space="0" w:color="auto"/>
              <w:left w:val="nil"/>
              <w:bottom w:val="outset" w:sz="6" w:space="0" w:color="auto"/>
              <w:right w:val="nil"/>
            </w:tcBorders>
            <w:vAlign w:val="center"/>
          </w:tcPr>
          <w:p w14:paraId="26AE2FF9" w14:textId="77777777" w:rsidR="000D0FCF" w:rsidRDefault="000D0FCF" w:rsidP="0052142D">
            <w:pPr>
              <w:rPr>
                <w:lang w:val="en-US"/>
              </w:rPr>
            </w:pPr>
          </w:p>
          <w:p w14:paraId="03732BEB" w14:textId="77777777" w:rsidR="000D0FCF" w:rsidRDefault="000D0FCF" w:rsidP="0052142D">
            <w:pPr>
              <w:jc w:val="center"/>
              <w:rPr>
                <w:lang w:val="en-US"/>
              </w:rPr>
            </w:pPr>
            <w:r>
              <w:rPr>
                <w:lang w:val="en-US"/>
              </w:rPr>
              <w:t>15.</w:t>
            </w:r>
            <w:r>
              <w:t>9</w:t>
            </w:r>
            <w:r>
              <w:rPr>
                <w:lang w:val="en-US"/>
              </w:rPr>
              <w:t xml:space="preserve"> (14.1-18.</w:t>
            </w:r>
            <w:r>
              <w:t>8</w:t>
            </w:r>
            <w:r>
              <w:rPr>
                <w:lang w:val="en-US"/>
              </w:rPr>
              <w:t>)</w:t>
            </w:r>
          </w:p>
          <w:p w14:paraId="74687C48" w14:textId="77777777" w:rsidR="000D0FCF" w:rsidRDefault="000D0FCF" w:rsidP="0052142D">
            <w:pPr>
              <w:jc w:val="center"/>
              <w:rPr>
                <w:lang w:val="en-US"/>
              </w:rPr>
            </w:pPr>
            <w:r>
              <w:rPr>
                <w:lang w:val="en-US"/>
              </w:rPr>
              <w:t>9.8 (8.6-10.</w:t>
            </w:r>
            <w:r>
              <w:t>9</w:t>
            </w:r>
            <w:r>
              <w:rPr>
                <w:lang w:val="en-US"/>
              </w:rPr>
              <w:t>)</w:t>
            </w:r>
          </w:p>
          <w:p w14:paraId="6774D2E9" w14:textId="77777777" w:rsidR="000D0FCF" w:rsidRDefault="000D0FCF" w:rsidP="0052142D">
            <w:pPr>
              <w:jc w:val="center"/>
              <w:rPr>
                <w:lang w:val="en-US"/>
              </w:rPr>
            </w:pPr>
          </w:p>
          <w:p w14:paraId="07CC1F1F" w14:textId="77777777" w:rsidR="000D0FCF" w:rsidRDefault="000D0FCF" w:rsidP="0052142D">
            <w:pPr>
              <w:jc w:val="center"/>
              <w:rPr>
                <w:lang w:val="en-US"/>
              </w:rPr>
            </w:pPr>
            <w:r>
              <w:rPr>
                <w:lang w:val="en-US"/>
              </w:rPr>
              <w:t>18.</w:t>
            </w:r>
            <w:r>
              <w:t>7</w:t>
            </w:r>
            <w:r>
              <w:rPr>
                <w:lang w:val="en-US"/>
              </w:rPr>
              <w:t xml:space="preserve"> (15-21.</w:t>
            </w:r>
            <w:r>
              <w:t>5</w:t>
            </w:r>
            <w:r>
              <w:rPr>
                <w:lang w:val="en-US"/>
              </w:rPr>
              <w:t>)</w:t>
            </w:r>
          </w:p>
          <w:p w14:paraId="3CD2A002" w14:textId="77777777" w:rsidR="000D0FCF" w:rsidRDefault="000D0FCF" w:rsidP="0052142D">
            <w:pPr>
              <w:jc w:val="center"/>
              <w:rPr>
                <w:lang w:val="en-US"/>
              </w:rPr>
            </w:pPr>
            <w:r>
              <w:rPr>
                <w:lang w:val="en-US"/>
              </w:rPr>
              <w:t>12 (10.9-13</w:t>
            </w:r>
            <w:r>
              <w:t>.1</w:t>
            </w:r>
            <w:r>
              <w:rPr>
                <w:lang w:val="en-US"/>
              </w:rPr>
              <w:t>)</w:t>
            </w:r>
          </w:p>
          <w:p w14:paraId="77514BF5" w14:textId="77777777" w:rsidR="000D0FCF" w:rsidRDefault="000D0FCF" w:rsidP="0052142D">
            <w:pPr>
              <w:jc w:val="center"/>
              <w:rPr>
                <w:lang w:val="en-US"/>
              </w:rPr>
            </w:pPr>
            <w:r>
              <w:rPr>
                <w:lang w:val="en-US"/>
              </w:rPr>
              <w:t>5.4 (4-6.8)</w:t>
            </w:r>
          </w:p>
        </w:tc>
        <w:tc>
          <w:tcPr>
            <w:tcW w:w="2652" w:type="dxa"/>
            <w:tcBorders>
              <w:top w:val="outset" w:sz="6" w:space="0" w:color="auto"/>
              <w:left w:val="nil"/>
              <w:bottom w:val="outset" w:sz="6" w:space="0" w:color="auto"/>
              <w:right w:val="nil"/>
            </w:tcBorders>
            <w:vAlign w:val="center"/>
          </w:tcPr>
          <w:p w14:paraId="04DBF10A" w14:textId="77777777" w:rsidR="000D0FCF" w:rsidRDefault="000D0FCF" w:rsidP="0052142D">
            <w:pPr>
              <w:jc w:val="center"/>
            </w:pPr>
            <w:r>
              <w:t>1</w:t>
            </w:r>
          </w:p>
          <w:p w14:paraId="04BACA01" w14:textId="77777777" w:rsidR="000D0FCF" w:rsidRDefault="000D0FCF" w:rsidP="0052142D">
            <w:pPr>
              <w:jc w:val="center"/>
            </w:pPr>
            <w:r>
              <w:t>1.73 (1.48-2.02)</w:t>
            </w:r>
          </w:p>
          <w:p w14:paraId="0CE432C7" w14:textId="77777777" w:rsidR="000D0FCF" w:rsidRDefault="000D0FCF" w:rsidP="0052142D">
            <w:pPr>
              <w:jc w:val="center"/>
              <w:rPr>
                <w:lang w:val="en-US"/>
              </w:rPr>
            </w:pPr>
          </w:p>
          <w:p w14:paraId="297CA86D" w14:textId="77777777" w:rsidR="000D0FCF" w:rsidRDefault="000D0FCF" w:rsidP="0052142D">
            <w:pPr>
              <w:jc w:val="center"/>
            </w:pPr>
            <w:r>
              <w:t>1</w:t>
            </w:r>
          </w:p>
          <w:p w14:paraId="2E5636EA" w14:textId="77777777" w:rsidR="000D0FCF" w:rsidRDefault="000D0FCF" w:rsidP="0052142D">
            <w:pPr>
              <w:jc w:val="center"/>
            </w:pPr>
            <w:r>
              <w:t>1.56 (1.33-1.83)</w:t>
            </w:r>
          </w:p>
          <w:p w14:paraId="3C857644" w14:textId="77777777" w:rsidR="000D0FCF" w:rsidRDefault="000D0FCF" w:rsidP="0052142D">
            <w:pPr>
              <w:jc w:val="center"/>
            </w:pPr>
            <w:r>
              <w:t>3.8 (3.01-4.79)</w:t>
            </w:r>
          </w:p>
          <w:p w14:paraId="6716DE93" w14:textId="77777777" w:rsidR="000D0FCF" w:rsidRDefault="000D0FCF" w:rsidP="0052142D">
            <w:pPr>
              <w:jc w:val="center"/>
              <w:rPr>
                <w:lang w:val="en-US"/>
              </w:rPr>
            </w:pPr>
          </w:p>
        </w:tc>
        <w:tc>
          <w:tcPr>
            <w:tcW w:w="892" w:type="dxa"/>
            <w:tcBorders>
              <w:top w:val="single" w:sz="4" w:space="0" w:color="auto"/>
              <w:left w:val="nil"/>
              <w:bottom w:val="single" w:sz="4" w:space="0" w:color="auto"/>
              <w:right w:val="nil"/>
            </w:tcBorders>
          </w:tcPr>
          <w:p w14:paraId="73659F5E" w14:textId="77777777" w:rsidR="000D0FCF" w:rsidRDefault="000D0FCF" w:rsidP="0052142D">
            <w:pPr>
              <w:jc w:val="center"/>
              <w:rPr>
                <w:rFonts w:cs="Courier New"/>
              </w:rPr>
            </w:pPr>
          </w:p>
          <w:p w14:paraId="1C9FBD8E" w14:textId="77777777" w:rsidR="000D0FCF" w:rsidRDefault="000D0FCF" w:rsidP="0052142D">
            <w:pPr>
              <w:jc w:val="center"/>
              <w:rPr>
                <w:rFonts w:cs="Courier New"/>
                <w:lang w:val="en-US"/>
              </w:rPr>
            </w:pPr>
            <w:r>
              <w:rPr>
                <w:rFonts w:cs="Courier New"/>
                <w:lang w:val="en-US"/>
              </w:rPr>
              <w:t>&lt;.001</w:t>
            </w:r>
          </w:p>
          <w:p w14:paraId="3737B359" w14:textId="77777777" w:rsidR="000D0FCF" w:rsidRDefault="000D0FCF" w:rsidP="0052142D">
            <w:pPr>
              <w:jc w:val="center"/>
              <w:rPr>
                <w:rFonts w:cs="Courier New"/>
                <w:lang w:val="en-US"/>
              </w:rPr>
            </w:pPr>
          </w:p>
          <w:p w14:paraId="6EE83119" w14:textId="77777777" w:rsidR="000D0FCF" w:rsidRDefault="000D0FCF" w:rsidP="0052142D">
            <w:pPr>
              <w:jc w:val="center"/>
              <w:rPr>
                <w:rFonts w:cs="Courier New"/>
                <w:lang w:val="en-US"/>
              </w:rPr>
            </w:pPr>
          </w:p>
          <w:p w14:paraId="5CB08F21" w14:textId="77777777" w:rsidR="000D0FCF" w:rsidRDefault="000D0FCF" w:rsidP="0052142D">
            <w:pPr>
              <w:rPr>
                <w:rFonts w:cs="Courier New"/>
                <w:lang w:val="en-US"/>
              </w:rPr>
            </w:pPr>
            <w:r>
              <w:rPr>
                <w:rFonts w:cs="Courier New"/>
                <w:lang w:val="en-US"/>
              </w:rPr>
              <w:t xml:space="preserve">    &lt;.001</w:t>
            </w:r>
          </w:p>
          <w:p w14:paraId="7C6FD959" w14:textId="77777777" w:rsidR="000D0FCF" w:rsidRDefault="000D0FCF" w:rsidP="0052142D">
            <w:pPr>
              <w:jc w:val="center"/>
              <w:rPr>
                <w:rFonts w:cs="Courier New"/>
                <w:lang w:val="en-US"/>
              </w:rPr>
            </w:pPr>
          </w:p>
        </w:tc>
      </w:tr>
      <w:tr w:rsidR="000D0FCF" w14:paraId="11A11FE8" w14:textId="77777777" w:rsidTr="00954E71">
        <w:trPr>
          <w:cantSplit/>
          <w:trHeight w:val="826"/>
        </w:trPr>
        <w:tc>
          <w:tcPr>
            <w:tcW w:w="3402" w:type="dxa"/>
            <w:tcBorders>
              <w:top w:val="outset" w:sz="6" w:space="0" w:color="auto"/>
              <w:left w:val="nil"/>
              <w:bottom w:val="single" w:sz="4" w:space="0" w:color="auto"/>
              <w:right w:val="nil"/>
            </w:tcBorders>
            <w:vAlign w:val="center"/>
          </w:tcPr>
          <w:p w14:paraId="0AFE52A0" w14:textId="77777777" w:rsidR="000D0FCF" w:rsidRDefault="005A4A2F" w:rsidP="0052142D">
            <w:pPr>
              <w:rPr>
                <w:lang w:val="en-US"/>
              </w:rPr>
            </w:pPr>
            <w:r>
              <w:rPr>
                <w:lang w:val="en-US"/>
              </w:rPr>
              <w:t>Eligible</w:t>
            </w:r>
            <w:r w:rsidR="000D0FCF">
              <w:rPr>
                <w:lang w:val="en-US"/>
              </w:rPr>
              <w:t>-for-cisplatin</w:t>
            </w:r>
          </w:p>
          <w:p w14:paraId="59B47D85" w14:textId="77777777" w:rsidR="000D0FCF" w:rsidRDefault="000D0FCF" w:rsidP="0052142D">
            <w:pPr>
              <w:ind w:left="720"/>
              <w:rPr>
                <w:lang w:val="en-US"/>
              </w:rPr>
            </w:pPr>
            <w:r>
              <w:rPr>
                <w:lang w:val="en-US"/>
              </w:rPr>
              <w:t>Cisplatin-treated</w:t>
            </w:r>
          </w:p>
          <w:p w14:paraId="7C403666" w14:textId="77777777" w:rsidR="000D0FCF" w:rsidRDefault="000D0FCF" w:rsidP="0052142D">
            <w:pPr>
              <w:ind w:left="720"/>
              <w:rPr>
                <w:lang w:val="en-US"/>
              </w:rPr>
            </w:pPr>
            <w:r>
              <w:rPr>
                <w:lang w:val="en-US"/>
              </w:rPr>
              <w:t>Non-cisplatin-treated</w:t>
            </w:r>
          </w:p>
          <w:p w14:paraId="4673D426" w14:textId="77777777" w:rsidR="000D0FCF" w:rsidRDefault="005A4A2F" w:rsidP="0052142D">
            <w:pPr>
              <w:rPr>
                <w:lang w:val="en-US"/>
              </w:rPr>
            </w:pPr>
            <w:r>
              <w:rPr>
                <w:lang w:val="en-US"/>
              </w:rPr>
              <w:t>Ineligible</w:t>
            </w:r>
            <w:r w:rsidR="000D0FCF">
              <w:rPr>
                <w:lang w:val="en-US"/>
              </w:rPr>
              <w:t xml:space="preserve">-for-cisplatin </w:t>
            </w:r>
          </w:p>
          <w:p w14:paraId="649EA1A0" w14:textId="77777777" w:rsidR="000D0FCF" w:rsidRDefault="000D0FCF" w:rsidP="0052142D">
            <w:pPr>
              <w:ind w:left="720"/>
              <w:rPr>
                <w:lang w:val="en-US"/>
              </w:rPr>
            </w:pPr>
            <w:r>
              <w:rPr>
                <w:lang w:val="en-US"/>
              </w:rPr>
              <w:t>Cisplatin-treated</w:t>
            </w:r>
          </w:p>
          <w:p w14:paraId="34AB5F93" w14:textId="77777777" w:rsidR="000D0FCF" w:rsidRDefault="000D0FCF" w:rsidP="0052142D">
            <w:pPr>
              <w:ind w:left="720"/>
              <w:rPr>
                <w:lang w:val="en-US"/>
              </w:rPr>
            </w:pPr>
            <w:r>
              <w:rPr>
                <w:lang w:val="en-US"/>
              </w:rPr>
              <w:t>Non-cisplatin-treated</w:t>
            </w:r>
          </w:p>
          <w:p w14:paraId="2D7E6C2F" w14:textId="77777777" w:rsidR="000D0FCF" w:rsidRDefault="000D0FCF" w:rsidP="0052142D">
            <w:pPr>
              <w:ind w:left="720"/>
              <w:rPr>
                <w:lang w:val="en-US"/>
              </w:rPr>
            </w:pPr>
          </w:p>
          <w:p w14:paraId="6609227C" w14:textId="77777777" w:rsidR="000D0FCF" w:rsidRDefault="000D0FCF" w:rsidP="0052142D">
            <w:pPr>
              <w:rPr>
                <w:lang w:val="en-US"/>
              </w:rPr>
            </w:pPr>
            <w:r>
              <w:rPr>
                <w:lang w:val="en-US"/>
              </w:rPr>
              <w:t>Low risk</w:t>
            </w:r>
          </w:p>
          <w:p w14:paraId="077CDFF8" w14:textId="77777777" w:rsidR="000D0FCF" w:rsidRDefault="000D0FCF" w:rsidP="0052142D">
            <w:pPr>
              <w:ind w:left="720"/>
              <w:rPr>
                <w:lang w:val="en-US"/>
              </w:rPr>
            </w:pPr>
            <w:r>
              <w:rPr>
                <w:lang w:val="en-US"/>
              </w:rPr>
              <w:t>Cisplatin-treated</w:t>
            </w:r>
          </w:p>
          <w:p w14:paraId="5CA8D64E" w14:textId="77777777" w:rsidR="000D0FCF" w:rsidRDefault="000D0FCF" w:rsidP="0052142D">
            <w:pPr>
              <w:ind w:left="720"/>
              <w:rPr>
                <w:lang w:val="en-US"/>
              </w:rPr>
            </w:pPr>
            <w:r>
              <w:rPr>
                <w:lang w:val="en-US"/>
              </w:rPr>
              <w:t>Non-cisplatin-treated</w:t>
            </w:r>
          </w:p>
          <w:p w14:paraId="5432446D" w14:textId="77777777" w:rsidR="000D0FCF" w:rsidRDefault="000D0FCF" w:rsidP="0052142D">
            <w:pPr>
              <w:rPr>
                <w:lang w:val="en-US"/>
              </w:rPr>
            </w:pPr>
            <w:r>
              <w:rPr>
                <w:lang w:val="en-US"/>
              </w:rPr>
              <w:t>Intermediate risk</w:t>
            </w:r>
          </w:p>
          <w:p w14:paraId="2777FE7D" w14:textId="77777777" w:rsidR="000D0FCF" w:rsidRDefault="000D0FCF" w:rsidP="0052142D">
            <w:pPr>
              <w:ind w:left="720"/>
              <w:rPr>
                <w:lang w:val="en-US"/>
              </w:rPr>
            </w:pPr>
            <w:r>
              <w:rPr>
                <w:lang w:val="en-US"/>
              </w:rPr>
              <w:t>Cisplatin-treated</w:t>
            </w:r>
          </w:p>
          <w:p w14:paraId="416AC2AC" w14:textId="77777777" w:rsidR="000D0FCF" w:rsidRDefault="000D0FCF" w:rsidP="0052142D">
            <w:pPr>
              <w:ind w:left="720"/>
              <w:rPr>
                <w:lang w:val="en-US"/>
              </w:rPr>
            </w:pPr>
            <w:r>
              <w:rPr>
                <w:lang w:val="en-US"/>
              </w:rPr>
              <w:t>Non-cisplatin-treated</w:t>
            </w:r>
          </w:p>
          <w:p w14:paraId="37BB2257" w14:textId="77777777" w:rsidR="000D0FCF" w:rsidRDefault="000D0FCF" w:rsidP="0052142D">
            <w:pPr>
              <w:rPr>
                <w:lang w:val="en-US"/>
              </w:rPr>
            </w:pPr>
            <w:r>
              <w:rPr>
                <w:lang w:val="en-US"/>
              </w:rPr>
              <w:t>High risk</w:t>
            </w:r>
          </w:p>
          <w:p w14:paraId="212145FD" w14:textId="77777777" w:rsidR="000D0FCF" w:rsidRDefault="000D0FCF" w:rsidP="0052142D">
            <w:pPr>
              <w:ind w:left="720"/>
              <w:rPr>
                <w:lang w:val="en-US"/>
              </w:rPr>
            </w:pPr>
            <w:r>
              <w:rPr>
                <w:lang w:val="en-US"/>
              </w:rPr>
              <w:t>Cisplatin-treated</w:t>
            </w:r>
          </w:p>
          <w:p w14:paraId="1486C159" w14:textId="77777777" w:rsidR="000D0FCF" w:rsidRDefault="000D0FCF" w:rsidP="0052142D">
            <w:pPr>
              <w:ind w:left="720"/>
              <w:rPr>
                <w:lang w:val="en-US"/>
              </w:rPr>
            </w:pPr>
            <w:r>
              <w:rPr>
                <w:lang w:val="en-US"/>
              </w:rPr>
              <w:t>Non-cisplatin-treated</w:t>
            </w:r>
          </w:p>
        </w:tc>
        <w:tc>
          <w:tcPr>
            <w:tcW w:w="709" w:type="dxa"/>
            <w:tcBorders>
              <w:top w:val="outset" w:sz="6" w:space="0" w:color="auto"/>
              <w:left w:val="nil"/>
              <w:bottom w:val="outset" w:sz="6" w:space="0" w:color="auto"/>
              <w:right w:val="nil"/>
            </w:tcBorders>
            <w:vAlign w:val="center"/>
          </w:tcPr>
          <w:p w14:paraId="10B41CEC" w14:textId="77777777" w:rsidR="000D0FCF" w:rsidRDefault="000D0FCF" w:rsidP="0052142D">
            <w:pPr>
              <w:jc w:val="center"/>
              <w:rPr>
                <w:lang w:val="en-US"/>
              </w:rPr>
            </w:pPr>
          </w:p>
          <w:p w14:paraId="68C635F1" w14:textId="77777777" w:rsidR="000D0FCF" w:rsidRDefault="000D0FCF" w:rsidP="0052142D">
            <w:pPr>
              <w:jc w:val="center"/>
              <w:rPr>
                <w:lang w:val="en-US"/>
              </w:rPr>
            </w:pPr>
            <w:r>
              <w:rPr>
                <w:lang w:val="en-US"/>
              </w:rPr>
              <w:t>295</w:t>
            </w:r>
          </w:p>
          <w:p w14:paraId="17103ED6" w14:textId="77777777" w:rsidR="000D0FCF" w:rsidRDefault="000D0FCF" w:rsidP="0052142D">
            <w:pPr>
              <w:jc w:val="center"/>
              <w:rPr>
                <w:lang w:val="en-US"/>
              </w:rPr>
            </w:pPr>
            <w:r>
              <w:rPr>
                <w:lang w:val="en-US"/>
              </w:rPr>
              <w:t>126</w:t>
            </w:r>
          </w:p>
          <w:p w14:paraId="65475AE0" w14:textId="77777777" w:rsidR="000D0FCF" w:rsidRDefault="000D0FCF" w:rsidP="0052142D">
            <w:pPr>
              <w:jc w:val="center"/>
              <w:rPr>
                <w:lang w:val="en-US"/>
              </w:rPr>
            </w:pPr>
          </w:p>
          <w:p w14:paraId="7D7639FC" w14:textId="77777777" w:rsidR="000D0FCF" w:rsidRDefault="000D0FCF" w:rsidP="0052142D">
            <w:pPr>
              <w:jc w:val="center"/>
              <w:rPr>
                <w:lang w:val="en-US"/>
              </w:rPr>
            </w:pPr>
            <w:r>
              <w:rPr>
                <w:lang w:val="en-US"/>
              </w:rPr>
              <w:t>182</w:t>
            </w:r>
          </w:p>
          <w:p w14:paraId="3B9B66FE" w14:textId="77777777" w:rsidR="000D0FCF" w:rsidRDefault="000D0FCF" w:rsidP="0052142D">
            <w:pPr>
              <w:jc w:val="center"/>
              <w:rPr>
                <w:lang w:val="en-US"/>
              </w:rPr>
            </w:pPr>
            <w:r>
              <w:rPr>
                <w:lang w:val="en-US"/>
              </w:rPr>
              <w:t>368</w:t>
            </w:r>
          </w:p>
          <w:p w14:paraId="53CAEE39" w14:textId="77777777" w:rsidR="000D0FCF" w:rsidRDefault="000D0FCF" w:rsidP="0052142D">
            <w:pPr>
              <w:jc w:val="center"/>
              <w:rPr>
                <w:lang w:val="en-US"/>
              </w:rPr>
            </w:pPr>
          </w:p>
          <w:p w14:paraId="2B21D348" w14:textId="77777777" w:rsidR="000D0FCF" w:rsidRDefault="000D0FCF" w:rsidP="0052142D">
            <w:pPr>
              <w:jc w:val="center"/>
              <w:rPr>
                <w:lang w:val="en-US"/>
              </w:rPr>
            </w:pPr>
          </w:p>
          <w:p w14:paraId="4BB32B13" w14:textId="77777777" w:rsidR="000D0FCF" w:rsidRDefault="000D0FCF" w:rsidP="0052142D">
            <w:pPr>
              <w:jc w:val="center"/>
              <w:rPr>
                <w:lang w:val="en-US"/>
              </w:rPr>
            </w:pPr>
            <w:r>
              <w:rPr>
                <w:lang w:val="en-US"/>
              </w:rPr>
              <w:t>251</w:t>
            </w:r>
          </w:p>
          <w:p w14:paraId="33886167" w14:textId="77777777" w:rsidR="000D0FCF" w:rsidRDefault="000D0FCF" w:rsidP="0052142D">
            <w:pPr>
              <w:jc w:val="center"/>
              <w:rPr>
                <w:lang w:val="en-US"/>
              </w:rPr>
            </w:pPr>
            <w:r>
              <w:rPr>
                <w:lang w:val="en-US"/>
              </w:rPr>
              <w:t>149</w:t>
            </w:r>
          </w:p>
          <w:p w14:paraId="120D7CAB" w14:textId="77777777" w:rsidR="000D0FCF" w:rsidRDefault="000D0FCF" w:rsidP="0052142D">
            <w:pPr>
              <w:jc w:val="center"/>
              <w:rPr>
                <w:lang w:val="en-US"/>
              </w:rPr>
            </w:pPr>
          </w:p>
          <w:p w14:paraId="2A747434" w14:textId="77777777" w:rsidR="000D0FCF" w:rsidRDefault="000D0FCF" w:rsidP="0052142D">
            <w:pPr>
              <w:jc w:val="center"/>
              <w:rPr>
                <w:lang w:val="en-US"/>
              </w:rPr>
            </w:pPr>
            <w:r>
              <w:rPr>
                <w:lang w:val="en-US"/>
              </w:rPr>
              <w:t>275</w:t>
            </w:r>
          </w:p>
          <w:p w14:paraId="509ABEB0" w14:textId="77777777" w:rsidR="000D0FCF" w:rsidRDefault="000D0FCF" w:rsidP="0052142D">
            <w:pPr>
              <w:jc w:val="center"/>
              <w:rPr>
                <w:lang w:val="en-US"/>
              </w:rPr>
            </w:pPr>
            <w:r>
              <w:rPr>
                <w:lang w:val="en-US"/>
              </w:rPr>
              <w:t>279</w:t>
            </w:r>
          </w:p>
          <w:p w14:paraId="5B9250EF" w14:textId="77777777" w:rsidR="000D0FCF" w:rsidRDefault="000D0FCF" w:rsidP="0052142D">
            <w:pPr>
              <w:jc w:val="center"/>
              <w:rPr>
                <w:lang w:val="en-US"/>
              </w:rPr>
            </w:pPr>
          </w:p>
          <w:p w14:paraId="1737C95A" w14:textId="77777777" w:rsidR="000D0FCF" w:rsidRDefault="000D0FCF" w:rsidP="0052142D">
            <w:pPr>
              <w:jc w:val="center"/>
              <w:rPr>
                <w:lang w:val="en-US"/>
              </w:rPr>
            </w:pPr>
            <w:r>
              <w:rPr>
                <w:lang w:val="en-US"/>
              </w:rPr>
              <w:t>36</w:t>
            </w:r>
          </w:p>
          <w:p w14:paraId="52344415" w14:textId="77777777" w:rsidR="000D0FCF" w:rsidRDefault="000D0FCF" w:rsidP="0052142D">
            <w:pPr>
              <w:jc w:val="center"/>
              <w:rPr>
                <w:lang w:val="en-US"/>
              </w:rPr>
            </w:pPr>
            <w:r>
              <w:rPr>
                <w:lang w:val="en-US"/>
              </w:rPr>
              <w:t>95</w:t>
            </w:r>
          </w:p>
        </w:tc>
        <w:tc>
          <w:tcPr>
            <w:tcW w:w="2557" w:type="dxa"/>
            <w:tcBorders>
              <w:top w:val="outset" w:sz="6" w:space="0" w:color="auto"/>
              <w:left w:val="nil"/>
              <w:bottom w:val="outset" w:sz="6" w:space="0" w:color="auto"/>
              <w:right w:val="nil"/>
            </w:tcBorders>
            <w:vAlign w:val="center"/>
          </w:tcPr>
          <w:p w14:paraId="3A24B0EC" w14:textId="77777777" w:rsidR="000D0FCF" w:rsidRDefault="000D0FCF" w:rsidP="0052142D">
            <w:pPr>
              <w:jc w:val="center"/>
              <w:rPr>
                <w:lang w:val="en-US"/>
              </w:rPr>
            </w:pPr>
          </w:p>
          <w:p w14:paraId="2CA418AA" w14:textId="77777777" w:rsidR="000D0FCF" w:rsidRDefault="000D0FCF" w:rsidP="0052142D">
            <w:pPr>
              <w:jc w:val="center"/>
              <w:rPr>
                <w:lang w:val="en-US"/>
              </w:rPr>
            </w:pPr>
            <w:r>
              <w:rPr>
                <w:lang w:val="en-US"/>
              </w:rPr>
              <w:t>19.4 (15.9-22.4)</w:t>
            </w:r>
          </w:p>
          <w:p w14:paraId="2E52FDD0" w14:textId="77777777" w:rsidR="000D0FCF" w:rsidRDefault="000D0FCF" w:rsidP="0052142D">
            <w:pPr>
              <w:jc w:val="center"/>
              <w:rPr>
                <w:lang w:val="en-US"/>
              </w:rPr>
            </w:pPr>
            <w:r>
              <w:rPr>
                <w:lang w:val="en-US"/>
              </w:rPr>
              <w:t>12 (9.5-14.1)</w:t>
            </w:r>
          </w:p>
          <w:p w14:paraId="40DFD60D" w14:textId="77777777" w:rsidR="000D0FCF" w:rsidRDefault="000D0FCF" w:rsidP="0052142D">
            <w:pPr>
              <w:jc w:val="center"/>
              <w:rPr>
                <w:lang w:val="en-US"/>
              </w:rPr>
            </w:pPr>
          </w:p>
          <w:p w14:paraId="6623811E" w14:textId="77777777" w:rsidR="000D0FCF" w:rsidRDefault="000D0FCF" w:rsidP="0052142D">
            <w:pPr>
              <w:jc w:val="center"/>
              <w:rPr>
                <w:lang w:val="en-US"/>
              </w:rPr>
            </w:pPr>
            <w:r>
              <w:rPr>
                <w:lang w:val="en-US"/>
              </w:rPr>
              <w:t>12 (10.8-14.3)</w:t>
            </w:r>
          </w:p>
          <w:p w14:paraId="7B1D5847" w14:textId="77777777" w:rsidR="000D0FCF" w:rsidRDefault="000D0FCF" w:rsidP="0052142D">
            <w:pPr>
              <w:jc w:val="center"/>
              <w:rPr>
                <w:lang w:val="en-US"/>
              </w:rPr>
            </w:pPr>
            <w:r>
              <w:rPr>
                <w:lang w:val="en-US"/>
              </w:rPr>
              <w:t>8.6 (7.3-9.7)</w:t>
            </w:r>
          </w:p>
          <w:p w14:paraId="2FD089B7" w14:textId="77777777" w:rsidR="000D0FCF" w:rsidRDefault="000D0FCF" w:rsidP="0052142D">
            <w:pPr>
              <w:jc w:val="center"/>
              <w:rPr>
                <w:lang w:val="en-US"/>
              </w:rPr>
            </w:pPr>
          </w:p>
          <w:p w14:paraId="6E3FF6F0" w14:textId="77777777" w:rsidR="000D0FCF" w:rsidRDefault="000D0FCF" w:rsidP="0052142D">
            <w:pPr>
              <w:jc w:val="center"/>
              <w:rPr>
                <w:lang w:val="en-US"/>
              </w:rPr>
            </w:pPr>
          </w:p>
          <w:p w14:paraId="26F13DA4" w14:textId="77777777" w:rsidR="000D0FCF" w:rsidRDefault="000D0FCF" w:rsidP="0052142D">
            <w:pPr>
              <w:jc w:val="center"/>
              <w:rPr>
                <w:lang w:val="en-US"/>
              </w:rPr>
            </w:pPr>
            <w:r>
              <w:rPr>
                <w:lang w:val="en-US"/>
              </w:rPr>
              <w:t>22.9 (20.2-26.9)</w:t>
            </w:r>
          </w:p>
          <w:p w14:paraId="0FD67826" w14:textId="77777777" w:rsidR="000D0FCF" w:rsidRDefault="000D0FCF" w:rsidP="0052142D">
            <w:pPr>
              <w:jc w:val="center"/>
              <w:rPr>
                <w:lang w:val="en-US"/>
              </w:rPr>
            </w:pPr>
            <w:r>
              <w:rPr>
                <w:lang w:val="en-US"/>
              </w:rPr>
              <w:t>13.3 (10.7-14.6)</w:t>
            </w:r>
          </w:p>
          <w:p w14:paraId="31CC0CCB" w14:textId="77777777" w:rsidR="000D0FCF" w:rsidRDefault="000D0FCF" w:rsidP="0052142D">
            <w:pPr>
              <w:jc w:val="center"/>
              <w:rPr>
                <w:lang w:val="en-US"/>
              </w:rPr>
            </w:pPr>
          </w:p>
          <w:p w14:paraId="7C138A0E" w14:textId="77777777" w:rsidR="000D0FCF" w:rsidRDefault="000D0FCF" w:rsidP="0052142D">
            <w:pPr>
              <w:jc w:val="center"/>
              <w:rPr>
                <w:lang w:val="en-US"/>
              </w:rPr>
            </w:pPr>
            <w:r>
              <w:rPr>
                <w:lang w:val="en-US"/>
              </w:rPr>
              <w:t>14.3 (12.2-16.2)</w:t>
            </w:r>
          </w:p>
          <w:p w14:paraId="14A431C6" w14:textId="77777777" w:rsidR="000D0FCF" w:rsidRDefault="000D0FCF" w:rsidP="0052142D">
            <w:pPr>
              <w:jc w:val="center"/>
              <w:rPr>
                <w:lang w:val="en-US"/>
              </w:rPr>
            </w:pPr>
            <w:r>
              <w:rPr>
                <w:lang w:val="en-US"/>
              </w:rPr>
              <w:t>10.3 (8.4-11.5)</w:t>
            </w:r>
          </w:p>
          <w:p w14:paraId="7A1647FA" w14:textId="77777777" w:rsidR="000D0FCF" w:rsidRDefault="000D0FCF" w:rsidP="0052142D">
            <w:pPr>
              <w:jc w:val="center"/>
              <w:rPr>
                <w:lang w:val="en-US"/>
              </w:rPr>
            </w:pPr>
          </w:p>
          <w:p w14:paraId="43D433DC" w14:textId="77777777" w:rsidR="000D0FCF" w:rsidRDefault="000D0FCF" w:rsidP="0052142D">
            <w:pPr>
              <w:jc w:val="center"/>
              <w:rPr>
                <w:lang w:val="en-US"/>
              </w:rPr>
            </w:pPr>
            <w:r>
              <w:rPr>
                <w:lang w:val="en-US"/>
              </w:rPr>
              <w:t>5.1 (3.8-6.8)</w:t>
            </w:r>
          </w:p>
          <w:p w14:paraId="3ED66A72" w14:textId="77777777" w:rsidR="000D0FCF" w:rsidRDefault="000D0FCF" w:rsidP="0052142D">
            <w:pPr>
              <w:jc w:val="center"/>
              <w:rPr>
                <w:lang w:val="en-US"/>
              </w:rPr>
            </w:pPr>
            <w:r>
              <w:rPr>
                <w:lang w:val="en-US"/>
              </w:rPr>
              <w:t>5.8 (3.7-9.3)</w:t>
            </w:r>
          </w:p>
        </w:tc>
        <w:tc>
          <w:tcPr>
            <w:tcW w:w="2652" w:type="dxa"/>
            <w:tcBorders>
              <w:top w:val="outset" w:sz="6" w:space="0" w:color="auto"/>
              <w:left w:val="nil"/>
              <w:bottom w:val="outset" w:sz="6" w:space="0" w:color="auto"/>
              <w:right w:val="nil"/>
            </w:tcBorders>
            <w:vAlign w:val="center"/>
          </w:tcPr>
          <w:p w14:paraId="42BE63FE" w14:textId="77777777" w:rsidR="000D0FCF" w:rsidRDefault="000D0FCF" w:rsidP="0052142D">
            <w:pPr>
              <w:jc w:val="center"/>
              <w:rPr>
                <w:lang w:val="en-US"/>
              </w:rPr>
            </w:pPr>
          </w:p>
          <w:p w14:paraId="1D0ED32E" w14:textId="77777777" w:rsidR="000D0FCF" w:rsidRDefault="000D0FCF" w:rsidP="0052142D">
            <w:pPr>
              <w:jc w:val="center"/>
              <w:rPr>
                <w:lang w:val="en-US"/>
              </w:rPr>
            </w:pPr>
            <w:r>
              <w:rPr>
                <w:lang w:val="en-US"/>
              </w:rPr>
              <w:t>1</w:t>
            </w:r>
          </w:p>
          <w:p w14:paraId="5CC83F43" w14:textId="77777777" w:rsidR="000D0FCF" w:rsidRDefault="000D0FCF" w:rsidP="0052142D">
            <w:pPr>
              <w:jc w:val="center"/>
              <w:rPr>
                <w:lang w:val="en-US"/>
              </w:rPr>
            </w:pPr>
            <w:r>
              <w:rPr>
                <w:lang w:val="en-US"/>
              </w:rPr>
              <w:t>2.05 (1.59-2.64)</w:t>
            </w:r>
          </w:p>
          <w:p w14:paraId="092FC5FC" w14:textId="77777777" w:rsidR="000D0FCF" w:rsidRDefault="000D0FCF" w:rsidP="0052142D">
            <w:pPr>
              <w:jc w:val="center"/>
              <w:rPr>
                <w:lang w:val="en-US"/>
              </w:rPr>
            </w:pPr>
          </w:p>
          <w:p w14:paraId="08CB0375" w14:textId="77777777" w:rsidR="000D0FCF" w:rsidRDefault="000D0FCF" w:rsidP="0052142D">
            <w:pPr>
              <w:jc w:val="center"/>
              <w:rPr>
                <w:lang w:val="en-US"/>
              </w:rPr>
            </w:pPr>
            <w:r>
              <w:rPr>
                <w:lang w:val="en-US"/>
              </w:rPr>
              <w:t>1</w:t>
            </w:r>
          </w:p>
          <w:p w14:paraId="6F5047BD" w14:textId="77777777" w:rsidR="000D0FCF" w:rsidRDefault="000D0FCF" w:rsidP="0052142D">
            <w:pPr>
              <w:jc w:val="center"/>
              <w:rPr>
                <w:lang w:val="en-US"/>
              </w:rPr>
            </w:pPr>
            <w:r>
              <w:rPr>
                <w:lang w:val="en-US"/>
              </w:rPr>
              <w:t>1.36 (1.1-1.69)</w:t>
            </w:r>
          </w:p>
          <w:p w14:paraId="75DD0C40" w14:textId="77777777" w:rsidR="000D0FCF" w:rsidRDefault="000D0FCF" w:rsidP="0052142D">
            <w:pPr>
              <w:jc w:val="center"/>
              <w:rPr>
                <w:lang w:val="en-US"/>
              </w:rPr>
            </w:pPr>
          </w:p>
          <w:p w14:paraId="3C2BF759" w14:textId="77777777" w:rsidR="000D0FCF" w:rsidRDefault="000D0FCF" w:rsidP="0052142D">
            <w:pPr>
              <w:jc w:val="center"/>
              <w:rPr>
                <w:lang w:val="en-US"/>
              </w:rPr>
            </w:pPr>
          </w:p>
          <w:p w14:paraId="7DBCF429" w14:textId="77777777" w:rsidR="000D0FCF" w:rsidRDefault="000D0FCF" w:rsidP="0052142D">
            <w:pPr>
              <w:jc w:val="center"/>
              <w:rPr>
                <w:lang w:val="en-US"/>
              </w:rPr>
            </w:pPr>
            <w:r>
              <w:rPr>
                <w:lang w:val="en-US"/>
              </w:rPr>
              <w:t>1</w:t>
            </w:r>
          </w:p>
          <w:p w14:paraId="54EFB923" w14:textId="77777777" w:rsidR="000D0FCF" w:rsidRDefault="000D0FCF" w:rsidP="0052142D">
            <w:pPr>
              <w:jc w:val="center"/>
              <w:rPr>
                <w:lang w:val="en-US"/>
              </w:rPr>
            </w:pPr>
            <w:r>
              <w:rPr>
                <w:lang w:val="en-US"/>
              </w:rPr>
              <w:t>1.9 (1.47-2.45)</w:t>
            </w:r>
          </w:p>
          <w:p w14:paraId="0B9E5174" w14:textId="77777777" w:rsidR="000D0FCF" w:rsidRDefault="000D0FCF" w:rsidP="0052142D">
            <w:pPr>
              <w:jc w:val="center"/>
              <w:rPr>
                <w:lang w:val="en-US"/>
              </w:rPr>
            </w:pPr>
          </w:p>
          <w:p w14:paraId="53A78B88" w14:textId="77777777" w:rsidR="000D0FCF" w:rsidRDefault="000D0FCF" w:rsidP="0052142D">
            <w:pPr>
              <w:jc w:val="center"/>
              <w:rPr>
                <w:lang w:val="en-US"/>
              </w:rPr>
            </w:pPr>
            <w:r>
              <w:rPr>
                <w:lang w:val="en-US"/>
              </w:rPr>
              <w:t>1</w:t>
            </w:r>
          </w:p>
          <w:p w14:paraId="5DA0C9AE" w14:textId="77777777" w:rsidR="000D0FCF" w:rsidRDefault="000D0FCF" w:rsidP="0052142D">
            <w:pPr>
              <w:jc w:val="center"/>
              <w:rPr>
                <w:lang w:val="en-US"/>
              </w:rPr>
            </w:pPr>
            <w:r>
              <w:rPr>
                <w:lang w:val="en-US"/>
              </w:rPr>
              <w:t>1.57 (1.29-1.91)</w:t>
            </w:r>
          </w:p>
          <w:p w14:paraId="7C65F9EA" w14:textId="77777777" w:rsidR="000D0FCF" w:rsidRDefault="000D0FCF" w:rsidP="0052142D">
            <w:pPr>
              <w:jc w:val="center"/>
              <w:rPr>
                <w:lang w:val="en-US"/>
              </w:rPr>
            </w:pPr>
          </w:p>
          <w:p w14:paraId="6F3180D0" w14:textId="77777777" w:rsidR="000D0FCF" w:rsidRDefault="000D0FCF" w:rsidP="0052142D">
            <w:pPr>
              <w:jc w:val="center"/>
              <w:rPr>
                <w:lang w:val="en-US"/>
              </w:rPr>
            </w:pPr>
            <w:r>
              <w:rPr>
                <w:lang w:val="en-US"/>
              </w:rPr>
              <w:t>1</w:t>
            </w:r>
          </w:p>
          <w:p w14:paraId="5927A0AD" w14:textId="77777777" w:rsidR="000D0FCF" w:rsidRDefault="000D0FCF" w:rsidP="00421CE4">
            <w:pPr>
              <w:jc w:val="center"/>
              <w:rPr>
                <w:lang w:val="en-US"/>
              </w:rPr>
            </w:pPr>
            <w:r>
              <w:rPr>
                <w:lang w:val="en-US"/>
              </w:rPr>
              <w:t>1.04 (0.67-1.6)</w:t>
            </w:r>
          </w:p>
        </w:tc>
        <w:tc>
          <w:tcPr>
            <w:tcW w:w="892" w:type="dxa"/>
            <w:tcBorders>
              <w:top w:val="single" w:sz="4" w:space="0" w:color="auto"/>
              <w:left w:val="nil"/>
              <w:bottom w:val="single" w:sz="4" w:space="0" w:color="auto"/>
              <w:right w:val="nil"/>
            </w:tcBorders>
          </w:tcPr>
          <w:p w14:paraId="604BE317" w14:textId="77777777" w:rsidR="000D0FCF" w:rsidRDefault="000D0FCF" w:rsidP="0052142D">
            <w:pPr>
              <w:jc w:val="center"/>
              <w:rPr>
                <w:rFonts w:cs="Courier New"/>
                <w:lang w:val="en-US"/>
              </w:rPr>
            </w:pPr>
            <w:r>
              <w:rPr>
                <w:rFonts w:cs="Courier New"/>
                <w:lang w:val="en-US"/>
              </w:rPr>
              <w:t>&lt;0.001</w:t>
            </w:r>
          </w:p>
          <w:p w14:paraId="5A53C5D1" w14:textId="77777777" w:rsidR="000D0FCF" w:rsidRDefault="000D0FCF" w:rsidP="0052142D">
            <w:pPr>
              <w:jc w:val="center"/>
              <w:rPr>
                <w:rFonts w:cs="Courier New"/>
                <w:lang w:val="en-US"/>
              </w:rPr>
            </w:pPr>
          </w:p>
          <w:p w14:paraId="5AD8C24F" w14:textId="77777777" w:rsidR="000D0FCF" w:rsidRDefault="000D0FCF" w:rsidP="0052142D">
            <w:pPr>
              <w:jc w:val="center"/>
              <w:rPr>
                <w:rFonts w:cs="Courier New"/>
                <w:lang w:val="en-US"/>
              </w:rPr>
            </w:pPr>
          </w:p>
          <w:p w14:paraId="48A3334E" w14:textId="77777777" w:rsidR="000D0FCF" w:rsidRDefault="000D0FCF" w:rsidP="0052142D">
            <w:pPr>
              <w:jc w:val="center"/>
              <w:rPr>
                <w:rFonts w:cs="Courier New"/>
                <w:lang w:val="en-US"/>
              </w:rPr>
            </w:pPr>
            <w:r>
              <w:rPr>
                <w:rFonts w:cs="Courier New"/>
                <w:lang w:val="en-US"/>
              </w:rPr>
              <w:t>0.005</w:t>
            </w:r>
          </w:p>
          <w:p w14:paraId="37F412AD" w14:textId="77777777" w:rsidR="000D0FCF" w:rsidRDefault="000D0FCF" w:rsidP="0052142D">
            <w:pPr>
              <w:jc w:val="center"/>
              <w:rPr>
                <w:rFonts w:cs="Courier New"/>
                <w:lang w:val="en-US"/>
              </w:rPr>
            </w:pPr>
          </w:p>
          <w:p w14:paraId="297D3A6F" w14:textId="77777777" w:rsidR="000D0FCF" w:rsidRDefault="000D0FCF" w:rsidP="0052142D">
            <w:pPr>
              <w:jc w:val="center"/>
              <w:rPr>
                <w:rFonts w:cs="Courier New"/>
                <w:lang w:val="en-US"/>
              </w:rPr>
            </w:pPr>
          </w:p>
          <w:p w14:paraId="44378805" w14:textId="77777777" w:rsidR="000D0FCF" w:rsidRDefault="000D0FCF" w:rsidP="0052142D">
            <w:pPr>
              <w:jc w:val="center"/>
              <w:rPr>
                <w:rFonts w:cs="Courier New"/>
                <w:lang w:val="en-US"/>
              </w:rPr>
            </w:pPr>
          </w:p>
          <w:p w14:paraId="2169FD89" w14:textId="77777777" w:rsidR="000D0FCF" w:rsidRDefault="000D0FCF" w:rsidP="0052142D">
            <w:pPr>
              <w:jc w:val="center"/>
              <w:rPr>
                <w:rFonts w:cs="Courier New"/>
                <w:lang w:val="en-US"/>
              </w:rPr>
            </w:pPr>
            <w:r>
              <w:rPr>
                <w:rFonts w:cs="Courier New"/>
                <w:lang w:val="en-US"/>
              </w:rPr>
              <w:t>&lt;.001</w:t>
            </w:r>
          </w:p>
          <w:p w14:paraId="7A3042D0" w14:textId="77777777" w:rsidR="000D0FCF" w:rsidRDefault="000D0FCF" w:rsidP="0052142D">
            <w:pPr>
              <w:jc w:val="center"/>
              <w:rPr>
                <w:rFonts w:cs="Courier New"/>
                <w:lang w:val="en-US"/>
              </w:rPr>
            </w:pPr>
          </w:p>
          <w:p w14:paraId="288021CC" w14:textId="77777777" w:rsidR="000D0FCF" w:rsidRDefault="000D0FCF" w:rsidP="0052142D">
            <w:pPr>
              <w:jc w:val="center"/>
              <w:rPr>
                <w:rFonts w:cs="Courier New"/>
                <w:lang w:val="en-US"/>
              </w:rPr>
            </w:pPr>
          </w:p>
          <w:p w14:paraId="569D48E1" w14:textId="77777777" w:rsidR="000D0FCF" w:rsidRDefault="000D0FCF" w:rsidP="0052142D">
            <w:pPr>
              <w:jc w:val="center"/>
              <w:rPr>
                <w:rFonts w:cs="Courier New"/>
                <w:lang w:val="en-US"/>
              </w:rPr>
            </w:pPr>
            <w:r>
              <w:rPr>
                <w:rFonts w:cs="Courier New"/>
                <w:lang w:val="en-US"/>
              </w:rPr>
              <w:t>&lt;.001</w:t>
            </w:r>
          </w:p>
          <w:p w14:paraId="6B01BB4C" w14:textId="77777777" w:rsidR="000D0FCF" w:rsidRDefault="000D0FCF" w:rsidP="0052142D">
            <w:pPr>
              <w:jc w:val="center"/>
              <w:rPr>
                <w:rFonts w:cs="Courier New"/>
                <w:lang w:val="en-US"/>
              </w:rPr>
            </w:pPr>
          </w:p>
          <w:p w14:paraId="3C7B5177" w14:textId="77777777" w:rsidR="000D0FCF" w:rsidRDefault="000D0FCF" w:rsidP="0052142D">
            <w:pPr>
              <w:jc w:val="center"/>
              <w:rPr>
                <w:rFonts w:cs="Courier New"/>
                <w:lang w:val="en-US"/>
              </w:rPr>
            </w:pPr>
          </w:p>
          <w:p w14:paraId="61F109A3" w14:textId="77777777" w:rsidR="000D0FCF" w:rsidRDefault="000D0FCF" w:rsidP="0052142D">
            <w:pPr>
              <w:rPr>
                <w:rFonts w:cs="Courier New"/>
                <w:lang w:val="en-US"/>
              </w:rPr>
            </w:pPr>
            <w:r>
              <w:rPr>
                <w:rFonts w:cs="Courier New"/>
                <w:lang w:val="en-US"/>
              </w:rPr>
              <w:t xml:space="preserve">    .870</w:t>
            </w:r>
          </w:p>
          <w:p w14:paraId="770B9006" w14:textId="77777777" w:rsidR="000D0FCF" w:rsidRDefault="000D0FCF" w:rsidP="0052142D">
            <w:pPr>
              <w:jc w:val="center"/>
              <w:rPr>
                <w:rFonts w:cs="Courier New"/>
                <w:lang w:val="en-US"/>
              </w:rPr>
            </w:pPr>
          </w:p>
        </w:tc>
      </w:tr>
    </w:tbl>
    <w:p w14:paraId="6D51C625" w14:textId="77777777" w:rsidR="0054659D" w:rsidRDefault="0054659D" w:rsidP="00695E2D">
      <w:pPr>
        <w:rPr>
          <w:rFonts w:ascii="Arial" w:hAnsi="Arial" w:cs="Arial"/>
          <w:sz w:val="22"/>
          <w:szCs w:val="22"/>
          <w:lang w:val="en-US"/>
        </w:rPr>
      </w:pPr>
      <w:r>
        <w:rPr>
          <w:rFonts w:ascii="Arial" w:hAnsi="Arial" w:cs="Arial"/>
          <w:sz w:val="22"/>
          <w:szCs w:val="22"/>
          <w:lang w:val="en-US"/>
        </w:rPr>
        <w:t xml:space="preserve">1: </w:t>
      </w:r>
      <w:r w:rsidRPr="0054659D">
        <w:rPr>
          <w:rFonts w:ascii="Arial" w:hAnsi="Arial" w:cs="Arial"/>
          <w:sz w:val="22"/>
          <w:szCs w:val="22"/>
          <w:lang w:val="en-US"/>
        </w:rPr>
        <w:t>Number of patients with survival data in the respective groups are shown in brackets.</w:t>
      </w:r>
    </w:p>
    <w:p w14:paraId="752B627D" w14:textId="77777777" w:rsidR="00695E2D" w:rsidRPr="00BF7B7C" w:rsidRDefault="0054659D" w:rsidP="00695E2D">
      <w:pPr>
        <w:rPr>
          <w:rFonts w:ascii="Arial" w:hAnsi="Arial" w:cs="Arial"/>
          <w:sz w:val="22"/>
          <w:szCs w:val="22"/>
          <w:lang w:val="en-US"/>
        </w:rPr>
      </w:pPr>
      <w:r>
        <w:rPr>
          <w:rFonts w:ascii="Arial" w:hAnsi="Arial" w:cs="Arial"/>
          <w:sz w:val="22"/>
          <w:szCs w:val="22"/>
          <w:lang w:val="en-US"/>
        </w:rPr>
        <w:t xml:space="preserve">OS: overall survival; </w:t>
      </w:r>
      <w:r w:rsidR="00695E2D" w:rsidRPr="00BF7B7C">
        <w:rPr>
          <w:rFonts w:ascii="Arial" w:hAnsi="Arial" w:cs="Arial"/>
          <w:sz w:val="22"/>
          <w:szCs w:val="22"/>
          <w:lang w:val="en-US"/>
        </w:rPr>
        <w:t xml:space="preserve">HR: hazard ratio; CI: confidence interval; MSKCC: Memorial Sloan Kettering Cancer Center; </w:t>
      </w:r>
    </w:p>
    <w:p w14:paraId="1C6E48BA" w14:textId="77777777" w:rsidR="00695E2D" w:rsidRPr="00BF7B7C" w:rsidRDefault="00695E2D" w:rsidP="00695E2D">
      <w:pPr>
        <w:rPr>
          <w:rFonts w:ascii="Arial" w:hAnsi="Arial" w:cs="Arial"/>
          <w:lang w:val="en-US"/>
        </w:rPr>
      </w:pPr>
    </w:p>
    <w:p w14:paraId="4DE8D007" w14:textId="77777777" w:rsidR="00695E2D" w:rsidRPr="00BF7B7C" w:rsidRDefault="00695E2D" w:rsidP="00695E2D">
      <w:pPr>
        <w:rPr>
          <w:rFonts w:ascii="Arial" w:hAnsi="Arial" w:cs="Arial"/>
          <w:lang w:val="en-US"/>
        </w:rPr>
      </w:pPr>
      <w:r w:rsidRPr="00BF7B7C">
        <w:rPr>
          <w:rFonts w:ascii="Arial" w:hAnsi="Arial" w:cs="Arial"/>
          <w:lang w:val="en-US"/>
        </w:rPr>
        <w:br w:type="page"/>
      </w:r>
    </w:p>
    <w:p w14:paraId="778168D1" w14:textId="77777777" w:rsidR="00695E2D" w:rsidRDefault="00695E2D" w:rsidP="00695E2D">
      <w:pPr>
        <w:jc w:val="both"/>
        <w:rPr>
          <w:rFonts w:ascii="Arial" w:hAnsi="Arial" w:cs="Arial"/>
          <w:lang w:val="en-US"/>
        </w:rPr>
      </w:pPr>
      <w:r w:rsidRPr="00BF7B7C">
        <w:rPr>
          <w:rFonts w:ascii="Arial" w:hAnsi="Arial" w:cs="Arial"/>
          <w:lang w:val="en-US"/>
        </w:rPr>
        <w:t xml:space="preserve">Table </w:t>
      </w:r>
      <w:r w:rsidR="005A1A39">
        <w:rPr>
          <w:rFonts w:ascii="Arial" w:hAnsi="Arial" w:cs="Arial"/>
          <w:lang w:val="en-US"/>
        </w:rPr>
        <w:t>4</w:t>
      </w:r>
      <w:r w:rsidRPr="00BF7B7C">
        <w:rPr>
          <w:rFonts w:ascii="Arial" w:hAnsi="Arial" w:cs="Arial"/>
          <w:lang w:val="en-US"/>
        </w:rPr>
        <w:t>. Multivariate analysis for overall survival in patients who received 1</w:t>
      </w:r>
      <w:r w:rsidRPr="00BF7B7C">
        <w:rPr>
          <w:rFonts w:ascii="Arial" w:hAnsi="Arial" w:cs="Arial"/>
          <w:vertAlign w:val="superscript"/>
          <w:lang w:val="en-US"/>
        </w:rPr>
        <w:t>st</w:t>
      </w:r>
      <w:r w:rsidRPr="00BF7B7C">
        <w:rPr>
          <w:rFonts w:ascii="Arial" w:hAnsi="Arial" w:cs="Arial"/>
          <w:lang w:val="en-US"/>
        </w:rPr>
        <w:t>-line chemotherapy</w:t>
      </w:r>
    </w:p>
    <w:p w14:paraId="3A9F16AF" w14:textId="77777777" w:rsidR="00775CDB" w:rsidRPr="00BF7B7C" w:rsidRDefault="00775CDB" w:rsidP="00695E2D">
      <w:pPr>
        <w:jc w:val="both"/>
        <w:rPr>
          <w:rFonts w:ascii="Arial" w:hAnsi="Arial" w:cs="Arial"/>
          <w:lang w:val="en-US"/>
        </w:rPr>
      </w:pPr>
    </w:p>
    <w:tbl>
      <w:tblPr>
        <w:tblW w:w="10207" w:type="dxa"/>
        <w:tblInd w:w="-851"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702"/>
        <w:gridCol w:w="607"/>
        <w:gridCol w:w="1458"/>
        <w:gridCol w:w="203"/>
        <w:gridCol w:w="1255"/>
        <w:gridCol w:w="1438"/>
        <w:gridCol w:w="20"/>
        <w:gridCol w:w="1256"/>
        <w:gridCol w:w="202"/>
        <w:gridCol w:w="1074"/>
        <w:gridCol w:w="992"/>
      </w:tblGrid>
      <w:tr w:rsidR="00775CDB" w14:paraId="19D12ECF" w14:textId="77777777" w:rsidTr="000647D9">
        <w:trPr>
          <w:trHeight w:val="258"/>
        </w:trPr>
        <w:tc>
          <w:tcPr>
            <w:tcW w:w="1702" w:type="dxa"/>
            <w:tcBorders>
              <w:right w:val="single" w:sz="4" w:space="0" w:color="auto"/>
            </w:tcBorders>
          </w:tcPr>
          <w:p w14:paraId="0435FBB0" w14:textId="77777777" w:rsidR="00775CDB" w:rsidRDefault="00775CDB" w:rsidP="0052142D">
            <w:pPr>
              <w:rPr>
                <w:lang w:val="en-US"/>
              </w:rPr>
            </w:pPr>
          </w:p>
        </w:tc>
        <w:tc>
          <w:tcPr>
            <w:tcW w:w="2268" w:type="dxa"/>
            <w:gridSpan w:val="3"/>
            <w:tcBorders>
              <w:left w:val="single" w:sz="4" w:space="0" w:color="auto"/>
              <w:bottom w:val="single" w:sz="4" w:space="0" w:color="auto"/>
            </w:tcBorders>
          </w:tcPr>
          <w:p w14:paraId="260546B0" w14:textId="77777777" w:rsidR="00775CDB" w:rsidRDefault="00775CDB" w:rsidP="0052142D">
            <w:pPr>
              <w:rPr>
                <w:lang w:val="en-US"/>
              </w:rPr>
            </w:pPr>
            <w:r>
              <w:rPr>
                <w:lang w:val="en-US"/>
              </w:rPr>
              <w:t>Factor</w:t>
            </w:r>
          </w:p>
        </w:tc>
        <w:tc>
          <w:tcPr>
            <w:tcW w:w="2693" w:type="dxa"/>
            <w:gridSpan w:val="2"/>
          </w:tcPr>
          <w:p w14:paraId="337586CF" w14:textId="77777777" w:rsidR="00775CDB" w:rsidRDefault="00775CDB" w:rsidP="0052142D">
            <w:pPr>
              <w:jc w:val="center"/>
              <w:rPr>
                <w:lang w:val="en-US"/>
              </w:rPr>
            </w:pPr>
            <w:r>
              <w:rPr>
                <w:lang w:val="en-US"/>
              </w:rPr>
              <w:t>Subgroups</w:t>
            </w:r>
          </w:p>
        </w:tc>
        <w:tc>
          <w:tcPr>
            <w:tcW w:w="1276" w:type="dxa"/>
            <w:gridSpan w:val="2"/>
          </w:tcPr>
          <w:p w14:paraId="3EC187DE" w14:textId="77777777" w:rsidR="00775CDB" w:rsidRDefault="00775CDB" w:rsidP="0052142D">
            <w:pPr>
              <w:jc w:val="center"/>
              <w:rPr>
                <w:lang w:val="en-US"/>
              </w:rPr>
            </w:pPr>
            <w:r>
              <w:rPr>
                <w:lang w:val="en-US"/>
              </w:rPr>
              <w:t>HR</w:t>
            </w:r>
          </w:p>
        </w:tc>
        <w:tc>
          <w:tcPr>
            <w:tcW w:w="1276" w:type="dxa"/>
            <w:gridSpan w:val="2"/>
          </w:tcPr>
          <w:p w14:paraId="2186333B" w14:textId="77777777" w:rsidR="00775CDB" w:rsidRDefault="00775CDB" w:rsidP="0052142D">
            <w:pPr>
              <w:jc w:val="center"/>
              <w:rPr>
                <w:lang w:val="en-US"/>
              </w:rPr>
            </w:pPr>
            <w:r>
              <w:rPr>
                <w:lang w:val="en-US"/>
              </w:rPr>
              <w:t>95% CI</w:t>
            </w:r>
          </w:p>
        </w:tc>
        <w:tc>
          <w:tcPr>
            <w:tcW w:w="992" w:type="dxa"/>
          </w:tcPr>
          <w:p w14:paraId="34682145" w14:textId="77777777" w:rsidR="00775CDB" w:rsidRDefault="00775CDB" w:rsidP="0052142D">
            <w:pPr>
              <w:jc w:val="center"/>
              <w:rPr>
                <w:lang w:val="en-US"/>
              </w:rPr>
            </w:pPr>
            <w:r>
              <w:rPr>
                <w:lang w:val="en-US"/>
              </w:rPr>
              <w:t>p-value</w:t>
            </w:r>
          </w:p>
        </w:tc>
      </w:tr>
      <w:tr w:rsidR="00775CDB" w14:paraId="722A8310" w14:textId="77777777" w:rsidTr="000647D9">
        <w:trPr>
          <w:cantSplit/>
          <w:trHeight w:val="258"/>
        </w:trPr>
        <w:tc>
          <w:tcPr>
            <w:tcW w:w="1702" w:type="dxa"/>
            <w:vMerge w:val="restart"/>
            <w:tcBorders>
              <w:right w:val="single" w:sz="4" w:space="0" w:color="auto"/>
            </w:tcBorders>
            <w:vAlign w:val="center"/>
          </w:tcPr>
          <w:p w14:paraId="08FD6D68" w14:textId="77777777" w:rsidR="00775CDB" w:rsidRPr="005174E2" w:rsidRDefault="0009726B" w:rsidP="0052142D">
            <w:pPr>
              <w:jc w:val="center"/>
              <w:rPr>
                <w:i/>
                <w:lang w:val="en-US"/>
              </w:rPr>
            </w:pPr>
            <w:r>
              <w:rPr>
                <w:i/>
                <w:lang w:val="en-US"/>
              </w:rPr>
              <w:t>Eligibility</w:t>
            </w:r>
            <w:r w:rsidR="00220C7F">
              <w:rPr>
                <w:i/>
                <w:lang w:val="en-US"/>
              </w:rPr>
              <w:t xml:space="preserve"> for cisplatin in C</w:t>
            </w:r>
            <w:r w:rsidR="00775CDB" w:rsidRPr="005174E2">
              <w:rPr>
                <w:i/>
                <w:lang w:val="en-US"/>
              </w:rPr>
              <w:t>ox regression model (n=738)</w:t>
            </w:r>
          </w:p>
        </w:tc>
        <w:tc>
          <w:tcPr>
            <w:tcW w:w="2268" w:type="dxa"/>
            <w:gridSpan w:val="3"/>
            <w:tcBorders>
              <w:left w:val="single" w:sz="4" w:space="0" w:color="auto"/>
            </w:tcBorders>
          </w:tcPr>
          <w:p w14:paraId="7D5AD6B7" w14:textId="77777777" w:rsidR="00775CDB" w:rsidRDefault="00775CDB" w:rsidP="0052142D">
            <w:pPr>
              <w:rPr>
                <w:lang w:val="en-US"/>
              </w:rPr>
            </w:pPr>
            <w:r>
              <w:rPr>
                <w:lang w:val="en-US"/>
              </w:rPr>
              <w:t>WBC</w:t>
            </w:r>
          </w:p>
        </w:tc>
        <w:tc>
          <w:tcPr>
            <w:tcW w:w="2693" w:type="dxa"/>
            <w:gridSpan w:val="2"/>
          </w:tcPr>
          <w:p w14:paraId="20EC2391" w14:textId="77777777" w:rsidR="00775CDB" w:rsidRDefault="00775CDB" w:rsidP="0052142D">
            <w:pPr>
              <w:jc w:val="center"/>
              <w:rPr>
                <w:lang w:val="en-US"/>
              </w:rPr>
            </w:pPr>
            <w:r>
              <w:rPr>
                <w:u w:val="single"/>
                <w:lang w:val="en-US"/>
              </w:rPr>
              <w:t>&lt;</w:t>
            </w:r>
            <w:r>
              <w:rPr>
                <w:lang w:val="en-US"/>
              </w:rPr>
              <w:t>10000</w:t>
            </w:r>
          </w:p>
          <w:p w14:paraId="1E1D3989" w14:textId="77777777" w:rsidR="00775CDB" w:rsidRDefault="00775CDB" w:rsidP="0052142D">
            <w:pPr>
              <w:jc w:val="center"/>
              <w:rPr>
                <w:lang w:val="en-US"/>
              </w:rPr>
            </w:pPr>
            <w:r>
              <w:rPr>
                <w:lang w:val="en-US"/>
              </w:rPr>
              <w:t>&gt;10000</w:t>
            </w:r>
          </w:p>
        </w:tc>
        <w:tc>
          <w:tcPr>
            <w:tcW w:w="1276" w:type="dxa"/>
            <w:gridSpan w:val="2"/>
          </w:tcPr>
          <w:p w14:paraId="6234F7A9" w14:textId="77777777" w:rsidR="00775CDB" w:rsidRDefault="00775CDB" w:rsidP="0052142D">
            <w:pPr>
              <w:jc w:val="center"/>
              <w:rPr>
                <w:lang w:val="en-US"/>
              </w:rPr>
            </w:pPr>
            <w:r>
              <w:rPr>
                <w:lang w:val="en-US"/>
              </w:rPr>
              <w:t>1</w:t>
            </w:r>
          </w:p>
          <w:p w14:paraId="250E05C2" w14:textId="77777777" w:rsidR="00775CDB" w:rsidRDefault="00775CDB" w:rsidP="0052142D">
            <w:pPr>
              <w:jc w:val="center"/>
              <w:rPr>
                <w:lang w:val="en-US"/>
              </w:rPr>
            </w:pPr>
            <w:r>
              <w:rPr>
                <w:lang w:val="en-US"/>
              </w:rPr>
              <w:t>1.62</w:t>
            </w:r>
          </w:p>
        </w:tc>
        <w:tc>
          <w:tcPr>
            <w:tcW w:w="1276" w:type="dxa"/>
            <w:gridSpan w:val="2"/>
          </w:tcPr>
          <w:p w14:paraId="25FFA484" w14:textId="77777777" w:rsidR="00775CDB" w:rsidRDefault="00775CDB" w:rsidP="0052142D">
            <w:pPr>
              <w:jc w:val="center"/>
              <w:rPr>
                <w:lang w:val="en-US"/>
              </w:rPr>
            </w:pPr>
          </w:p>
          <w:p w14:paraId="5B5728E7" w14:textId="77777777" w:rsidR="00775CDB" w:rsidRDefault="00775CDB" w:rsidP="0052142D">
            <w:pPr>
              <w:jc w:val="center"/>
              <w:rPr>
                <w:lang w:val="en-US"/>
              </w:rPr>
            </w:pPr>
            <w:r>
              <w:rPr>
                <w:lang w:val="en-US"/>
              </w:rPr>
              <w:t>1.33-1.97</w:t>
            </w:r>
          </w:p>
        </w:tc>
        <w:tc>
          <w:tcPr>
            <w:tcW w:w="992" w:type="dxa"/>
          </w:tcPr>
          <w:p w14:paraId="39C914AA" w14:textId="77777777" w:rsidR="00775CDB" w:rsidRDefault="00775CDB" w:rsidP="0052142D">
            <w:pPr>
              <w:jc w:val="center"/>
              <w:rPr>
                <w:lang w:val="en-US"/>
              </w:rPr>
            </w:pPr>
            <w:r>
              <w:rPr>
                <w:lang w:val="en-US"/>
              </w:rPr>
              <w:t>&lt;0.001</w:t>
            </w:r>
          </w:p>
        </w:tc>
      </w:tr>
      <w:tr w:rsidR="00775CDB" w14:paraId="50150A7E" w14:textId="77777777" w:rsidTr="000647D9">
        <w:trPr>
          <w:cantSplit/>
          <w:trHeight w:val="243"/>
        </w:trPr>
        <w:tc>
          <w:tcPr>
            <w:tcW w:w="1702" w:type="dxa"/>
            <w:vMerge/>
            <w:tcBorders>
              <w:right w:val="single" w:sz="4" w:space="0" w:color="auto"/>
            </w:tcBorders>
          </w:tcPr>
          <w:p w14:paraId="63F2FDB0" w14:textId="77777777" w:rsidR="00775CDB" w:rsidRDefault="00775CDB" w:rsidP="0052142D">
            <w:pPr>
              <w:rPr>
                <w:lang w:val="en-US"/>
              </w:rPr>
            </w:pPr>
          </w:p>
        </w:tc>
        <w:tc>
          <w:tcPr>
            <w:tcW w:w="2268" w:type="dxa"/>
            <w:gridSpan w:val="3"/>
            <w:tcBorders>
              <w:left w:val="single" w:sz="4" w:space="0" w:color="auto"/>
            </w:tcBorders>
          </w:tcPr>
          <w:p w14:paraId="7BFB32F5" w14:textId="77777777" w:rsidR="00775CDB" w:rsidRDefault="00775CDB" w:rsidP="0052142D">
            <w:pPr>
              <w:rPr>
                <w:lang w:val="en-US"/>
              </w:rPr>
            </w:pPr>
            <w:r>
              <w:rPr>
                <w:lang w:val="en-US"/>
              </w:rPr>
              <w:t>PLT</w:t>
            </w:r>
          </w:p>
        </w:tc>
        <w:tc>
          <w:tcPr>
            <w:tcW w:w="2693" w:type="dxa"/>
            <w:gridSpan w:val="2"/>
          </w:tcPr>
          <w:p w14:paraId="6EDEE207" w14:textId="77777777" w:rsidR="00775CDB" w:rsidRDefault="00775CDB" w:rsidP="0052142D">
            <w:pPr>
              <w:jc w:val="center"/>
              <w:rPr>
                <w:lang w:val="en-US"/>
              </w:rPr>
            </w:pPr>
            <w:r>
              <w:rPr>
                <w:u w:val="single"/>
                <w:lang w:val="en-US"/>
              </w:rPr>
              <w:t>&lt;</w:t>
            </w:r>
            <w:r>
              <w:rPr>
                <w:lang w:val="en-US"/>
              </w:rPr>
              <w:t>450000</w:t>
            </w:r>
          </w:p>
          <w:p w14:paraId="77921EA6" w14:textId="77777777" w:rsidR="00775CDB" w:rsidRDefault="00775CDB" w:rsidP="0052142D">
            <w:pPr>
              <w:jc w:val="center"/>
              <w:rPr>
                <w:lang w:val="en-US"/>
              </w:rPr>
            </w:pPr>
            <w:r>
              <w:rPr>
                <w:lang w:val="en-US"/>
              </w:rPr>
              <w:t>&gt;450000</w:t>
            </w:r>
          </w:p>
        </w:tc>
        <w:tc>
          <w:tcPr>
            <w:tcW w:w="1276" w:type="dxa"/>
            <w:gridSpan w:val="2"/>
          </w:tcPr>
          <w:p w14:paraId="3BAECD1A" w14:textId="77777777" w:rsidR="00775CDB" w:rsidRDefault="00775CDB" w:rsidP="0052142D">
            <w:pPr>
              <w:jc w:val="center"/>
              <w:rPr>
                <w:lang w:val="en-US"/>
              </w:rPr>
            </w:pPr>
            <w:r>
              <w:rPr>
                <w:lang w:val="en-US"/>
              </w:rPr>
              <w:t>1</w:t>
            </w:r>
          </w:p>
          <w:p w14:paraId="3BFF2F98" w14:textId="77777777" w:rsidR="00775CDB" w:rsidRDefault="00775CDB" w:rsidP="0052142D">
            <w:pPr>
              <w:jc w:val="center"/>
              <w:rPr>
                <w:lang w:val="en-US"/>
              </w:rPr>
            </w:pPr>
            <w:r>
              <w:rPr>
                <w:lang w:val="en-US"/>
              </w:rPr>
              <w:t>1.36</w:t>
            </w:r>
          </w:p>
        </w:tc>
        <w:tc>
          <w:tcPr>
            <w:tcW w:w="1276" w:type="dxa"/>
            <w:gridSpan w:val="2"/>
          </w:tcPr>
          <w:p w14:paraId="47D1A931" w14:textId="77777777" w:rsidR="00775CDB" w:rsidRDefault="00775CDB" w:rsidP="0052142D">
            <w:pPr>
              <w:jc w:val="center"/>
              <w:rPr>
                <w:lang w:val="en-US"/>
              </w:rPr>
            </w:pPr>
          </w:p>
          <w:p w14:paraId="5154A7DF" w14:textId="77777777" w:rsidR="00775CDB" w:rsidRDefault="00775CDB" w:rsidP="0052142D">
            <w:pPr>
              <w:jc w:val="center"/>
              <w:rPr>
                <w:lang w:val="en-US"/>
              </w:rPr>
            </w:pPr>
            <w:r>
              <w:rPr>
                <w:lang w:val="en-US"/>
              </w:rPr>
              <w:t>1.05-1.75</w:t>
            </w:r>
          </w:p>
        </w:tc>
        <w:tc>
          <w:tcPr>
            <w:tcW w:w="992" w:type="dxa"/>
          </w:tcPr>
          <w:p w14:paraId="37B90581" w14:textId="77777777" w:rsidR="00775CDB" w:rsidRDefault="00775CDB" w:rsidP="0052142D">
            <w:pPr>
              <w:jc w:val="center"/>
              <w:rPr>
                <w:lang w:val="en-US"/>
              </w:rPr>
            </w:pPr>
            <w:r>
              <w:rPr>
                <w:lang w:val="en-US"/>
              </w:rPr>
              <w:t>0.020</w:t>
            </w:r>
          </w:p>
        </w:tc>
      </w:tr>
      <w:tr w:rsidR="00775CDB" w14:paraId="2FBA188D" w14:textId="77777777" w:rsidTr="000647D9">
        <w:trPr>
          <w:cantSplit/>
          <w:trHeight w:val="271"/>
        </w:trPr>
        <w:tc>
          <w:tcPr>
            <w:tcW w:w="1702" w:type="dxa"/>
            <w:vMerge/>
            <w:tcBorders>
              <w:right w:val="single" w:sz="4" w:space="0" w:color="auto"/>
            </w:tcBorders>
          </w:tcPr>
          <w:p w14:paraId="52405B70" w14:textId="77777777" w:rsidR="00775CDB" w:rsidRDefault="00775CDB" w:rsidP="0052142D">
            <w:pPr>
              <w:rPr>
                <w:lang w:val="en-US"/>
              </w:rPr>
            </w:pPr>
          </w:p>
        </w:tc>
        <w:tc>
          <w:tcPr>
            <w:tcW w:w="2268" w:type="dxa"/>
            <w:gridSpan w:val="3"/>
            <w:tcBorders>
              <w:left w:val="single" w:sz="4" w:space="0" w:color="auto"/>
            </w:tcBorders>
          </w:tcPr>
          <w:p w14:paraId="0A00C576" w14:textId="77777777" w:rsidR="00775CDB" w:rsidRDefault="00775CDB" w:rsidP="0052142D">
            <w:pPr>
              <w:rPr>
                <w:lang w:val="en-US"/>
              </w:rPr>
            </w:pPr>
            <w:r>
              <w:rPr>
                <w:lang w:val="en-US"/>
              </w:rPr>
              <w:t>Distant metastases</w:t>
            </w:r>
          </w:p>
        </w:tc>
        <w:tc>
          <w:tcPr>
            <w:tcW w:w="2693" w:type="dxa"/>
            <w:gridSpan w:val="2"/>
          </w:tcPr>
          <w:p w14:paraId="5AA3F750" w14:textId="77777777" w:rsidR="00775CDB" w:rsidRDefault="00775CDB" w:rsidP="0052142D">
            <w:pPr>
              <w:jc w:val="center"/>
              <w:rPr>
                <w:lang w:val="en-US"/>
              </w:rPr>
            </w:pPr>
            <w:r>
              <w:rPr>
                <w:lang w:val="en-US"/>
              </w:rPr>
              <w:t>No</w:t>
            </w:r>
          </w:p>
          <w:p w14:paraId="5F53A1C9" w14:textId="77777777" w:rsidR="00775CDB" w:rsidRDefault="00775CDB" w:rsidP="0052142D">
            <w:pPr>
              <w:jc w:val="center"/>
              <w:rPr>
                <w:lang w:val="en-US"/>
              </w:rPr>
            </w:pPr>
            <w:r>
              <w:rPr>
                <w:lang w:val="en-US"/>
              </w:rPr>
              <w:t>Yes</w:t>
            </w:r>
          </w:p>
        </w:tc>
        <w:tc>
          <w:tcPr>
            <w:tcW w:w="1276" w:type="dxa"/>
            <w:gridSpan w:val="2"/>
          </w:tcPr>
          <w:p w14:paraId="2672812D" w14:textId="77777777" w:rsidR="00775CDB" w:rsidRDefault="00775CDB" w:rsidP="0052142D">
            <w:pPr>
              <w:jc w:val="center"/>
              <w:rPr>
                <w:lang w:val="en-US"/>
              </w:rPr>
            </w:pPr>
            <w:r>
              <w:rPr>
                <w:lang w:val="en-US"/>
              </w:rPr>
              <w:t>1</w:t>
            </w:r>
          </w:p>
          <w:p w14:paraId="11D25712" w14:textId="77777777" w:rsidR="00775CDB" w:rsidRDefault="00775CDB" w:rsidP="0052142D">
            <w:pPr>
              <w:jc w:val="center"/>
              <w:rPr>
                <w:lang w:val="en-US"/>
              </w:rPr>
            </w:pPr>
            <w:r>
              <w:rPr>
                <w:lang w:val="en-US"/>
              </w:rPr>
              <w:t>1.4</w:t>
            </w:r>
          </w:p>
        </w:tc>
        <w:tc>
          <w:tcPr>
            <w:tcW w:w="1276" w:type="dxa"/>
            <w:gridSpan w:val="2"/>
          </w:tcPr>
          <w:p w14:paraId="4D62F819" w14:textId="77777777" w:rsidR="00775CDB" w:rsidRDefault="00775CDB" w:rsidP="0052142D">
            <w:pPr>
              <w:jc w:val="center"/>
              <w:rPr>
                <w:lang w:val="en-US"/>
              </w:rPr>
            </w:pPr>
          </w:p>
          <w:p w14:paraId="68D4B783" w14:textId="77777777" w:rsidR="00775CDB" w:rsidRDefault="00775CDB" w:rsidP="0052142D">
            <w:pPr>
              <w:jc w:val="center"/>
              <w:rPr>
                <w:lang w:val="en-US"/>
              </w:rPr>
            </w:pPr>
            <w:r>
              <w:rPr>
                <w:lang w:val="en-US"/>
              </w:rPr>
              <w:t>1.17-1.68</w:t>
            </w:r>
          </w:p>
        </w:tc>
        <w:tc>
          <w:tcPr>
            <w:tcW w:w="992" w:type="dxa"/>
          </w:tcPr>
          <w:p w14:paraId="43911407" w14:textId="77777777" w:rsidR="00775CDB" w:rsidRDefault="00775CDB" w:rsidP="0052142D">
            <w:pPr>
              <w:jc w:val="center"/>
              <w:rPr>
                <w:lang w:val="en-US"/>
              </w:rPr>
            </w:pPr>
            <w:r>
              <w:rPr>
                <w:lang w:val="en-US"/>
              </w:rPr>
              <w:t>&lt;0.001</w:t>
            </w:r>
          </w:p>
        </w:tc>
      </w:tr>
      <w:tr w:rsidR="00775CDB" w14:paraId="613121E5" w14:textId="77777777" w:rsidTr="000647D9">
        <w:trPr>
          <w:cantSplit/>
          <w:trHeight w:val="275"/>
        </w:trPr>
        <w:tc>
          <w:tcPr>
            <w:tcW w:w="1702" w:type="dxa"/>
            <w:vMerge/>
            <w:tcBorders>
              <w:right w:val="single" w:sz="4" w:space="0" w:color="auto"/>
            </w:tcBorders>
          </w:tcPr>
          <w:p w14:paraId="114CA20E" w14:textId="77777777" w:rsidR="00775CDB" w:rsidRDefault="00775CDB" w:rsidP="0052142D">
            <w:pPr>
              <w:rPr>
                <w:lang w:val="en-US"/>
              </w:rPr>
            </w:pPr>
          </w:p>
        </w:tc>
        <w:tc>
          <w:tcPr>
            <w:tcW w:w="2268" w:type="dxa"/>
            <w:gridSpan w:val="3"/>
            <w:tcBorders>
              <w:left w:val="single" w:sz="4" w:space="0" w:color="auto"/>
            </w:tcBorders>
          </w:tcPr>
          <w:p w14:paraId="43F1BBD7" w14:textId="77777777" w:rsidR="00775CDB" w:rsidRDefault="00775CDB" w:rsidP="0052142D">
            <w:pPr>
              <w:rPr>
                <w:lang w:val="en-US"/>
              </w:rPr>
            </w:pPr>
            <w:r>
              <w:rPr>
                <w:lang w:val="en-US"/>
              </w:rPr>
              <w:t>Smoking history</w:t>
            </w:r>
          </w:p>
        </w:tc>
        <w:tc>
          <w:tcPr>
            <w:tcW w:w="2693" w:type="dxa"/>
            <w:gridSpan w:val="2"/>
          </w:tcPr>
          <w:p w14:paraId="2BC00F42" w14:textId="77777777" w:rsidR="00775CDB" w:rsidRDefault="00775CDB" w:rsidP="0052142D">
            <w:pPr>
              <w:jc w:val="center"/>
              <w:rPr>
                <w:lang w:val="en-US"/>
              </w:rPr>
            </w:pPr>
            <w:r>
              <w:rPr>
                <w:lang w:val="en-US"/>
              </w:rPr>
              <w:t>Former/Never smoker</w:t>
            </w:r>
          </w:p>
          <w:p w14:paraId="02161CE4" w14:textId="77777777" w:rsidR="00775CDB" w:rsidRDefault="00775CDB" w:rsidP="0052142D">
            <w:pPr>
              <w:jc w:val="center"/>
              <w:rPr>
                <w:lang w:val="en-US"/>
              </w:rPr>
            </w:pPr>
            <w:r>
              <w:rPr>
                <w:lang w:val="en-US"/>
              </w:rPr>
              <w:t>Current smoker</w:t>
            </w:r>
          </w:p>
        </w:tc>
        <w:tc>
          <w:tcPr>
            <w:tcW w:w="1276" w:type="dxa"/>
            <w:gridSpan w:val="2"/>
          </w:tcPr>
          <w:p w14:paraId="255EF600" w14:textId="77777777" w:rsidR="00775CDB" w:rsidRDefault="00775CDB" w:rsidP="0052142D">
            <w:pPr>
              <w:jc w:val="center"/>
              <w:rPr>
                <w:lang w:val="en-US"/>
              </w:rPr>
            </w:pPr>
            <w:r>
              <w:rPr>
                <w:lang w:val="en-US"/>
              </w:rPr>
              <w:t>1</w:t>
            </w:r>
          </w:p>
          <w:p w14:paraId="4710270F" w14:textId="77777777" w:rsidR="00775CDB" w:rsidRDefault="00775CDB" w:rsidP="0052142D">
            <w:pPr>
              <w:jc w:val="center"/>
              <w:rPr>
                <w:lang w:val="en-US"/>
              </w:rPr>
            </w:pPr>
            <w:r>
              <w:rPr>
                <w:lang w:val="en-US"/>
              </w:rPr>
              <w:t>1.24</w:t>
            </w:r>
          </w:p>
        </w:tc>
        <w:tc>
          <w:tcPr>
            <w:tcW w:w="1276" w:type="dxa"/>
            <w:gridSpan w:val="2"/>
          </w:tcPr>
          <w:p w14:paraId="51B738C0" w14:textId="77777777" w:rsidR="00775CDB" w:rsidRDefault="00775CDB" w:rsidP="0052142D">
            <w:pPr>
              <w:jc w:val="center"/>
              <w:rPr>
                <w:lang w:val="en-US"/>
              </w:rPr>
            </w:pPr>
          </w:p>
          <w:p w14:paraId="7D08F078" w14:textId="77777777" w:rsidR="00775CDB" w:rsidRDefault="00775CDB" w:rsidP="0052142D">
            <w:pPr>
              <w:jc w:val="center"/>
              <w:rPr>
                <w:lang w:val="en-US"/>
              </w:rPr>
            </w:pPr>
            <w:r>
              <w:rPr>
                <w:lang w:val="en-US"/>
              </w:rPr>
              <w:t>1.02-1.51</w:t>
            </w:r>
          </w:p>
        </w:tc>
        <w:tc>
          <w:tcPr>
            <w:tcW w:w="992" w:type="dxa"/>
          </w:tcPr>
          <w:p w14:paraId="5AFE19D0" w14:textId="77777777" w:rsidR="00775CDB" w:rsidRDefault="00775CDB" w:rsidP="0052142D">
            <w:pPr>
              <w:jc w:val="center"/>
              <w:rPr>
                <w:lang w:val="en-US"/>
              </w:rPr>
            </w:pPr>
            <w:r>
              <w:rPr>
                <w:lang w:val="en-US"/>
              </w:rPr>
              <w:t>0.033</w:t>
            </w:r>
          </w:p>
        </w:tc>
      </w:tr>
      <w:tr w:rsidR="00775CDB" w14:paraId="1FA476A0" w14:textId="77777777" w:rsidTr="000647D9">
        <w:trPr>
          <w:cantSplit/>
          <w:trHeight w:val="265"/>
        </w:trPr>
        <w:tc>
          <w:tcPr>
            <w:tcW w:w="1702" w:type="dxa"/>
            <w:vMerge/>
            <w:tcBorders>
              <w:right w:val="single" w:sz="4" w:space="0" w:color="auto"/>
            </w:tcBorders>
          </w:tcPr>
          <w:p w14:paraId="34EE2629" w14:textId="77777777" w:rsidR="00775CDB" w:rsidRDefault="00775CDB" w:rsidP="0052142D">
            <w:pPr>
              <w:rPr>
                <w:lang w:val="en-US"/>
              </w:rPr>
            </w:pPr>
          </w:p>
        </w:tc>
        <w:tc>
          <w:tcPr>
            <w:tcW w:w="2268" w:type="dxa"/>
            <w:gridSpan w:val="3"/>
            <w:tcBorders>
              <w:left w:val="single" w:sz="4" w:space="0" w:color="auto"/>
            </w:tcBorders>
          </w:tcPr>
          <w:p w14:paraId="2F3AAFD0" w14:textId="77777777" w:rsidR="00775CDB" w:rsidRDefault="0009726B" w:rsidP="0052142D">
            <w:pPr>
              <w:rPr>
                <w:lang w:val="en-US"/>
              </w:rPr>
            </w:pPr>
            <w:r>
              <w:rPr>
                <w:lang w:val="en-US"/>
              </w:rPr>
              <w:t>Eligible</w:t>
            </w:r>
            <w:r w:rsidR="00775CDB">
              <w:rPr>
                <w:lang w:val="en-US"/>
              </w:rPr>
              <w:t xml:space="preserve"> for cisplatin</w:t>
            </w:r>
          </w:p>
        </w:tc>
        <w:tc>
          <w:tcPr>
            <w:tcW w:w="2693" w:type="dxa"/>
            <w:gridSpan w:val="2"/>
          </w:tcPr>
          <w:p w14:paraId="79778BE3" w14:textId="77777777" w:rsidR="00775CDB" w:rsidRDefault="00775CDB" w:rsidP="0052142D">
            <w:pPr>
              <w:jc w:val="center"/>
              <w:rPr>
                <w:lang w:val="en-US"/>
              </w:rPr>
            </w:pPr>
            <w:r>
              <w:rPr>
                <w:lang w:val="en-US"/>
              </w:rPr>
              <w:t>Yes</w:t>
            </w:r>
          </w:p>
          <w:p w14:paraId="7A3E6EAF" w14:textId="77777777" w:rsidR="00775CDB" w:rsidRDefault="00775CDB" w:rsidP="0052142D">
            <w:pPr>
              <w:jc w:val="center"/>
              <w:rPr>
                <w:lang w:val="en-US"/>
              </w:rPr>
            </w:pPr>
            <w:r>
              <w:rPr>
                <w:lang w:val="en-US"/>
              </w:rPr>
              <w:t>No</w:t>
            </w:r>
          </w:p>
        </w:tc>
        <w:tc>
          <w:tcPr>
            <w:tcW w:w="1276" w:type="dxa"/>
            <w:gridSpan w:val="2"/>
          </w:tcPr>
          <w:p w14:paraId="48292D14" w14:textId="77777777" w:rsidR="00775CDB" w:rsidRDefault="00775CDB" w:rsidP="0052142D">
            <w:pPr>
              <w:jc w:val="center"/>
              <w:rPr>
                <w:lang w:val="en-US"/>
              </w:rPr>
            </w:pPr>
            <w:r>
              <w:rPr>
                <w:lang w:val="en-US"/>
              </w:rPr>
              <w:t>1</w:t>
            </w:r>
          </w:p>
          <w:p w14:paraId="6EB33BB1" w14:textId="77777777" w:rsidR="00775CDB" w:rsidRDefault="00775CDB" w:rsidP="0052142D">
            <w:pPr>
              <w:jc w:val="center"/>
              <w:rPr>
                <w:lang w:val="en-US"/>
              </w:rPr>
            </w:pPr>
            <w:r>
              <w:rPr>
                <w:lang w:val="en-US"/>
              </w:rPr>
              <w:t>1.56</w:t>
            </w:r>
          </w:p>
        </w:tc>
        <w:tc>
          <w:tcPr>
            <w:tcW w:w="1276" w:type="dxa"/>
            <w:gridSpan w:val="2"/>
          </w:tcPr>
          <w:p w14:paraId="6D05F6ED" w14:textId="77777777" w:rsidR="00775CDB" w:rsidRDefault="00775CDB" w:rsidP="0052142D">
            <w:pPr>
              <w:jc w:val="center"/>
              <w:rPr>
                <w:lang w:val="en-US"/>
              </w:rPr>
            </w:pPr>
          </w:p>
          <w:p w14:paraId="18DEC53B" w14:textId="77777777" w:rsidR="00775CDB" w:rsidRDefault="00775CDB" w:rsidP="0052142D">
            <w:pPr>
              <w:jc w:val="center"/>
              <w:rPr>
                <w:lang w:val="en-US"/>
              </w:rPr>
            </w:pPr>
            <w:r>
              <w:rPr>
                <w:lang w:val="en-US"/>
              </w:rPr>
              <w:t>1.31-1.87</w:t>
            </w:r>
          </w:p>
        </w:tc>
        <w:tc>
          <w:tcPr>
            <w:tcW w:w="992" w:type="dxa"/>
          </w:tcPr>
          <w:p w14:paraId="354127E6" w14:textId="77777777" w:rsidR="00775CDB" w:rsidRDefault="00775CDB" w:rsidP="0052142D">
            <w:pPr>
              <w:jc w:val="center"/>
              <w:rPr>
                <w:lang w:val="en-US"/>
              </w:rPr>
            </w:pPr>
            <w:r>
              <w:rPr>
                <w:lang w:val="en-US"/>
              </w:rPr>
              <w:t>&lt;0.001</w:t>
            </w:r>
          </w:p>
        </w:tc>
      </w:tr>
      <w:tr w:rsidR="00775CDB" w14:paraId="009A899E" w14:textId="77777777" w:rsidTr="000647D9">
        <w:trPr>
          <w:cantSplit/>
          <w:trHeight w:val="265"/>
        </w:trPr>
        <w:tc>
          <w:tcPr>
            <w:tcW w:w="2309" w:type="dxa"/>
            <w:gridSpan w:val="2"/>
          </w:tcPr>
          <w:p w14:paraId="0367AA53" w14:textId="77777777" w:rsidR="00775CDB" w:rsidRDefault="00775CDB" w:rsidP="0052142D">
            <w:pPr>
              <w:jc w:val="center"/>
              <w:rPr>
                <w:lang w:val="en-US"/>
              </w:rPr>
            </w:pPr>
          </w:p>
        </w:tc>
        <w:tc>
          <w:tcPr>
            <w:tcW w:w="1458" w:type="dxa"/>
          </w:tcPr>
          <w:p w14:paraId="3AFDEF98" w14:textId="77777777" w:rsidR="00775CDB" w:rsidRDefault="00775CDB" w:rsidP="0052142D">
            <w:pPr>
              <w:jc w:val="center"/>
              <w:rPr>
                <w:lang w:val="en-US"/>
              </w:rPr>
            </w:pPr>
          </w:p>
        </w:tc>
        <w:tc>
          <w:tcPr>
            <w:tcW w:w="1458" w:type="dxa"/>
            <w:gridSpan w:val="2"/>
          </w:tcPr>
          <w:p w14:paraId="3ADD71F6" w14:textId="77777777" w:rsidR="00775CDB" w:rsidRDefault="00775CDB" w:rsidP="0052142D">
            <w:pPr>
              <w:jc w:val="center"/>
              <w:rPr>
                <w:lang w:val="en-US"/>
              </w:rPr>
            </w:pPr>
          </w:p>
        </w:tc>
        <w:tc>
          <w:tcPr>
            <w:tcW w:w="1458" w:type="dxa"/>
            <w:gridSpan w:val="2"/>
          </w:tcPr>
          <w:p w14:paraId="5C69B8BE" w14:textId="77777777" w:rsidR="00775CDB" w:rsidRDefault="00775CDB" w:rsidP="0052142D">
            <w:pPr>
              <w:jc w:val="center"/>
              <w:rPr>
                <w:lang w:val="en-US"/>
              </w:rPr>
            </w:pPr>
          </w:p>
        </w:tc>
        <w:tc>
          <w:tcPr>
            <w:tcW w:w="1458" w:type="dxa"/>
            <w:gridSpan w:val="2"/>
          </w:tcPr>
          <w:p w14:paraId="5EE12AB6" w14:textId="77777777" w:rsidR="00775CDB" w:rsidRDefault="00775CDB" w:rsidP="0052142D">
            <w:pPr>
              <w:jc w:val="center"/>
              <w:rPr>
                <w:lang w:val="en-US"/>
              </w:rPr>
            </w:pPr>
          </w:p>
        </w:tc>
        <w:tc>
          <w:tcPr>
            <w:tcW w:w="2066" w:type="dxa"/>
            <w:gridSpan w:val="2"/>
          </w:tcPr>
          <w:p w14:paraId="7F307236" w14:textId="77777777" w:rsidR="00775CDB" w:rsidRDefault="00775CDB" w:rsidP="0052142D">
            <w:pPr>
              <w:jc w:val="center"/>
              <w:rPr>
                <w:lang w:val="en-US"/>
              </w:rPr>
            </w:pPr>
          </w:p>
        </w:tc>
      </w:tr>
      <w:tr w:rsidR="00775CDB" w14:paraId="1E1AAC43" w14:textId="77777777" w:rsidTr="000647D9">
        <w:trPr>
          <w:cantSplit/>
          <w:trHeight w:val="265"/>
        </w:trPr>
        <w:tc>
          <w:tcPr>
            <w:tcW w:w="1702" w:type="dxa"/>
            <w:vMerge w:val="restart"/>
            <w:tcBorders>
              <w:right w:val="single" w:sz="4" w:space="0" w:color="auto"/>
            </w:tcBorders>
            <w:vAlign w:val="center"/>
          </w:tcPr>
          <w:p w14:paraId="439E1996" w14:textId="77777777" w:rsidR="00775CDB" w:rsidRPr="005174E2" w:rsidRDefault="00220C7F" w:rsidP="0052142D">
            <w:pPr>
              <w:jc w:val="center"/>
              <w:rPr>
                <w:i/>
                <w:lang w:val="en-US"/>
              </w:rPr>
            </w:pPr>
            <w:r>
              <w:rPr>
                <w:i/>
                <w:lang w:val="en-US"/>
              </w:rPr>
              <w:t>Treatment group in C</w:t>
            </w:r>
            <w:r w:rsidR="00775CDB" w:rsidRPr="005174E2">
              <w:rPr>
                <w:i/>
                <w:lang w:val="en-US"/>
              </w:rPr>
              <w:t>ox regression model (n=750)</w:t>
            </w:r>
          </w:p>
        </w:tc>
        <w:tc>
          <w:tcPr>
            <w:tcW w:w="2268" w:type="dxa"/>
            <w:gridSpan w:val="3"/>
            <w:tcBorders>
              <w:left w:val="single" w:sz="4" w:space="0" w:color="auto"/>
            </w:tcBorders>
          </w:tcPr>
          <w:p w14:paraId="23486942" w14:textId="77777777" w:rsidR="00775CDB" w:rsidRDefault="00775CDB" w:rsidP="0052142D">
            <w:pPr>
              <w:rPr>
                <w:lang w:val="en-US"/>
              </w:rPr>
            </w:pPr>
            <w:r>
              <w:rPr>
                <w:lang w:val="en-US"/>
              </w:rPr>
              <w:t>MSKCC risk</w:t>
            </w:r>
          </w:p>
        </w:tc>
        <w:tc>
          <w:tcPr>
            <w:tcW w:w="2693" w:type="dxa"/>
            <w:gridSpan w:val="2"/>
          </w:tcPr>
          <w:p w14:paraId="2BFADF25" w14:textId="77777777" w:rsidR="00775CDB" w:rsidRDefault="00775CDB" w:rsidP="0052142D">
            <w:pPr>
              <w:jc w:val="center"/>
              <w:rPr>
                <w:lang w:val="en-US"/>
              </w:rPr>
            </w:pPr>
            <w:r>
              <w:rPr>
                <w:lang w:val="en-US"/>
              </w:rPr>
              <w:t>Low</w:t>
            </w:r>
          </w:p>
          <w:p w14:paraId="524F63EF" w14:textId="77777777" w:rsidR="00775CDB" w:rsidRDefault="00775CDB" w:rsidP="0052142D">
            <w:pPr>
              <w:jc w:val="center"/>
              <w:rPr>
                <w:lang w:val="en-US"/>
              </w:rPr>
            </w:pPr>
            <w:r>
              <w:rPr>
                <w:lang w:val="en-US"/>
              </w:rPr>
              <w:t>Intermediate</w:t>
            </w:r>
          </w:p>
          <w:p w14:paraId="4AB9AB54" w14:textId="77777777" w:rsidR="00775CDB" w:rsidRDefault="00775CDB" w:rsidP="0052142D">
            <w:pPr>
              <w:jc w:val="center"/>
              <w:rPr>
                <w:lang w:val="en-US"/>
              </w:rPr>
            </w:pPr>
            <w:r>
              <w:rPr>
                <w:lang w:val="en-US"/>
              </w:rPr>
              <w:t>High</w:t>
            </w:r>
          </w:p>
        </w:tc>
        <w:tc>
          <w:tcPr>
            <w:tcW w:w="1276" w:type="dxa"/>
            <w:gridSpan w:val="2"/>
          </w:tcPr>
          <w:p w14:paraId="4FEE97BF" w14:textId="77777777" w:rsidR="00775CDB" w:rsidRDefault="00775CDB" w:rsidP="0052142D">
            <w:pPr>
              <w:jc w:val="center"/>
              <w:rPr>
                <w:lang w:val="en-US"/>
              </w:rPr>
            </w:pPr>
            <w:r>
              <w:rPr>
                <w:lang w:val="en-US"/>
              </w:rPr>
              <w:t>1</w:t>
            </w:r>
          </w:p>
          <w:p w14:paraId="0F405940" w14:textId="77777777" w:rsidR="00775CDB" w:rsidRDefault="00775CDB" w:rsidP="0052142D">
            <w:pPr>
              <w:jc w:val="center"/>
              <w:rPr>
                <w:lang w:val="en-US"/>
              </w:rPr>
            </w:pPr>
            <w:r>
              <w:rPr>
                <w:lang w:val="en-US"/>
              </w:rPr>
              <w:t>1.44</w:t>
            </w:r>
          </w:p>
          <w:p w14:paraId="32AC9E14" w14:textId="77777777" w:rsidR="00775CDB" w:rsidRDefault="00775CDB" w:rsidP="0052142D">
            <w:pPr>
              <w:jc w:val="center"/>
              <w:rPr>
                <w:lang w:val="en-US"/>
              </w:rPr>
            </w:pPr>
            <w:r>
              <w:rPr>
                <w:lang w:val="en-US"/>
              </w:rPr>
              <w:t>2.281</w:t>
            </w:r>
          </w:p>
        </w:tc>
        <w:tc>
          <w:tcPr>
            <w:tcW w:w="1276" w:type="dxa"/>
            <w:gridSpan w:val="2"/>
          </w:tcPr>
          <w:p w14:paraId="23393717" w14:textId="77777777" w:rsidR="00775CDB" w:rsidRDefault="00775CDB" w:rsidP="0052142D">
            <w:pPr>
              <w:jc w:val="center"/>
              <w:rPr>
                <w:lang w:val="en-US"/>
              </w:rPr>
            </w:pPr>
          </w:p>
          <w:p w14:paraId="65032E51" w14:textId="77777777" w:rsidR="00775CDB" w:rsidRDefault="00775CDB" w:rsidP="0052142D">
            <w:pPr>
              <w:jc w:val="center"/>
              <w:rPr>
                <w:lang w:val="en-US"/>
              </w:rPr>
            </w:pPr>
            <w:r>
              <w:rPr>
                <w:lang w:val="en-US"/>
              </w:rPr>
              <w:t>1.19-1.74</w:t>
            </w:r>
          </w:p>
          <w:p w14:paraId="4614C5C6" w14:textId="77777777" w:rsidR="00775CDB" w:rsidRDefault="00775CDB" w:rsidP="0052142D">
            <w:pPr>
              <w:jc w:val="center"/>
              <w:rPr>
                <w:lang w:val="en-US"/>
              </w:rPr>
            </w:pPr>
            <w:r>
              <w:rPr>
                <w:lang w:val="en-US"/>
              </w:rPr>
              <w:t>1.69-3.08</w:t>
            </w:r>
          </w:p>
        </w:tc>
        <w:tc>
          <w:tcPr>
            <w:tcW w:w="992" w:type="dxa"/>
          </w:tcPr>
          <w:p w14:paraId="25F4096F" w14:textId="77777777" w:rsidR="00775CDB" w:rsidRDefault="00775CDB" w:rsidP="0052142D">
            <w:pPr>
              <w:jc w:val="center"/>
              <w:rPr>
                <w:lang w:val="en-US"/>
              </w:rPr>
            </w:pPr>
            <w:r>
              <w:rPr>
                <w:lang w:val="en-US"/>
              </w:rPr>
              <w:t>&lt;0.001</w:t>
            </w:r>
          </w:p>
        </w:tc>
      </w:tr>
      <w:tr w:rsidR="00775CDB" w14:paraId="66E2905C" w14:textId="77777777" w:rsidTr="000647D9">
        <w:trPr>
          <w:cantSplit/>
          <w:trHeight w:val="265"/>
        </w:trPr>
        <w:tc>
          <w:tcPr>
            <w:tcW w:w="1702" w:type="dxa"/>
            <w:vMerge/>
            <w:tcBorders>
              <w:right w:val="single" w:sz="4" w:space="0" w:color="auto"/>
            </w:tcBorders>
          </w:tcPr>
          <w:p w14:paraId="004F3E04" w14:textId="77777777" w:rsidR="00775CDB" w:rsidRDefault="00775CDB" w:rsidP="0052142D">
            <w:pPr>
              <w:rPr>
                <w:lang w:val="en-US"/>
              </w:rPr>
            </w:pPr>
          </w:p>
        </w:tc>
        <w:tc>
          <w:tcPr>
            <w:tcW w:w="2268" w:type="dxa"/>
            <w:gridSpan w:val="3"/>
            <w:tcBorders>
              <w:left w:val="single" w:sz="4" w:space="0" w:color="auto"/>
            </w:tcBorders>
          </w:tcPr>
          <w:p w14:paraId="7B0AD15A" w14:textId="77777777" w:rsidR="00775CDB" w:rsidRDefault="00775CDB" w:rsidP="0052142D">
            <w:pPr>
              <w:rPr>
                <w:lang w:val="en-US"/>
              </w:rPr>
            </w:pPr>
            <w:r>
              <w:rPr>
                <w:lang w:val="en-US"/>
              </w:rPr>
              <w:t>WBC</w:t>
            </w:r>
          </w:p>
        </w:tc>
        <w:tc>
          <w:tcPr>
            <w:tcW w:w="2693" w:type="dxa"/>
            <w:gridSpan w:val="2"/>
          </w:tcPr>
          <w:p w14:paraId="690E68D9" w14:textId="77777777" w:rsidR="00775CDB" w:rsidRDefault="00775CDB" w:rsidP="0052142D">
            <w:pPr>
              <w:jc w:val="center"/>
              <w:rPr>
                <w:lang w:val="en-US"/>
              </w:rPr>
            </w:pPr>
            <w:r>
              <w:rPr>
                <w:u w:val="single"/>
                <w:lang w:val="en-US"/>
              </w:rPr>
              <w:t>&lt;</w:t>
            </w:r>
            <w:r>
              <w:rPr>
                <w:lang w:val="en-US"/>
              </w:rPr>
              <w:t>10000</w:t>
            </w:r>
          </w:p>
          <w:p w14:paraId="68D93E7F" w14:textId="77777777" w:rsidR="00775CDB" w:rsidRDefault="00775CDB" w:rsidP="0052142D">
            <w:pPr>
              <w:jc w:val="center"/>
              <w:rPr>
                <w:lang w:val="en-US"/>
              </w:rPr>
            </w:pPr>
            <w:r>
              <w:rPr>
                <w:lang w:val="en-US"/>
              </w:rPr>
              <w:t>&gt;10000</w:t>
            </w:r>
          </w:p>
        </w:tc>
        <w:tc>
          <w:tcPr>
            <w:tcW w:w="1276" w:type="dxa"/>
            <w:gridSpan w:val="2"/>
          </w:tcPr>
          <w:p w14:paraId="713F7D07" w14:textId="77777777" w:rsidR="00775CDB" w:rsidRDefault="00775CDB" w:rsidP="0052142D">
            <w:pPr>
              <w:jc w:val="center"/>
              <w:rPr>
                <w:lang w:val="en-US"/>
              </w:rPr>
            </w:pPr>
            <w:r>
              <w:rPr>
                <w:lang w:val="en-US"/>
              </w:rPr>
              <w:t>1</w:t>
            </w:r>
          </w:p>
          <w:p w14:paraId="2BAC6F27" w14:textId="77777777" w:rsidR="00775CDB" w:rsidRDefault="00775CDB" w:rsidP="0052142D">
            <w:pPr>
              <w:jc w:val="center"/>
              <w:rPr>
                <w:lang w:val="en-US"/>
              </w:rPr>
            </w:pPr>
            <w:r>
              <w:rPr>
                <w:lang w:val="en-US"/>
              </w:rPr>
              <w:t>1.5</w:t>
            </w:r>
          </w:p>
        </w:tc>
        <w:tc>
          <w:tcPr>
            <w:tcW w:w="1276" w:type="dxa"/>
            <w:gridSpan w:val="2"/>
          </w:tcPr>
          <w:p w14:paraId="1130FD84" w14:textId="77777777" w:rsidR="00775CDB" w:rsidRDefault="00775CDB" w:rsidP="0052142D">
            <w:pPr>
              <w:jc w:val="center"/>
              <w:rPr>
                <w:lang w:val="en-US"/>
              </w:rPr>
            </w:pPr>
          </w:p>
          <w:p w14:paraId="1F7A7C55" w14:textId="77777777" w:rsidR="00775CDB" w:rsidRDefault="00775CDB" w:rsidP="0052142D">
            <w:pPr>
              <w:jc w:val="center"/>
              <w:rPr>
                <w:lang w:val="en-US"/>
              </w:rPr>
            </w:pPr>
            <w:r>
              <w:rPr>
                <w:lang w:val="en-US"/>
              </w:rPr>
              <w:t>1.23-1.81</w:t>
            </w:r>
          </w:p>
        </w:tc>
        <w:tc>
          <w:tcPr>
            <w:tcW w:w="992" w:type="dxa"/>
          </w:tcPr>
          <w:p w14:paraId="39009861" w14:textId="77777777" w:rsidR="00775CDB" w:rsidRDefault="00775CDB" w:rsidP="0052142D">
            <w:pPr>
              <w:jc w:val="center"/>
              <w:rPr>
                <w:lang w:val="en-US"/>
              </w:rPr>
            </w:pPr>
            <w:r>
              <w:rPr>
                <w:lang w:val="en-US"/>
              </w:rPr>
              <w:t>&lt;0.001</w:t>
            </w:r>
          </w:p>
        </w:tc>
      </w:tr>
      <w:tr w:rsidR="00775CDB" w14:paraId="22FA2A2A" w14:textId="77777777" w:rsidTr="000647D9">
        <w:trPr>
          <w:cantSplit/>
          <w:trHeight w:val="265"/>
        </w:trPr>
        <w:tc>
          <w:tcPr>
            <w:tcW w:w="1702" w:type="dxa"/>
            <w:vMerge/>
            <w:tcBorders>
              <w:right w:val="single" w:sz="4" w:space="0" w:color="auto"/>
            </w:tcBorders>
          </w:tcPr>
          <w:p w14:paraId="1CC9126F" w14:textId="77777777" w:rsidR="00775CDB" w:rsidRDefault="00775CDB" w:rsidP="0052142D">
            <w:pPr>
              <w:rPr>
                <w:lang w:val="en-US"/>
              </w:rPr>
            </w:pPr>
          </w:p>
        </w:tc>
        <w:tc>
          <w:tcPr>
            <w:tcW w:w="2268" w:type="dxa"/>
            <w:gridSpan w:val="3"/>
            <w:tcBorders>
              <w:left w:val="single" w:sz="4" w:space="0" w:color="auto"/>
            </w:tcBorders>
          </w:tcPr>
          <w:p w14:paraId="68D4ED36" w14:textId="77777777" w:rsidR="00775CDB" w:rsidRDefault="00775CDB" w:rsidP="0052142D">
            <w:pPr>
              <w:rPr>
                <w:lang w:val="en-US"/>
              </w:rPr>
            </w:pPr>
            <w:r>
              <w:rPr>
                <w:lang w:val="en-US"/>
              </w:rPr>
              <w:t>Hb</w:t>
            </w:r>
          </w:p>
        </w:tc>
        <w:tc>
          <w:tcPr>
            <w:tcW w:w="2693" w:type="dxa"/>
            <w:gridSpan w:val="2"/>
          </w:tcPr>
          <w:p w14:paraId="4B9D15FF" w14:textId="77777777" w:rsidR="00775CDB" w:rsidRDefault="00775CDB" w:rsidP="0052142D">
            <w:pPr>
              <w:jc w:val="center"/>
              <w:rPr>
                <w:lang w:val="en-US"/>
              </w:rPr>
            </w:pPr>
            <w:r>
              <w:rPr>
                <w:u w:val="single"/>
                <w:lang w:val="en-US"/>
              </w:rPr>
              <w:t>&gt;</w:t>
            </w:r>
            <w:r>
              <w:rPr>
                <w:lang w:val="en-US"/>
              </w:rPr>
              <w:t xml:space="preserve">LLN </w:t>
            </w:r>
          </w:p>
          <w:p w14:paraId="6461A842" w14:textId="77777777" w:rsidR="00775CDB" w:rsidRDefault="00775CDB" w:rsidP="0052142D">
            <w:pPr>
              <w:jc w:val="center"/>
              <w:rPr>
                <w:lang w:val="en-US"/>
              </w:rPr>
            </w:pPr>
            <w:r>
              <w:rPr>
                <w:lang w:val="en-US"/>
              </w:rPr>
              <w:t xml:space="preserve">&lt;LLN </w:t>
            </w:r>
          </w:p>
        </w:tc>
        <w:tc>
          <w:tcPr>
            <w:tcW w:w="1276" w:type="dxa"/>
            <w:gridSpan w:val="2"/>
          </w:tcPr>
          <w:p w14:paraId="1180D6E7" w14:textId="77777777" w:rsidR="00775CDB" w:rsidRDefault="00775CDB" w:rsidP="0052142D">
            <w:pPr>
              <w:jc w:val="center"/>
              <w:rPr>
                <w:lang w:val="en-US"/>
              </w:rPr>
            </w:pPr>
            <w:r>
              <w:rPr>
                <w:lang w:val="en-US"/>
              </w:rPr>
              <w:t>1</w:t>
            </w:r>
          </w:p>
          <w:p w14:paraId="16C1171D" w14:textId="77777777" w:rsidR="00775CDB" w:rsidRDefault="00775CDB" w:rsidP="0052142D">
            <w:pPr>
              <w:jc w:val="center"/>
              <w:rPr>
                <w:lang w:val="en-US"/>
              </w:rPr>
            </w:pPr>
            <w:r>
              <w:rPr>
                <w:lang w:val="en-US"/>
              </w:rPr>
              <w:t>1.36</w:t>
            </w:r>
          </w:p>
        </w:tc>
        <w:tc>
          <w:tcPr>
            <w:tcW w:w="1276" w:type="dxa"/>
            <w:gridSpan w:val="2"/>
          </w:tcPr>
          <w:p w14:paraId="08A07A0C" w14:textId="77777777" w:rsidR="00775CDB" w:rsidRDefault="00775CDB" w:rsidP="0052142D">
            <w:pPr>
              <w:jc w:val="center"/>
              <w:rPr>
                <w:lang w:val="en-US"/>
              </w:rPr>
            </w:pPr>
          </w:p>
          <w:p w14:paraId="0F76CEEB" w14:textId="77777777" w:rsidR="00775CDB" w:rsidRDefault="00775CDB" w:rsidP="0052142D">
            <w:pPr>
              <w:jc w:val="center"/>
              <w:rPr>
                <w:lang w:val="en-US"/>
              </w:rPr>
            </w:pPr>
            <w:r>
              <w:rPr>
                <w:lang w:val="en-US"/>
              </w:rPr>
              <w:t>1.12-1.66</w:t>
            </w:r>
          </w:p>
        </w:tc>
        <w:tc>
          <w:tcPr>
            <w:tcW w:w="992" w:type="dxa"/>
          </w:tcPr>
          <w:p w14:paraId="5BECB575" w14:textId="77777777" w:rsidR="00775CDB" w:rsidRDefault="00775CDB" w:rsidP="0052142D">
            <w:pPr>
              <w:jc w:val="center"/>
              <w:rPr>
                <w:lang w:val="en-US"/>
              </w:rPr>
            </w:pPr>
            <w:r>
              <w:rPr>
                <w:lang w:val="en-US"/>
              </w:rPr>
              <w:t>0.002</w:t>
            </w:r>
          </w:p>
        </w:tc>
      </w:tr>
      <w:tr w:rsidR="00775CDB" w14:paraId="7848F57C" w14:textId="77777777" w:rsidTr="000647D9">
        <w:trPr>
          <w:cantSplit/>
          <w:trHeight w:val="265"/>
        </w:trPr>
        <w:tc>
          <w:tcPr>
            <w:tcW w:w="1702" w:type="dxa"/>
            <w:vMerge/>
            <w:tcBorders>
              <w:right w:val="single" w:sz="4" w:space="0" w:color="auto"/>
            </w:tcBorders>
          </w:tcPr>
          <w:p w14:paraId="72304CDF" w14:textId="77777777" w:rsidR="00775CDB" w:rsidRDefault="00775CDB" w:rsidP="0052142D">
            <w:pPr>
              <w:rPr>
                <w:lang w:val="en-US"/>
              </w:rPr>
            </w:pPr>
          </w:p>
        </w:tc>
        <w:tc>
          <w:tcPr>
            <w:tcW w:w="2268" w:type="dxa"/>
            <w:gridSpan w:val="3"/>
            <w:tcBorders>
              <w:left w:val="single" w:sz="4" w:space="0" w:color="auto"/>
            </w:tcBorders>
          </w:tcPr>
          <w:p w14:paraId="4201E905" w14:textId="77777777" w:rsidR="00775CDB" w:rsidRDefault="00775CDB" w:rsidP="0052142D">
            <w:pPr>
              <w:rPr>
                <w:lang w:val="en-US"/>
              </w:rPr>
            </w:pPr>
            <w:r>
              <w:rPr>
                <w:lang w:val="en-US"/>
              </w:rPr>
              <w:t>Treatment</w:t>
            </w:r>
          </w:p>
        </w:tc>
        <w:tc>
          <w:tcPr>
            <w:tcW w:w="2693" w:type="dxa"/>
            <w:gridSpan w:val="2"/>
          </w:tcPr>
          <w:p w14:paraId="5E552EC5" w14:textId="77777777" w:rsidR="00775CDB" w:rsidRDefault="00775CDB" w:rsidP="0052142D">
            <w:pPr>
              <w:jc w:val="center"/>
              <w:rPr>
                <w:lang w:val="en-US"/>
              </w:rPr>
            </w:pPr>
            <w:r>
              <w:rPr>
                <w:lang w:val="en-US"/>
              </w:rPr>
              <w:t>Cisplatin</w:t>
            </w:r>
          </w:p>
          <w:p w14:paraId="04F02020" w14:textId="77777777" w:rsidR="00775CDB" w:rsidRDefault="00775CDB" w:rsidP="0052142D">
            <w:pPr>
              <w:jc w:val="center"/>
              <w:rPr>
                <w:lang w:val="en-US"/>
              </w:rPr>
            </w:pPr>
            <w:r>
              <w:rPr>
                <w:lang w:val="en-US"/>
              </w:rPr>
              <w:t>Non Cisplatin</w:t>
            </w:r>
          </w:p>
        </w:tc>
        <w:tc>
          <w:tcPr>
            <w:tcW w:w="1276" w:type="dxa"/>
            <w:gridSpan w:val="2"/>
          </w:tcPr>
          <w:p w14:paraId="0B0D15F7" w14:textId="77777777" w:rsidR="00775CDB" w:rsidRDefault="00775CDB" w:rsidP="0052142D">
            <w:pPr>
              <w:jc w:val="center"/>
              <w:rPr>
                <w:lang w:val="en-US"/>
              </w:rPr>
            </w:pPr>
            <w:r>
              <w:rPr>
                <w:lang w:val="en-US"/>
              </w:rPr>
              <w:t>1</w:t>
            </w:r>
          </w:p>
          <w:p w14:paraId="101049E6" w14:textId="77777777" w:rsidR="00775CDB" w:rsidRDefault="00775CDB" w:rsidP="0052142D">
            <w:pPr>
              <w:jc w:val="center"/>
              <w:rPr>
                <w:lang w:val="en-US"/>
              </w:rPr>
            </w:pPr>
            <w:r>
              <w:rPr>
                <w:lang w:val="en-US"/>
              </w:rPr>
              <w:t>1.43</w:t>
            </w:r>
          </w:p>
        </w:tc>
        <w:tc>
          <w:tcPr>
            <w:tcW w:w="1276" w:type="dxa"/>
            <w:gridSpan w:val="2"/>
          </w:tcPr>
          <w:p w14:paraId="5BEFB3A0" w14:textId="77777777" w:rsidR="00775CDB" w:rsidRDefault="00775CDB" w:rsidP="0052142D">
            <w:pPr>
              <w:jc w:val="center"/>
              <w:rPr>
                <w:lang w:val="en-US"/>
              </w:rPr>
            </w:pPr>
          </w:p>
          <w:p w14:paraId="15CAEE60" w14:textId="77777777" w:rsidR="00775CDB" w:rsidRDefault="00775CDB" w:rsidP="0052142D">
            <w:pPr>
              <w:jc w:val="center"/>
              <w:rPr>
                <w:lang w:val="en-US"/>
              </w:rPr>
            </w:pPr>
            <w:r>
              <w:rPr>
                <w:lang w:val="en-US"/>
              </w:rPr>
              <w:t>1.19-1.71</w:t>
            </w:r>
          </w:p>
        </w:tc>
        <w:tc>
          <w:tcPr>
            <w:tcW w:w="992" w:type="dxa"/>
          </w:tcPr>
          <w:p w14:paraId="252785E9" w14:textId="77777777" w:rsidR="00775CDB" w:rsidRDefault="00775CDB" w:rsidP="0052142D">
            <w:pPr>
              <w:jc w:val="center"/>
              <w:rPr>
                <w:lang w:val="en-US"/>
              </w:rPr>
            </w:pPr>
            <w:r>
              <w:rPr>
                <w:lang w:val="en-US"/>
              </w:rPr>
              <w:t>&lt;0.001</w:t>
            </w:r>
          </w:p>
        </w:tc>
      </w:tr>
    </w:tbl>
    <w:p w14:paraId="21FE9EF1" w14:textId="77777777" w:rsidR="00695E2D" w:rsidRPr="00BF7B7C" w:rsidRDefault="00695E2D" w:rsidP="00695E2D">
      <w:pPr>
        <w:rPr>
          <w:rFonts w:ascii="Arial" w:hAnsi="Arial" w:cs="Arial"/>
          <w:lang w:val="en-US"/>
        </w:rPr>
      </w:pPr>
    </w:p>
    <w:p w14:paraId="402457FF" w14:textId="77777777" w:rsidR="00695E2D" w:rsidRPr="00BF7B7C" w:rsidRDefault="00695E2D" w:rsidP="00695E2D">
      <w:pPr>
        <w:rPr>
          <w:rFonts w:ascii="Arial" w:hAnsi="Arial" w:cs="Arial"/>
          <w:sz w:val="22"/>
          <w:szCs w:val="22"/>
          <w:lang w:val="en-US"/>
        </w:rPr>
      </w:pPr>
      <w:r w:rsidRPr="00BF7B7C">
        <w:rPr>
          <w:rFonts w:ascii="Arial" w:hAnsi="Arial" w:cs="Arial"/>
          <w:sz w:val="22"/>
          <w:szCs w:val="22"/>
          <w:lang w:val="en-US"/>
        </w:rPr>
        <w:t xml:space="preserve">HR: hazard ratio; CI: confidence interval; WBC: white blood cells; PLT: platelets; MSKCC: Memorial Sloan Kettering Cancer Center; LLN: Lower limit of normal </w:t>
      </w:r>
    </w:p>
    <w:p w14:paraId="4D50A050" w14:textId="77777777" w:rsidR="00C7598C" w:rsidRPr="00BF7B7C" w:rsidRDefault="0009448E" w:rsidP="007C22CE">
      <w:pPr>
        <w:spacing w:after="160" w:line="259" w:lineRule="auto"/>
        <w:jc w:val="both"/>
        <w:rPr>
          <w:rFonts w:ascii="Arial" w:hAnsi="Arial" w:cs="Arial"/>
          <w:b/>
          <w:bCs/>
          <w:color w:val="000000"/>
          <w:lang w:val="en-GB"/>
        </w:rPr>
      </w:pPr>
      <w:r w:rsidRPr="00BF7B7C">
        <w:rPr>
          <w:rFonts w:ascii="Arial" w:hAnsi="Arial" w:cs="Arial"/>
          <w:b/>
          <w:bCs/>
          <w:color w:val="000000"/>
          <w:lang w:val="en-GB"/>
        </w:rPr>
        <w:br w:type="page"/>
      </w:r>
      <w:r w:rsidR="00C7598C" w:rsidRPr="00BF7B7C">
        <w:rPr>
          <w:rFonts w:ascii="Arial" w:hAnsi="Arial" w:cs="Arial"/>
          <w:b/>
          <w:bCs/>
          <w:color w:val="000000"/>
          <w:lang w:val="en-GB"/>
        </w:rPr>
        <w:t>References</w:t>
      </w:r>
    </w:p>
    <w:p w14:paraId="2922EC43" w14:textId="77777777" w:rsidR="000C7048" w:rsidRPr="00BF7B7C" w:rsidRDefault="00224D48" w:rsidP="000C7048">
      <w:pPr>
        <w:pStyle w:val="EndNoteBibliography"/>
        <w:rPr>
          <w:rFonts w:ascii="Arial" w:hAnsi="Arial" w:cs="Arial"/>
          <w:lang w:val="en-US"/>
        </w:rPr>
      </w:pPr>
      <w:r w:rsidRPr="00BF7B7C">
        <w:rPr>
          <w:rFonts w:ascii="Arial" w:hAnsi="Arial" w:cs="Arial"/>
          <w:lang w:val="en-GB"/>
        </w:rPr>
        <w:fldChar w:fldCharType="begin"/>
      </w:r>
      <w:r w:rsidR="000C7048" w:rsidRPr="00BF7B7C">
        <w:rPr>
          <w:rFonts w:ascii="Arial" w:hAnsi="Arial" w:cs="Arial"/>
          <w:lang w:val="en-GB"/>
        </w:rPr>
        <w:instrText xml:space="preserve"> ADDIN EN.REFLIST </w:instrText>
      </w:r>
      <w:r w:rsidRPr="00BF7B7C">
        <w:rPr>
          <w:rFonts w:ascii="Arial" w:hAnsi="Arial" w:cs="Arial"/>
          <w:lang w:val="en-GB"/>
        </w:rPr>
        <w:fldChar w:fldCharType="separate"/>
      </w:r>
      <w:r w:rsidR="000C7048" w:rsidRPr="00BF7B7C">
        <w:rPr>
          <w:rFonts w:ascii="Arial" w:hAnsi="Arial" w:cs="Arial"/>
          <w:lang w:val="en-US"/>
        </w:rPr>
        <w:tab/>
        <w:t>1.</w:t>
      </w:r>
      <w:r w:rsidR="000C7048" w:rsidRPr="00BF7B7C">
        <w:rPr>
          <w:rFonts w:ascii="Arial" w:hAnsi="Arial" w:cs="Arial"/>
          <w:lang w:val="en-US"/>
        </w:rPr>
        <w:tab/>
        <w:t>Sonpavde G, Watson D, Tourtellott M, et al: Administration of cisplatin-based chemotherapy for advanced urothelial carcinoma in the community. Clin Genitourin Cancer 10:1-5, 2012</w:t>
      </w:r>
    </w:p>
    <w:p w14:paraId="3BCE9FF4"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2.</w:t>
      </w:r>
      <w:r w:rsidRPr="00BF7B7C">
        <w:rPr>
          <w:rFonts w:ascii="Arial" w:hAnsi="Arial" w:cs="Arial"/>
          <w:lang w:val="en-US"/>
        </w:rPr>
        <w:tab/>
        <w:t>Dash A, Galsky MD, Vickers AJ, et al: Impact of renal impairment on eligibility for adjuvant cisplatin-based chemotherapy in patients with urothelial carcinoma of the bladder. Cancer 107:506-13, 2006</w:t>
      </w:r>
    </w:p>
    <w:p w14:paraId="00DB36C6"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3.</w:t>
      </w:r>
      <w:r w:rsidRPr="00BF7B7C">
        <w:rPr>
          <w:rFonts w:ascii="Arial" w:hAnsi="Arial" w:cs="Arial"/>
          <w:lang w:val="en-US"/>
        </w:rPr>
        <w:tab/>
        <w:t>Linardou H, Aravantinos G, Efstathiou E, et al: Gemcitabine and carboplatin combination as first-line treatment in elderly patients and those unfit for cisplatin-based chemotherapy with advanced bladder carcinoma: Phase II study of the Hellenic Co-operative Oncology Group. Urology 64:479-84, 2004</w:t>
      </w:r>
    </w:p>
    <w:p w14:paraId="74D10951"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4.</w:t>
      </w:r>
      <w:r w:rsidRPr="00BF7B7C">
        <w:rPr>
          <w:rFonts w:ascii="Arial" w:hAnsi="Arial" w:cs="Arial"/>
          <w:lang w:val="en-US"/>
        </w:rPr>
        <w:tab/>
        <w:t>Bamias A, Lainakis G, Kastritis E, et al: Biweekly carboplatin/gemcitabine in patients with advanced urothelial cancer who are unfit for cisplatin-based chemotherapy: report of efficacy, quality of life and geriatric assessment. Oncology 73:290-7, 2007</w:t>
      </w:r>
    </w:p>
    <w:p w14:paraId="125F5BE5"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5.</w:t>
      </w:r>
      <w:r w:rsidRPr="00BF7B7C">
        <w:rPr>
          <w:rFonts w:ascii="Arial" w:hAnsi="Arial" w:cs="Arial"/>
          <w:lang w:val="en-US"/>
        </w:rPr>
        <w:tab/>
        <w:t>Bellmunt J, de Wit R, Albanell J, et al: A feasibility study of carboplatin with fixed dose of gemcitabine in "unfit" patients with advanced bladder cancer. Eur J Cancer 37:2212-5, 2001</w:t>
      </w:r>
    </w:p>
    <w:p w14:paraId="6F551BC2"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6.</w:t>
      </w:r>
      <w:r w:rsidRPr="00BF7B7C">
        <w:rPr>
          <w:rFonts w:ascii="Arial" w:hAnsi="Arial" w:cs="Arial"/>
          <w:lang w:val="en-US"/>
        </w:rPr>
        <w:tab/>
        <w:t>Carles J, Nogue M, Domenech M, et al: Carboplatin-gemcitabine treatment of patients with transitional cell carcinoma of the bladder and impaired renal function. Oncology 59:24-7, 2000</w:t>
      </w:r>
    </w:p>
    <w:p w14:paraId="2F16CAD4"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7.</w:t>
      </w:r>
      <w:r w:rsidRPr="00BF7B7C">
        <w:rPr>
          <w:rFonts w:ascii="Arial" w:hAnsi="Arial" w:cs="Arial"/>
          <w:lang w:val="en-US"/>
        </w:rPr>
        <w:tab/>
        <w:t>De Santis M, Bellmunt J, Mead G, et al: Randomized phase II/III trial assessing gemcitabine/ carboplatin and methotrexate/carboplatin/vinblastine in patients with advanced urothelial cancer "unfit" for cisplatin-based chemotherapy: phase II--results of EORTC study 30986. J Clin Oncol 27:5634-9, 2009</w:t>
      </w:r>
    </w:p>
    <w:p w14:paraId="186FE97B"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8.</w:t>
      </w:r>
      <w:r w:rsidRPr="00BF7B7C">
        <w:rPr>
          <w:rFonts w:ascii="Arial" w:hAnsi="Arial" w:cs="Arial"/>
          <w:lang w:val="en-US"/>
        </w:rPr>
        <w:tab/>
        <w:t>Bajorin DF, Dodd PM, Mazumdar M, et al: Long-term survival in metastatic transitional-cell carcinoma and prognostic factors predicting outcome of therapy. J Clin Oncol 17:3173-81, 1999</w:t>
      </w:r>
    </w:p>
    <w:p w14:paraId="185CCB95"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9.</w:t>
      </w:r>
      <w:r w:rsidRPr="00BF7B7C">
        <w:rPr>
          <w:rFonts w:ascii="Arial" w:hAnsi="Arial" w:cs="Arial"/>
          <w:lang w:val="en-US"/>
        </w:rPr>
        <w:tab/>
        <w:t>Galsky MD, Hahn NM, Rosenberg J, et al: Treatment of patients with metastatic urothelial cancer "unfit" for Cisplatin-based chemotherapy. J Clin Oncol 29:2432-8, 2011</w:t>
      </w:r>
    </w:p>
    <w:p w14:paraId="3AFAD9F0"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10.</w:t>
      </w:r>
      <w:r w:rsidRPr="00BF7B7C">
        <w:rPr>
          <w:rFonts w:ascii="Arial" w:hAnsi="Arial" w:cs="Arial"/>
          <w:lang w:val="en-US"/>
        </w:rPr>
        <w:tab/>
        <w:t>Bamias A, Peroukidis S, Stamatopoulou S, et al: Utilization of Systemic Chemotherapy in Advanced Urothelial Cancer: A Retrospective Collaborative Study by the Hellenic Genitourinary Cancer Group (HGUCG). Clin Genitourin Cancer 14:e153-9, 2016</w:t>
      </w:r>
    </w:p>
    <w:p w14:paraId="4487989D" w14:textId="77777777" w:rsidR="00700391" w:rsidRDefault="000C7048" w:rsidP="00700391">
      <w:pPr>
        <w:pStyle w:val="EndNoteBibliography"/>
        <w:rPr>
          <w:rFonts w:ascii="Arial" w:hAnsi="Arial" w:cs="Arial"/>
          <w:lang w:val="en-US"/>
        </w:rPr>
      </w:pPr>
      <w:r w:rsidRPr="00BF7B7C">
        <w:rPr>
          <w:rFonts w:ascii="Arial" w:hAnsi="Arial" w:cs="Arial"/>
          <w:lang w:val="en-US"/>
        </w:rPr>
        <w:tab/>
        <w:t>11.</w:t>
      </w:r>
      <w:r w:rsidRPr="00BF7B7C">
        <w:rPr>
          <w:rFonts w:ascii="Arial" w:hAnsi="Arial" w:cs="Arial"/>
          <w:lang w:val="en-US"/>
        </w:rPr>
        <w:tab/>
      </w:r>
      <w:r w:rsidR="00700391" w:rsidRPr="00700391">
        <w:rPr>
          <w:rFonts w:ascii="Arial" w:hAnsi="Arial" w:cs="Arial"/>
          <w:lang w:val="en-US"/>
        </w:rPr>
        <w:t xml:space="preserve">Necchi A, Sonpavde G, Lo Vullo S, </w:t>
      </w:r>
      <w:r w:rsidR="00700391">
        <w:rPr>
          <w:rFonts w:ascii="Arial" w:hAnsi="Arial" w:cs="Arial"/>
          <w:lang w:val="en-US"/>
        </w:rPr>
        <w:t>et al</w:t>
      </w:r>
      <w:r w:rsidR="00700391" w:rsidRPr="00700391">
        <w:rPr>
          <w:rFonts w:ascii="Arial" w:hAnsi="Arial" w:cs="Arial"/>
          <w:lang w:val="en-US"/>
        </w:rPr>
        <w:t>; RISC Investigators</w:t>
      </w:r>
      <w:r w:rsidR="00700391">
        <w:rPr>
          <w:rFonts w:ascii="Arial" w:hAnsi="Arial" w:cs="Arial"/>
          <w:lang w:val="en-US"/>
        </w:rPr>
        <w:t xml:space="preserve">. </w:t>
      </w:r>
      <w:r w:rsidR="00700391" w:rsidRPr="00700391">
        <w:rPr>
          <w:rFonts w:ascii="Arial" w:hAnsi="Arial" w:cs="Arial"/>
          <w:lang w:val="en-US"/>
        </w:rPr>
        <w:t>Nomogram-based Prediction of Overall Survival in Patients with Metastatic Urothelial Carcinoma Receiving First-line Platinum-based Chemotherapy: Retrospective International Study of Invasive/Advanced C</w:t>
      </w:r>
      <w:r w:rsidR="00700391">
        <w:rPr>
          <w:rFonts w:ascii="Arial" w:hAnsi="Arial" w:cs="Arial"/>
          <w:lang w:val="en-US"/>
        </w:rPr>
        <w:t xml:space="preserve">ancer of the Urothelium (RISC). Eur Urol. </w:t>
      </w:r>
      <w:r w:rsidR="00700391" w:rsidRPr="00700391">
        <w:rPr>
          <w:rFonts w:ascii="Arial" w:hAnsi="Arial" w:cs="Arial"/>
          <w:lang w:val="en-US"/>
        </w:rPr>
        <w:t>doi: 10.1016/j.eururo.2016.09.042</w:t>
      </w:r>
      <w:r w:rsidR="00700391">
        <w:rPr>
          <w:rFonts w:ascii="Arial" w:hAnsi="Arial" w:cs="Arial"/>
          <w:lang w:val="en-US"/>
        </w:rPr>
        <w:t>, 2016</w:t>
      </w:r>
      <w:r w:rsidR="00700391" w:rsidRPr="00700391">
        <w:rPr>
          <w:rFonts w:ascii="Arial" w:hAnsi="Arial" w:cs="Arial"/>
          <w:lang w:val="en-US"/>
        </w:rPr>
        <w:t xml:space="preserve"> </w:t>
      </w:r>
    </w:p>
    <w:p w14:paraId="20F6A35E" w14:textId="77777777" w:rsidR="00700391" w:rsidRDefault="00540A83" w:rsidP="002B636C">
      <w:pPr>
        <w:pStyle w:val="EndNoteBibliography"/>
        <w:ind w:firstLine="720"/>
        <w:rPr>
          <w:rFonts w:ascii="Arial" w:hAnsi="Arial" w:cs="Arial"/>
          <w:lang w:val="en-US"/>
        </w:rPr>
      </w:pPr>
      <w:r>
        <w:rPr>
          <w:rFonts w:ascii="Arial" w:hAnsi="Arial" w:cs="Arial"/>
          <w:lang w:val="en-US"/>
        </w:rPr>
        <w:t xml:space="preserve">12. </w:t>
      </w:r>
      <w:r w:rsidR="00700391" w:rsidRPr="00700391">
        <w:rPr>
          <w:rFonts w:ascii="Arial" w:hAnsi="Arial" w:cs="Arial"/>
          <w:lang w:val="en-US"/>
        </w:rPr>
        <w:t>Ramos JD, Casey MF, Bamias A,</w:t>
      </w:r>
      <w:r w:rsidR="00700391">
        <w:rPr>
          <w:rFonts w:ascii="Arial" w:hAnsi="Arial" w:cs="Arial"/>
          <w:lang w:val="en-US"/>
        </w:rPr>
        <w:t xml:space="preserve"> et al;</w:t>
      </w:r>
      <w:r w:rsidR="00700391" w:rsidRPr="002B636C">
        <w:rPr>
          <w:lang w:val="en-US"/>
        </w:rPr>
        <w:t xml:space="preserve"> </w:t>
      </w:r>
      <w:r w:rsidR="00700391" w:rsidRPr="00700391">
        <w:rPr>
          <w:rFonts w:ascii="Arial" w:hAnsi="Arial" w:cs="Arial"/>
          <w:lang w:val="en-US"/>
        </w:rPr>
        <w:t>Retrospective International Study of Cancers of the Urothelium (RISC) Investigators</w:t>
      </w:r>
      <w:r w:rsidR="00700391">
        <w:rPr>
          <w:rFonts w:ascii="Arial" w:hAnsi="Arial" w:cs="Arial"/>
          <w:lang w:val="en-US"/>
        </w:rPr>
        <w:t xml:space="preserve">. </w:t>
      </w:r>
      <w:r w:rsidR="00700391" w:rsidRPr="00700391">
        <w:rPr>
          <w:rFonts w:ascii="Arial" w:hAnsi="Arial" w:cs="Arial"/>
          <w:lang w:val="en-US"/>
        </w:rPr>
        <w:t>The Khorana Score in Predicting Venous Thromboembolism for Patients With Metastatic Urothelial Carcinoma and Variant Histo</w:t>
      </w:r>
      <w:r w:rsidR="00700391">
        <w:rPr>
          <w:rFonts w:ascii="Arial" w:hAnsi="Arial" w:cs="Arial"/>
          <w:lang w:val="en-US"/>
        </w:rPr>
        <w:t xml:space="preserve">logy Treated With Chemotherapy. </w:t>
      </w:r>
      <w:r w:rsidR="00700391" w:rsidRPr="00700391">
        <w:rPr>
          <w:rFonts w:ascii="Arial" w:hAnsi="Arial" w:cs="Arial"/>
          <w:lang w:val="en-US"/>
        </w:rPr>
        <w:t>Clin</w:t>
      </w:r>
      <w:r w:rsidR="00700391">
        <w:rPr>
          <w:rFonts w:ascii="Arial" w:hAnsi="Arial" w:cs="Arial"/>
          <w:lang w:val="en-US"/>
        </w:rPr>
        <w:t xml:space="preserve"> Appl Thromb Hemost</w:t>
      </w:r>
      <w:r w:rsidR="00700391" w:rsidRPr="00700391">
        <w:rPr>
          <w:rFonts w:ascii="Arial" w:hAnsi="Arial" w:cs="Arial"/>
          <w:lang w:val="en-US"/>
        </w:rPr>
        <w:t>. pii: 1076029616668405</w:t>
      </w:r>
      <w:r w:rsidR="00700391">
        <w:rPr>
          <w:rFonts w:ascii="Arial" w:hAnsi="Arial" w:cs="Arial"/>
          <w:lang w:val="en-US"/>
        </w:rPr>
        <w:t>, 2016</w:t>
      </w:r>
      <w:r w:rsidR="00700391" w:rsidRPr="00700391">
        <w:rPr>
          <w:rFonts w:ascii="Arial" w:hAnsi="Arial" w:cs="Arial"/>
          <w:lang w:val="en-US"/>
        </w:rPr>
        <w:t xml:space="preserve"> </w:t>
      </w:r>
    </w:p>
    <w:p w14:paraId="30E608F1" w14:textId="77777777" w:rsidR="00540A83" w:rsidRDefault="00540A83" w:rsidP="002B636C">
      <w:pPr>
        <w:pStyle w:val="EndNoteBibliography"/>
        <w:ind w:firstLine="720"/>
        <w:rPr>
          <w:rFonts w:ascii="Arial" w:hAnsi="Arial" w:cs="Arial"/>
          <w:lang w:val="en-US"/>
        </w:rPr>
      </w:pPr>
      <w:r>
        <w:rPr>
          <w:rFonts w:ascii="Arial" w:hAnsi="Arial" w:cs="Arial"/>
          <w:lang w:val="en-US"/>
        </w:rPr>
        <w:t xml:space="preserve">13. </w:t>
      </w:r>
      <w:r w:rsidR="008D4D49" w:rsidRPr="008D4D49">
        <w:rPr>
          <w:rFonts w:ascii="Arial" w:hAnsi="Arial" w:cs="Arial"/>
          <w:lang w:val="en-US"/>
        </w:rPr>
        <w:t xml:space="preserve">Ramos JD, Casey MF, Crabb SJ, </w:t>
      </w:r>
      <w:r w:rsidR="008D4D49">
        <w:rPr>
          <w:rFonts w:ascii="Arial" w:hAnsi="Arial" w:cs="Arial"/>
          <w:lang w:val="en-US"/>
        </w:rPr>
        <w:t xml:space="preserve">et al; </w:t>
      </w:r>
      <w:r w:rsidR="008D4D49" w:rsidRPr="008D4D49">
        <w:rPr>
          <w:rFonts w:ascii="Arial" w:hAnsi="Arial" w:cs="Arial"/>
          <w:lang w:val="en-US"/>
        </w:rPr>
        <w:t>RISC Investigators</w:t>
      </w:r>
      <w:r w:rsidR="008D4D49">
        <w:rPr>
          <w:rFonts w:ascii="Arial" w:hAnsi="Arial" w:cs="Arial"/>
          <w:lang w:val="en-US"/>
        </w:rPr>
        <w:t xml:space="preserve">. </w:t>
      </w:r>
      <w:r w:rsidRPr="00540A83">
        <w:rPr>
          <w:rFonts w:ascii="Arial" w:hAnsi="Arial" w:cs="Arial"/>
          <w:lang w:val="en-US"/>
        </w:rPr>
        <w:t>Venous thromboembolism in metastatic urothelial carcinoma or variant histologies: incidence, associative factors, and effect on survival. Cancer Med. doi: 10.1002/cam4.986</w:t>
      </w:r>
      <w:r>
        <w:rPr>
          <w:rFonts w:ascii="Arial" w:hAnsi="Arial" w:cs="Arial"/>
          <w:lang w:val="en-US"/>
        </w:rPr>
        <w:t>, 2016</w:t>
      </w:r>
      <w:r w:rsidRPr="00540A83">
        <w:rPr>
          <w:rFonts w:ascii="Arial" w:hAnsi="Arial" w:cs="Arial"/>
          <w:lang w:val="en-US"/>
        </w:rPr>
        <w:t xml:space="preserve"> </w:t>
      </w:r>
    </w:p>
    <w:p w14:paraId="03F1DD72" w14:textId="77777777" w:rsidR="000C7048" w:rsidRPr="00BF7B7C" w:rsidRDefault="00540A83" w:rsidP="002B636C">
      <w:pPr>
        <w:pStyle w:val="EndNoteBibliography"/>
        <w:ind w:firstLine="720"/>
        <w:rPr>
          <w:rFonts w:ascii="Arial" w:hAnsi="Arial" w:cs="Arial"/>
          <w:lang w:val="en-US"/>
        </w:rPr>
      </w:pPr>
      <w:r>
        <w:rPr>
          <w:rFonts w:ascii="Arial" w:hAnsi="Arial" w:cs="Arial"/>
          <w:lang w:val="en-US"/>
        </w:rPr>
        <w:t xml:space="preserve">14. </w:t>
      </w:r>
      <w:r w:rsidR="000C7048" w:rsidRPr="00BF7B7C">
        <w:rPr>
          <w:rFonts w:ascii="Arial" w:hAnsi="Arial" w:cs="Arial"/>
          <w:lang w:val="en-US"/>
        </w:rPr>
        <w:t>Bellmunt J, Balar A, Galsky MD, et al: IMvigor210: updated analyses of first-line (1L) atezolizumab (atezo) in cisplatin (cis)-ineligible locally advanced/metastatic urothelial carcinoma (mUC). Annals of Oncology 27, 2016</w:t>
      </w:r>
    </w:p>
    <w:p w14:paraId="70C9145C"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1</w:t>
      </w:r>
      <w:r w:rsidR="00540A83">
        <w:rPr>
          <w:rFonts w:ascii="Arial" w:hAnsi="Arial" w:cs="Arial"/>
          <w:lang w:val="en-US"/>
        </w:rPr>
        <w:t>5</w:t>
      </w:r>
      <w:r w:rsidRPr="00BF7B7C">
        <w:rPr>
          <w:rFonts w:ascii="Arial" w:hAnsi="Arial" w:cs="Arial"/>
          <w:lang w:val="en-US"/>
        </w:rPr>
        <w:t>.</w:t>
      </w:r>
      <w:r w:rsidRPr="00BF7B7C">
        <w:rPr>
          <w:rFonts w:ascii="Arial" w:hAnsi="Arial" w:cs="Arial"/>
          <w:lang w:val="en-US"/>
        </w:rPr>
        <w:tab/>
        <w:t>Balar A, Bellmunt J, O'Donnell PH, et al: Pembrolizumab (pembro) as first-line therapy for advanced/unresectable or metastatic urothelial cancer: Preliminary results from the phase 2 KEYNOTE-052 study. Annals of Oncology 27, 2016</w:t>
      </w:r>
    </w:p>
    <w:p w14:paraId="6D1F053B"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1</w:t>
      </w:r>
      <w:r w:rsidR="00540A83">
        <w:rPr>
          <w:rFonts w:ascii="Arial" w:hAnsi="Arial" w:cs="Arial"/>
          <w:lang w:val="en-US"/>
        </w:rPr>
        <w:t>6</w:t>
      </w:r>
      <w:r w:rsidRPr="00BF7B7C">
        <w:rPr>
          <w:rFonts w:ascii="Arial" w:hAnsi="Arial" w:cs="Arial"/>
          <w:lang w:val="en-US"/>
        </w:rPr>
        <w:t>.</w:t>
      </w:r>
      <w:r w:rsidRPr="00BF7B7C">
        <w:rPr>
          <w:rFonts w:ascii="Arial" w:hAnsi="Arial" w:cs="Arial"/>
          <w:lang w:val="en-US"/>
        </w:rPr>
        <w:tab/>
        <w:t>Sternberg CN, de Mulder PH, Schornagel JH, et al: Randomized phase III trial of high-dose-intensity methotrexate, vinblastine, doxorubicin, and cisplatin (MVAC) chemotherapy and recombinant human granulocyte colony-stimulating factor versus classic MVAC in advanced urothelial tract tumors: European Organization for Research and Treatment of Cancer Protocol no. 30924. J Clin Oncol 19:2638-46, 2001</w:t>
      </w:r>
    </w:p>
    <w:p w14:paraId="5A18935B"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1</w:t>
      </w:r>
      <w:r w:rsidR="00540A83">
        <w:rPr>
          <w:rFonts w:ascii="Arial" w:hAnsi="Arial" w:cs="Arial"/>
          <w:lang w:val="en-US"/>
        </w:rPr>
        <w:t>7</w:t>
      </w:r>
      <w:r w:rsidRPr="00BF7B7C">
        <w:rPr>
          <w:rFonts w:ascii="Arial" w:hAnsi="Arial" w:cs="Arial"/>
          <w:lang w:val="en-US"/>
        </w:rPr>
        <w:t>.</w:t>
      </w:r>
      <w:r w:rsidRPr="00BF7B7C">
        <w:rPr>
          <w:rFonts w:ascii="Arial" w:hAnsi="Arial" w:cs="Arial"/>
          <w:lang w:val="en-US"/>
        </w:rPr>
        <w:tab/>
        <w:t>von der Maase H, Hansen SW, Roberts JT, et al: Gemcitabine and cisplatin versus methotrexate, vinblastine, doxorubicin, and cisplatin in advanced or metastatic bladder cancer: results of a large, randomized, multinational, multicenter, phase III study. J Clin Oncol 18:3068-77, 2000</w:t>
      </w:r>
    </w:p>
    <w:p w14:paraId="7BD9EBB0"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1</w:t>
      </w:r>
      <w:r w:rsidR="00540A83">
        <w:rPr>
          <w:rFonts w:ascii="Arial" w:hAnsi="Arial" w:cs="Arial"/>
          <w:lang w:val="en-US"/>
        </w:rPr>
        <w:t>8</w:t>
      </w:r>
      <w:r w:rsidRPr="00BF7B7C">
        <w:rPr>
          <w:rFonts w:ascii="Arial" w:hAnsi="Arial" w:cs="Arial"/>
          <w:lang w:val="en-US"/>
        </w:rPr>
        <w:t>.</w:t>
      </w:r>
      <w:r w:rsidRPr="00BF7B7C">
        <w:rPr>
          <w:rFonts w:ascii="Arial" w:hAnsi="Arial" w:cs="Arial"/>
          <w:lang w:val="en-US"/>
        </w:rPr>
        <w:tab/>
        <w:t>Bamias A, Aravantinos G, Deliveliotis C, et al: Docetaxel and cisplatin with granulocyte colony-stimulating factor (G-CSF) versus MVAC with G-CSF in advanced urothelial carcinoma: a multicenter, randomized, phase III study from the Hellenic Cooperative Oncology Group. J Clin Oncol 22:220-8, 2004</w:t>
      </w:r>
    </w:p>
    <w:p w14:paraId="7233B2C6"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t>1</w:t>
      </w:r>
      <w:r w:rsidR="00540A83">
        <w:rPr>
          <w:rFonts w:ascii="Arial" w:hAnsi="Arial" w:cs="Arial"/>
          <w:lang w:val="en-US"/>
        </w:rPr>
        <w:t>9</w:t>
      </w:r>
      <w:r w:rsidRPr="00BF7B7C">
        <w:rPr>
          <w:rFonts w:ascii="Arial" w:hAnsi="Arial" w:cs="Arial"/>
          <w:lang w:val="en-US"/>
        </w:rPr>
        <w:t>.</w:t>
      </w:r>
      <w:r w:rsidRPr="00BF7B7C">
        <w:rPr>
          <w:rFonts w:ascii="Arial" w:hAnsi="Arial" w:cs="Arial"/>
          <w:lang w:val="en-US"/>
        </w:rPr>
        <w:tab/>
        <w:t>Bamias A, Dafni U, Karadimou A, et al: Prospective, open-label, randomized, phase III study of two dose-dense regimens MVAC versus gemcitabine/cisplatin in patients with inoperable, metastatic or relapsed urothelial cancer: a Hellenic Cooperative Oncology Group study (HE 16/03). Ann Oncol 24:1011-7, 2013</w:t>
      </w:r>
    </w:p>
    <w:p w14:paraId="445E4F3D" w14:textId="77777777" w:rsidR="000C7048" w:rsidRPr="00BF7B7C" w:rsidRDefault="000C7048" w:rsidP="000C7048">
      <w:pPr>
        <w:pStyle w:val="EndNoteBibliography"/>
        <w:rPr>
          <w:rFonts w:ascii="Arial" w:hAnsi="Arial" w:cs="Arial"/>
          <w:lang w:val="en-US"/>
        </w:rPr>
      </w:pPr>
      <w:r w:rsidRPr="00BF7B7C">
        <w:rPr>
          <w:rFonts w:ascii="Arial" w:hAnsi="Arial" w:cs="Arial"/>
          <w:lang w:val="en-US"/>
        </w:rPr>
        <w:tab/>
      </w:r>
      <w:r w:rsidR="00540A83">
        <w:rPr>
          <w:rFonts w:ascii="Arial" w:hAnsi="Arial" w:cs="Arial"/>
          <w:lang w:val="en-US"/>
        </w:rPr>
        <w:t>20</w:t>
      </w:r>
      <w:r w:rsidRPr="00BF7B7C">
        <w:rPr>
          <w:rFonts w:ascii="Arial" w:hAnsi="Arial" w:cs="Arial"/>
          <w:lang w:val="en-US"/>
        </w:rPr>
        <w:t>.</w:t>
      </w:r>
      <w:r w:rsidRPr="00BF7B7C">
        <w:rPr>
          <w:rFonts w:ascii="Arial" w:hAnsi="Arial" w:cs="Arial"/>
          <w:lang w:val="en-US"/>
        </w:rPr>
        <w:tab/>
        <w:t>Bellmunt J, von der Maase H, Mead GM, et al: Randomized phase III study comparing paclitaxel/cisplatin/gemcitabine and gemcitabine/cisplatin in patients with locally advanced or metastatic urothelial cancer without prior systemic therapy: EORTC Intergroup Study 30987. J Clin Oncol 30:1107-13, 2012</w:t>
      </w:r>
    </w:p>
    <w:p w14:paraId="7590197F" w14:textId="27E842F6" w:rsidR="000C7048" w:rsidRPr="00280481" w:rsidRDefault="000C7048" w:rsidP="000C7048">
      <w:pPr>
        <w:pStyle w:val="EndNoteBibliography"/>
        <w:rPr>
          <w:rFonts w:ascii="Arial" w:hAnsi="Arial" w:cs="Arial"/>
          <w:lang w:val="en-US"/>
        </w:rPr>
      </w:pPr>
      <w:r w:rsidRPr="00BF7B7C">
        <w:rPr>
          <w:rFonts w:ascii="Arial" w:hAnsi="Arial" w:cs="Arial"/>
          <w:lang w:val="en-US"/>
        </w:rPr>
        <w:tab/>
      </w:r>
      <w:r w:rsidR="00540A83">
        <w:rPr>
          <w:rFonts w:ascii="Arial" w:hAnsi="Arial" w:cs="Arial"/>
          <w:lang w:val="en-US"/>
        </w:rPr>
        <w:t>21</w:t>
      </w:r>
      <w:r w:rsidRPr="00BF7B7C">
        <w:rPr>
          <w:rFonts w:ascii="Arial" w:hAnsi="Arial" w:cs="Arial"/>
          <w:lang w:val="en-US"/>
        </w:rPr>
        <w:t>.</w:t>
      </w:r>
      <w:r w:rsidRPr="00BF7B7C">
        <w:rPr>
          <w:rFonts w:ascii="Arial" w:hAnsi="Arial" w:cs="Arial"/>
          <w:lang w:val="en-US"/>
        </w:rPr>
        <w:tab/>
        <w:t>Bellmunt J, Orsola A, Leow JJ, et al: Bladder cancer: ESMO Practice Guidelines for diagnosis, treatment and follow-up. Annals o</w:t>
      </w:r>
      <w:r w:rsidR="00616B9F">
        <w:rPr>
          <w:rFonts w:ascii="Arial" w:hAnsi="Arial" w:cs="Arial"/>
          <w:lang w:val="en-US"/>
        </w:rPr>
        <w:t>f Oncology 25:iii40-iii48, 2014</w:t>
      </w:r>
    </w:p>
    <w:p w14:paraId="342F11A7" w14:textId="77777777" w:rsidR="00D62B09" w:rsidRPr="00280481" w:rsidRDefault="00224D48">
      <w:pPr>
        <w:pStyle w:val="ListParagraph1"/>
        <w:autoSpaceDE w:val="0"/>
        <w:autoSpaceDN w:val="0"/>
        <w:adjustRightInd w:val="0"/>
        <w:spacing w:line="480" w:lineRule="auto"/>
        <w:ind w:left="0"/>
        <w:jc w:val="both"/>
        <w:rPr>
          <w:rFonts w:ascii="Arial" w:hAnsi="Arial" w:cs="Arial"/>
          <w:bCs/>
          <w:lang w:val="en-US" w:eastAsia="el-GR"/>
        </w:rPr>
      </w:pPr>
      <w:r w:rsidRPr="00BF7B7C">
        <w:rPr>
          <w:rFonts w:ascii="Arial" w:hAnsi="Arial" w:cs="Arial"/>
          <w:lang w:val="en-US"/>
        </w:rPr>
        <w:fldChar w:fldCharType="end"/>
      </w:r>
    </w:p>
    <w:p w14:paraId="0CC4F888" w14:textId="77777777" w:rsidR="00C7598C" w:rsidRPr="00BF7B7C" w:rsidRDefault="00C7598C">
      <w:pPr>
        <w:spacing w:line="480" w:lineRule="auto"/>
        <w:jc w:val="both"/>
        <w:rPr>
          <w:rFonts w:ascii="Arial" w:hAnsi="Arial" w:cs="Arial"/>
          <w:bCs/>
          <w:color w:val="000000"/>
          <w:lang w:val="de-DE"/>
        </w:rPr>
      </w:pPr>
    </w:p>
    <w:p w14:paraId="7B7F2A1B" w14:textId="77777777" w:rsidR="00C7598C" w:rsidRPr="00BF7B7C" w:rsidRDefault="00C7598C">
      <w:pPr>
        <w:spacing w:line="480" w:lineRule="auto"/>
        <w:jc w:val="both"/>
        <w:rPr>
          <w:rFonts w:ascii="Arial" w:hAnsi="Arial" w:cs="Arial"/>
          <w:bCs/>
          <w:color w:val="000000"/>
          <w:lang w:val="de-DE"/>
        </w:rPr>
      </w:pPr>
    </w:p>
    <w:p w14:paraId="587F508F" w14:textId="77777777" w:rsidR="00C7598C" w:rsidRPr="00BF7B7C" w:rsidRDefault="00C7598C">
      <w:pPr>
        <w:spacing w:after="160" w:line="259" w:lineRule="auto"/>
        <w:jc w:val="both"/>
        <w:rPr>
          <w:rFonts w:ascii="Arial" w:hAnsi="Arial" w:cs="Arial"/>
          <w:bCs/>
          <w:color w:val="000000"/>
          <w:lang w:val="de-DE"/>
        </w:rPr>
      </w:pPr>
      <w:r w:rsidRPr="00BF7B7C">
        <w:rPr>
          <w:rFonts w:ascii="Arial" w:hAnsi="Arial" w:cs="Arial"/>
          <w:bCs/>
          <w:color w:val="000000"/>
          <w:lang w:val="de-DE"/>
        </w:rPr>
        <w:br w:type="page"/>
      </w:r>
    </w:p>
    <w:p w14:paraId="27425671" w14:textId="77777777" w:rsidR="00C7598C" w:rsidRPr="00BF7B7C" w:rsidRDefault="00C7598C">
      <w:pPr>
        <w:spacing w:line="480" w:lineRule="auto"/>
        <w:jc w:val="both"/>
        <w:rPr>
          <w:rFonts w:ascii="Arial" w:hAnsi="Arial" w:cs="Arial"/>
          <w:b/>
          <w:bCs/>
          <w:color w:val="000000"/>
          <w:lang w:val="en-US"/>
        </w:rPr>
      </w:pPr>
      <w:r w:rsidRPr="00BF7B7C">
        <w:rPr>
          <w:rFonts w:ascii="Arial" w:hAnsi="Arial" w:cs="Arial"/>
          <w:b/>
          <w:bCs/>
          <w:color w:val="000000"/>
          <w:lang w:val="en-US"/>
        </w:rPr>
        <w:t>Figure legends</w:t>
      </w:r>
    </w:p>
    <w:p w14:paraId="36FAF462" w14:textId="77777777" w:rsidR="00C7598C" w:rsidRPr="00BF7B7C" w:rsidRDefault="00C7598C">
      <w:pPr>
        <w:spacing w:line="480" w:lineRule="auto"/>
        <w:jc w:val="both"/>
        <w:rPr>
          <w:rFonts w:ascii="Arial" w:hAnsi="Arial" w:cs="Arial"/>
          <w:bCs/>
          <w:color w:val="000000"/>
          <w:lang w:val="en-US"/>
        </w:rPr>
      </w:pPr>
      <w:r w:rsidRPr="00BF7B7C">
        <w:rPr>
          <w:rFonts w:ascii="Arial" w:hAnsi="Arial" w:cs="Arial"/>
          <w:bCs/>
          <w:color w:val="000000"/>
          <w:lang w:val="en-US"/>
        </w:rPr>
        <w:t>Figure 1. Study flow chart</w:t>
      </w:r>
    </w:p>
    <w:p w14:paraId="547E2A71" w14:textId="77777777" w:rsidR="00C7598C" w:rsidRPr="005857C7" w:rsidRDefault="009C56A7" w:rsidP="001D6D7F">
      <w:pPr>
        <w:spacing w:line="480" w:lineRule="auto"/>
        <w:jc w:val="both"/>
        <w:rPr>
          <w:rFonts w:ascii="Arial" w:hAnsi="Arial" w:cs="Arial"/>
          <w:bCs/>
          <w:color w:val="000000"/>
          <w:lang w:val="en-US"/>
        </w:rPr>
      </w:pPr>
      <w:r>
        <w:rPr>
          <w:rFonts w:ascii="Arial" w:hAnsi="Arial" w:cs="Arial"/>
          <w:bCs/>
          <w:color w:val="000000"/>
          <w:lang w:val="en-US"/>
        </w:rPr>
        <w:t>Figure 2</w:t>
      </w:r>
      <w:r w:rsidR="00C7598C" w:rsidRPr="00BF7B7C">
        <w:rPr>
          <w:rFonts w:ascii="Arial" w:hAnsi="Arial" w:cs="Arial"/>
          <w:bCs/>
          <w:color w:val="000000"/>
          <w:lang w:val="en-US"/>
        </w:rPr>
        <w:t xml:space="preserve">. Kaplan-Meier </w:t>
      </w:r>
      <w:r w:rsidR="003C5825" w:rsidRPr="00BF7B7C">
        <w:rPr>
          <w:rFonts w:ascii="Arial" w:hAnsi="Arial" w:cs="Arial"/>
          <w:bCs/>
          <w:color w:val="000000"/>
          <w:lang w:val="en-US"/>
        </w:rPr>
        <w:t xml:space="preserve">curves </w:t>
      </w:r>
      <w:r w:rsidR="00C7598C" w:rsidRPr="00BF7B7C">
        <w:rPr>
          <w:rFonts w:ascii="Arial" w:hAnsi="Arial" w:cs="Arial"/>
          <w:bCs/>
          <w:color w:val="000000"/>
          <w:lang w:val="en-US"/>
        </w:rPr>
        <w:t>of overall survival according to</w:t>
      </w:r>
      <w:r w:rsidR="00770775">
        <w:rPr>
          <w:rFonts w:ascii="Arial" w:hAnsi="Arial" w:cs="Arial"/>
          <w:bCs/>
          <w:color w:val="000000"/>
          <w:lang w:val="en-US"/>
        </w:rPr>
        <w:t>:</w:t>
      </w:r>
      <w:r w:rsidR="00C7598C" w:rsidRPr="00BF7B7C">
        <w:rPr>
          <w:rFonts w:ascii="Arial" w:hAnsi="Arial" w:cs="Arial"/>
          <w:bCs/>
          <w:color w:val="000000"/>
          <w:lang w:val="en-US"/>
        </w:rPr>
        <w:t xml:space="preserve"> the type of 1</w:t>
      </w:r>
      <w:r w:rsidR="00C7598C" w:rsidRPr="00BF7B7C">
        <w:rPr>
          <w:rFonts w:ascii="Arial" w:hAnsi="Arial" w:cs="Arial"/>
          <w:bCs/>
          <w:color w:val="000000"/>
          <w:vertAlign w:val="superscript"/>
          <w:lang w:val="en-US"/>
        </w:rPr>
        <w:t>st</w:t>
      </w:r>
      <w:r w:rsidR="00C7598C" w:rsidRPr="00BF7B7C">
        <w:rPr>
          <w:rFonts w:ascii="Arial" w:hAnsi="Arial" w:cs="Arial"/>
          <w:bCs/>
          <w:color w:val="000000"/>
          <w:lang w:val="en-US"/>
        </w:rPr>
        <w:t>-line chemotherapy</w:t>
      </w:r>
      <w:r w:rsidR="00770775">
        <w:rPr>
          <w:rFonts w:ascii="Arial" w:hAnsi="Arial" w:cs="Arial"/>
          <w:bCs/>
          <w:color w:val="000000"/>
          <w:lang w:val="en-US"/>
        </w:rPr>
        <w:t xml:space="preserve"> (a);</w:t>
      </w:r>
      <w:r w:rsidR="00B74C4E" w:rsidRPr="00BF7B7C">
        <w:rPr>
          <w:rFonts w:ascii="Arial" w:hAnsi="Arial" w:cs="Arial"/>
          <w:bCs/>
          <w:color w:val="000000"/>
          <w:lang w:val="en-US"/>
        </w:rPr>
        <w:t xml:space="preserve"> </w:t>
      </w:r>
      <w:r w:rsidR="00912DCF">
        <w:rPr>
          <w:rFonts w:ascii="Arial" w:hAnsi="Arial" w:cs="Arial"/>
          <w:bCs/>
          <w:color w:val="000000"/>
          <w:lang w:val="en-US"/>
        </w:rPr>
        <w:t>eligibility</w:t>
      </w:r>
      <w:r w:rsidR="00770775" w:rsidRPr="00770775">
        <w:rPr>
          <w:rFonts w:ascii="Arial" w:hAnsi="Arial" w:cs="Arial"/>
          <w:bCs/>
          <w:color w:val="000000"/>
          <w:lang w:val="en-US"/>
        </w:rPr>
        <w:t xml:space="preserve">-for-cisplatin </w:t>
      </w:r>
      <w:r w:rsidR="00770775">
        <w:rPr>
          <w:rFonts w:ascii="Arial" w:hAnsi="Arial" w:cs="Arial"/>
          <w:bCs/>
          <w:color w:val="000000"/>
          <w:lang w:val="en-US"/>
        </w:rPr>
        <w:t xml:space="preserve">(b); </w:t>
      </w:r>
      <w:r w:rsidR="00770775" w:rsidRPr="00770775">
        <w:rPr>
          <w:rFonts w:ascii="Arial" w:hAnsi="Arial" w:cs="Arial"/>
          <w:bCs/>
          <w:color w:val="000000"/>
          <w:lang w:val="en-US"/>
        </w:rPr>
        <w:t>the type of 1</w:t>
      </w:r>
      <w:r w:rsidR="00770775" w:rsidRPr="00770775">
        <w:rPr>
          <w:rFonts w:ascii="Arial" w:hAnsi="Arial" w:cs="Arial"/>
          <w:bCs/>
          <w:color w:val="000000"/>
          <w:vertAlign w:val="superscript"/>
          <w:lang w:val="en-US"/>
        </w:rPr>
        <w:t>st</w:t>
      </w:r>
      <w:r w:rsidR="00770775" w:rsidRPr="00770775">
        <w:rPr>
          <w:rFonts w:ascii="Arial" w:hAnsi="Arial" w:cs="Arial"/>
          <w:bCs/>
          <w:color w:val="000000"/>
          <w:lang w:val="en-US"/>
        </w:rPr>
        <w:t>-line chemotherapy</w:t>
      </w:r>
      <w:r w:rsidR="00912DCF">
        <w:rPr>
          <w:rFonts w:ascii="Arial" w:hAnsi="Arial" w:cs="Arial"/>
          <w:bCs/>
          <w:color w:val="000000"/>
          <w:lang w:val="en-US"/>
        </w:rPr>
        <w:t xml:space="preserve"> among eligible</w:t>
      </w:r>
      <w:r w:rsidR="00D711B4">
        <w:rPr>
          <w:rFonts w:ascii="Arial" w:hAnsi="Arial" w:cs="Arial"/>
          <w:bCs/>
          <w:color w:val="000000"/>
          <w:lang w:val="en-US"/>
        </w:rPr>
        <w:t xml:space="preserve">-for-cisplatin patients </w:t>
      </w:r>
      <w:r w:rsidR="00E251ED">
        <w:rPr>
          <w:rFonts w:ascii="Arial" w:hAnsi="Arial" w:cs="Arial"/>
          <w:bCs/>
          <w:color w:val="000000"/>
          <w:lang w:val="en-US"/>
        </w:rPr>
        <w:t xml:space="preserve">(c); </w:t>
      </w:r>
      <w:r w:rsidR="00E251ED" w:rsidRPr="00E251ED">
        <w:rPr>
          <w:rFonts w:ascii="Arial" w:hAnsi="Arial" w:cs="Arial"/>
          <w:bCs/>
          <w:color w:val="000000"/>
          <w:lang w:val="en-US"/>
        </w:rPr>
        <w:t>the type of 1</w:t>
      </w:r>
      <w:r w:rsidR="00E251ED" w:rsidRPr="00E251ED">
        <w:rPr>
          <w:rFonts w:ascii="Arial" w:hAnsi="Arial" w:cs="Arial"/>
          <w:bCs/>
          <w:color w:val="000000"/>
          <w:vertAlign w:val="superscript"/>
          <w:lang w:val="en-US"/>
        </w:rPr>
        <w:t>st</w:t>
      </w:r>
      <w:r w:rsidR="00E251ED" w:rsidRPr="00E251ED">
        <w:rPr>
          <w:rFonts w:ascii="Arial" w:hAnsi="Arial" w:cs="Arial"/>
          <w:bCs/>
          <w:color w:val="000000"/>
          <w:lang w:val="en-US"/>
        </w:rPr>
        <w:t xml:space="preserve">-line chemotherapy </w:t>
      </w:r>
      <w:r w:rsidR="00D711B4">
        <w:rPr>
          <w:rFonts w:ascii="Arial" w:hAnsi="Arial" w:cs="Arial"/>
          <w:bCs/>
          <w:color w:val="000000"/>
          <w:lang w:val="en-US"/>
        </w:rPr>
        <w:t>among</w:t>
      </w:r>
      <w:r w:rsidR="00E251ED">
        <w:rPr>
          <w:rFonts w:ascii="Arial" w:hAnsi="Arial" w:cs="Arial"/>
          <w:bCs/>
          <w:color w:val="000000"/>
          <w:lang w:val="en-US"/>
        </w:rPr>
        <w:t xml:space="preserve"> </w:t>
      </w:r>
      <w:r w:rsidR="00912DCF">
        <w:rPr>
          <w:rFonts w:ascii="Arial" w:hAnsi="Arial" w:cs="Arial"/>
          <w:bCs/>
          <w:color w:val="000000"/>
          <w:lang w:val="en-US"/>
        </w:rPr>
        <w:t>ineligible</w:t>
      </w:r>
      <w:r w:rsidR="00E251ED">
        <w:rPr>
          <w:rFonts w:ascii="Arial" w:hAnsi="Arial" w:cs="Arial"/>
          <w:bCs/>
          <w:color w:val="000000"/>
          <w:lang w:val="en-US"/>
        </w:rPr>
        <w:t xml:space="preserve">-for-cisplatin </w:t>
      </w:r>
      <w:r w:rsidR="00D711B4">
        <w:rPr>
          <w:rFonts w:ascii="Arial" w:hAnsi="Arial" w:cs="Arial"/>
          <w:bCs/>
          <w:color w:val="000000"/>
          <w:lang w:val="en-US"/>
        </w:rPr>
        <w:t xml:space="preserve">patients </w:t>
      </w:r>
      <w:r w:rsidR="00E251ED">
        <w:rPr>
          <w:rFonts w:ascii="Arial" w:hAnsi="Arial" w:cs="Arial"/>
          <w:bCs/>
          <w:color w:val="000000"/>
          <w:lang w:val="en-US"/>
        </w:rPr>
        <w:t>(</w:t>
      </w:r>
      <w:r w:rsidR="00770775">
        <w:rPr>
          <w:rFonts w:ascii="Arial" w:hAnsi="Arial" w:cs="Arial"/>
          <w:bCs/>
          <w:color w:val="000000"/>
          <w:lang w:val="en-US"/>
        </w:rPr>
        <w:t>d</w:t>
      </w:r>
      <w:r w:rsidR="00B74C4E" w:rsidRPr="00BF7B7C">
        <w:rPr>
          <w:rFonts w:ascii="Arial" w:hAnsi="Arial" w:cs="Arial"/>
          <w:bCs/>
          <w:color w:val="000000"/>
          <w:lang w:val="en-US"/>
        </w:rPr>
        <w:t>)</w:t>
      </w:r>
      <w:r w:rsidR="00770775">
        <w:rPr>
          <w:rFonts w:ascii="Arial" w:hAnsi="Arial" w:cs="Arial"/>
          <w:bCs/>
          <w:color w:val="000000"/>
          <w:lang w:val="en-US"/>
        </w:rPr>
        <w:t xml:space="preserve">; </w:t>
      </w:r>
      <w:r w:rsidR="00912DCF">
        <w:rPr>
          <w:rFonts w:ascii="Arial" w:hAnsi="Arial" w:cs="Arial"/>
          <w:bCs/>
          <w:color w:val="000000"/>
          <w:lang w:val="en-US"/>
        </w:rPr>
        <w:t>eligibility</w:t>
      </w:r>
      <w:r w:rsidR="00770775" w:rsidRPr="00770775">
        <w:rPr>
          <w:rFonts w:ascii="Arial" w:hAnsi="Arial" w:cs="Arial"/>
          <w:bCs/>
          <w:color w:val="000000"/>
          <w:lang w:val="en-US"/>
        </w:rPr>
        <w:t>-for-cisplatin stratifie</w:t>
      </w:r>
      <w:r w:rsidR="00770775">
        <w:rPr>
          <w:rFonts w:ascii="Arial" w:hAnsi="Arial" w:cs="Arial"/>
          <w:bCs/>
          <w:color w:val="000000"/>
          <w:lang w:val="en-US"/>
        </w:rPr>
        <w:t>d by cisplatin utilization (e);</w:t>
      </w:r>
      <w:r w:rsidR="00770775" w:rsidRPr="00770775">
        <w:rPr>
          <w:rFonts w:ascii="Arial" w:hAnsi="Arial" w:cs="Arial"/>
          <w:bCs/>
          <w:color w:val="000000"/>
          <w:lang w:val="en-US"/>
        </w:rPr>
        <w:t xml:space="preserve"> the Memorial Sloan Kettering Cancer Center risk group (ref 8) stratified by cisplatin uti</w:t>
      </w:r>
      <w:r w:rsidR="00770775">
        <w:rPr>
          <w:rFonts w:ascii="Arial" w:hAnsi="Arial" w:cs="Arial"/>
          <w:bCs/>
          <w:color w:val="000000"/>
          <w:lang w:val="en-US"/>
        </w:rPr>
        <w:t>lization (f</w:t>
      </w:r>
      <w:r w:rsidR="00770775" w:rsidRPr="00770775">
        <w:rPr>
          <w:rFonts w:ascii="Arial" w:hAnsi="Arial" w:cs="Arial"/>
          <w:bCs/>
          <w:color w:val="000000"/>
          <w:lang w:val="en-US"/>
        </w:rPr>
        <w:t xml:space="preserve">). </w:t>
      </w:r>
      <w:r w:rsidR="00604F5B" w:rsidRPr="002B636C">
        <w:rPr>
          <w:rFonts w:ascii="Arial" w:hAnsi="Arial" w:cs="Arial"/>
          <w:lang w:val="en-US"/>
        </w:rPr>
        <w:t xml:space="preserve">Maximum analysis time to be graphed was selected </w:t>
      </w:r>
      <w:r w:rsidR="00F06047">
        <w:rPr>
          <w:rFonts w:ascii="Arial" w:hAnsi="Arial" w:cs="Arial"/>
          <w:lang w:val="en-US"/>
        </w:rPr>
        <w:t xml:space="preserve">at </w:t>
      </w:r>
      <w:r w:rsidR="00604F5B" w:rsidRPr="002B636C">
        <w:rPr>
          <w:rFonts w:ascii="Arial" w:hAnsi="Arial" w:cs="Arial"/>
          <w:lang w:val="en-US"/>
        </w:rPr>
        <w:t>5 to 6 years. Patients alive at 5-6 years (regardless of subsequent dea</w:t>
      </w:r>
      <w:r w:rsidR="005857C7">
        <w:rPr>
          <w:rFonts w:ascii="Arial" w:hAnsi="Arial" w:cs="Arial"/>
          <w:lang w:val="en-US"/>
        </w:rPr>
        <w:t xml:space="preserve">th) were censored at that time; (g) </w:t>
      </w:r>
      <w:r w:rsidR="00C7598C" w:rsidRPr="00BF7B7C">
        <w:rPr>
          <w:rFonts w:ascii="Arial" w:hAnsi="Arial" w:cs="Arial"/>
          <w:bCs/>
          <w:color w:val="000000"/>
          <w:lang w:val="en-US"/>
        </w:rPr>
        <w:t>Forest plot of subgroup analysis according to the type of 1</w:t>
      </w:r>
      <w:r w:rsidR="00C7598C" w:rsidRPr="00BF7B7C">
        <w:rPr>
          <w:rFonts w:ascii="Arial" w:hAnsi="Arial" w:cs="Arial"/>
          <w:bCs/>
          <w:color w:val="000000"/>
          <w:vertAlign w:val="superscript"/>
          <w:lang w:val="en-US"/>
        </w:rPr>
        <w:t>st</w:t>
      </w:r>
      <w:r w:rsidR="00C7598C" w:rsidRPr="00BF7B7C">
        <w:rPr>
          <w:rFonts w:ascii="Arial" w:hAnsi="Arial" w:cs="Arial"/>
          <w:bCs/>
          <w:color w:val="000000"/>
          <w:lang w:val="en-US"/>
        </w:rPr>
        <w:t>-line chemotherapy</w:t>
      </w:r>
      <w:r w:rsidR="003574C7" w:rsidRPr="00BF7B7C">
        <w:rPr>
          <w:rFonts w:ascii="Arial" w:hAnsi="Arial" w:cs="Arial"/>
          <w:bCs/>
          <w:color w:val="000000"/>
          <w:lang w:val="en-US"/>
        </w:rPr>
        <w:t xml:space="preserve">. Blue </w:t>
      </w:r>
      <w:r w:rsidR="009B13C4" w:rsidRPr="00BF7B7C">
        <w:rPr>
          <w:rFonts w:ascii="Arial" w:hAnsi="Arial" w:cs="Arial"/>
          <w:bCs/>
          <w:color w:val="000000"/>
          <w:lang w:val="en-US"/>
        </w:rPr>
        <w:t xml:space="preserve">dots denote hazard ratios </w:t>
      </w:r>
      <w:r w:rsidR="000B40FA" w:rsidRPr="000B40FA">
        <w:rPr>
          <w:rFonts w:ascii="Arial" w:eastAsia="Times New Roman" w:hAnsi="Arial" w:cs="Arial"/>
          <w:lang w:val="en-US" w:eastAsia="en-US"/>
        </w:rPr>
        <w:t xml:space="preserve">for the treatment type </w:t>
      </w:r>
      <w:r w:rsidR="009B13C4" w:rsidRPr="000B40FA">
        <w:rPr>
          <w:rFonts w:ascii="Arial" w:hAnsi="Arial" w:cs="Arial"/>
          <w:bCs/>
          <w:color w:val="000000"/>
          <w:lang w:val="en-US"/>
        </w:rPr>
        <w:t>and horizontal bars 95% confidence interval.</w:t>
      </w:r>
      <w:r w:rsidR="002F676B" w:rsidRPr="000B40FA">
        <w:rPr>
          <w:rFonts w:ascii="Arial" w:hAnsi="Arial" w:cs="Arial"/>
          <w:bCs/>
          <w:color w:val="000000"/>
          <w:lang w:val="en-US"/>
        </w:rPr>
        <w:t xml:space="preserve"> </w:t>
      </w:r>
      <w:r w:rsidR="000B40FA" w:rsidRPr="000B40FA">
        <w:rPr>
          <w:rFonts w:ascii="Arial" w:eastAsia="Times New Roman" w:hAnsi="Arial" w:cs="Arial"/>
          <w:lang w:val="en-US" w:eastAsia="en-US"/>
        </w:rPr>
        <w:t xml:space="preserve">Interaction </w:t>
      </w:r>
      <w:r w:rsidR="00621057">
        <w:rPr>
          <w:rFonts w:ascii="Arial" w:eastAsia="Times New Roman" w:hAnsi="Arial" w:cs="Arial"/>
          <w:lang w:val="en-US" w:eastAsia="en-US"/>
        </w:rPr>
        <w:t>refers</w:t>
      </w:r>
      <w:r w:rsidR="000B40FA" w:rsidRPr="000B40FA">
        <w:rPr>
          <w:rFonts w:ascii="Arial" w:eastAsia="Times New Roman" w:hAnsi="Arial" w:cs="Arial"/>
          <w:lang w:val="en-US" w:eastAsia="en-US"/>
        </w:rPr>
        <w:t xml:space="preserve"> </w:t>
      </w:r>
      <w:r w:rsidR="00621057" w:rsidRPr="00621057">
        <w:rPr>
          <w:rFonts w:ascii="Arial" w:eastAsia="Times New Roman" w:hAnsi="Arial" w:cs="Arial"/>
          <w:lang w:val="en-US" w:eastAsia="en-US"/>
        </w:rPr>
        <w:t xml:space="preserve">to potential interactions of the effects of treatment type </w:t>
      </w:r>
      <w:r w:rsidR="00621057">
        <w:rPr>
          <w:rFonts w:ascii="Arial" w:eastAsia="Times New Roman" w:hAnsi="Arial" w:cs="Arial"/>
          <w:lang w:val="en-US" w:eastAsia="en-US"/>
        </w:rPr>
        <w:t xml:space="preserve">(cisplatin vs. carboplatin+other) </w:t>
      </w:r>
      <w:r w:rsidR="00621057" w:rsidRPr="00621057">
        <w:rPr>
          <w:rFonts w:ascii="Arial" w:eastAsia="Times New Roman" w:hAnsi="Arial" w:cs="Arial"/>
          <w:lang w:val="en-US" w:eastAsia="en-US"/>
        </w:rPr>
        <w:t>and each of the covariates listed on the left-hand side of the figure</w:t>
      </w:r>
      <w:r w:rsidR="000B40FA" w:rsidRPr="000B40FA">
        <w:rPr>
          <w:rFonts w:ascii="Arial" w:eastAsia="Times New Roman" w:hAnsi="Arial" w:cs="Arial"/>
          <w:lang w:val="en-US" w:eastAsia="en-US"/>
        </w:rPr>
        <w:t>. P-value of interaction refers to the p-value of the interaction term from a Cox model, which includes treatment type and the respective covariate.</w:t>
      </w:r>
      <w:r w:rsidR="000B40FA">
        <w:rPr>
          <w:rFonts w:ascii="Calibri" w:eastAsia="Times New Roman" w:hAnsi="Calibri"/>
          <w:sz w:val="22"/>
          <w:szCs w:val="22"/>
          <w:lang w:val="en-US" w:eastAsia="en-US"/>
        </w:rPr>
        <w:t xml:space="preserve"> </w:t>
      </w:r>
      <w:r w:rsidR="002F676B" w:rsidRPr="00BF7B7C">
        <w:rPr>
          <w:rFonts w:ascii="Arial" w:hAnsi="Arial" w:cs="Arial"/>
          <w:bCs/>
          <w:color w:val="000000"/>
          <w:lang w:val="en-US"/>
        </w:rPr>
        <w:t>CCI: Charlson Comorbidity Index; COPD: chronic obstructive airway disease; PS: performance status; Hgb: hemoglobin; WBC: while blood cells. Risk groups according to the Memorial Sloan Kettering Cancer Center (ref 8)</w:t>
      </w:r>
    </w:p>
    <w:sectPr w:rsidR="00C7598C" w:rsidRPr="005857C7" w:rsidSect="00B019D7">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B8B8A" w14:textId="77777777" w:rsidR="008C4370" w:rsidRDefault="008C4370">
      <w:r>
        <w:separator/>
      </w:r>
    </w:p>
  </w:endnote>
  <w:endnote w:type="continuationSeparator" w:id="0">
    <w:p w14:paraId="262F9CCE" w14:textId="77777777" w:rsidR="008C4370" w:rsidRDefault="008C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D0F92" w14:textId="77777777" w:rsidR="00AE2749" w:rsidRDefault="00AE2749">
    <w:pPr>
      <w:pStyle w:val="a4"/>
      <w:jc w:val="center"/>
    </w:pPr>
    <w:r>
      <w:fldChar w:fldCharType="begin"/>
    </w:r>
    <w:r>
      <w:instrText>PAGE   \* MERGEFORMAT</w:instrText>
    </w:r>
    <w:r>
      <w:fldChar w:fldCharType="separate"/>
    </w:r>
    <w:r w:rsidR="008C4370">
      <w:rPr>
        <w:noProof/>
      </w:rPr>
      <w:t>1</w:t>
    </w:r>
    <w:r>
      <w:rPr>
        <w:noProof/>
      </w:rPr>
      <w:fldChar w:fldCharType="end"/>
    </w:r>
  </w:p>
  <w:p w14:paraId="3A4B3539" w14:textId="77777777" w:rsidR="00AE2749" w:rsidRDefault="00AE27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02EFC" w14:textId="77777777" w:rsidR="008C4370" w:rsidRDefault="008C4370">
      <w:r>
        <w:separator/>
      </w:r>
    </w:p>
  </w:footnote>
  <w:footnote w:type="continuationSeparator" w:id="0">
    <w:p w14:paraId="546195AD" w14:textId="77777777" w:rsidR="008C4370" w:rsidRDefault="008C4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5A86" w14:textId="77777777" w:rsidR="00AE2749" w:rsidRDefault="00AE2749">
    <w:pPr>
      <w:pStyle w:val="a3"/>
    </w:pPr>
  </w:p>
  <w:p w14:paraId="5418ABFB" w14:textId="77777777" w:rsidR="00AE2749" w:rsidRDefault="00AE27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A8AAA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64B69"/>
    <w:multiLevelType w:val="multilevel"/>
    <w:tmpl w:val="801A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74E38"/>
    <w:multiLevelType w:val="hybridMultilevel"/>
    <w:tmpl w:val="9F2E4436"/>
    <w:lvl w:ilvl="0" w:tplc="0408000F">
      <w:start w:val="1"/>
      <w:numFmt w:val="decimal"/>
      <w:lvlText w:val="%1."/>
      <w:lvlJc w:val="left"/>
      <w:pPr>
        <w:ind w:left="360" w:hanging="360"/>
      </w:pPr>
      <w:rPr>
        <w:rFonts w:ascii="Times New Roman" w:hAnsi="Times New Roman" w:cs="Times New Roman"/>
      </w:rPr>
    </w:lvl>
    <w:lvl w:ilvl="1" w:tplc="04080019">
      <w:start w:val="1"/>
      <w:numFmt w:val="lowerLetter"/>
      <w:lvlText w:val="%2."/>
      <w:lvlJc w:val="left"/>
      <w:pPr>
        <w:ind w:left="872" w:hanging="360"/>
      </w:pPr>
      <w:rPr>
        <w:rFonts w:ascii="Times New Roman" w:hAnsi="Times New Roman" w:cs="Times New Roman"/>
      </w:rPr>
    </w:lvl>
    <w:lvl w:ilvl="2" w:tplc="0408001B">
      <w:start w:val="1"/>
      <w:numFmt w:val="lowerRoman"/>
      <w:lvlText w:val="%3."/>
      <w:lvlJc w:val="right"/>
      <w:pPr>
        <w:ind w:left="1592" w:hanging="180"/>
      </w:pPr>
      <w:rPr>
        <w:rFonts w:ascii="Times New Roman" w:hAnsi="Times New Roman" w:cs="Times New Roman"/>
      </w:rPr>
    </w:lvl>
    <w:lvl w:ilvl="3" w:tplc="0408000F">
      <w:start w:val="1"/>
      <w:numFmt w:val="decimal"/>
      <w:lvlText w:val="%4."/>
      <w:lvlJc w:val="left"/>
      <w:pPr>
        <w:ind w:left="2312" w:hanging="360"/>
      </w:pPr>
      <w:rPr>
        <w:rFonts w:ascii="Times New Roman" w:hAnsi="Times New Roman" w:cs="Times New Roman"/>
      </w:rPr>
    </w:lvl>
    <w:lvl w:ilvl="4" w:tplc="04080019">
      <w:start w:val="1"/>
      <w:numFmt w:val="lowerLetter"/>
      <w:lvlText w:val="%5."/>
      <w:lvlJc w:val="left"/>
      <w:pPr>
        <w:ind w:left="3032" w:hanging="360"/>
      </w:pPr>
      <w:rPr>
        <w:rFonts w:ascii="Times New Roman" w:hAnsi="Times New Roman" w:cs="Times New Roman"/>
      </w:rPr>
    </w:lvl>
    <w:lvl w:ilvl="5" w:tplc="0408001B">
      <w:start w:val="1"/>
      <w:numFmt w:val="lowerRoman"/>
      <w:lvlText w:val="%6."/>
      <w:lvlJc w:val="right"/>
      <w:pPr>
        <w:ind w:left="3752" w:hanging="180"/>
      </w:pPr>
      <w:rPr>
        <w:rFonts w:ascii="Times New Roman" w:hAnsi="Times New Roman" w:cs="Times New Roman"/>
      </w:rPr>
    </w:lvl>
    <w:lvl w:ilvl="6" w:tplc="0408000F">
      <w:start w:val="1"/>
      <w:numFmt w:val="decimal"/>
      <w:lvlText w:val="%7."/>
      <w:lvlJc w:val="left"/>
      <w:pPr>
        <w:ind w:left="4472" w:hanging="360"/>
      </w:pPr>
      <w:rPr>
        <w:rFonts w:ascii="Times New Roman" w:hAnsi="Times New Roman" w:cs="Times New Roman"/>
      </w:rPr>
    </w:lvl>
    <w:lvl w:ilvl="7" w:tplc="04080019">
      <w:start w:val="1"/>
      <w:numFmt w:val="lowerLetter"/>
      <w:lvlText w:val="%8."/>
      <w:lvlJc w:val="left"/>
      <w:pPr>
        <w:ind w:left="5192" w:hanging="360"/>
      </w:pPr>
      <w:rPr>
        <w:rFonts w:ascii="Times New Roman" w:hAnsi="Times New Roman" w:cs="Times New Roman"/>
      </w:rPr>
    </w:lvl>
    <w:lvl w:ilvl="8" w:tplc="0408001B">
      <w:start w:val="1"/>
      <w:numFmt w:val="lowerRoman"/>
      <w:lvlText w:val="%9."/>
      <w:lvlJc w:val="right"/>
      <w:pPr>
        <w:ind w:left="5912" w:hanging="180"/>
      </w:pPr>
      <w:rPr>
        <w:rFonts w:ascii="Times New Roman" w:hAnsi="Times New Roman" w:cs="Times New Roman"/>
      </w:rPr>
    </w:lvl>
  </w:abstractNum>
  <w:abstractNum w:abstractNumId="3" w15:restartNumberingAfterBreak="0">
    <w:nsid w:val="17554B90"/>
    <w:multiLevelType w:val="multilevel"/>
    <w:tmpl w:val="306A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17B52"/>
    <w:multiLevelType w:val="multilevel"/>
    <w:tmpl w:val="9B5C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16859"/>
    <w:multiLevelType w:val="multilevel"/>
    <w:tmpl w:val="CD46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F492F"/>
    <w:multiLevelType w:val="multilevel"/>
    <w:tmpl w:val="BCF8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87E6F"/>
    <w:multiLevelType w:val="hybridMultilevel"/>
    <w:tmpl w:val="EE502014"/>
    <w:lvl w:ilvl="0" w:tplc="0408000F">
      <w:start w:val="1"/>
      <w:numFmt w:val="decimal"/>
      <w:lvlText w:val="%1."/>
      <w:lvlJc w:val="left"/>
      <w:pPr>
        <w:ind w:left="720" w:hanging="360"/>
      </w:pPr>
      <w:rPr>
        <w:rFonts w:ascii="Times New Roman" w:hAnsi="Times New Roman" w:cs="Times New Roman"/>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8" w15:restartNumberingAfterBreak="0">
    <w:nsid w:val="28434989"/>
    <w:multiLevelType w:val="multilevel"/>
    <w:tmpl w:val="86D0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F262F"/>
    <w:multiLevelType w:val="multilevel"/>
    <w:tmpl w:val="0C58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14CEE"/>
    <w:multiLevelType w:val="multilevel"/>
    <w:tmpl w:val="FA0A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513D2"/>
    <w:multiLevelType w:val="multilevel"/>
    <w:tmpl w:val="470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82256"/>
    <w:multiLevelType w:val="multilevel"/>
    <w:tmpl w:val="EB5A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37FEC"/>
    <w:multiLevelType w:val="multilevel"/>
    <w:tmpl w:val="BD4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F91EAE"/>
    <w:multiLevelType w:val="multilevel"/>
    <w:tmpl w:val="4F38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50EF2"/>
    <w:multiLevelType w:val="hybridMultilevel"/>
    <w:tmpl w:val="08529386"/>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DE85F59"/>
    <w:multiLevelType w:val="multilevel"/>
    <w:tmpl w:val="2322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B6935"/>
    <w:multiLevelType w:val="multilevel"/>
    <w:tmpl w:val="D34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30C34"/>
    <w:multiLevelType w:val="multilevel"/>
    <w:tmpl w:val="B66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33D72"/>
    <w:multiLevelType w:val="hybridMultilevel"/>
    <w:tmpl w:val="DEF2AB8C"/>
    <w:lvl w:ilvl="0" w:tplc="0408000F">
      <w:start w:val="1"/>
      <w:numFmt w:val="decimal"/>
      <w:lvlText w:val="%1."/>
      <w:lvlJc w:val="left"/>
      <w:pPr>
        <w:ind w:left="720" w:hanging="360"/>
      </w:pPr>
      <w:rPr>
        <w:rFonts w:ascii="Times New Roman" w:hAnsi="Times New Roman" w:cs="Times New Roman"/>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7A991BAE"/>
    <w:multiLevelType w:val="multilevel"/>
    <w:tmpl w:val="4AA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15"/>
  </w:num>
  <w:num w:numId="4">
    <w:abstractNumId w:val="7"/>
  </w:num>
  <w:num w:numId="5">
    <w:abstractNumId w:val="1"/>
  </w:num>
  <w:num w:numId="6">
    <w:abstractNumId w:val="4"/>
  </w:num>
  <w:num w:numId="7">
    <w:abstractNumId w:val="3"/>
  </w:num>
  <w:num w:numId="8">
    <w:abstractNumId w:val="9"/>
  </w:num>
  <w:num w:numId="9">
    <w:abstractNumId w:val="13"/>
  </w:num>
  <w:num w:numId="10">
    <w:abstractNumId w:val="5"/>
  </w:num>
  <w:num w:numId="11">
    <w:abstractNumId w:val="17"/>
  </w:num>
  <w:num w:numId="12">
    <w:abstractNumId w:val="11"/>
  </w:num>
  <w:num w:numId="13">
    <w:abstractNumId w:val="20"/>
  </w:num>
  <w:num w:numId="14">
    <w:abstractNumId w:val="18"/>
  </w:num>
  <w:num w:numId="15">
    <w:abstractNumId w:val="12"/>
  </w:num>
  <w:num w:numId="16">
    <w:abstractNumId w:val="8"/>
  </w:num>
  <w:num w:numId="17">
    <w:abstractNumId w:val="10"/>
  </w:num>
  <w:num w:numId="18">
    <w:abstractNumId w:val="6"/>
  </w:num>
  <w:num w:numId="19">
    <w:abstractNumId w:val="16"/>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oNotHyphenateCaps/>
  <w:characterSpacingControl w:val="doNotCompress"/>
  <w:savePreviewPicture/>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J Clinical Onc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wxas0afaza2roedza9p0ash9fsrd2zaft5f&quot;&gt;bamias oVCA&lt;record-ids&gt;&lt;item&gt;4748&lt;/item&gt;&lt;item&gt;4751&lt;/item&gt;&lt;item&gt;4752&lt;/item&gt;&lt;item&gt;4753&lt;/item&gt;&lt;item&gt;4754&lt;/item&gt;&lt;item&gt;4758&lt;/item&gt;&lt;item&gt;4761&lt;/item&gt;&lt;item&gt;4762&lt;/item&gt;&lt;item&gt;4763&lt;/item&gt;&lt;item&gt;4764&lt;/item&gt;&lt;item&gt;4765&lt;/item&gt;&lt;item&gt;4766&lt;/item&gt;&lt;item&gt;4768&lt;/item&gt;&lt;item&gt;4770&lt;/item&gt;&lt;item&gt;4771&lt;/item&gt;&lt;item&gt;4772&lt;/item&gt;&lt;item&gt;4774&lt;/item&gt;&lt;item&gt;4775&lt;/item&gt;&lt;item&gt;4776&lt;/item&gt;&lt;/record-ids&gt;&lt;/item&gt;&lt;/Libraries&gt;"/>
  </w:docVars>
  <w:rsids>
    <w:rsidRoot w:val="00115EFD"/>
    <w:rsid w:val="00014A63"/>
    <w:rsid w:val="000316D8"/>
    <w:rsid w:val="00032D9A"/>
    <w:rsid w:val="00047BA4"/>
    <w:rsid w:val="00062F25"/>
    <w:rsid w:val="000647D9"/>
    <w:rsid w:val="00071252"/>
    <w:rsid w:val="00085AF9"/>
    <w:rsid w:val="00091A10"/>
    <w:rsid w:val="0009448E"/>
    <w:rsid w:val="0009726B"/>
    <w:rsid w:val="000A5A95"/>
    <w:rsid w:val="000B0E10"/>
    <w:rsid w:val="000B40FA"/>
    <w:rsid w:val="000C6611"/>
    <w:rsid w:val="000C7048"/>
    <w:rsid w:val="000C7D3F"/>
    <w:rsid w:val="000D0FCF"/>
    <w:rsid w:val="000D67B4"/>
    <w:rsid w:val="000E70F5"/>
    <w:rsid w:val="000F0CE4"/>
    <w:rsid w:val="000F2CDC"/>
    <w:rsid w:val="000F5257"/>
    <w:rsid w:val="00100074"/>
    <w:rsid w:val="00100C16"/>
    <w:rsid w:val="00101637"/>
    <w:rsid w:val="00115284"/>
    <w:rsid w:val="00115EFD"/>
    <w:rsid w:val="00135429"/>
    <w:rsid w:val="001433F6"/>
    <w:rsid w:val="00146357"/>
    <w:rsid w:val="001708AC"/>
    <w:rsid w:val="001727B0"/>
    <w:rsid w:val="001753B2"/>
    <w:rsid w:val="00192E7E"/>
    <w:rsid w:val="00197E77"/>
    <w:rsid w:val="001D6BBC"/>
    <w:rsid w:val="001D6D7F"/>
    <w:rsid w:val="00203CA2"/>
    <w:rsid w:val="00207825"/>
    <w:rsid w:val="00213DEB"/>
    <w:rsid w:val="00213FB5"/>
    <w:rsid w:val="00220C7F"/>
    <w:rsid w:val="00224D48"/>
    <w:rsid w:val="002445BF"/>
    <w:rsid w:val="00246CF0"/>
    <w:rsid w:val="00264313"/>
    <w:rsid w:val="002712AF"/>
    <w:rsid w:val="00275460"/>
    <w:rsid w:val="00280481"/>
    <w:rsid w:val="00282A13"/>
    <w:rsid w:val="00284C1A"/>
    <w:rsid w:val="00293A7D"/>
    <w:rsid w:val="00294736"/>
    <w:rsid w:val="002A4456"/>
    <w:rsid w:val="002B636C"/>
    <w:rsid w:val="002C0B36"/>
    <w:rsid w:val="002D7828"/>
    <w:rsid w:val="002E0F00"/>
    <w:rsid w:val="002F676B"/>
    <w:rsid w:val="003015A9"/>
    <w:rsid w:val="00320689"/>
    <w:rsid w:val="003243E4"/>
    <w:rsid w:val="003333D2"/>
    <w:rsid w:val="00346FF3"/>
    <w:rsid w:val="0034711D"/>
    <w:rsid w:val="003574C7"/>
    <w:rsid w:val="003823EF"/>
    <w:rsid w:val="003905EA"/>
    <w:rsid w:val="00391F1E"/>
    <w:rsid w:val="003A23A2"/>
    <w:rsid w:val="003B273C"/>
    <w:rsid w:val="003B2900"/>
    <w:rsid w:val="003C06F6"/>
    <w:rsid w:val="003C34B4"/>
    <w:rsid w:val="003C4217"/>
    <w:rsid w:val="003C5825"/>
    <w:rsid w:val="003C5FF6"/>
    <w:rsid w:val="003C6E0B"/>
    <w:rsid w:val="003E2167"/>
    <w:rsid w:val="00416A55"/>
    <w:rsid w:val="00421CE4"/>
    <w:rsid w:val="004447D0"/>
    <w:rsid w:val="00454653"/>
    <w:rsid w:val="004660F3"/>
    <w:rsid w:val="00472B19"/>
    <w:rsid w:val="004A1BD2"/>
    <w:rsid w:val="004A2BAA"/>
    <w:rsid w:val="004D65E8"/>
    <w:rsid w:val="004F0B6E"/>
    <w:rsid w:val="00501013"/>
    <w:rsid w:val="0052142D"/>
    <w:rsid w:val="00523686"/>
    <w:rsid w:val="00527376"/>
    <w:rsid w:val="00540A83"/>
    <w:rsid w:val="00541C7C"/>
    <w:rsid w:val="0054659D"/>
    <w:rsid w:val="005477C1"/>
    <w:rsid w:val="0055067B"/>
    <w:rsid w:val="0055291D"/>
    <w:rsid w:val="005572DC"/>
    <w:rsid w:val="00567460"/>
    <w:rsid w:val="005753D5"/>
    <w:rsid w:val="00575FAA"/>
    <w:rsid w:val="005857C7"/>
    <w:rsid w:val="00592C54"/>
    <w:rsid w:val="005A1A39"/>
    <w:rsid w:val="005A1FB8"/>
    <w:rsid w:val="005A4A2F"/>
    <w:rsid w:val="005B04B0"/>
    <w:rsid w:val="005B43C5"/>
    <w:rsid w:val="005B46B7"/>
    <w:rsid w:val="005C131C"/>
    <w:rsid w:val="005E2252"/>
    <w:rsid w:val="005F0833"/>
    <w:rsid w:val="005F4717"/>
    <w:rsid w:val="00604F5B"/>
    <w:rsid w:val="00605028"/>
    <w:rsid w:val="00616B9F"/>
    <w:rsid w:val="00617722"/>
    <w:rsid w:val="00621057"/>
    <w:rsid w:val="006229B3"/>
    <w:rsid w:val="00636BE0"/>
    <w:rsid w:val="0066678C"/>
    <w:rsid w:val="00677B45"/>
    <w:rsid w:val="00680AF6"/>
    <w:rsid w:val="00695E2D"/>
    <w:rsid w:val="006A362C"/>
    <w:rsid w:val="006B64E3"/>
    <w:rsid w:val="006C1DE0"/>
    <w:rsid w:val="006D0408"/>
    <w:rsid w:val="006F062E"/>
    <w:rsid w:val="006F52A3"/>
    <w:rsid w:val="00700391"/>
    <w:rsid w:val="00717CAB"/>
    <w:rsid w:val="00731C16"/>
    <w:rsid w:val="007457B1"/>
    <w:rsid w:val="00746BD0"/>
    <w:rsid w:val="00750D05"/>
    <w:rsid w:val="00767CDD"/>
    <w:rsid w:val="00770775"/>
    <w:rsid w:val="00770D69"/>
    <w:rsid w:val="00775CDB"/>
    <w:rsid w:val="00783405"/>
    <w:rsid w:val="00783515"/>
    <w:rsid w:val="00791141"/>
    <w:rsid w:val="007C22CE"/>
    <w:rsid w:val="007C32A9"/>
    <w:rsid w:val="007E03A9"/>
    <w:rsid w:val="007F0C3D"/>
    <w:rsid w:val="00803FB1"/>
    <w:rsid w:val="008064CD"/>
    <w:rsid w:val="008165DA"/>
    <w:rsid w:val="008336B1"/>
    <w:rsid w:val="00834184"/>
    <w:rsid w:val="00837D66"/>
    <w:rsid w:val="0084178F"/>
    <w:rsid w:val="008432B7"/>
    <w:rsid w:val="008506F3"/>
    <w:rsid w:val="00852793"/>
    <w:rsid w:val="008545D2"/>
    <w:rsid w:val="00855614"/>
    <w:rsid w:val="00860BA3"/>
    <w:rsid w:val="00862BC1"/>
    <w:rsid w:val="00880636"/>
    <w:rsid w:val="008822D4"/>
    <w:rsid w:val="008A000F"/>
    <w:rsid w:val="008A45B1"/>
    <w:rsid w:val="008C0861"/>
    <w:rsid w:val="008C14B5"/>
    <w:rsid w:val="008C4370"/>
    <w:rsid w:val="008D4D49"/>
    <w:rsid w:val="008E1090"/>
    <w:rsid w:val="008F5736"/>
    <w:rsid w:val="00912DCF"/>
    <w:rsid w:val="009270B5"/>
    <w:rsid w:val="00930742"/>
    <w:rsid w:val="009348C4"/>
    <w:rsid w:val="009410B8"/>
    <w:rsid w:val="00950087"/>
    <w:rsid w:val="00954E71"/>
    <w:rsid w:val="00962037"/>
    <w:rsid w:val="0096400F"/>
    <w:rsid w:val="00964242"/>
    <w:rsid w:val="009B13C4"/>
    <w:rsid w:val="009B350A"/>
    <w:rsid w:val="009B507E"/>
    <w:rsid w:val="009C56A7"/>
    <w:rsid w:val="009C608F"/>
    <w:rsid w:val="009F4DBB"/>
    <w:rsid w:val="00A02145"/>
    <w:rsid w:val="00A04B44"/>
    <w:rsid w:val="00A23B61"/>
    <w:rsid w:val="00A24435"/>
    <w:rsid w:val="00A37BDD"/>
    <w:rsid w:val="00A53765"/>
    <w:rsid w:val="00A5612C"/>
    <w:rsid w:val="00A566CA"/>
    <w:rsid w:val="00A645C0"/>
    <w:rsid w:val="00A70010"/>
    <w:rsid w:val="00A86235"/>
    <w:rsid w:val="00AA3371"/>
    <w:rsid w:val="00AB6343"/>
    <w:rsid w:val="00AC6C68"/>
    <w:rsid w:val="00AE2749"/>
    <w:rsid w:val="00B019D7"/>
    <w:rsid w:val="00B02CCA"/>
    <w:rsid w:val="00B0354E"/>
    <w:rsid w:val="00B045A9"/>
    <w:rsid w:val="00B051F8"/>
    <w:rsid w:val="00B35EA8"/>
    <w:rsid w:val="00B469F8"/>
    <w:rsid w:val="00B71B1D"/>
    <w:rsid w:val="00B74C4E"/>
    <w:rsid w:val="00B77F59"/>
    <w:rsid w:val="00B82B1D"/>
    <w:rsid w:val="00BA5840"/>
    <w:rsid w:val="00BD13DF"/>
    <w:rsid w:val="00BE1968"/>
    <w:rsid w:val="00BF0D15"/>
    <w:rsid w:val="00BF1D30"/>
    <w:rsid w:val="00BF7B7C"/>
    <w:rsid w:val="00C046E4"/>
    <w:rsid w:val="00C0554A"/>
    <w:rsid w:val="00C059C5"/>
    <w:rsid w:val="00C11970"/>
    <w:rsid w:val="00C548B5"/>
    <w:rsid w:val="00C7598C"/>
    <w:rsid w:val="00C8388F"/>
    <w:rsid w:val="00C93412"/>
    <w:rsid w:val="00CA0131"/>
    <w:rsid w:val="00CA24B8"/>
    <w:rsid w:val="00CD42B5"/>
    <w:rsid w:val="00D039A4"/>
    <w:rsid w:val="00D0518A"/>
    <w:rsid w:val="00D06533"/>
    <w:rsid w:val="00D1550F"/>
    <w:rsid w:val="00D202DF"/>
    <w:rsid w:val="00D402FD"/>
    <w:rsid w:val="00D43552"/>
    <w:rsid w:val="00D43D6F"/>
    <w:rsid w:val="00D623D9"/>
    <w:rsid w:val="00D62B09"/>
    <w:rsid w:val="00D6409A"/>
    <w:rsid w:val="00D6655C"/>
    <w:rsid w:val="00D67148"/>
    <w:rsid w:val="00D711B4"/>
    <w:rsid w:val="00D72818"/>
    <w:rsid w:val="00D73BAE"/>
    <w:rsid w:val="00D75285"/>
    <w:rsid w:val="00D8694A"/>
    <w:rsid w:val="00D94359"/>
    <w:rsid w:val="00D94E88"/>
    <w:rsid w:val="00DB1911"/>
    <w:rsid w:val="00DB58DC"/>
    <w:rsid w:val="00DB7711"/>
    <w:rsid w:val="00DE1B8F"/>
    <w:rsid w:val="00DE56D3"/>
    <w:rsid w:val="00E2281C"/>
    <w:rsid w:val="00E251ED"/>
    <w:rsid w:val="00E276CA"/>
    <w:rsid w:val="00E338B6"/>
    <w:rsid w:val="00E3581E"/>
    <w:rsid w:val="00E4302C"/>
    <w:rsid w:val="00E4460A"/>
    <w:rsid w:val="00E47034"/>
    <w:rsid w:val="00E56D0C"/>
    <w:rsid w:val="00E61B5E"/>
    <w:rsid w:val="00E66CFB"/>
    <w:rsid w:val="00E74FA3"/>
    <w:rsid w:val="00E804E2"/>
    <w:rsid w:val="00E90EB7"/>
    <w:rsid w:val="00E94D6D"/>
    <w:rsid w:val="00EA7F88"/>
    <w:rsid w:val="00EC13E3"/>
    <w:rsid w:val="00ED2968"/>
    <w:rsid w:val="00EF2776"/>
    <w:rsid w:val="00EF5CD5"/>
    <w:rsid w:val="00F01723"/>
    <w:rsid w:val="00F053E2"/>
    <w:rsid w:val="00F06047"/>
    <w:rsid w:val="00F44EAE"/>
    <w:rsid w:val="00F47E1D"/>
    <w:rsid w:val="00F5509E"/>
    <w:rsid w:val="00F6642C"/>
    <w:rsid w:val="00F75D1A"/>
    <w:rsid w:val="00F8170D"/>
    <w:rsid w:val="00F857DF"/>
    <w:rsid w:val="00F9037F"/>
    <w:rsid w:val="00F93629"/>
    <w:rsid w:val="00FA2244"/>
    <w:rsid w:val="00FB2B57"/>
    <w:rsid w:val="00FE7B14"/>
    <w:rsid w:val="00FF79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9C7F"/>
  <w15:docId w15:val="{FE367331-AC4F-4F61-93FF-7ECB2BCD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FF6"/>
    <w:rPr>
      <w:rFonts w:eastAsia="MS Mincho"/>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3C5FF6"/>
    <w:pPr>
      <w:ind w:left="720"/>
    </w:pPr>
  </w:style>
  <w:style w:type="paragraph" w:styleId="Web">
    <w:name w:val="Normal (Web)"/>
    <w:basedOn w:val="a"/>
    <w:semiHidden/>
    <w:rsid w:val="003C5FF6"/>
    <w:pPr>
      <w:spacing w:before="100" w:beforeAutospacing="1" w:after="100" w:afterAutospacing="1"/>
    </w:pPr>
    <w:rPr>
      <w:rFonts w:eastAsia="Times New Roman"/>
      <w:lang w:eastAsia="el-GR"/>
    </w:rPr>
  </w:style>
  <w:style w:type="paragraph" w:styleId="a3">
    <w:name w:val="header"/>
    <w:basedOn w:val="a"/>
    <w:semiHidden/>
    <w:rsid w:val="003C5FF6"/>
    <w:pPr>
      <w:tabs>
        <w:tab w:val="center" w:pos="4153"/>
        <w:tab w:val="right" w:pos="8306"/>
      </w:tabs>
    </w:pPr>
  </w:style>
  <w:style w:type="character" w:customStyle="1" w:styleId="HeaderChar">
    <w:name w:val="Header Char"/>
    <w:rsid w:val="003C5FF6"/>
    <w:rPr>
      <w:rFonts w:ascii="Times New Roman" w:eastAsia="MS Mincho" w:hAnsi="Times New Roman" w:cs="Times New Roman"/>
      <w:sz w:val="24"/>
      <w:szCs w:val="24"/>
      <w:lang w:eastAsia="ja-JP"/>
    </w:rPr>
  </w:style>
  <w:style w:type="paragraph" w:styleId="a4">
    <w:name w:val="footer"/>
    <w:basedOn w:val="a"/>
    <w:semiHidden/>
    <w:rsid w:val="003C5FF6"/>
    <w:pPr>
      <w:tabs>
        <w:tab w:val="center" w:pos="4153"/>
        <w:tab w:val="right" w:pos="8306"/>
      </w:tabs>
    </w:pPr>
  </w:style>
  <w:style w:type="character" w:customStyle="1" w:styleId="FooterChar">
    <w:name w:val="Footer Char"/>
    <w:rsid w:val="003C5FF6"/>
    <w:rPr>
      <w:rFonts w:ascii="Times New Roman" w:eastAsia="MS Mincho" w:hAnsi="Times New Roman" w:cs="Times New Roman"/>
      <w:sz w:val="24"/>
      <w:szCs w:val="24"/>
      <w:lang w:eastAsia="ja-JP"/>
    </w:rPr>
  </w:style>
  <w:style w:type="paragraph" w:styleId="a5">
    <w:name w:val="Body Text"/>
    <w:basedOn w:val="a"/>
    <w:semiHidden/>
    <w:rsid w:val="003C5FF6"/>
    <w:pPr>
      <w:spacing w:line="480" w:lineRule="auto"/>
      <w:jc w:val="both"/>
    </w:pPr>
    <w:rPr>
      <w:rFonts w:eastAsia="Times New Roman"/>
      <w:lang w:val="en-US" w:eastAsia="el-GR"/>
    </w:rPr>
  </w:style>
  <w:style w:type="paragraph" w:styleId="a6">
    <w:name w:val="Balloon Text"/>
    <w:basedOn w:val="a"/>
    <w:semiHidden/>
    <w:unhideWhenUsed/>
    <w:rsid w:val="003C5FF6"/>
    <w:rPr>
      <w:rFonts w:ascii="Segoe UI" w:hAnsi="Segoe UI" w:cs="Segoe UI"/>
      <w:sz w:val="18"/>
      <w:szCs w:val="18"/>
    </w:rPr>
  </w:style>
  <w:style w:type="character" w:customStyle="1" w:styleId="Char">
    <w:name w:val="Κείμενο πλαισίου Char"/>
    <w:semiHidden/>
    <w:rsid w:val="003C5FF6"/>
    <w:rPr>
      <w:rFonts w:ascii="Segoe UI" w:eastAsia="MS Mincho" w:hAnsi="Segoe UI" w:cs="Segoe UI"/>
      <w:sz w:val="18"/>
      <w:szCs w:val="18"/>
      <w:lang w:eastAsia="ja-JP"/>
    </w:rPr>
  </w:style>
  <w:style w:type="character" w:styleId="-">
    <w:name w:val="Hyperlink"/>
    <w:unhideWhenUsed/>
    <w:rsid w:val="003C5FF6"/>
    <w:rPr>
      <w:color w:val="0563C1"/>
      <w:u w:val="single"/>
    </w:rPr>
  </w:style>
  <w:style w:type="character" w:styleId="a7">
    <w:name w:val="annotation reference"/>
    <w:semiHidden/>
    <w:unhideWhenUsed/>
    <w:rsid w:val="003C5FF6"/>
    <w:rPr>
      <w:sz w:val="16"/>
      <w:szCs w:val="16"/>
    </w:rPr>
  </w:style>
  <w:style w:type="paragraph" w:styleId="a8">
    <w:name w:val="annotation text"/>
    <w:basedOn w:val="a"/>
    <w:semiHidden/>
    <w:unhideWhenUsed/>
    <w:rsid w:val="003C5FF6"/>
    <w:rPr>
      <w:sz w:val="20"/>
      <w:szCs w:val="20"/>
    </w:rPr>
  </w:style>
  <w:style w:type="character" w:customStyle="1" w:styleId="Char0">
    <w:name w:val="Κείμενο σχολίου Char"/>
    <w:semiHidden/>
    <w:rsid w:val="003C5FF6"/>
    <w:rPr>
      <w:rFonts w:eastAsia="MS Mincho"/>
      <w:lang w:eastAsia="ja-JP"/>
    </w:rPr>
  </w:style>
  <w:style w:type="paragraph" w:styleId="a9">
    <w:name w:val="annotation subject"/>
    <w:basedOn w:val="a8"/>
    <w:next w:val="a8"/>
    <w:semiHidden/>
    <w:unhideWhenUsed/>
    <w:rsid w:val="003C5FF6"/>
    <w:rPr>
      <w:b/>
      <w:bCs/>
    </w:rPr>
  </w:style>
  <w:style w:type="character" w:customStyle="1" w:styleId="Char1">
    <w:name w:val="Θέμα σχολίου Char"/>
    <w:semiHidden/>
    <w:rsid w:val="003C5FF6"/>
    <w:rPr>
      <w:rFonts w:eastAsia="MS Mincho"/>
      <w:b/>
      <w:bCs/>
      <w:lang w:eastAsia="ja-JP"/>
    </w:rPr>
  </w:style>
  <w:style w:type="paragraph" w:customStyle="1" w:styleId="EndNoteBibliographyTitle">
    <w:name w:val="EndNote Bibliography Title"/>
    <w:basedOn w:val="a"/>
    <w:link w:val="EndNoteBibliographyTitleChar"/>
    <w:rsid w:val="005753D5"/>
    <w:pPr>
      <w:jc w:val="center"/>
    </w:pPr>
    <w:rPr>
      <w:noProof/>
    </w:rPr>
  </w:style>
  <w:style w:type="character" w:customStyle="1" w:styleId="EndNoteBibliographyTitleChar">
    <w:name w:val="EndNote Bibliography Title Char"/>
    <w:basedOn w:val="a0"/>
    <w:link w:val="EndNoteBibliographyTitle"/>
    <w:rsid w:val="005753D5"/>
    <w:rPr>
      <w:rFonts w:eastAsia="MS Mincho"/>
      <w:noProof/>
      <w:sz w:val="24"/>
      <w:szCs w:val="24"/>
      <w:lang w:eastAsia="ja-JP"/>
    </w:rPr>
  </w:style>
  <w:style w:type="paragraph" w:customStyle="1" w:styleId="EndNoteBibliography">
    <w:name w:val="EndNote Bibliography"/>
    <w:basedOn w:val="a"/>
    <w:link w:val="EndNoteBibliographyChar"/>
    <w:rsid w:val="005753D5"/>
    <w:pPr>
      <w:jc w:val="both"/>
    </w:pPr>
    <w:rPr>
      <w:noProof/>
    </w:rPr>
  </w:style>
  <w:style w:type="character" w:customStyle="1" w:styleId="EndNoteBibliographyChar">
    <w:name w:val="EndNote Bibliography Char"/>
    <w:basedOn w:val="a0"/>
    <w:link w:val="EndNoteBibliography"/>
    <w:rsid w:val="005753D5"/>
    <w:rPr>
      <w:rFonts w:eastAsia="MS Mincho"/>
      <w:noProof/>
      <w:sz w:val="24"/>
      <w:szCs w:val="24"/>
      <w:lang w:eastAsia="ja-JP"/>
    </w:rPr>
  </w:style>
  <w:style w:type="character" w:styleId="aa">
    <w:name w:val="line number"/>
    <w:basedOn w:val="a0"/>
    <w:uiPriority w:val="99"/>
    <w:semiHidden/>
    <w:unhideWhenUsed/>
    <w:rsid w:val="00521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mias@med.uo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7F462-9CCF-4BA0-A483-A709CD37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5432</Words>
  <Characters>29339</Characters>
  <Application>Microsoft Office Word</Application>
  <DocSecurity>0</DocSecurity>
  <Lines>244</Lines>
  <Paragraphs>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Contemporary patterns of chemotherapy utilization in patients with advanced urothelial cancer (aUC)</vt:lpstr>
      <vt:lpstr>Contemporary patterns of chemotherapy utilization in patients with advanced urothelial cancer (aUC)</vt:lpstr>
    </vt:vector>
  </TitlesOfParts>
  <Company/>
  <LinksUpToDate>false</LinksUpToDate>
  <CharactersWithSpaces>34702</CharactersWithSpaces>
  <SharedDoc>false</SharedDoc>
  <HLinks>
    <vt:vector size="6" baseType="variant">
      <vt:variant>
        <vt:i4>131182</vt:i4>
      </vt:variant>
      <vt:variant>
        <vt:i4>0</vt:i4>
      </vt:variant>
      <vt:variant>
        <vt:i4>0</vt:i4>
      </vt:variant>
      <vt:variant>
        <vt:i4>5</vt:i4>
      </vt:variant>
      <vt:variant>
        <vt:lpwstr>mailto:abamias@med.uoa.gr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patterns of chemotherapy utilization in patients with advanced urothelial cancer (aUC)</dc:title>
  <dc:creator>ΕΕΟΓΕΚ ΙΑΤΡΙΚΗ ΕΡΕΥΝΗΤΙΚΗ ΟΜΑΔΑ</dc:creator>
  <cp:lastModifiedBy>ΕΕΟΓΕΚ ΙΑΤΡΙΚΗ ΕΡΕΥΝΗΤΙΚΗ ΟΜΑΔΑ</cp:lastModifiedBy>
  <cp:revision>19</cp:revision>
  <dcterms:created xsi:type="dcterms:W3CDTF">2017-03-20T09:41:00Z</dcterms:created>
  <dcterms:modified xsi:type="dcterms:W3CDTF">2017-03-24T09:46:00Z</dcterms:modified>
</cp:coreProperties>
</file>