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0093B3" w14:textId="77777777" w:rsidR="00EA6423" w:rsidRPr="00662262" w:rsidRDefault="00D6352F" w:rsidP="00C51805">
      <w:pPr>
        <w:pStyle w:val="MDPI11articletype"/>
      </w:pPr>
      <w:bookmarkStart w:id="0" w:name="_GoBack"/>
      <w:bookmarkEnd w:id="0"/>
      <w:r w:rsidRPr="00662262">
        <w:t>Article</w:t>
      </w:r>
    </w:p>
    <w:p w14:paraId="7F2F046D" w14:textId="24FBD8E1" w:rsidR="002F24AB" w:rsidRPr="00662262" w:rsidRDefault="00D6352F" w:rsidP="00C51805">
      <w:pPr>
        <w:adjustRightInd w:val="0"/>
        <w:snapToGrid w:val="0"/>
        <w:spacing w:after="240" w:line="240" w:lineRule="atLeast"/>
        <w:jc w:val="left"/>
        <w:rPr>
          <w:rFonts w:ascii="Palatino Linotype" w:hAnsi="Palatino Linotype"/>
          <w:b/>
          <w:bCs/>
          <w:color w:val="auto"/>
          <w:sz w:val="36"/>
          <w:szCs w:val="24"/>
        </w:rPr>
      </w:pPr>
      <w:r w:rsidRPr="00662262">
        <w:rPr>
          <w:rFonts w:ascii="Palatino Linotype" w:hAnsi="Palatino Linotype"/>
          <w:b/>
          <w:bCs/>
          <w:color w:val="auto"/>
          <w:sz w:val="36"/>
          <w:szCs w:val="24"/>
        </w:rPr>
        <w:t xml:space="preserve">Food Sources of Energy and Macronutrient Intakes among Infants from 6 to 12 Months of Age: </w:t>
      </w:r>
      <w:r w:rsidR="005A0405">
        <w:rPr>
          <w:rFonts w:ascii="Palatino Linotype" w:hAnsi="Palatino Linotype"/>
          <w:b/>
          <w:bCs/>
          <w:color w:val="auto"/>
          <w:sz w:val="36"/>
          <w:szCs w:val="24"/>
        </w:rPr>
        <w:br/>
      </w:r>
      <w:r w:rsidR="002F4D5E">
        <w:rPr>
          <w:rFonts w:ascii="Palatino Linotype" w:hAnsi="Palatino Linotype"/>
          <w:b/>
          <w:bCs/>
          <w:color w:val="auto"/>
          <w:sz w:val="36"/>
          <w:szCs w:val="24"/>
        </w:rPr>
        <w:t>t</w:t>
      </w:r>
      <w:r w:rsidRPr="00662262">
        <w:rPr>
          <w:rFonts w:ascii="Palatino Linotype" w:hAnsi="Palatino Linotype"/>
          <w:b/>
          <w:bCs/>
          <w:color w:val="auto"/>
          <w:sz w:val="36"/>
          <w:szCs w:val="24"/>
        </w:rPr>
        <w:t xml:space="preserve">he Growing Up in Singapore Towards </w:t>
      </w:r>
      <w:r w:rsidR="00FC5104">
        <w:rPr>
          <w:rFonts w:ascii="Palatino Linotype" w:hAnsi="Palatino Linotype"/>
          <w:b/>
          <w:bCs/>
          <w:color w:val="auto"/>
          <w:sz w:val="36"/>
          <w:szCs w:val="24"/>
        </w:rPr>
        <w:t>h</w:t>
      </w:r>
      <w:r w:rsidR="008136F4" w:rsidRPr="00662262">
        <w:rPr>
          <w:rFonts w:ascii="Palatino Linotype" w:hAnsi="Palatino Linotype"/>
          <w:b/>
          <w:bCs/>
          <w:color w:val="auto"/>
          <w:sz w:val="36"/>
          <w:szCs w:val="24"/>
        </w:rPr>
        <w:t xml:space="preserve">ealthy </w:t>
      </w:r>
      <w:r w:rsidRPr="00662262">
        <w:rPr>
          <w:rFonts w:ascii="Palatino Linotype" w:hAnsi="Palatino Linotype"/>
          <w:b/>
          <w:bCs/>
          <w:color w:val="auto"/>
          <w:sz w:val="36"/>
          <w:szCs w:val="24"/>
        </w:rPr>
        <w:t xml:space="preserve">Outcomes (GUSTO) </w:t>
      </w:r>
      <w:r w:rsidR="008136F4" w:rsidRPr="00662262">
        <w:rPr>
          <w:rFonts w:ascii="Palatino Linotype" w:hAnsi="Palatino Linotype"/>
          <w:b/>
          <w:bCs/>
          <w:color w:val="auto"/>
          <w:sz w:val="36"/>
          <w:szCs w:val="24"/>
        </w:rPr>
        <w:t>Cohort Study</w:t>
      </w:r>
    </w:p>
    <w:p w14:paraId="49C9D7F6" w14:textId="035B21DB" w:rsidR="00E8324A" w:rsidRPr="00662262" w:rsidRDefault="00D6352F" w:rsidP="00C51805">
      <w:pPr>
        <w:pStyle w:val="MDPI13authornames"/>
      </w:pPr>
      <w:r w:rsidRPr="008C197E">
        <w:t>Shan</w:t>
      </w:r>
      <w:r w:rsidR="00EE6793" w:rsidRPr="008C197E">
        <w:t>-</w:t>
      </w:r>
      <w:r w:rsidRPr="008C197E">
        <w:t>Xuan Lim</w:t>
      </w:r>
      <w:r w:rsidR="00546B56" w:rsidRPr="008C197E">
        <w:t xml:space="preserve"> </w:t>
      </w:r>
      <w:r w:rsidR="00546B56" w:rsidRPr="008C197E">
        <w:rPr>
          <w:vertAlign w:val="superscript"/>
        </w:rPr>
        <w:t>1,2</w:t>
      </w:r>
      <w:r w:rsidR="008136F4" w:rsidRPr="008C197E">
        <w:rPr>
          <w:vertAlign w:val="superscript"/>
        </w:rPr>
        <w:t>,</w:t>
      </w:r>
      <w:r w:rsidR="00546B56" w:rsidRPr="008C197E">
        <w:rPr>
          <w:vertAlign w:val="superscript"/>
        </w:rPr>
        <w:t>†</w:t>
      </w:r>
      <w:r w:rsidR="00546B56" w:rsidRPr="008C197E">
        <w:t xml:space="preserve">, </w:t>
      </w:r>
      <w:r w:rsidRPr="008C197E">
        <w:t>Jia</w:t>
      </w:r>
      <w:r w:rsidR="00EE6793">
        <w:t>-</w:t>
      </w:r>
      <w:r w:rsidRPr="00662262">
        <w:t>Ying Toh</w:t>
      </w:r>
      <w:r w:rsidR="00546B56" w:rsidRPr="00662262">
        <w:t xml:space="preserve"> </w:t>
      </w:r>
      <w:r w:rsidRPr="00662262">
        <w:rPr>
          <w:vertAlign w:val="superscript"/>
        </w:rPr>
        <w:t>1</w:t>
      </w:r>
      <w:r w:rsidR="008136F4">
        <w:rPr>
          <w:vertAlign w:val="superscript"/>
        </w:rPr>
        <w:t>,</w:t>
      </w:r>
      <w:r w:rsidRPr="00824EAD">
        <w:rPr>
          <w:vertAlign w:val="superscript"/>
        </w:rPr>
        <w:t>†</w:t>
      </w:r>
      <w:r w:rsidRPr="00662262">
        <w:t>, Linde van Lee</w:t>
      </w:r>
      <w:r w:rsidR="00546B56" w:rsidRPr="00662262">
        <w:t xml:space="preserve"> </w:t>
      </w:r>
      <w:r w:rsidRPr="00662262">
        <w:rPr>
          <w:vertAlign w:val="superscript"/>
        </w:rPr>
        <w:t>1</w:t>
      </w:r>
      <w:r w:rsidRPr="00662262">
        <w:t>, Wee</w:t>
      </w:r>
      <w:r w:rsidR="00EE6793">
        <w:t>-</w:t>
      </w:r>
      <w:r w:rsidRPr="00662262">
        <w:t>Meng Han</w:t>
      </w:r>
      <w:r w:rsidR="00546B56" w:rsidRPr="00662262">
        <w:t xml:space="preserve"> </w:t>
      </w:r>
      <w:r w:rsidR="002F24AB" w:rsidRPr="00662262">
        <w:rPr>
          <w:vertAlign w:val="superscript"/>
        </w:rPr>
        <w:t>3</w:t>
      </w:r>
      <w:r w:rsidRPr="00662262">
        <w:t>, Lynette Pei-Chi Shek</w:t>
      </w:r>
      <w:r w:rsidR="00546B56" w:rsidRPr="00662262">
        <w:t xml:space="preserve"> </w:t>
      </w:r>
      <w:r w:rsidR="00283CFB" w:rsidRPr="008C197E">
        <w:rPr>
          <w:vertAlign w:val="superscript"/>
        </w:rPr>
        <w:t>1,</w:t>
      </w:r>
      <w:r w:rsidR="002F24AB" w:rsidRPr="00662262">
        <w:rPr>
          <w:vertAlign w:val="superscript"/>
        </w:rPr>
        <w:t>4,5</w:t>
      </w:r>
      <w:r w:rsidR="00EE6793">
        <w:t>, Kok-</w:t>
      </w:r>
      <w:r w:rsidRPr="00662262">
        <w:t>Hian Tan</w:t>
      </w:r>
      <w:r w:rsidR="00546B56" w:rsidRPr="00662262">
        <w:t xml:space="preserve"> </w:t>
      </w:r>
      <w:r w:rsidR="002F24AB" w:rsidRPr="00662262">
        <w:rPr>
          <w:vertAlign w:val="superscript"/>
        </w:rPr>
        <w:t>6,7</w:t>
      </w:r>
      <w:r w:rsidRPr="00662262">
        <w:t>, Fabian Yap</w:t>
      </w:r>
      <w:r w:rsidR="00546B56" w:rsidRPr="00662262">
        <w:t xml:space="preserve"> </w:t>
      </w:r>
      <w:r w:rsidR="002F24AB" w:rsidRPr="00662262">
        <w:rPr>
          <w:vertAlign w:val="superscript"/>
        </w:rPr>
        <w:t>7,8,9</w:t>
      </w:r>
      <w:r w:rsidR="003F195F" w:rsidRPr="00662262">
        <w:t xml:space="preserve">, Keith </w:t>
      </w:r>
      <w:r w:rsidR="00BD730C" w:rsidRPr="008C197E">
        <w:t>M</w:t>
      </w:r>
      <w:r w:rsidR="00BD730C" w:rsidRPr="00662262">
        <w:t xml:space="preserve"> </w:t>
      </w:r>
      <w:r w:rsidRPr="00662262">
        <w:t>Godfrey</w:t>
      </w:r>
      <w:r w:rsidR="00546B56" w:rsidRPr="00662262">
        <w:t xml:space="preserve"> </w:t>
      </w:r>
      <w:r w:rsidR="002F24AB" w:rsidRPr="00662262">
        <w:rPr>
          <w:vertAlign w:val="superscript"/>
        </w:rPr>
        <w:t>1</w:t>
      </w:r>
      <w:r w:rsidR="00C51805" w:rsidRPr="00662262">
        <w:rPr>
          <w:vertAlign w:val="superscript"/>
        </w:rPr>
        <w:t>0</w:t>
      </w:r>
      <w:r w:rsidRPr="00662262">
        <w:t>, Yap-Seng Chong</w:t>
      </w:r>
      <w:r w:rsidR="00546B56" w:rsidRPr="00662262">
        <w:t xml:space="preserve"> </w:t>
      </w:r>
      <w:r w:rsidR="00B33DF0" w:rsidRPr="00662262">
        <w:rPr>
          <w:vertAlign w:val="superscript"/>
        </w:rPr>
        <w:t>1,</w:t>
      </w:r>
      <w:r w:rsidR="002F24AB" w:rsidRPr="00662262">
        <w:rPr>
          <w:vertAlign w:val="superscript"/>
        </w:rPr>
        <w:t>11</w:t>
      </w:r>
      <w:r w:rsidRPr="00662262">
        <w:t xml:space="preserve"> and Mary Foong-Fong Chong</w:t>
      </w:r>
      <w:r w:rsidR="00546B56" w:rsidRPr="00662262">
        <w:t xml:space="preserve"> </w:t>
      </w:r>
      <w:r w:rsidR="00B33DF0" w:rsidRPr="00662262">
        <w:rPr>
          <w:vertAlign w:val="superscript"/>
        </w:rPr>
        <w:t>1,12,</w:t>
      </w:r>
      <w:r w:rsidR="002F24AB" w:rsidRPr="00662262">
        <w:rPr>
          <w:vertAlign w:val="superscript"/>
        </w:rPr>
        <w:t>13</w:t>
      </w:r>
      <w:r w:rsidR="00B33DF0" w:rsidRPr="00662262">
        <w:rPr>
          <w:vertAlign w:val="superscript"/>
        </w:rPr>
        <w:t>,</w:t>
      </w:r>
      <w:r w:rsidRPr="00662262">
        <w:t>*</w:t>
      </w:r>
    </w:p>
    <w:p w14:paraId="5F6ED6B3" w14:textId="462DFA35" w:rsidR="00E8324A" w:rsidRPr="00662262" w:rsidRDefault="00E8324A" w:rsidP="00C51805">
      <w:pPr>
        <w:pStyle w:val="MDPI16affiliation"/>
      </w:pPr>
      <w:r w:rsidRPr="00662262">
        <w:rPr>
          <w:vertAlign w:val="superscript"/>
        </w:rPr>
        <w:t>1</w:t>
      </w:r>
      <w:r w:rsidRPr="00662262">
        <w:tab/>
        <w:t xml:space="preserve">Singapore Institute for Clinical Sciences, Agency for Science, Technology and Research (A*STAR), Singapore 117609, Singapore; </w:t>
      </w:r>
      <w:r w:rsidR="008136F4" w:rsidRPr="008136F4">
        <w:t>shan_xuan_lim@u.nus.edu</w:t>
      </w:r>
      <w:r w:rsidR="008136F4">
        <w:t xml:space="preserve"> (S.X.L.);</w:t>
      </w:r>
      <w:r w:rsidRPr="00662262">
        <w:t xml:space="preserve"> </w:t>
      </w:r>
      <w:r w:rsidR="008136F4" w:rsidRPr="008136F4">
        <w:t>toh_jia_ying@sics.a-star.edu.sg</w:t>
      </w:r>
      <w:r w:rsidR="008136F4">
        <w:t xml:space="preserve"> (J.Y.T.)</w:t>
      </w:r>
      <w:r w:rsidRPr="00662262">
        <w:t xml:space="preserve">; </w:t>
      </w:r>
      <w:r w:rsidR="008136F4" w:rsidRPr="008136F4">
        <w:t>lindevanlee@hotmail.com</w:t>
      </w:r>
      <w:r w:rsidR="008136F4">
        <w:t xml:space="preserve"> (L.</w:t>
      </w:r>
      <w:r w:rsidR="000F3ABC">
        <w:t>v</w:t>
      </w:r>
      <w:r w:rsidR="008136F4">
        <w:t>.L.)</w:t>
      </w:r>
      <w:r w:rsidRPr="00662262">
        <w:t xml:space="preserve">; </w:t>
      </w:r>
      <w:r w:rsidR="00A503A4" w:rsidRPr="00662262">
        <w:t>lynette_shek@nuhs.edu.sg</w:t>
      </w:r>
      <w:r w:rsidR="00A503A4" w:rsidRPr="008136F4">
        <w:t xml:space="preserve"> </w:t>
      </w:r>
      <w:r w:rsidR="00A503A4">
        <w:t>;</w:t>
      </w:r>
      <w:r w:rsidR="008136F4" w:rsidRPr="008136F4">
        <w:t>yap_seng_chong@nuhs.edu.sg</w:t>
      </w:r>
      <w:r w:rsidR="008136F4">
        <w:t xml:space="preserve"> (Y.-S.C.)</w:t>
      </w:r>
      <w:r w:rsidR="000F3ABC">
        <w:t xml:space="preserve">; </w:t>
      </w:r>
      <w:r w:rsidR="00234001" w:rsidRPr="00662262">
        <w:rPr>
          <w:shd w:val="clear" w:color="auto" w:fill="FFFFFF"/>
        </w:rPr>
        <w:t>mary_chong@nus.edu.sg</w:t>
      </w:r>
      <w:r w:rsidR="000F3ABC">
        <w:t>(M.F.-F.C.)</w:t>
      </w:r>
    </w:p>
    <w:p w14:paraId="3A2F852B" w14:textId="02D86258" w:rsidR="004638D9" w:rsidRPr="00662262" w:rsidRDefault="004638D9" w:rsidP="00C51805">
      <w:pPr>
        <w:pStyle w:val="MDPI16affiliation"/>
      </w:pPr>
      <w:r w:rsidRPr="00662262">
        <w:rPr>
          <w:vertAlign w:val="superscript"/>
        </w:rPr>
        <w:t>2</w:t>
      </w:r>
      <w:r w:rsidRPr="00662262">
        <w:tab/>
      </w:r>
      <w:r w:rsidR="002F24AB" w:rsidRPr="00662262">
        <w:t xml:space="preserve">Food Science and Technology Programme, </w:t>
      </w:r>
      <w:r w:rsidR="003E52DA" w:rsidRPr="00662262">
        <w:t>Department of Chemistry</w:t>
      </w:r>
      <w:r w:rsidR="00B17509" w:rsidRPr="00662262">
        <w:t xml:space="preserve">, </w:t>
      </w:r>
      <w:r w:rsidR="00E8324A" w:rsidRPr="00662262">
        <w:t>National University of Singapore, Singapore 117543, Singapore</w:t>
      </w:r>
    </w:p>
    <w:p w14:paraId="4C148AED" w14:textId="3136D10C" w:rsidR="00D6352F" w:rsidRPr="00662262" w:rsidRDefault="002F24AB" w:rsidP="00C51805">
      <w:pPr>
        <w:pStyle w:val="MDPI16affiliation"/>
      </w:pPr>
      <w:r w:rsidRPr="00662262">
        <w:rPr>
          <w:vertAlign w:val="superscript"/>
        </w:rPr>
        <w:t>3</w:t>
      </w:r>
      <w:r w:rsidR="00D6352F" w:rsidRPr="00662262">
        <w:tab/>
      </w:r>
      <w:r w:rsidRPr="00662262">
        <w:t>Department of Nutrition and Dietetics, KK Women</w:t>
      </w:r>
      <w:r w:rsidR="00C51805" w:rsidRPr="00662262">
        <w:t>’</w:t>
      </w:r>
      <w:r w:rsidRPr="00662262">
        <w:t>s and Children</w:t>
      </w:r>
      <w:r w:rsidR="00C51805" w:rsidRPr="00662262">
        <w:t>’</w:t>
      </w:r>
      <w:r w:rsidRPr="00662262">
        <w:t xml:space="preserve">s Hospital, </w:t>
      </w:r>
      <w:r w:rsidR="00B17509" w:rsidRPr="00662262">
        <w:t>100 Bukit Timah Road</w:t>
      </w:r>
      <w:r w:rsidR="00B17509" w:rsidRPr="00662262">
        <w:rPr>
          <w:rFonts w:eastAsia="SimSun"/>
        </w:rPr>
        <w:t xml:space="preserve">, </w:t>
      </w:r>
      <w:r w:rsidR="00B17509" w:rsidRPr="00662262">
        <w:rPr>
          <w:rFonts w:eastAsia="SimSun" w:cs="URWPalladioL-Roma"/>
          <w:lang w:eastAsia="zh-CN"/>
        </w:rPr>
        <w:t>Singapore 229899,</w:t>
      </w:r>
      <w:r w:rsidR="00B17509" w:rsidRPr="00662262">
        <w:rPr>
          <w:sz w:val="22"/>
        </w:rPr>
        <w:t xml:space="preserve"> </w:t>
      </w:r>
      <w:r w:rsidRPr="00662262">
        <w:t>Singapore</w:t>
      </w:r>
      <w:r w:rsidR="00D6352F" w:rsidRPr="00662262">
        <w:t>;</w:t>
      </w:r>
      <w:r w:rsidR="00D846B4" w:rsidRPr="00662262">
        <w:t xml:space="preserve"> </w:t>
      </w:r>
      <w:r w:rsidR="008136F4" w:rsidRPr="008136F4">
        <w:t>han.wee.meng@kkh.com.sg</w:t>
      </w:r>
    </w:p>
    <w:p w14:paraId="4B228ACD" w14:textId="19D5CE9C" w:rsidR="00D6352F" w:rsidRPr="00662262" w:rsidRDefault="002F24AB" w:rsidP="00C51805">
      <w:pPr>
        <w:pStyle w:val="MDPI16affiliation"/>
      </w:pPr>
      <w:r w:rsidRPr="00662262">
        <w:rPr>
          <w:vertAlign w:val="superscript"/>
        </w:rPr>
        <w:t>4</w:t>
      </w:r>
      <w:r w:rsidR="00D6352F" w:rsidRPr="00662262">
        <w:tab/>
      </w:r>
      <w:r w:rsidRPr="00662262">
        <w:t>Department of Paediatrics, Yong Loo Lin School of Medicine, National University of Singapore</w:t>
      </w:r>
      <w:r w:rsidR="00B17509" w:rsidRPr="00662262">
        <w:t>, 1E Kent Ridge Road, Singapore 119228, Singapore</w:t>
      </w:r>
    </w:p>
    <w:p w14:paraId="0733B91C" w14:textId="088C201D" w:rsidR="002F24AB" w:rsidRPr="00662262" w:rsidRDefault="002F24AB" w:rsidP="00C51805">
      <w:pPr>
        <w:pStyle w:val="MDPI16affiliation"/>
      </w:pPr>
      <w:r w:rsidRPr="00662262">
        <w:rPr>
          <w:vertAlign w:val="superscript"/>
        </w:rPr>
        <w:t>5</w:t>
      </w:r>
      <w:r w:rsidR="00D6352F" w:rsidRPr="00662262">
        <w:tab/>
      </w:r>
      <w:r w:rsidRPr="00662262">
        <w:t>Khoo Teck Puat-National University Children’s Medical Institute, National University Hospital</w:t>
      </w:r>
      <w:r w:rsidR="00B17509" w:rsidRPr="00662262">
        <w:t>, 5 Lower Kent Ridge Road, Singapore 119074, Singapore</w:t>
      </w:r>
    </w:p>
    <w:p w14:paraId="66512A75" w14:textId="54B2C1D6" w:rsidR="002F24AB" w:rsidRPr="00662262" w:rsidRDefault="002F24AB" w:rsidP="00C51805">
      <w:pPr>
        <w:pStyle w:val="MDPI16affiliation"/>
      </w:pPr>
      <w:r w:rsidRPr="00662262">
        <w:rPr>
          <w:vertAlign w:val="superscript"/>
        </w:rPr>
        <w:t>6</w:t>
      </w:r>
      <w:r w:rsidR="00D6352F" w:rsidRPr="00662262">
        <w:tab/>
      </w:r>
      <w:r w:rsidRPr="00662262">
        <w:t xml:space="preserve">Department of Maternal Fetal Medicine, KK Women’s and Children’s Hospital, </w:t>
      </w:r>
      <w:r w:rsidRPr="0099443C">
        <w:t>Singapore</w:t>
      </w:r>
      <w:r w:rsidR="00234001">
        <w:t xml:space="preserve"> </w:t>
      </w:r>
      <w:r w:rsidR="00234001" w:rsidRPr="00662262">
        <w:rPr>
          <w:rFonts w:eastAsia="SimSun" w:cs="URWPalladioL-Roma"/>
          <w:lang w:eastAsia="zh-CN"/>
        </w:rPr>
        <w:t>229899</w:t>
      </w:r>
      <w:r w:rsidR="00D6352F" w:rsidRPr="0099443C">
        <w:t>;</w:t>
      </w:r>
      <w:r w:rsidR="00D846B4" w:rsidRPr="00662262">
        <w:t xml:space="preserve"> tan.kok.hian@singhealth.com.sg</w:t>
      </w:r>
    </w:p>
    <w:p w14:paraId="52D6A8B0" w14:textId="191AE3FF" w:rsidR="002F24AB" w:rsidRPr="00662262" w:rsidRDefault="002F24AB" w:rsidP="00C51805">
      <w:pPr>
        <w:pStyle w:val="MDPI16affiliation"/>
      </w:pPr>
      <w:r w:rsidRPr="00662262">
        <w:rPr>
          <w:vertAlign w:val="superscript"/>
        </w:rPr>
        <w:t>7</w:t>
      </w:r>
      <w:r w:rsidR="00D6352F" w:rsidRPr="00662262">
        <w:tab/>
      </w:r>
      <w:r w:rsidR="002C5A4D" w:rsidRPr="00662262">
        <w:t>Duke-NUS Medical School, Singapore</w:t>
      </w:r>
      <w:r w:rsidR="00D6352F" w:rsidRPr="00662262">
        <w:t>;</w:t>
      </w:r>
      <w:r w:rsidR="00D846B4" w:rsidRPr="00662262">
        <w:t xml:space="preserve"> </w:t>
      </w:r>
      <w:r w:rsidR="005A0405">
        <w:t>f</w:t>
      </w:r>
      <w:r w:rsidR="00D846B4" w:rsidRPr="00662262">
        <w:t>abian.</w:t>
      </w:r>
      <w:r w:rsidR="005A0405">
        <w:t>y</w:t>
      </w:r>
      <w:r w:rsidR="00D846B4" w:rsidRPr="00662262">
        <w:t>ap.</w:t>
      </w:r>
      <w:r w:rsidR="005A0405">
        <w:t>kp</w:t>
      </w:r>
      <w:r w:rsidR="00D846B4" w:rsidRPr="00662262">
        <w:t>@kkh.com.sg</w:t>
      </w:r>
    </w:p>
    <w:p w14:paraId="10124E25" w14:textId="77777777" w:rsidR="002F24AB" w:rsidRPr="00662262" w:rsidRDefault="002F24AB" w:rsidP="00C51805">
      <w:pPr>
        <w:pStyle w:val="MDPI16affiliation"/>
      </w:pPr>
      <w:r w:rsidRPr="00662262">
        <w:rPr>
          <w:vertAlign w:val="superscript"/>
        </w:rPr>
        <w:t>8</w:t>
      </w:r>
      <w:r w:rsidR="00D6352F" w:rsidRPr="00662262">
        <w:tab/>
      </w:r>
      <w:r w:rsidR="002C5A4D" w:rsidRPr="00662262">
        <w:t xml:space="preserve">Department of Paediatrics, KK Women’s and Children’s Hospital, </w:t>
      </w:r>
      <w:r w:rsidR="00B17509" w:rsidRPr="00662262">
        <w:t>100 Bukit Timah Road, Singapore 229899, Singapore</w:t>
      </w:r>
    </w:p>
    <w:p w14:paraId="294C8BA1" w14:textId="445C834A" w:rsidR="00D6352F" w:rsidRPr="00662262" w:rsidRDefault="002F24AB" w:rsidP="00C51805">
      <w:pPr>
        <w:pStyle w:val="MDPI16affiliation"/>
      </w:pPr>
      <w:r w:rsidRPr="00662262">
        <w:rPr>
          <w:vertAlign w:val="superscript"/>
        </w:rPr>
        <w:t>9</w:t>
      </w:r>
      <w:r w:rsidR="00D6352F" w:rsidRPr="00662262">
        <w:tab/>
      </w:r>
      <w:r w:rsidR="002C5A4D" w:rsidRPr="00662262">
        <w:t xml:space="preserve">Lee Kong Chian School of Medicine, Nanyang Technological University, </w:t>
      </w:r>
      <w:r w:rsidR="00B17509" w:rsidRPr="00662262">
        <w:t xml:space="preserve">Experimental Medicine Building, Nanyang Drive, Singapore 636921, </w:t>
      </w:r>
      <w:r w:rsidR="002C5A4D" w:rsidRPr="00662262">
        <w:t>Singapore</w:t>
      </w:r>
    </w:p>
    <w:p w14:paraId="78955D14" w14:textId="1B1AB6B0" w:rsidR="002F24AB" w:rsidRPr="00662262" w:rsidRDefault="002F24AB" w:rsidP="00C51805">
      <w:pPr>
        <w:pStyle w:val="MDPI16affiliation"/>
      </w:pPr>
      <w:r w:rsidRPr="00662262">
        <w:rPr>
          <w:vertAlign w:val="superscript"/>
        </w:rPr>
        <w:t>1</w:t>
      </w:r>
      <w:r w:rsidR="00C51805" w:rsidRPr="00662262">
        <w:rPr>
          <w:vertAlign w:val="superscript"/>
        </w:rPr>
        <w:t>0</w:t>
      </w:r>
      <w:r w:rsidRPr="00662262">
        <w:tab/>
      </w:r>
      <w:r w:rsidR="002C5A4D" w:rsidRPr="00662262">
        <w:t xml:space="preserve">MRC Lifecourse Epidemiology Unit &amp; NIHR Southampton Biomedical Research Centre, University of Southampton &amp; University Hospital Southampton NHS Foundation Trust, </w:t>
      </w:r>
      <w:r w:rsidR="00504A5F" w:rsidRPr="00662262">
        <w:t xml:space="preserve">Southampton SO16 6YD, </w:t>
      </w:r>
      <w:r w:rsidR="002C5A4D" w:rsidRPr="00662262">
        <w:t>UK</w:t>
      </w:r>
      <w:r w:rsidR="00D846B4" w:rsidRPr="00662262">
        <w:t>; kmg@mrc.soton.ac.uk</w:t>
      </w:r>
    </w:p>
    <w:p w14:paraId="1520ADF2" w14:textId="77777777" w:rsidR="002F24AB" w:rsidRPr="00662262" w:rsidRDefault="002F24AB" w:rsidP="00C51805">
      <w:pPr>
        <w:pStyle w:val="MDPI16affiliation"/>
      </w:pPr>
      <w:r w:rsidRPr="00662262">
        <w:rPr>
          <w:vertAlign w:val="superscript"/>
        </w:rPr>
        <w:t>11</w:t>
      </w:r>
      <w:r w:rsidRPr="00662262">
        <w:tab/>
      </w:r>
      <w:r w:rsidR="002C5A4D" w:rsidRPr="00662262">
        <w:t>Department of Obstetrics and Gynaecology, Yong Loo Lin School of Medicine, National University of Singapore</w:t>
      </w:r>
      <w:r w:rsidR="00504A5F" w:rsidRPr="00662262">
        <w:t>, 1E Kent Ridge Road, Singapore 119228, Singapore</w:t>
      </w:r>
    </w:p>
    <w:p w14:paraId="21BDE320" w14:textId="77777777" w:rsidR="002F24AB" w:rsidRPr="00662262" w:rsidRDefault="002F24AB" w:rsidP="00C51805">
      <w:pPr>
        <w:pStyle w:val="MDPI16affiliation"/>
      </w:pPr>
      <w:r w:rsidRPr="00662262">
        <w:rPr>
          <w:vertAlign w:val="superscript"/>
        </w:rPr>
        <w:t>12</w:t>
      </w:r>
      <w:r w:rsidRPr="00662262">
        <w:tab/>
      </w:r>
      <w:r w:rsidR="002C5A4D" w:rsidRPr="00662262">
        <w:t>Saw Swee Hock School of Public Health, National University of Singapore</w:t>
      </w:r>
      <w:r w:rsidR="00504A5F" w:rsidRPr="00662262">
        <w:t>, 12 Science Drive 2, Singapore 117549, Singapore</w:t>
      </w:r>
    </w:p>
    <w:p w14:paraId="391A64B4" w14:textId="3FCA7868" w:rsidR="00B33DF0" w:rsidRDefault="002F24AB" w:rsidP="00C51805">
      <w:pPr>
        <w:pStyle w:val="MDPI16affiliation"/>
      </w:pPr>
      <w:r w:rsidRPr="00662262">
        <w:rPr>
          <w:b/>
          <w:vertAlign w:val="superscript"/>
        </w:rPr>
        <w:t>1</w:t>
      </w:r>
      <w:r w:rsidRPr="00662262">
        <w:rPr>
          <w:vertAlign w:val="superscript"/>
        </w:rPr>
        <w:t>3</w:t>
      </w:r>
      <w:r w:rsidRPr="00662262">
        <w:tab/>
      </w:r>
      <w:r w:rsidR="002C5A4D" w:rsidRPr="00662262">
        <w:t xml:space="preserve">Clinical Nutrition Research Centre, Singapore Institute for Clinical Sciences, </w:t>
      </w:r>
      <w:r w:rsidR="00631E0B" w:rsidRPr="00662262">
        <w:t>Agency for Science, Technology and Research (</w:t>
      </w:r>
      <w:r w:rsidR="002C5A4D" w:rsidRPr="00662262">
        <w:t>A*STAR</w:t>
      </w:r>
      <w:r w:rsidR="00631E0B" w:rsidRPr="00662262">
        <w:t>)</w:t>
      </w:r>
      <w:r w:rsidR="002C5A4D" w:rsidRPr="00662262">
        <w:t xml:space="preserve">, </w:t>
      </w:r>
      <w:r w:rsidR="00504A5F" w:rsidRPr="00662262">
        <w:t>Centre for Translational Medicine, Medical Drive #07-02, MD 6 Building, Yong Loo Lin School of Medicine, Singapore 117599</w:t>
      </w:r>
      <w:r w:rsidR="005A0A8F">
        <w:t>,</w:t>
      </w:r>
      <w:r w:rsidR="00504A5F" w:rsidRPr="00662262">
        <w:t xml:space="preserve"> </w:t>
      </w:r>
      <w:r w:rsidR="002C5A4D" w:rsidRPr="00662262">
        <w:t>Singapore</w:t>
      </w:r>
    </w:p>
    <w:p w14:paraId="0CBEFDAC" w14:textId="1BE27CAD" w:rsidR="00D846B4" w:rsidRPr="00662262" w:rsidRDefault="00BD0A79" w:rsidP="00C51805">
      <w:pPr>
        <w:pStyle w:val="Mdeck2authorcorrespondence"/>
        <w:rPr>
          <w:sz w:val="18"/>
        </w:rPr>
      </w:pPr>
      <w:r w:rsidRPr="00662262">
        <w:rPr>
          <w:sz w:val="18"/>
        </w:rPr>
        <w:t>*</w:t>
      </w:r>
      <w:r w:rsidR="00B33DF0" w:rsidRPr="00662262">
        <w:rPr>
          <w:sz w:val="18"/>
        </w:rPr>
        <w:tab/>
      </w:r>
      <w:r w:rsidR="006342E0" w:rsidRPr="00662262">
        <w:rPr>
          <w:sz w:val="18"/>
        </w:rPr>
        <w:t xml:space="preserve">Correspondence: </w:t>
      </w:r>
      <w:r w:rsidR="006342E0" w:rsidRPr="00662262">
        <w:rPr>
          <w:sz w:val="18"/>
          <w:shd w:val="clear" w:color="auto" w:fill="FFFFFF"/>
        </w:rPr>
        <w:t>mary_chong@nus.edu.sg</w:t>
      </w:r>
      <w:r w:rsidR="005A0405">
        <w:rPr>
          <w:sz w:val="18"/>
          <w:shd w:val="clear" w:color="auto" w:fill="FFFFFF"/>
        </w:rPr>
        <w:t>; Tel.: +</w:t>
      </w:r>
      <w:r w:rsidR="00EE6793">
        <w:rPr>
          <w:sz w:val="18"/>
          <w:shd w:val="clear" w:color="auto" w:fill="FFFFFF"/>
        </w:rPr>
        <w:t>65-</w:t>
      </w:r>
      <w:r w:rsidR="00EE6793">
        <w:rPr>
          <w:rFonts w:ascii="Verdana" w:hAnsi="Verdana"/>
          <w:sz w:val="17"/>
          <w:szCs w:val="17"/>
          <w:shd w:val="clear" w:color="auto" w:fill="F0F0F0"/>
        </w:rPr>
        <w:t>6516-4969</w:t>
      </w:r>
      <w:r w:rsidR="00EE6793" w:rsidDel="00EE6793">
        <w:rPr>
          <w:sz w:val="18"/>
          <w:shd w:val="clear" w:color="auto" w:fill="FFFFFF"/>
        </w:rPr>
        <w:t xml:space="preserve"> </w:t>
      </w:r>
    </w:p>
    <w:p w14:paraId="1616680F" w14:textId="7809610F" w:rsidR="002264AC" w:rsidRDefault="002264AC" w:rsidP="008C197E">
      <w:pPr>
        <w:pStyle w:val="Mdeck2authorcorrespondence"/>
      </w:pPr>
      <w:r w:rsidRPr="00824EAD">
        <w:rPr>
          <w:vertAlign w:val="superscript"/>
        </w:rPr>
        <w:t>†</w:t>
      </w:r>
      <w:r w:rsidR="00824EAD">
        <w:tab/>
      </w:r>
      <w:r w:rsidRPr="00662262">
        <w:t>Both authors contributed equally to this work</w:t>
      </w:r>
      <w:r w:rsidR="00824EAD">
        <w:t>.</w:t>
      </w:r>
    </w:p>
    <w:p w14:paraId="1ADD6D5E" w14:textId="64A6ED0D" w:rsidR="0099443C" w:rsidRPr="00662262" w:rsidRDefault="0099443C" w:rsidP="00824EAD">
      <w:pPr>
        <w:pStyle w:val="MDPI16affiliation"/>
      </w:pPr>
      <w:r w:rsidRPr="0099443C">
        <w:rPr>
          <w:rFonts w:eastAsia="SimSun"/>
        </w:rPr>
        <w:t>¥</w:t>
      </w:r>
      <w:r>
        <w:tab/>
      </w:r>
      <w:r w:rsidRPr="0099443C">
        <w:t>The GUSTO cohort is registered under the clinical trials identifier NCT01174875.</w:t>
      </w:r>
    </w:p>
    <w:p w14:paraId="74A2C03E" w14:textId="549E950F" w:rsidR="00E32733" w:rsidRPr="00662262" w:rsidRDefault="007D58E2" w:rsidP="00C51805">
      <w:pPr>
        <w:pStyle w:val="MDPI15academiceditor"/>
        <w:spacing w:before="120" w:after="0"/>
      </w:pPr>
      <w:r w:rsidRPr="00662262">
        <w:t xml:space="preserve">Received: </w:t>
      </w:r>
      <w:r w:rsidR="00B52983" w:rsidRPr="00B52983">
        <w:t>19 January 2018</w:t>
      </w:r>
      <w:r w:rsidRPr="00662262">
        <w:t xml:space="preserve">; Accepted: </w:t>
      </w:r>
      <w:r w:rsidR="00B52983" w:rsidRPr="00B52983">
        <w:t>05 March 2018</w:t>
      </w:r>
      <w:r w:rsidRPr="00662262">
        <w:t>; Published: date</w:t>
      </w:r>
    </w:p>
    <w:p w14:paraId="56E8287F" w14:textId="2DAE0A65" w:rsidR="00EA6423" w:rsidRPr="00662262" w:rsidRDefault="00EA6423" w:rsidP="00E510A9">
      <w:pPr>
        <w:pStyle w:val="MDPI17abstract"/>
      </w:pPr>
      <w:r w:rsidRPr="00662262">
        <w:rPr>
          <w:b/>
        </w:rPr>
        <w:t>Abstract:</w:t>
      </w:r>
      <w:r w:rsidRPr="00B52983">
        <w:t xml:space="preserve"> </w:t>
      </w:r>
      <w:r w:rsidR="00631E0B" w:rsidRPr="00662262">
        <w:t xml:space="preserve">Adequate nutrition during complementary feeding is important for the growth, development and well-being of children. We aim to examine the energy and macronutrient intake composition and </w:t>
      </w:r>
      <w:r w:rsidR="00631E0B" w:rsidRPr="00640AA8">
        <w:t xml:space="preserve">their </w:t>
      </w:r>
      <w:r w:rsidR="00761C77" w:rsidRPr="00640AA8">
        <w:t xml:space="preserve">main </w:t>
      </w:r>
      <w:r w:rsidR="00631E0B" w:rsidRPr="00640AA8">
        <w:t>food source</w:t>
      </w:r>
      <w:r w:rsidR="00761C77" w:rsidRPr="00640AA8">
        <w:t>s</w:t>
      </w:r>
      <w:r w:rsidR="00631E0B" w:rsidRPr="00640AA8">
        <w:t xml:space="preserve"> in a mother</w:t>
      </w:r>
      <w:r w:rsidR="00800DC2" w:rsidRPr="00640AA8">
        <w:t>–</w:t>
      </w:r>
      <w:r w:rsidR="00631E0B" w:rsidRPr="00640AA8">
        <w:t xml:space="preserve">offspring cohort study in Singapore. </w:t>
      </w:r>
      <w:r w:rsidR="00800DC2" w:rsidRPr="00640AA8">
        <w:t>The d</w:t>
      </w:r>
      <w:r w:rsidR="00631E0B" w:rsidRPr="00640AA8">
        <w:t>iets of infants were a</w:t>
      </w:r>
      <w:r w:rsidR="00C40F09" w:rsidRPr="00640AA8">
        <w:t>ssessed</w:t>
      </w:r>
      <w:r w:rsidR="00631E0B" w:rsidRPr="00640AA8">
        <w:t xml:space="preserve"> by 24</w:t>
      </w:r>
      <w:r w:rsidR="00C51805" w:rsidRPr="00640AA8">
        <w:t xml:space="preserve"> h </w:t>
      </w:r>
      <w:r w:rsidR="00C40F09" w:rsidRPr="00640AA8">
        <w:t xml:space="preserve">dietary </w:t>
      </w:r>
      <w:r w:rsidR="00631E0B" w:rsidRPr="00640AA8">
        <w:t xml:space="preserve">recalls or food diaries collected from mothers when their offspring </w:t>
      </w:r>
      <w:r w:rsidR="00C068B2" w:rsidRPr="00640AA8">
        <w:t xml:space="preserve">were </w:t>
      </w:r>
      <w:r w:rsidR="00631E0B" w:rsidRPr="00640AA8">
        <w:t>6</w:t>
      </w:r>
      <w:r w:rsidR="00C40F09" w:rsidRPr="00640AA8">
        <w:t xml:space="preserve"> (n</w:t>
      </w:r>
      <w:r w:rsidR="00B33DF0" w:rsidRPr="00640AA8">
        <w:t xml:space="preserve"> </w:t>
      </w:r>
      <w:r w:rsidR="00C40F09" w:rsidRPr="00640AA8">
        <w:t>=</w:t>
      </w:r>
      <w:r w:rsidR="00B33DF0" w:rsidRPr="00640AA8">
        <w:t xml:space="preserve"> </w:t>
      </w:r>
      <w:r w:rsidR="00C40F09" w:rsidRPr="00640AA8">
        <w:t>760)</w:t>
      </w:r>
      <w:r w:rsidR="00631E0B" w:rsidRPr="00640AA8">
        <w:t>, 9</w:t>
      </w:r>
      <w:r w:rsidR="00C40F09" w:rsidRPr="00640AA8">
        <w:t xml:space="preserve"> (n</w:t>
      </w:r>
      <w:r w:rsidR="00B33DF0" w:rsidRPr="00640AA8">
        <w:t xml:space="preserve"> </w:t>
      </w:r>
      <w:r w:rsidR="00C40F09" w:rsidRPr="00640AA8">
        <w:t>=</w:t>
      </w:r>
      <w:r w:rsidR="00B33DF0" w:rsidRPr="00640AA8">
        <w:t xml:space="preserve"> </w:t>
      </w:r>
      <w:r w:rsidR="00C40F09" w:rsidRPr="00640AA8">
        <w:t>893)</w:t>
      </w:r>
      <w:r w:rsidR="00631E0B" w:rsidRPr="00640AA8">
        <w:t xml:space="preserve"> and 12</w:t>
      </w:r>
      <w:r w:rsidR="00E32733" w:rsidRPr="00640AA8">
        <w:t xml:space="preserve"> </w:t>
      </w:r>
      <w:r w:rsidR="00C40F09" w:rsidRPr="00640AA8">
        <w:t>(n</w:t>
      </w:r>
      <w:r w:rsidR="00B33DF0" w:rsidRPr="00640AA8">
        <w:t xml:space="preserve"> </w:t>
      </w:r>
      <w:r w:rsidR="00C40F09" w:rsidRPr="00640AA8">
        <w:t>=</w:t>
      </w:r>
      <w:r w:rsidR="00B33DF0" w:rsidRPr="00640AA8">
        <w:t xml:space="preserve"> </w:t>
      </w:r>
      <w:r w:rsidR="00C40F09" w:rsidRPr="00640AA8">
        <w:lastRenderedPageBreak/>
        <w:t>907)</w:t>
      </w:r>
      <w:r w:rsidR="00631E0B" w:rsidRPr="00640AA8">
        <w:t xml:space="preserve"> months</w:t>
      </w:r>
      <w:r w:rsidR="00631E0B" w:rsidRPr="00662262">
        <w:t xml:space="preserve"> of age. Food sources of energy and macronutrients were determined using the population proportion methodology. Energy intakes</w:t>
      </w:r>
      <w:r w:rsidR="00C40F09" w:rsidRPr="00662262">
        <w:t xml:space="preserve"> per day</w:t>
      </w:r>
      <w:r w:rsidR="00631E0B" w:rsidRPr="00662262">
        <w:t xml:space="preserve"> (kcal; mean (</w:t>
      </w:r>
      <w:r w:rsidR="00800DC2">
        <w:t xml:space="preserve">standard deviation, </w:t>
      </w:r>
      <w:r w:rsidR="00631E0B" w:rsidRPr="00662262">
        <w:t xml:space="preserve">SD)) of </w:t>
      </w:r>
      <w:r w:rsidR="00C40F09" w:rsidRPr="00662262">
        <w:t xml:space="preserve">these </w:t>
      </w:r>
      <w:r w:rsidR="00631E0B" w:rsidRPr="00662262">
        <w:t>infants were 640</w:t>
      </w:r>
      <w:r w:rsidR="008136F4">
        <w:t xml:space="preserve"> </w:t>
      </w:r>
      <w:r w:rsidR="00631E0B" w:rsidRPr="00662262">
        <w:t>(158) at 6 months, 675</w:t>
      </w:r>
      <w:r w:rsidR="008136F4">
        <w:t xml:space="preserve"> </w:t>
      </w:r>
      <w:r w:rsidR="00631E0B" w:rsidRPr="00662262">
        <w:t>(173) at 9 months</w:t>
      </w:r>
      <w:r w:rsidR="00C068B2">
        <w:t>,</w:t>
      </w:r>
      <w:r w:rsidR="00631E0B" w:rsidRPr="00662262">
        <w:t xml:space="preserve"> and 761</w:t>
      </w:r>
      <w:r w:rsidR="008136F4">
        <w:t xml:space="preserve"> </w:t>
      </w:r>
      <w:r w:rsidR="00631E0B" w:rsidRPr="00662262">
        <w:t xml:space="preserve">(208) at 12 months. Infant formula, breastmilk and infant cereals were the top three food sources of energy </w:t>
      </w:r>
      <w:r w:rsidR="00C40F09" w:rsidRPr="00662262">
        <w:t xml:space="preserve">and macronutrient </w:t>
      </w:r>
      <w:r w:rsidR="00631E0B" w:rsidRPr="00662262">
        <w:t>intake</w:t>
      </w:r>
      <w:r w:rsidR="00C40F09" w:rsidRPr="00662262">
        <w:t>s</w:t>
      </w:r>
      <w:r w:rsidR="00631E0B" w:rsidRPr="00662262">
        <w:t xml:space="preserve"> in infants through the period 6 to 12 months. Other </w:t>
      </w:r>
      <w:r w:rsidR="00C40F09" w:rsidRPr="00662262">
        <w:t>main</w:t>
      </w:r>
      <w:r w:rsidR="00631E0B" w:rsidRPr="00662262">
        <w:t xml:space="preserve"> energy </w:t>
      </w:r>
      <w:r w:rsidR="002309C9" w:rsidRPr="00662262">
        <w:t xml:space="preserve">and carbohydrate </w:t>
      </w:r>
      <w:r w:rsidR="00631E0B" w:rsidRPr="00662262">
        <w:t>sources at 9 and 12 months of age were rice porridge</w:t>
      </w:r>
      <w:r w:rsidR="002309C9" w:rsidRPr="00662262">
        <w:t>,</w:t>
      </w:r>
      <w:r w:rsidR="00631E0B" w:rsidRPr="00662262">
        <w:t xml:space="preserve"> infant biscuits</w:t>
      </w:r>
      <w:r w:rsidR="002309C9" w:rsidRPr="00662262">
        <w:t xml:space="preserve"> and fresh fruits, while fish, red meat and eggs </w:t>
      </w:r>
      <w:r w:rsidR="00E32733" w:rsidRPr="00662262">
        <w:t xml:space="preserve">were the </w:t>
      </w:r>
      <w:r w:rsidR="002309C9" w:rsidRPr="00662262">
        <w:t>other main protein and total fat sources.</w:t>
      </w:r>
      <w:r w:rsidR="00E32733" w:rsidRPr="00662262">
        <w:t xml:space="preserve"> </w:t>
      </w:r>
      <w:r w:rsidR="00631E0B" w:rsidRPr="00662262">
        <w:t>Breast-fed and mixed-fed infants</w:t>
      </w:r>
      <w:r w:rsidR="00631E0B" w:rsidRPr="00662262">
        <w:rPr>
          <w:b/>
        </w:rPr>
        <w:t xml:space="preserve"> </w:t>
      </w:r>
      <w:r w:rsidR="00631E0B" w:rsidRPr="00662262">
        <w:t xml:space="preserve">had a more varied diet as compared to formula-fed infants. Formula-fed infants had consistently higher protein and lower total fat consumption compared to those who were breastfed. </w:t>
      </w:r>
      <w:r w:rsidR="00800DC2">
        <w:t>An u</w:t>
      </w:r>
      <w:r w:rsidR="00631E0B" w:rsidRPr="00662262">
        <w:t xml:space="preserve">nderstanding of these </w:t>
      </w:r>
      <w:r w:rsidR="00075AA9" w:rsidRPr="00662262">
        <w:t>main</w:t>
      </w:r>
      <w:r w:rsidR="00631E0B" w:rsidRPr="00662262">
        <w:t xml:space="preserve"> food sources during complementary feeding can inform local dieta</w:t>
      </w:r>
      <w:r w:rsidR="00103FEF" w:rsidRPr="00662262">
        <w:t>ry recommendations and policies.</w:t>
      </w:r>
    </w:p>
    <w:p w14:paraId="031D7AB0" w14:textId="2382D50C" w:rsidR="00E510A9" w:rsidRPr="00662262" w:rsidRDefault="00E510A9" w:rsidP="00E510A9">
      <w:pPr>
        <w:pStyle w:val="MDPI18keywords"/>
      </w:pPr>
      <w:r w:rsidRPr="00662262">
        <w:rPr>
          <w:b/>
        </w:rPr>
        <w:t>Keywords:</w:t>
      </w:r>
      <w:r w:rsidR="00EA6423" w:rsidRPr="00B52983">
        <w:t xml:space="preserve"> </w:t>
      </w:r>
      <w:r w:rsidR="00631E0B" w:rsidRPr="00662262">
        <w:t>infant diet; complementary feeding; weaning; food sources; energy; macronutrients; Asian</w:t>
      </w:r>
    </w:p>
    <w:p w14:paraId="586E88A8" w14:textId="77777777" w:rsidR="00E510A9" w:rsidRPr="00662262" w:rsidRDefault="00E510A9" w:rsidP="00E510A9">
      <w:pPr>
        <w:pStyle w:val="MDPI19line"/>
      </w:pPr>
    </w:p>
    <w:p w14:paraId="6A1AFBB9" w14:textId="77777777" w:rsidR="00E81A75" w:rsidRPr="00662262" w:rsidRDefault="00EA6423" w:rsidP="00E510A9">
      <w:pPr>
        <w:pStyle w:val="MDPI21heading1"/>
      </w:pPr>
      <w:r w:rsidRPr="00662262">
        <w:rPr>
          <w:lang w:eastAsia="zh-CN"/>
        </w:rPr>
        <w:t xml:space="preserve">1. </w:t>
      </w:r>
      <w:r w:rsidRPr="00662262">
        <w:t>Introduction</w:t>
      </w:r>
    </w:p>
    <w:p w14:paraId="2837DE4C" w14:textId="08D19B16" w:rsidR="00E81A75" w:rsidRPr="00662262" w:rsidRDefault="002546BA" w:rsidP="00E510A9">
      <w:pPr>
        <w:pStyle w:val="MDPI31text"/>
      </w:pPr>
      <w:r w:rsidRPr="00662262">
        <w:t xml:space="preserve">Complementary feeding or weaning is the process whereby solid foods and other liquids, in addition to milk, are introduced to meet </w:t>
      </w:r>
      <w:r w:rsidR="00800DC2">
        <w:t xml:space="preserve">a </w:t>
      </w:r>
      <w:r w:rsidRPr="00662262">
        <w:t>growing in</w:t>
      </w:r>
      <w:r w:rsidR="00483D9B" w:rsidRPr="00662262">
        <w:t>fant’s nutritional requirements [1]</w:t>
      </w:r>
      <w:r w:rsidRPr="00662262">
        <w:t xml:space="preserve">. Macronutrient composition of the early diet are primary factors influencing childhood growth patterns and </w:t>
      </w:r>
      <w:r w:rsidR="005E7003">
        <w:t xml:space="preserve">the </w:t>
      </w:r>
      <w:r w:rsidRPr="00662262">
        <w:t xml:space="preserve">subsequent risk of non-communicable diseases </w:t>
      </w:r>
      <w:r w:rsidR="00EF7168" w:rsidRPr="00662262">
        <w:t>[2]</w:t>
      </w:r>
      <w:r w:rsidRPr="00662262">
        <w:t>. An understanding of the food sources of infants’ energy and macronutrient intakes is important to enable targeted interventions to improve infants’ nutritional needs and inform local dietary recommendations.</w:t>
      </w:r>
    </w:p>
    <w:p w14:paraId="0257C748" w14:textId="00AD0889" w:rsidR="00E81A75" w:rsidRPr="00662262" w:rsidRDefault="00E81A75" w:rsidP="00E510A9">
      <w:pPr>
        <w:pStyle w:val="MDPI31text"/>
      </w:pPr>
      <w:r w:rsidRPr="00662262">
        <w:t xml:space="preserve">There has been a growing interest </w:t>
      </w:r>
      <w:r w:rsidR="005E7003">
        <w:t xml:space="preserve">in </w:t>
      </w:r>
      <w:r w:rsidRPr="00662262">
        <w:t>examin</w:t>
      </w:r>
      <w:r w:rsidR="005E7003">
        <w:t>ing</w:t>
      </w:r>
      <w:r w:rsidRPr="00662262">
        <w:t xml:space="preserve"> infants’ nutrient intakes and their food sources in several countries worldwide. The Feeding Infants and Toddlers Study (FITS) in the US and the Maternal Infant Nutrition Growth (MING) Study in China have </w:t>
      </w:r>
      <w:r w:rsidR="005E7003">
        <w:t>analy</w:t>
      </w:r>
      <w:r w:rsidR="00A54079">
        <w:t>s</w:t>
      </w:r>
      <w:r w:rsidR="005E7003">
        <w:t xml:space="preserve">ed </w:t>
      </w:r>
      <w:r w:rsidRPr="00662262">
        <w:t>food sources of nutrients in 6</w:t>
      </w:r>
      <w:r w:rsidR="005E7003">
        <w:t>-</w:t>
      </w:r>
      <w:r w:rsidRPr="00662262">
        <w:t xml:space="preserve"> to 11</w:t>
      </w:r>
      <w:r w:rsidR="005E7003">
        <w:t>-</w:t>
      </w:r>
      <w:r w:rsidRPr="00662262">
        <w:t>month</w:t>
      </w:r>
      <w:r w:rsidR="005E7003">
        <w:t>-</w:t>
      </w:r>
      <w:r w:rsidRPr="00662262">
        <w:t>old infants and reported that infant formula and breastmilk were key contributors to energy intakes</w:t>
      </w:r>
      <w:r w:rsidR="00EF7168" w:rsidRPr="00662262">
        <w:t xml:space="preserve"> [3,4]</w:t>
      </w:r>
      <w:r w:rsidRPr="00662262">
        <w:t xml:space="preserve">. The prevalence of macronutrient inadequacy was reported to be low in </w:t>
      </w:r>
      <w:r w:rsidR="00780698" w:rsidRPr="00662262">
        <w:t>6</w:t>
      </w:r>
      <w:r w:rsidR="005E7003">
        <w:t xml:space="preserve"> to </w:t>
      </w:r>
      <w:r w:rsidR="00780698" w:rsidRPr="00662262">
        <w:t>1</w:t>
      </w:r>
      <w:r w:rsidRPr="00662262">
        <w:t>1</w:t>
      </w:r>
      <w:r w:rsidR="005E7003">
        <w:t>-</w:t>
      </w:r>
      <w:r w:rsidRPr="00662262">
        <w:t>month</w:t>
      </w:r>
      <w:r w:rsidR="005E7003">
        <w:t>-</w:t>
      </w:r>
      <w:r w:rsidRPr="00662262">
        <w:t>old FITS infants, while infants belonging to the MING study were reported to have total fat consumption below recommendation</w:t>
      </w:r>
      <w:r w:rsidR="005E7003">
        <w:t>s</w:t>
      </w:r>
      <w:r w:rsidRPr="00662262">
        <w:t>, in part due to a reduction in milk intakes as table foods were introduced</w:t>
      </w:r>
      <w:r w:rsidR="00EF7168" w:rsidRPr="00662262">
        <w:t xml:space="preserve"> [4]</w:t>
      </w:r>
      <w:r w:rsidRPr="00662262">
        <w:t>. Two other studies in Australia have reported that 3% of infants at 6 months and 58.2% at 9 months of age were consuming energy-dense snacks or sweet foods and beverages (e.g.</w:t>
      </w:r>
      <w:r w:rsidR="00C51805" w:rsidRPr="00662262">
        <w:t>,</w:t>
      </w:r>
      <w:r w:rsidRPr="00662262">
        <w:t xml:space="preserve"> fast food, lollipops, soft drinks) </w:t>
      </w:r>
      <w:r w:rsidR="00EF7168" w:rsidRPr="00662262">
        <w:t>[5,6]</w:t>
      </w:r>
      <w:r w:rsidRPr="00662262">
        <w:t xml:space="preserve">. In infants and children </w:t>
      </w:r>
      <w:r w:rsidR="007941EB" w:rsidRPr="00662262">
        <w:t>(</w:t>
      </w:r>
      <w:r w:rsidRPr="00662262">
        <w:t>6 months to 12 years of age</w:t>
      </w:r>
      <w:r w:rsidR="007941EB" w:rsidRPr="00662262">
        <w:t>)</w:t>
      </w:r>
      <w:r w:rsidRPr="00662262">
        <w:t xml:space="preserve"> </w:t>
      </w:r>
      <w:r w:rsidR="007941EB" w:rsidRPr="00662262">
        <w:t>from</w:t>
      </w:r>
      <w:r w:rsidRPr="00662262">
        <w:t xml:space="preserve"> four South</w:t>
      </w:r>
      <w:r w:rsidR="005E7003">
        <w:t>-e</w:t>
      </w:r>
      <w:r w:rsidRPr="00662262">
        <w:t xml:space="preserve">ast Asian countries, </w:t>
      </w:r>
      <w:r w:rsidR="007941EB" w:rsidRPr="00662262">
        <w:t xml:space="preserve">stark </w:t>
      </w:r>
      <w:r w:rsidRPr="00662262">
        <w:t xml:space="preserve">differences in energy and macronutrient intakes </w:t>
      </w:r>
      <w:r w:rsidR="007941EB" w:rsidRPr="00662262">
        <w:t>were observed between those from urban and rural areas</w:t>
      </w:r>
      <w:r w:rsidR="0029260E" w:rsidRPr="00662262">
        <w:t xml:space="preserve"> </w:t>
      </w:r>
      <w:r w:rsidR="00C51805" w:rsidRPr="00662262">
        <w:t>[7–10</w:t>
      </w:r>
      <w:r w:rsidR="0029260E" w:rsidRPr="00662262">
        <w:t>]</w:t>
      </w:r>
      <w:r w:rsidR="00542256" w:rsidRPr="00662262">
        <w:t>. Th</w:t>
      </w:r>
      <w:r w:rsidR="00C43539" w:rsidRPr="00662262">
        <w:t xml:space="preserve">ese differences </w:t>
      </w:r>
      <w:r w:rsidR="007941EB" w:rsidRPr="00662262">
        <w:t>reflect</w:t>
      </w:r>
      <w:r w:rsidR="00542256" w:rsidRPr="00662262">
        <w:t xml:space="preserve"> </w:t>
      </w:r>
      <w:r w:rsidR="00B676C2" w:rsidRPr="00662262">
        <w:t xml:space="preserve">the phenomenon of </w:t>
      </w:r>
      <w:r w:rsidR="00264A83" w:rsidRPr="00662262">
        <w:t>‘double burden of malnutrition’, where</w:t>
      </w:r>
      <w:r w:rsidR="00DF7719" w:rsidRPr="00662262">
        <w:t xml:space="preserve"> undernutrition and </w:t>
      </w:r>
      <w:r w:rsidR="00B676C2" w:rsidRPr="00662262">
        <w:t>overnutrition</w:t>
      </w:r>
      <w:r w:rsidR="00DF7719" w:rsidRPr="00662262">
        <w:t xml:space="preserve"> coexist</w:t>
      </w:r>
      <w:r w:rsidR="000D7081" w:rsidRPr="00662262">
        <w:t xml:space="preserve"> </w:t>
      </w:r>
      <w:r w:rsidR="00C51805" w:rsidRPr="00662262">
        <w:t>[7–10</w:t>
      </w:r>
      <w:r w:rsidR="000D7081" w:rsidRPr="00662262">
        <w:t>]</w:t>
      </w:r>
      <w:r w:rsidR="007941EB" w:rsidRPr="00662262">
        <w:t>.</w:t>
      </w:r>
      <w:r w:rsidR="00264A83" w:rsidRPr="00662262">
        <w:t xml:space="preserve"> </w:t>
      </w:r>
      <w:r w:rsidR="0029260E" w:rsidRPr="00662262">
        <w:t>Taken together, these studies highlight that infants from different populations have different and various nutritional concerns that need to be addressed.</w:t>
      </w:r>
    </w:p>
    <w:p w14:paraId="7C84B513" w14:textId="5AD5B96F" w:rsidR="002546BA" w:rsidRPr="00662262" w:rsidRDefault="00D0194D" w:rsidP="00E510A9">
      <w:pPr>
        <w:pStyle w:val="MDPI31text"/>
      </w:pPr>
      <w:r w:rsidRPr="00662262">
        <w:t>I</w:t>
      </w:r>
      <w:r w:rsidR="00E81A75" w:rsidRPr="00662262">
        <w:t xml:space="preserve">n Singapore, </w:t>
      </w:r>
      <w:r w:rsidR="007D60F2" w:rsidRPr="00662262">
        <w:t xml:space="preserve">the </w:t>
      </w:r>
      <w:r w:rsidRPr="00662262">
        <w:t xml:space="preserve">local </w:t>
      </w:r>
      <w:r w:rsidR="007D60F2" w:rsidRPr="00662262">
        <w:t xml:space="preserve">Health Promotion Board recommends </w:t>
      </w:r>
      <w:r w:rsidR="00E83984" w:rsidRPr="00662262">
        <w:t>exclusive breas</w:t>
      </w:r>
      <w:r w:rsidR="009213CF" w:rsidRPr="00662262">
        <w:t xml:space="preserve">tfeeding for at least 6 months, followed by </w:t>
      </w:r>
      <w:r w:rsidR="007D60F2" w:rsidRPr="00662262">
        <w:t>the introduction of solid foods</w:t>
      </w:r>
      <w:r w:rsidR="009213CF" w:rsidRPr="00662262">
        <w:t xml:space="preserve"> such as foods </w:t>
      </w:r>
      <w:r w:rsidR="00594443" w:rsidRPr="00662262">
        <w:t>rich in iron (</w:t>
      </w:r>
      <w:r w:rsidR="009213CF" w:rsidRPr="00662262">
        <w:t>e.g.</w:t>
      </w:r>
      <w:r w:rsidR="00C51805" w:rsidRPr="00662262">
        <w:t>,</w:t>
      </w:r>
      <w:r w:rsidR="00594443" w:rsidRPr="00662262">
        <w:t xml:space="preserve"> iron-fortified cereals)</w:t>
      </w:r>
      <w:r w:rsidR="009213CF" w:rsidRPr="00662262">
        <w:t>, vegetables and fruits (</w:t>
      </w:r>
      <w:r w:rsidR="005644EF" w:rsidRPr="00662262">
        <w:t xml:space="preserve">which </w:t>
      </w:r>
      <w:r w:rsidR="00594443" w:rsidRPr="00662262">
        <w:t>e</w:t>
      </w:r>
      <w:r w:rsidR="005644EF" w:rsidRPr="00662262">
        <w:t>nhance</w:t>
      </w:r>
      <w:r w:rsidR="009213CF" w:rsidRPr="00662262">
        <w:t xml:space="preserve"> iron absorption), </w:t>
      </w:r>
      <w:r w:rsidR="00594443" w:rsidRPr="00662262">
        <w:t xml:space="preserve">to </w:t>
      </w:r>
      <w:r w:rsidR="007D60F2" w:rsidRPr="00662262">
        <w:t xml:space="preserve">supplement breastmilk or formula </w:t>
      </w:r>
      <w:r w:rsidR="00F6404E" w:rsidRPr="00662262">
        <w:t>[11</w:t>
      </w:r>
      <w:r w:rsidR="007D60F2" w:rsidRPr="00662262">
        <w:t xml:space="preserve">]. However, </w:t>
      </w:r>
      <w:r w:rsidR="00E81A75" w:rsidRPr="00662262">
        <w:t xml:space="preserve">there is a </w:t>
      </w:r>
      <w:r w:rsidR="00F853CA" w:rsidRPr="00662262">
        <w:t>lack</w:t>
      </w:r>
      <w:r w:rsidR="00E81A75" w:rsidRPr="00662262">
        <w:t xml:space="preserve"> of data on the dietary intakes and food sources of infants aged 6 to 12 months and the nutritional status of our infants is not known. In this study, we sought to examine the food sources and macronutrient intakes among multi-ethnic Asian infants using data from the </w:t>
      </w:r>
      <w:r w:rsidR="005E7003" w:rsidRPr="005E7003">
        <w:t xml:space="preserve">Growing Up in Singapore Towards </w:t>
      </w:r>
      <w:r w:rsidR="00F64B92">
        <w:t>h</w:t>
      </w:r>
      <w:r w:rsidR="00F64B92" w:rsidRPr="005E7003">
        <w:t xml:space="preserve">ealthy </w:t>
      </w:r>
      <w:r w:rsidR="005E7003" w:rsidRPr="005E7003">
        <w:t xml:space="preserve">Outcomes </w:t>
      </w:r>
      <w:r w:rsidR="005E7003">
        <w:t>(</w:t>
      </w:r>
      <w:r w:rsidR="00E81A75" w:rsidRPr="00662262">
        <w:t>GUSTO</w:t>
      </w:r>
      <w:r w:rsidR="005E7003">
        <w:t>)</w:t>
      </w:r>
      <w:r w:rsidR="00E81A75" w:rsidRPr="00662262">
        <w:t xml:space="preserve"> mother-offspring cohort study. We aim to identify </w:t>
      </w:r>
      <w:r w:rsidR="005E7003">
        <w:t xml:space="preserve">the </w:t>
      </w:r>
      <w:r w:rsidR="00263418" w:rsidRPr="00662262">
        <w:t>main</w:t>
      </w:r>
      <w:r w:rsidR="00E81A75" w:rsidRPr="00662262">
        <w:t xml:space="preserve"> food sources of energy and macronutrient intakes of these infants and examine</w:t>
      </w:r>
      <w:r w:rsidR="00F853CA" w:rsidRPr="00662262">
        <w:t xml:space="preserve"> </w:t>
      </w:r>
      <w:r w:rsidR="00E81A75" w:rsidRPr="00662262">
        <w:t>differences in food sources among infants who were formula-fed</w:t>
      </w:r>
      <w:r w:rsidR="00542256" w:rsidRPr="00662262">
        <w:t xml:space="preserve"> (FF; given formula)</w:t>
      </w:r>
      <w:r w:rsidR="00E81A75" w:rsidRPr="00662262">
        <w:t xml:space="preserve">, breast-fed </w:t>
      </w:r>
      <w:r w:rsidR="00542256" w:rsidRPr="00662262">
        <w:t xml:space="preserve">(BF; given breastmilk) </w:t>
      </w:r>
      <w:r w:rsidR="00E81A75" w:rsidRPr="00662262">
        <w:t>and mixed-fed</w:t>
      </w:r>
      <w:r w:rsidR="00542256" w:rsidRPr="00662262">
        <w:t xml:space="preserve"> (MF; given both breastmilk and formula)</w:t>
      </w:r>
      <w:r w:rsidR="00E81A75" w:rsidRPr="00662262">
        <w:t>.</w:t>
      </w:r>
    </w:p>
    <w:p w14:paraId="0A238249" w14:textId="441A2A3F" w:rsidR="00004544" w:rsidRPr="00662262" w:rsidRDefault="00004544" w:rsidP="00E510A9">
      <w:pPr>
        <w:pStyle w:val="MDPI21heading1"/>
      </w:pPr>
      <w:r w:rsidRPr="00662262">
        <w:rPr>
          <w:lang w:eastAsia="zh-CN"/>
        </w:rPr>
        <w:t xml:space="preserve">2. </w:t>
      </w:r>
      <w:r w:rsidRPr="00662262">
        <w:t>Materials and Methods</w:t>
      </w:r>
    </w:p>
    <w:p w14:paraId="0F49CF9D" w14:textId="37507F4B" w:rsidR="00B520E2" w:rsidRPr="00662262" w:rsidRDefault="00B520E2" w:rsidP="00E510A9">
      <w:pPr>
        <w:pStyle w:val="MDPI22heading2"/>
      </w:pPr>
      <w:r w:rsidRPr="00662262">
        <w:lastRenderedPageBreak/>
        <w:t>2.1</w:t>
      </w:r>
      <w:r w:rsidR="006342E0" w:rsidRPr="00662262">
        <w:t>.</w:t>
      </w:r>
      <w:r w:rsidRPr="00662262">
        <w:t xml:space="preserve"> Study </w:t>
      </w:r>
      <w:r w:rsidR="00912B82" w:rsidRPr="00662262">
        <w:t>Population</w:t>
      </w:r>
    </w:p>
    <w:p w14:paraId="1DAE6A24" w14:textId="7CC54AFC" w:rsidR="00B520E2" w:rsidRPr="00662262" w:rsidRDefault="00B520E2" w:rsidP="00E510A9">
      <w:pPr>
        <w:pStyle w:val="MDPI31text"/>
      </w:pPr>
      <w:r w:rsidRPr="00662262">
        <w:t xml:space="preserve">Data was acquired from the GUSTO study. In summary, a total of 1247 pregnant women, aged 18 and above, were recruited between June 2009 and September 2010 from local hospitals during their antenatal clinic visits. The inclusion criteria were </w:t>
      </w:r>
      <w:r w:rsidR="005E7003">
        <w:t xml:space="preserve">that they were </w:t>
      </w:r>
      <w:r w:rsidRPr="00662262">
        <w:t>Singapore citizens or permanent residents having the intentions to reside locally for the next 5 years and delivering at either of the maternity units of the two local hospitals. Mothers also had to be of a homogenous parental Chinese, Malay or Indian ethnic background and willing to donate cord, cord blood and placenta after delivery. Women with type I diabetes mellitus or receiving any chemotherapy or psychotropic drugs were excluded. Written informed consent was obtained from all participants prior to the study. Further details of the recruitment process, cohort profile and data collection procedures of the GUSTO study have been published</w:t>
      </w:r>
      <w:r w:rsidR="00263418" w:rsidRPr="00662262">
        <w:t xml:space="preserve"> [1</w:t>
      </w:r>
      <w:r w:rsidR="00F6404E" w:rsidRPr="00662262">
        <w:t>2</w:t>
      </w:r>
      <w:r w:rsidR="00263418" w:rsidRPr="00662262">
        <w:t>]</w:t>
      </w:r>
      <w:r w:rsidRPr="00662262">
        <w:t xml:space="preserve">. </w:t>
      </w:r>
      <w:r w:rsidR="00B5353B" w:rsidRPr="00662262">
        <w:t>The study was approved by the National Healthcare Group Domain Specific Review Board (reference number D/09/021) and the SingHealth Centralized Institutional Review Board (reference number 2009/280/D).</w:t>
      </w:r>
    </w:p>
    <w:p w14:paraId="472AB215" w14:textId="421AFBE9" w:rsidR="00B520E2" w:rsidRPr="00662262" w:rsidRDefault="00AC34B2" w:rsidP="00E510A9">
      <w:pPr>
        <w:pStyle w:val="MDPI22heading2"/>
      </w:pPr>
      <w:r w:rsidRPr="00662262">
        <w:t>2.2</w:t>
      </w:r>
      <w:r w:rsidR="006342E0" w:rsidRPr="00662262">
        <w:t>.</w:t>
      </w:r>
      <w:r w:rsidR="00B520E2" w:rsidRPr="00662262">
        <w:t xml:space="preserve"> Maternal and </w:t>
      </w:r>
      <w:r w:rsidR="00912B82" w:rsidRPr="00662262">
        <w:t>Infant Characteristics</w:t>
      </w:r>
    </w:p>
    <w:p w14:paraId="4BFEA2A6" w14:textId="58831A9A" w:rsidR="00B520E2" w:rsidRPr="00662262" w:rsidRDefault="00B520E2" w:rsidP="00E510A9">
      <w:pPr>
        <w:pStyle w:val="MDPI31text"/>
      </w:pPr>
      <w:r w:rsidRPr="00662262">
        <w:t xml:space="preserve">Maternal socioeconomic characteristics such as ethnicity, education level and marital status were collected from participants during the recruitment phase at 12 weeks of gestation. Data on smoking or alcohol consumption status and pregnancy </w:t>
      </w:r>
      <w:r w:rsidR="005E7003">
        <w:t>body mass index (</w:t>
      </w:r>
      <w:r w:rsidRPr="00662262">
        <w:t>BMI</w:t>
      </w:r>
      <w:r w:rsidR="005E7003">
        <w:t>)</w:t>
      </w:r>
      <w:r w:rsidR="00317ED5" w:rsidRPr="00662262">
        <w:t xml:space="preserve"> at 26 weeks of gestation</w:t>
      </w:r>
      <w:r w:rsidRPr="00662262">
        <w:t xml:space="preserve"> were obtained during participants’ clinic visits between 26 to 28 weeks of gestation. Other characteristics such as infant gender, gestational age and parity were determined from birth records.</w:t>
      </w:r>
    </w:p>
    <w:p w14:paraId="02B29E0A" w14:textId="55847D67" w:rsidR="00B520E2" w:rsidRPr="00662262" w:rsidRDefault="00AC34B2" w:rsidP="00E510A9">
      <w:pPr>
        <w:pStyle w:val="MDPI22heading2"/>
      </w:pPr>
      <w:r w:rsidRPr="00662262">
        <w:t>2.3</w:t>
      </w:r>
      <w:r w:rsidR="006342E0" w:rsidRPr="00662262">
        <w:t>.</w:t>
      </w:r>
      <w:r w:rsidR="00B33DF0" w:rsidRPr="00662262">
        <w:t xml:space="preserve"> Infant Dietary A</w:t>
      </w:r>
      <w:r w:rsidR="00B520E2" w:rsidRPr="00662262">
        <w:t>ssessment</w:t>
      </w:r>
    </w:p>
    <w:p w14:paraId="7998C1C8" w14:textId="603F5A3F" w:rsidR="00F47C40" w:rsidRPr="00640AA8" w:rsidRDefault="00B520E2" w:rsidP="00E510A9">
      <w:pPr>
        <w:pStyle w:val="MDPI31text"/>
      </w:pPr>
      <w:r w:rsidRPr="00662262">
        <w:t>Prior to the postnatal clinic visits at 6, 9 and 12</w:t>
      </w:r>
      <w:r w:rsidR="005E7003">
        <w:t xml:space="preserve"> </w:t>
      </w:r>
      <w:r w:rsidRPr="00662262">
        <w:t>months, mothers were mailed a 3-day food diary to record their infant’s diet. A 24</w:t>
      </w:r>
      <w:r w:rsidR="00C51805" w:rsidRPr="00662262">
        <w:t xml:space="preserve"> h </w:t>
      </w:r>
      <w:r w:rsidRPr="00662262">
        <w:t>recall was administered by trained personnel to mothers who did not return the food diaries during postnatal clinic visits</w:t>
      </w:r>
      <w:r w:rsidR="00455285" w:rsidRPr="00662262">
        <w:t xml:space="preserve"> [1</w:t>
      </w:r>
      <w:r w:rsidR="00F6404E" w:rsidRPr="00662262">
        <w:t>3</w:t>
      </w:r>
      <w:r w:rsidR="00455285" w:rsidRPr="00662262">
        <w:t>]</w:t>
      </w:r>
      <w:r w:rsidRPr="00662262">
        <w:t xml:space="preserve">. </w:t>
      </w:r>
      <w:r w:rsidR="00F47C40" w:rsidRPr="00662262">
        <w:t xml:space="preserve">In order to have a 1-day dietary record for every infant, a 1-day record was randomly chosen from the 3-day food diaries (some of which were </w:t>
      </w:r>
      <w:r w:rsidR="00F47C40" w:rsidRPr="00640AA8">
        <w:t xml:space="preserve">completed for 1 or 2 days only). </w:t>
      </w:r>
      <w:r w:rsidR="00295D17" w:rsidRPr="00640AA8">
        <w:t>This is to allow for comparability with one 24</w:t>
      </w:r>
      <w:r w:rsidR="00C51805" w:rsidRPr="00640AA8">
        <w:t xml:space="preserve"> </w:t>
      </w:r>
      <w:r w:rsidR="00295D17" w:rsidRPr="00640AA8">
        <w:t xml:space="preserve">h recall conducted on mothers who did not return completed food diaries. </w:t>
      </w:r>
      <w:r w:rsidRPr="00640AA8">
        <w:t>Data from either the 24</w:t>
      </w:r>
      <w:r w:rsidR="00C51805" w:rsidRPr="00640AA8">
        <w:t xml:space="preserve"> h </w:t>
      </w:r>
      <w:r w:rsidR="00654200" w:rsidRPr="00640AA8">
        <w:t xml:space="preserve">dietary </w:t>
      </w:r>
      <w:r w:rsidRPr="00640AA8">
        <w:t xml:space="preserve">recalls </w:t>
      </w:r>
      <w:r w:rsidR="00654200" w:rsidRPr="00640AA8">
        <w:t>(n at 6, 9, 12 months: 483, 600, 506</w:t>
      </w:r>
      <w:r w:rsidR="005E7003" w:rsidRPr="00640AA8">
        <w:t>,</w:t>
      </w:r>
      <w:r w:rsidR="00654200" w:rsidRPr="00640AA8">
        <w:t xml:space="preserve"> respectively) </w:t>
      </w:r>
      <w:r w:rsidRPr="00640AA8">
        <w:t xml:space="preserve">or </w:t>
      </w:r>
      <w:r w:rsidR="00D71403" w:rsidRPr="00640AA8">
        <w:t xml:space="preserve">a </w:t>
      </w:r>
      <w:r w:rsidRPr="00640AA8">
        <w:t xml:space="preserve">1-day record from food diaries </w:t>
      </w:r>
      <w:r w:rsidR="00654200" w:rsidRPr="00640AA8">
        <w:t>(n at 6, 9, 12 months: 277, 293, 401</w:t>
      </w:r>
      <w:r w:rsidR="005E7003" w:rsidRPr="00640AA8">
        <w:t>,</w:t>
      </w:r>
      <w:r w:rsidR="00654200" w:rsidRPr="00640AA8">
        <w:t xml:space="preserve"> respectively) </w:t>
      </w:r>
      <w:r w:rsidRPr="00640AA8">
        <w:t>were used for dietary analyses to increase the sample size. A</w:t>
      </w:r>
      <w:r w:rsidR="00654200" w:rsidRPr="00640AA8">
        <w:t xml:space="preserve"> moderately</w:t>
      </w:r>
      <w:r w:rsidRPr="00640AA8">
        <w:t xml:space="preserve"> strong correlation (</w:t>
      </w:r>
      <w:r w:rsidR="00654200" w:rsidRPr="00640AA8">
        <w:t>overall mean r = 0.647</w:t>
      </w:r>
      <w:r w:rsidRPr="00640AA8">
        <w:t>) of the 1-day record with the two other days using a subset of infants with complete 3-day food diaries</w:t>
      </w:r>
      <w:r w:rsidR="00654200" w:rsidRPr="00640AA8">
        <w:t xml:space="preserve"> (n = 163)</w:t>
      </w:r>
      <w:r w:rsidRPr="00640AA8">
        <w:t xml:space="preserve"> has been previously established</w:t>
      </w:r>
      <w:r w:rsidR="00455285" w:rsidRPr="00640AA8">
        <w:t xml:space="preserve"> [1</w:t>
      </w:r>
      <w:r w:rsidR="00F6404E" w:rsidRPr="00640AA8">
        <w:t>4</w:t>
      </w:r>
      <w:r w:rsidR="00455285" w:rsidRPr="00640AA8">
        <w:t>]</w:t>
      </w:r>
      <w:r w:rsidRPr="00640AA8">
        <w:t>.</w:t>
      </w:r>
    </w:p>
    <w:p w14:paraId="1965900B" w14:textId="36C4A810" w:rsidR="00B520E2" w:rsidRPr="00662262" w:rsidRDefault="00B520E2" w:rsidP="00E510A9">
      <w:pPr>
        <w:pStyle w:val="MDPI31text"/>
      </w:pPr>
      <w:r w:rsidRPr="00640AA8">
        <w:t xml:space="preserve">Based on the type of milk consumed as recorded in the dietary records, infants were then assigned into </w:t>
      </w:r>
      <w:r w:rsidR="00243FDC" w:rsidRPr="00640AA8">
        <w:t>one of the three</w:t>
      </w:r>
      <w:r w:rsidR="00EA3F90" w:rsidRPr="00640AA8">
        <w:t xml:space="preserve"> milk</w:t>
      </w:r>
      <w:r w:rsidR="005E7003" w:rsidRPr="00640AA8">
        <w:t>-</w:t>
      </w:r>
      <w:r w:rsidR="00EA3F90" w:rsidRPr="00640AA8">
        <w:t>feed type</w:t>
      </w:r>
      <w:r w:rsidR="00EB3297" w:rsidRPr="00640AA8">
        <w:t>s</w:t>
      </w:r>
      <w:r w:rsidRPr="00640AA8">
        <w:t xml:space="preserve">: breast-fed, formula-fed and mixed fed at ages 6, 9 and 12 months. </w:t>
      </w:r>
      <w:r w:rsidR="00635CC3" w:rsidRPr="00640AA8">
        <w:t>A</w:t>
      </w:r>
      <w:r w:rsidR="00A16D8F" w:rsidRPr="00640AA8">
        <w:t>lmost a</w:t>
      </w:r>
      <w:r w:rsidR="00635CC3" w:rsidRPr="00640AA8">
        <w:t xml:space="preserve">ll </w:t>
      </w:r>
      <w:r w:rsidR="00401390" w:rsidRPr="00640AA8">
        <w:t xml:space="preserve">of </w:t>
      </w:r>
      <w:r w:rsidR="00635CC3" w:rsidRPr="00640AA8">
        <w:t>the infants, regardless of milk</w:t>
      </w:r>
      <w:r w:rsidR="005E7003" w:rsidRPr="00640AA8">
        <w:t>-</w:t>
      </w:r>
      <w:r w:rsidR="00635CC3" w:rsidRPr="00640AA8">
        <w:t>feed type, were</w:t>
      </w:r>
      <w:r w:rsidR="00635CC3" w:rsidRPr="00662262">
        <w:t xml:space="preserve"> given complementary foods. </w:t>
      </w:r>
      <w:r w:rsidRPr="00662262">
        <w:t>BF infants who were directly breastfed were assumed to consume total volumes of 780</w:t>
      </w:r>
      <w:r w:rsidR="00F5384F">
        <w:t xml:space="preserve"> </w:t>
      </w:r>
      <w:r w:rsidRPr="00662262">
        <w:t>m</w:t>
      </w:r>
      <w:r w:rsidR="00F5384F">
        <w:t>L</w:t>
      </w:r>
      <w:r w:rsidRPr="00662262">
        <w:t xml:space="preserve"> (6 months) and 600</w:t>
      </w:r>
      <w:r w:rsidR="00F5384F">
        <w:t xml:space="preserve"> </w:t>
      </w:r>
      <w:r w:rsidRPr="00662262">
        <w:t>m</w:t>
      </w:r>
      <w:r w:rsidR="00F5384F">
        <w:t>L</w:t>
      </w:r>
      <w:r w:rsidRPr="00662262">
        <w:t xml:space="preserve"> (9 and 12 months) per day </w:t>
      </w:r>
      <w:r w:rsidR="008E6810" w:rsidRPr="00662262">
        <w:t>as was done by a previous study</w:t>
      </w:r>
      <w:r w:rsidR="00455285" w:rsidRPr="00662262">
        <w:t xml:space="preserve"> [1</w:t>
      </w:r>
      <w:r w:rsidR="00F6404E" w:rsidRPr="00662262">
        <w:t>5</w:t>
      </w:r>
      <w:r w:rsidR="00455285" w:rsidRPr="00662262">
        <w:t>]</w:t>
      </w:r>
      <w:r w:rsidRPr="00662262">
        <w:t xml:space="preserve">. For mix-fed infants, </w:t>
      </w:r>
      <w:r w:rsidR="005E7003">
        <w:t xml:space="preserve">the </w:t>
      </w:r>
      <w:r w:rsidRPr="00662262">
        <w:t xml:space="preserve">volume of unmeasured breastmilk consumed was obtained by subtracting formula intake from these totals. Expressed breastmilk volumes were quantified based on actual volumes recorded. Nutrients derived from breastmilk at the respective age groups were estimated based on existing literature </w:t>
      </w:r>
      <w:r w:rsidR="00455285" w:rsidRPr="00662262">
        <w:t>[1</w:t>
      </w:r>
      <w:r w:rsidR="00F6404E" w:rsidRPr="00662262">
        <w:t>6</w:t>
      </w:r>
      <w:r w:rsidR="00455285" w:rsidRPr="00662262">
        <w:t>]</w:t>
      </w:r>
      <w:r w:rsidRPr="00662262">
        <w:t>. Nutrient analysis of foods consumed was performed using the nutrient analysis software, Dietplan 7 (Forest Field Software). The local food</w:t>
      </w:r>
      <w:r w:rsidR="0055467B">
        <w:t>-</w:t>
      </w:r>
      <w:r w:rsidRPr="00662262">
        <w:t>composition database was mainly used for the analysis of dietary records of this study, with modificati</w:t>
      </w:r>
      <w:r w:rsidR="008E6810" w:rsidRPr="00662262">
        <w:t xml:space="preserve">ons made </w:t>
      </w:r>
      <w:r w:rsidR="0055467B">
        <w:t xml:space="preserve">for </w:t>
      </w:r>
      <w:r w:rsidR="008E6810" w:rsidRPr="00662262">
        <w:t xml:space="preserve">inaccuracies found </w:t>
      </w:r>
      <w:r w:rsidR="00455285" w:rsidRPr="00662262">
        <w:t>[1</w:t>
      </w:r>
      <w:r w:rsidR="00F6404E" w:rsidRPr="00662262">
        <w:t>7</w:t>
      </w:r>
      <w:r w:rsidR="00455285" w:rsidRPr="00662262">
        <w:t>]</w:t>
      </w:r>
      <w:r w:rsidRPr="00662262">
        <w:t xml:space="preserve">. For mixed dishes unavailable in the local database, nutrient analyses of recipes were performed using the nutrient software. Nutrient information from food labels (especially of infant products) or the </w:t>
      </w:r>
      <w:r w:rsidR="0055467B" w:rsidRPr="0055467B">
        <w:t xml:space="preserve">United States Department of Agriculture </w:t>
      </w:r>
      <w:r w:rsidR="0055467B">
        <w:t>(</w:t>
      </w:r>
      <w:r w:rsidRPr="00662262">
        <w:t>USDA</w:t>
      </w:r>
      <w:r w:rsidR="0055467B">
        <w:t>)</w:t>
      </w:r>
      <w:r w:rsidRPr="00662262">
        <w:t xml:space="preserve"> national nutrient database was obtained for any other food items not found in the local database </w:t>
      </w:r>
      <w:r w:rsidR="00455285" w:rsidRPr="00662262">
        <w:t>[1</w:t>
      </w:r>
      <w:r w:rsidR="00F6404E" w:rsidRPr="00662262">
        <w:t>8</w:t>
      </w:r>
      <w:r w:rsidR="00455285" w:rsidRPr="00662262">
        <w:t>]</w:t>
      </w:r>
      <w:r w:rsidRPr="00662262">
        <w:t>.</w:t>
      </w:r>
    </w:p>
    <w:p w14:paraId="713F7A17" w14:textId="3ABB6B76" w:rsidR="00885054" w:rsidRPr="00662262" w:rsidRDefault="00B520E2" w:rsidP="00E510A9">
      <w:pPr>
        <w:pStyle w:val="MDPI31text"/>
      </w:pPr>
      <w:r w:rsidRPr="00662262">
        <w:lastRenderedPageBreak/>
        <w:t xml:space="preserve">Each food item was then assigned to one of the 72 sub-food groups within 18 food groups based on type of food or similarities in nutrient content, </w:t>
      </w:r>
      <w:r w:rsidR="0055467B">
        <w:t xml:space="preserve">which is </w:t>
      </w:r>
      <w:r w:rsidRPr="00662262">
        <w:t xml:space="preserve">conceptually similar to previous studies </w:t>
      </w:r>
      <w:r w:rsidR="00455285" w:rsidRPr="00662262">
        <w:t>[3,4]</w:t>
      </w:r>
      <w:r w:rsidRPr="00662262">
        <w:t xml:space="preserve"> </w:t>
      </w:r>
      <w:r w:rsidR="0055467B">
        <w:t xml:space="preserve">and </w:t>
      </w:r>
      <w:r w:rsidRPr="00662262">
        <w:t xml:space="preserve">was used to </w:t>
      </w:r>
      <w:r w:rsidR="00455285" w:rsidRPr="00662262">
        <w:t>categorize</w:t>
      </w:r>
      <w:r w:rsidRPr="00662262">
        <w:t xml:space="preserve"> the foods consumed locally (</w:t>
      </w:r>
      <w:r w:rsidRPr="00CD2634">
        <w:t xml:space="preserve">online Supplementary </w:t>
      </w:r>
      <w:r w:rsidR="00D76EE8" w:rsidRPr="00CD2634">
        <w:t>Table</w:t>
      </w:r>
      <w:r w:rsidRPr="00CD2634">
        <w:t xml:space="preserve"> S1</w:t>
      </w:r>
      <w:r w:rsidRPr="00662262">
        <w:t xml:space="preserve">). In this classification scheme, the cooking methods of several food items were specified as either boiled </w:t>
      </w:r>
      <w:r w:rsidR="0055467B">
        <w:t>and</w:t>
      </w:r>
      <w:r w:rsidR="00317ED5" w:rsidRPr="00662262">
        <w:t xml:space="preserve"> steamed </w:t>
      </w:r>
      <w:r w:rsidR="00885054" w:rsidRPr="00662262">
        <w:t xml:space="preserve">(healthier cooking methods; uses little or no oil) </w:t>
      </w:r>
      <w:r w:rsidRPr="00662262">
        <w:t>or deep-fried</w:t>
      </w:r>
      <w:r w:rsidR="00885054" w:rsidRPr="00662262">
        <w:t xml:space="preserve"> (less healthy cooking method; uses large amounts of oil)</w:t>
      </w:r>
      <w:r w:rsidRPr="00662262">
        <w:t>.</w:t>
      </w:r>
    </w:p>
    <w:p w14:paraId="2B3BA8E9" w14:textId="388E44B5" w:rsidR="00B520E2" w:rsidRPr="00662262" w:rsidRDefault="00B520E2" w:rsidP="00E510A9">
      <w:pPr>
        <w:pStyle w:val="MDPI31text"/>
      </w:pPr>
      <w:r w:rsidRPr="00662262">
        <w:t xml:space="preserve">Composite dishes, with the exception of infant products, were broken down into single food items for </w:t>
      </w:r>
      <w:r w:rsidR="00885054" w:rsidRPr="00662262">
        <w:t>categorization</w:t>
      </w:r>
      <w:r w:rsidRPr="00662262">
        <w:t>. The contribution of each food group to the total intake of energy and macronutrient was calculated stratified by milk</w:t>
      </w:r>
      <w:r w:rsidR="0055467B">
        <w:t>-</w:t>
      </w:r>
      <w:r w:rsidRPr="00662262">
        <w:t>feed group and time point using the population proportion formula as follows</w:t>
      </w:r>
      <w:r w:rsidRPr="00EE59D4">
        <w:rPr>
          <w:vertAlign w:val="superscript"/>
        </w:rPr>
        <w:t>#</w:t>
      </w:r>
      <w:r w:rsidRPr="00662262">
        <w:t xml:space="preserve"> </w:t>
      </w:r>
      <w:r w:rsidR="00455285" w:rsidRPr="00662262">
        <w:t>[</w:t>
      </w:r>
      <w:r w:rsidR="00734B42" w:rsidRPr="00662262">
        <w:t>19</w:t>
      </w:r>
      <w:r w:rsidR="00455285" w:rsidRPr="00662262">
        <w:t>]</w:t>
      </w:r>
      <w:r w:rsidRPr="00662262">
        <w:t xml:space="preserve">. </w:t>
      </w:r>
      <w:r w:rsidR="00D0194D" w:rsidRPr="00662262">
        <w:t xml:space="preserve">This method calculates the food sources contributing to energy and macronutrient on the group level. </w:t>
      </w:r>
      <w:r w:rsidR="002F6A10" w:rsidRPr="00662262">
        <w:t>In order to calculate the percentage contribution of each food group to energy, we first summed up the energy values of all food items under the same food group, which forms the numerator of the formula. Next, t</w:t>
      </w:r>
      <w:r w:rsidR="00D71403" w:rsidRPr="00662262">
        <w:t>he denominator of the formula was</w:t>
      </w:r>
      <w:r w:rsidR="002F6A10" w:rsidRPr="00662262">
        <w:t xml:space="preserve"> calculated by adding up the energy values contributed by all food items from all food groups. The same method was subsequently applied to calculate the percentage contribution of each food group to each of the macronutrient. </w:t>
      </w:r>
      <w:r w:rsidRPr="00662262">
        <w:t>Only the food contributions to energy and macronutrient intake</w:t>
      </w:r>
      <w:r w:rsidR="00F64B92">
        <w:t>s</w:t>
      </w:r>
      <w:r w:rsidRPr="00662262">
        <w:t xml:space="preserve"> of at least 1% were presented.</w:t>
      </w:r>
    </w:p>
    <w:p w14:paraId="2ACBC37E" w14:textId="3F10A57D" w:rsidR="008E6810" w:rsidRDefault="008E6810" w:rsidP="005A0A8F">
      <w:pPr>
        <w:pStyle w:val="MDPI31text"/>
      </w:pPr>
      <w:r w:rsidRPr="00700403">
        <w:rPr>
          <w:i/>
          <w:vertAlign w:val="superscript"/>
        </w:rPr>
        <w:t>#</w:t>
      </w:r>
      <w:r w:rsidR="00B33DF0" w:rsidRPr="005A0A8F">
        <w:rPr>
          <w:i/>
        </w:rPr>
        <w:t xml:space="preserve"> </w:t>
      </w:r>
      <w:r w:rsidRPr="005A0A8F">
        <w:t>Percentage contribution of each food group</w:t>
      </w:r>
      <w:r w:rsidRPr="00662262">
        <w:t xml:space="preserve"> (%) =</w:t>
      </w:r>
    </w:p>
    <w:tbl>
      <w:tblPr>
        <w:tblStyle w:val="TableGrid"/>
        <w:tblW w:w="486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2"/>
      </w:tblGrid>
      <w:tr w:rsidR="00F5384F" w:rsidRPr="00F5384F" w14:paraId="6BD107F5" w14:textId="77777777" w:rsidTr="00F5384F">
        <w:trPr>
          <w:jc w:val="center"/>
        </w:trPr>
        <w:tc>
          <w:tcPr>
            <w:tcW w:w="5000" w:type="pct"/>
          </w:tcPr>
          <w:p w14:paraId="7A9993EA" w14:textId="32693E1F" w:rsidR="00F5384F" w:rsidRPr="00F5384F" w:rsidRDefault="00665984" w:rsidP="00EE59D4">
            <w:pPr>
              <w:pStyle w:val="MDPI39equation"/>
              <w:ind w:left="0"/>
              <w:rPr>
                <w:szCs w:val="20"/>
              </w:rPr>
            </w:pPr>
            <m:oMathPara>
              <m:oMath>
                <m:f>
                  <m:fPr>
                    <m:ctrlPr>
                      <w:rPr>
                        <w:rFonts w:ascii="Cambria Math" w:hAnsi="Cambria Math"/>
                        <w:color w:val="auto"/>
                        <w:szCs w:val="20"/>
                      </w:rPr>
                    </m:ctrlPr>
                  </m:fPr>
                  <m:num>
                    <m:r>
                      <m:rPr>
                        <m:sty m:val="p"/>
                      </m:rPr>
                      <w:rPr>
                        <w:rFonts w:ascii="Cambria Math" w:hAnsi="Cambria Math"/>
                        <w:color w:val="auto"/>
                        <w:szCs w:val="20"/>
                      </w:rPr>
                      <m:t>Sum of a given energy or macronutrient for all individuals for each food group</m:t>
                    </m:r>
                  </m:num>
                  <m:den>
                    <m:r>
                      <m:rPr>
                        <m:sty m:val="p"/>
                      </m:rPr>
                      <w:rPr>
                        <w:rFonts w:ascii="Cambria Math" w:hAnsi="Cambria Math"/>
                        <w:color w:val="auto"/>
                        <w:szCs w:val="20"/>
                      </w:rPr>
                      <m:t xml:space="preserve">Total energy or macronutrient consumed by all individuals for all food groups </m:t>
                    </m:r>
                  </m:den>
                </m:f>
                <m:r>
                  <m:rPr>
                    <m:sty m:val="p"/>
                  </m:rPr>
                  <w:rPr>
                    <w:rFonts w:ascii="Cambria Math" w:hAnsi="Cambria Math"/>
                    <w:color w:val="auto"/>
                    <w:szCs w:val="20"/>
                  </w:rPr>
                  <m:t xml:space="preserve"> × 100</m:t>
                </m:r>
              </m:oMath>
            </m:oMathPara>
          </w:p>
        </w:tc>
      </w:tr>
    </w:tbl>
    <w:p w14:paraId="3152035B" w14:textId="77B2D0F2" w:rsidR="0081458D" w:rsidRPr="00662262" w:rsidRDefault="00B520E2" w:rsidP="00F5384F">
      <w:pPr>
        <w:pStyle w:val="MDPI31text"/>
      </w:pPr>
      <w:r w:rsidRPr="00662262">
        <w:t>Macronutrient intakes were expressed in terms of percentage contribution to total energy for each infant. Protein and total fat were taken to yield 4 and 9 kcal of energy per gram respectively. Carbohydrate intake was then calculated by subtracting the % protein and % total fat from 100</w:t>
      </w:r>
      <w:r w:rsidR="0055467B">
        <w:t>%</w:t>
      </w:r>
      <w:r w:rsidRPr="00662262">
        <w:t>.</w:t>
      </w:r>
    </w:p>
    <w:p w14:paraId="62172FA7" w14:textId="56F15733" w:rsidR="0081458D" w:rsidRPr="00662262" w:rsidRDefault="00B33DF0" w:rsidP="00DD304F">
      <w:pPr>
        <w:pStyle w:val="MDPI22heading2"/>
      </w:pPr>
      <w:r w:rsidRPr="00662262">
        <w:t>2.4. Statistical A</w:t>
      </w:r>
      <w:r w:rsidR="0081458D" w:rsidRPr="00662262">
        <w:t>nalysis</w:t>
      </w:r>
    </w:p>
    <w:p w14:paraId="2E8BF708" w14:textId="04D68DFA" w:rsidR="00B520E2" w:rsidRPr="00662262" w:rsidRDefault="00B520E2" w:rsidP="00DD304F">
      <w:pPr>
        <w:pStyle w:val="MDPI31text"/>
      </w:pPr>
      <w:r w:rsidRPr="00662262">
        <w:t xml:space="preserve">Group mean and standard deviation were then calculated for energy and energy-adjusted macronutrients (% of energy) for BF, FF and MF infants. </w:t>
      </w:r>
      <w:r w:rsidR="0055467B">
        <w:t>A o</w:t>
      </w:r>
      <w:r w:rsidRPr="00662262">
        <w:t xml:space="preserve">ne-way </w:t>
      </w:r>
      <w:r w:rsidR="0055467B">
        <w:t>a</w:t>
      </w:r>
      <w:r w:rsidRPr="00662262">
        <w:t xml:space="preserve">nalysis of </w:t>
      </w:r>
      <w:r w:rsidR="0055467B">
        <w:t>v</w:t>
      </w:r>
      <w:r w:rsidRPr="00662262">
        <w:t xml:space="preserve">ariance (ANOVA) test followed by post-hoc analysis with Bonferroni-corrected </w:t>
      </w:r>
      <w:r w:rsidRPr="00912B82">
        <w:rPr>
          <w:i/>
        </w:rPr>
        <w:t>p</w:t>
      </w:r>
      <w:r w:rsidRPr="00662262">
        <w:t xml:space="preserve">-values </w:t>
      </w:r>
      <w:r w:rsidR="00DE5100">
        <w:t xml:space="preserve">were </w:t>
      </w:r>
      <w:r w:rsidRPr="00662262">
        <w:t>used to assess differences in energy and macronutrient intakes among milk</w:t>
      </w:r>
      <w:r w:rsidR="00DE5100">
        <w:t>-</w:t>
      </w:r>
      <w:r w:rsidRPr="00662262">
        <w:t>feed groups.</w:t>
      </w:r>
      <w:r w:rsidR="00627B1F" w:rsidRPr="00662262">
        <w:t xml:space="preserve"> Due to the differing energy requirements between gender, we have also calculated group mean and standard deviation for each gender for all infants and infants by milk</w:t>
      </w:r>
      <w:r w:rsidR="00DE5100">
        <w:t>-</w:t>
      </w:r>
      <w:r w:rsidR="00627B1F" w:rsidRPr="00662262">
        <w:t>feed type.</w:t>
      </w:r>
    </w:p>
    <w:p w14:paraId="3DBE0CC7" w14:textId="05946975" w:rsidR="003B7223" w:rsidRPr="00640AA8" w:rsidRDefault="00DE5100" w:rsidP="00DD304F">
      <w:pPr>
        <w:pStyle w:val="MDPI31text"/>
      </w:pPr>
      <w:r>
        <w:t>A c</w:t>
      </w:r>
      <w:r w:rsidR="00031913" w:rsidRPr="00662262">
        <w:t xml:space="preserve">omparison of baseline maternal and infant characteristics including socio-economic factors of included and </w:t>
      </w:r>
      <w:r w:rsidR="00031913" w:rsidRPr="00640AA8">
        <w:t xml:space="preserve">excluded subjects for the cross sectional analyses was performed using Pearson’s chi-squared tests. </w:t>
      </w:r>
      <w:r w:rsidR="00B520E2" w:rsidRPr="00640AA8">
        <w:t>All statistical analyses were performed using IBM SPSS Statistics Version 20.0</w:t>
      </w:r>
      <w:r w:rsidR="00640AA8" w:rsidRPr="00640AA8">
        <w:t xml:space="preserve"> (IBM Corp., </w:t>
      </w:r>
      <w:r w:rsidR="00B520E2" w:rsidRPr="00640AA8">
        <w:t>Armonk, NY</w:t>
      </w:r>
      <w:r w:rsidR="00827963" w:rsidRPr="00640AA8">
        <w:t>, USA</w:t>
      </w:r>
      <w:r w:rsidR="00640AA8" w:rsidRPr="00640AA8">
        <w:t>)</w:t>
      </w:r>
      <w:r w:rsidR="00B520E2" w:rsidRPr="00640AA8">
        <w:t xml:space="preserve">. Statistical significance </w:t>
      </w:r>
      <w:r w:rsidRPr="00640AA8">
        <w:t xml:space="preserve">was </w:t>
      </w:r>
      <w:r w:rsidR="00B520E2" w:rsidRPr="00640AA8">
        <w:t xml:space="preserve">identified by 2-tailed </w:t>
      </w:r>
      <w:r w:rsidR="00B520E2" w:rsidRPr="00640AA8">
        <w:rPr>
          <w:i/>
        </w:rPr>
        <w:t>p</w:t>
      </w:r>
      <w:r w:rsidR="00B520E2" w:rsidRPr="00640AA8">
        <w:t>-values of less than 0.05.</w:t>
      </w:r>
    </w:p>
    <w:p w14:paraId="6E6FEF5E" w14:textId="77777777" w:rsidR="003B7223" w:rsidRPr="00662262" w:rsidRDefault="003B7223" w:rsidP="00DD304F">
      <w:pPr>
        <w:pStyle w:val="MDPI21heading1"/>
      </w:pPr>
      <w:r w:rsidRPr="00640AA8">
        <w:t>3. Results</w:t>
      </w:r>
    </w:p>
    <w:p w14:paraId="573ECA7B" w14:textId="7FD03DE3" w:rsidR="003B7223" w:rsidRPr="00640AA8" w:rsidRDefault="003B7223" w:rsidP="00DD304F">
      <w:pPr>
        <w:pStyle w:val="MDPI31text"/>
      </w:pPr>
      <w:r w:rsidRPr="00662262">
        <w:t xml:space="preserve">A total of 1176 </w:t>
      </w:r>
      <w:r w:rsidRPr="00640AA8">
        <w:t>infants were delivered</w:t>
      </w:r>
      <w:r w:rsidR="002D3019" w:rsidRPr="00640AA8">
        <w:t xml:space="preserve"> from the original cohort of 1247 </w:t>
      </w:r>
      <w:r w:rsidR="000A4E26" w:rsidRPr="00640AA8">
        <w:t>pregnan</w:t>
      </w:r>
      <w:r w:rsidR="002D3019" w:rsidRPr="00640AA8">
        <w:t>t women recruited</w:t>
      </w:r>
      <w:r w:rsidR="000A4E26" w:rsidRPr="00640AA8">
        <w:t xml:space="preserve"> [12]</w:t>
      </w:r>
      <w:r w:rsidRPr="00640AA8">
        <w:t xml:space="preserve">. Of these live </w:t>
      </w:r>
      <w:r w:rsidR="00BB5588" w:rsidRPr="00640AA8">
        <w:t xml:space="preserve">births, 1051 infants, who </w:t>
      </w:r>
      <w:r w:rsidRPr="00640AA8">
        <w:t xml:space="preserve">had available dietary data for at </w:t>
      </w:r>
      <w:r w:rsidR="00BB5588" w:rsidRPr="00640AA8">
        <w:t>least one of the 3 time points (</w:t>
      </w:r>
      <w:r w:rsidRPr="00640AA8">
        <w:t>6 months (n</w:t>
      </w:r>
      <w:r w:rsidR="00CD2634" w:rsidRPr="00640AA8">
        <w:t xml:space="preserve"> </w:t>
      </w:r>
      <w:r w:rsidRPr="00640AA8">
        <w:t>=</w:t>
      </w:r>
      <w:r w:rsidR="00CD2634" w:rsidRPr="00640AA8">
        <w:t xml:space="preserve"> </w:t>
      </w:r>
      <w:r w:rsidRPr="00640AA8">
        <w:t>760), 9 months (n</w:t>
      </w:r>
      <w:r w:rsidR="00CD2634" w:rsidRPr="00640AA8">
        <w:t xml:space="preserve"> </w:t>
      </w:r>
      <w:r w:rsidRPr="00640AA8">
        <w:t>=</w:t>
      </w:r>
      <w:r w:rsidR="00CD2634" w:rsidRPr="00640AA8">
        <w:t xml:space="preserve"> </w:t>
      </w:r>
      <w:r w:rsidRPr="00640AA8">
        <w:t>89</w:t>
      </w:r>
      <w:r w:rsidR="00BB5588" w:rsidRPr="00640AA8">
        <w:t>3) and 12 months of age (n</w:t>
      </w:r>
      <w:r w:rsidR="00CD2634" w:rsidRPr="00640AA8">
        <w:t xml:space="preserve"> </w:t>
      </w:r>
      <w:r w:rsidR="00BB5588" w:rsidRPr="00640AA8">
        <w:t>=</w:t>
      </w:r>
      <w:r w:rsidR="00CD2634" w:rsidRPr="00640AA8">
        <w:t xml:space="preserve"> </w:t>
      </w:r>
      <w:r w:rsidR="00BB5588" w:rsidRPr="00640AA8">
        <w:t xml:space="preserve">907)), </w:t>
      </w:r>
      <w:r w:rsidR="004F4B8B" w:rsidRPr="00640AA8">
        <w:t xml:space="preserve">were </w:t>
      </w:r>
      <w:r w:rsidR="000A4E26" w:rsidRPr="00640AA8">
        <w:t xml:space="preserve">included for this study </w:t>
      </w:r>
      <w:r w:rsidRPr="00640AA8">
        <w:t>(online Supplementary Figure S1).</w:t>
      </w:r>
    </w:p>
    <w:p w14:paraId="1EEAA8BA" w14:textId="4FE0A888" w:rsidR="003B7223" w:rsidRPr="00640AA8" w:rsidRDefault="003B7223" w:rsidP="00DD304F">
      <w:pPr>
        <w:pStyle w:val="MDPI22heading2"/>
      </w:pPr>
      <w:r w:rsidRPr="00640AA8">
        <w:t>3.1. Characteristics</w:t>
      </w:r>
      <w:r w:rsidR="00B33DF0" w:rsidRPr="00640AA8">
        <w:t xml:space="preserve"> of P</w:t>
      </w:r>
      <w:r w:rsidRPr="00640AA8">
        <w:t>articipants</w:t>
      </w:r>
    </w:p>
    <w:p w14:paraId="7C032CAF" w14:textId="0FE4AA36" w:rsidR="00195337" w:rsidRPr="00662262" w:rsidRDefault="003B7223" w:rsidP="00DD304F">
      <w:pPr>
        <w:pStyle w:val="MDPI31text"/>
        <w:rPr>
          <w:rFonts w:cstheme="minorBidi"/>
          <w:snapToGrid/>
        </w:rPr>
      </w:pPr>
      <w:r w:rsidRPr="00640AA8">
        <w:t xml:space="preserve">The maternal and infant characteristics of </w:t>
      </w:r>
      <w:r w:rsidR="00C62B02" w:rsidRPr="00640AA8">
        <w:t xml:space="preserve">the study population </w:t>
      </w:r>
      <w:r w:rsidRPr="00640AA8">
        <w:t xml:space="preserve">are tabulated in Table 1. In this sample of </w:t>
      </w:r>
      <w:r w:rsidR="00C62B02" w:rsidRPr="00640AA8">
        <w:t xml:space="preserve">included </w:t>
      </w:r>
      <w:r w:rsidRPr="00640AA8">
        <w:t>infants, there was a larger proportion of born to term (37</w:t>
      </w:r>
      <w:r w:rsidRPr="00662262">
        <w:t xml:space="preserve"> weeks) male infants, who were not the first child</w:t>
      </w:r>
      <w:r w:rsidR="001B5DB7">
        <w:t xml:space="preserve"> </w:t>
      </w:r>
      <w:r w:rsidRPr="00662262">
        <w:t xml:space="preserve">and were breast-fed for more than three months. A larger proportion </w:t>
      </w:r>
      <w:r w:rsidRPr="00662262">
        <w:lastRenderedPageBreak/>
        <w:t xml:space="preserve">of these infants were also born to mothers who were younger, were Chinese, had higher education and household income, were employed, had lower BMI at 26 weeks of pregnancy and who </w:t>
      </w:r>
      <w:r w:rsidR="00DE5100">
        <w:t xml:space="preserve">did </w:t>
      </w:r>
      <w:r w:rsidRPr="00662262">
        <w:t>not consume alcohol or smoke before and during pregnancy.</w:t>
      </w:r>
    </w:p>
    <w:p w14:paraId="2B57AB75" w14:textId="3CEC823C" w:rsidR="003B7223" w:rsidRPr="00662262" w:rsidRDefault="007242EB" w:rsidP="00DD304F">
      <w:pPr>
        <w:pStyle w:val="MDPI31text"/>
        <w:rPr>
          <w:rFonts w:cstheme="minorBidi"/>
          <w:snapToGrid/>
        </w:rPr>
      </w:pPr>
      <w:r w:rsidRPr="00662262">
        <w:rPr>
          <w:rFonts w:cstheme="minorBidi"/>
          <w:snapToGrid/>
        </w:rPr>
        <w:t xml:space="preserve">A comparison of the </w:t>
      </w:r>
      <w:r w:rsidRPr="00662262">
        <w:t>maternal and infant characteristics showed that included subjects tended have a full-term (37 weeks) infant, breast</w:t>
      </w:r>
      <w:r w:rsidR="00AB6CE5">
        <w:t>-</w:t>
      </w:r>
      <w:r w:rsidRPr="00662262">
        <w:t xml:space="preserve">fed for more than 3 months, </w:t>
      </w:r>
      <w:r w:rsidR="00DE5100">
        <w:t xml:space="preserve">were </w:t>
      </w:r>
      <w:r w:rsidRPr="00662262">
        <w:t>older, of a Chinese ethnicity, more highly educated, ha</w:t>
      </w:r>
      <w:r w:rsidR="00DE5100">
        <w:t>d</w:t>
      </w:r>
      <w:r w:rsidRPr="00662262">
        <w:t xml:space="preserve"> higher household income and were more likely to be non-smokers before pregnancy as compared to excluded subjects (Table 1).</w:t>
      </w:r>
    </w:p>
    <w:p w14:paraId="39CDBC6E" w14:textId="77777777" w:rsidR="00DD304F" w:rsidRPr="00662262" w:rsidRDefault="00DD304F">
      <w:pPr>
        <w:spacing w:line="240" w:lineRule="auto"/>
        <w:jc w:val="left"/>
        <w:rPr>
          <w:rFonts w:ascii="Palatino Linotype" w:hAnsi="Palatino Linotype" w:cstheme="minorBidi"/>
          <w:b/>
          <w:sz w:val="18"/>
          <w:szCs w:val="24"/>
          <w:lang w:bidi="en-US"/>
        </w:rPr>
      </w:pPr>
      <w:r w:rsidRPr="00662262">
        <w:rPr>
          <w:rFonts w:ascii="Palatino Linotype" w:hAnsi="Palatino Linotype"/>
          <w:b/>
          <w:szCs w:val="24"/>
        </w:rPr>
        <w:br w:type="page"/>
      </w:r>
    </w:p>
    <w:p w14:paraId="76F215F1" w14:textId="4DD2E5F8" w:rsidR="002F78E9" w:rsidRPr="00662262" w:rsidRDefault="002F78E9" w:rsidP="00DD304F">
      <w:pPr>
        <w:pStyle w:val="MDPI41tablecaption"/>
      </w:pPr>
      <w:r w:rsidRPr="00662262">
        <w:rPr>
          <w:b/>
          <w:szCs w:val="24"/>
        </w:rPr>
        <w:lastRenderedPageBreak/>
        <w:t xml:space="preserve">Table </w:t>
      </w:r>
      <w:r w:rsidR="00C040AB" w:rsidRPr="00662262">
        <w:rPr>
          <w:b/>
          <w:szCs w:val="24"/>
        </w:rPr>
        <w:t>1</w:t>
      </w:r>
      <w:r w:rsidR="00B33DF0" w:rsidRPr="00662262">
        <w:rPr>
          <w:b/>
          <w:szCs w:val="24"/>
        </w:rPr>
        <w:t>.</w:t>
      </w:r>
      <w:r w:rsidRPr="00662262">
        <w:rPr>
          <w:b/>
          <w:szCs w:val="24"/>
        </w:rPr>
        <w:t xml:space="preserve"> </w:t>
      </w:r>
      <w:r w:rsidRPr="00662262">
        <w:t xml:space="preserve">Comparison of maternal and infant characteristics of single birth infants with </w:t>
      </w:r>
      <w:r w:rsidR="00C276E4" w:rsidRPr="00662262">
        <w:t xml:space="preserve">at least 1 </w:t>
      </w:r>
      <w:r w:rsidRPr="00662262">
        <w:t>dietary record at 6, 9 or 12 months of age and those without</w:t>
      </w:r>
      <w:r w:rsidR="00C276E4" w:rsidRPr="00662262">
        <w:t xml:space="preserve"> any</w:t>
      </w:r>
      <w:r w:rsidRPr="00662262">
        <w:t>.</w:t>
      </w:r>
    </w:p>
    <w:tbl>
      <w:tblPr>
        <w:tblW w:w="5000" w:type="pct"/>
        <w:jc w:val="center"/>
        <w:tblLook w:val="04A0" w:firstRow="1" w:lastRow="0" w:firstColumn="1" w:lastColumn="0" w:noHBand="0" w:noVBand="1"/>
      </w:tblPr>
      <w:tblGrid>
        <w:gridCol w:w="3789"/>
        <w:gridCol w:w="1025"/>
        <w:gridCol w:w="1416"/>
        <w:gridCol w:w="1744"/>
        <w:gridCol w:w="870"/>
      </w:tblGrid>
      <w:tr w:rsidR="00CA7924" w:rsidRPr="00640AA8" w14:paraId="7881ADC8" w14:textId="77777777" w:rsidTr="00640AA8">
        <w:trPr>
          <w:jc w:val="center"/>
        </w:trPr>
        <w:tc>
          <w:tcPr>
            <w:tcW w:w="2091" w:type="pct"/>
            <w:vMerge w:val="restart"/>
            <w:tcBorders>
              <w:top w:val="single" w:sz="8" w:space="0" w:color="auto"/>
              <w:left w:val="nil"/>
              <w:bottom w:val="single" w:sz="4" w:space="0" w:color="000000"/>
              <w:right w:val="nil"/>
            </w:tcBorders>
            <w:shd w:val="clear" w:color="auto" w:fill="FFFFFF"/>
            <w:noWrap/>
            <w:vAlign w:val="center"/>
            <w:hideMark/>
          </w:tcPr>
          <w:p w14:paraId="4040A4E8" w14:textId="77777777" w:rsidR="002F78E9" w:rsidRPr="00640AA8" w:rsidRDefault="002F78E9" w:rsidP="00FE4DB7">
            <w:pPr>
              <w:adjustRightInd w:val="0"/>
              <w:snapToGrid w:val="0"/>
              <w:spacing w:line="240" w:lineRule="auto"/>
              <w:jc w:val="center"/>
              <w:rPr>
                <w:rFonts w:ascii="Palatino Linotype" w:hAnsi="Palatino Linotype"/>
                <w:b/>
                <w:bCs/>
                <w:color w:val="auto"/>
                <w:sz w:val="16"/>
                <w:szCs w:val="16"/>
              </w:rPr>
            </w:pPr>
            <w:r w:rsidRPr="00640AA8">
              <w:rPr>
                <w:rFonts w:ascii="Palatino Linotype" w:hAnsi="Palatino Linotype"/>
                <w:b/>
                <w:bCs/>
                <w:color w:val="auto"/>
                <w:sz w:val="16"/>
                <w:szCs w:val="16"/>
              </w:rPr>
              <w:t>Characteristics</w:t>
            </w:r>
          </w:p>
        </w:tc>
        <w:tc>
          <w:tcPr>
            <w:tcW w:w="532" w:type="pct"/>
            <w:tcBorders>
              <w:top w:val="single" w:sz="8" w:space="0" w:color="auto"/>
              <w:left w:val="nil"/>
              <w:bottom w:val="single" w:sz="4" w:space="0" w:color="auto"/>
              <w:right w:val="nil"/>
            </w:tcBorders>
            <w:shd w:val="clear" w:color="auto" w:fill="FFFFFF"/>
            <w:vAlign w:val="center"/>
            <w:hideMark/>
          </w:tcPr>
          <w:p w14:paraId="0B031BF2" w14:textId="6C217F6A" w:rsidR="002F78E9" w:rsidRPr="00640AA8" w:rsidRDefault="002F78E9" w:rsidP="00FE4DB7">
            <w:pPr>
              <w:adjustRightInd w:val="0"/>
              <w:snapToGrid w:val="0"/>
              <w:spacing w:line="240" w:lineRule="auto"/>
              <w:jc w:val="center"/>
              <w:rPr>
                <w:rFonts w:ascii="Palatino Linotype" w:hAnsi="Palatino Linotype"/>
                <w:b/>
                <w:bCs/>
                <w:color w:val="auto"/>
                <w:sz w:val="16"/>
                <w:szCs w:val="16"/>
              </w:rPr>
            </w:pPr>
            <w:r w:rsidRPr="00640AA8">
              <w:rPr>
                <w:rFonts w:ascii="Palatino Linotype" w:hAnsi="Palatino Linotype"/>
                <w:b/>
                <w:bCs/>
                <w:color w:val="auto"/>
                <w:sz w:val="16"/>
                <w:szCs w:val="16"/>
              </w:rPr>
              <w:t xml:space="preserve">Total </w:t>
            </w:r>
            <w:r w:rsidR="000B427B" w:rsidRPr="00640AA8">
              <w:rPr>
                <w:rFonts w:ascii="Palatino Linotype" w:hAnsi="Palatino Linotype"/>
                <w:b/>
                <w:bCs/>
                <w:color w:val="auto"/>
                <w:sz w:val="16"/>
                <w:szCs w:val="16"/>
              </w:rPr>
              <w:t>Study Population</w:t>
            </w:r>
          </w:p>
        </w:tc>
        <w:tc>
          <w:tcPr>
            <w:tcW w:w="856" w:type="pct"/>
            <w:tcBorders>
              <w:top w:val="single" w:sz="8" w:space="0" w:color="auto"/>
              <w:left w:val="nil"/>
              <w:bottom w:val="single" w:sz="4" w:space="0" w:color="auto"/>
              <w:right w:val="nil"/>
            </w:tcBorders>
            <w:shd w:val="clear" w:color="auto" w:fill="FFFFFF"/>
            <w:vAlign w:val="center"/>
            <w:hideMark/>
          </w:tcPr>
          <w:p w14:paraId="1153C738" w14:textId="18155ECD" w:rsidR="002F78E9" w:rsidRPr="00640AA8" w:rsidRDefault="002F78E9" w:rsidP="00FE4DB7">
            <w:pPr>
              <w:adjustRightInd w:val="0"/>
              <w:snapToGrid w:val="0"/>
              <w:spacing w:line="240" w:lineRule="auto"/>
              <w:jc w:val="center"/>
              <w:rPr>
                <w:rFonts w:ascii="Palatino Linotype" w:hAnsi="Palatino Linotype"/>
                <w:b/>
                <w:bCs/>
                <w:color w:val="auto"/>
                <w:sz w:val="16"/>
                <w:szCs w:val="16"/>
              </w:rPr>
            </w:pPr>
            <w:r w:rsidRPr="00640AA8">
              <w:rPr>
                <w:rFonts w:ascii="Palatino Linotype" w:hAnsi="Palatino Linotype"/>
                <w:b/>
                <w:bCs/>
                <w:color w:val="auto"/>
                <w:sz w:val="16"/>
                <w:szCs w:val="16"/>
              </w:rPr>
              <w:t xml:space="preserve">Completed at </w:t>
            </w:r>
            <w:r w:rsidR="000B427B" w:rsidRPr="00640AA8">
              <w:rPr>
                <w:rFonts w:ascii="Palatino Linotype" w:hAnsi="Palatino Linotype"/>
                <w:b/>
                <w:bCs/>
                <w:color w:val="auto"/>
                <w:sz w:val="16"/>
                <w:szCs w:val="16"/>
              </w:rPr>
              <w:t xml:space="preserve">Least </w:t>
            </w:r>
            <w:r w:rsidRPr="00640AA8">
              <w:rPr>
                <w:rFonts w:ascii="Palatino Linotype" w:hAnsi="Palatino Linotype"/>
                <w:b/>
                <w:bCs/>
                <w:color w:val="auto"/>
                <w:sz w:val="16"/>
                <w:szCs w:val="16"/>
              </w:rPr>
              <w:t xml:space="preserve">a </w:t>
            </w:r>
            <w:r w:rsidR="000B427B" w:rsidRPr="00640AA8">
              <w:rPr>
                <w:rFonts w:ascii="Palatino Linotype" w:hAnsi="Palatino Linotype"/>
                <w:b/>
                <w:bCs/>
                <w:color w:val="auto"/>
                <w:sz w:val="16"/>
                <w:szCs w:val="16"/>
              </w:rPr>
              <w:t>Single</w:t>
            </w:r>
            <w:r w:rsidRPr="00640AA8">
              <w:rPr>
                <w:rFonts w:ascii="Palatino Linotype" w:hAnsi="Palatino Linotype"/>
                <w:b/>
                <w:bCs/>
                <w:color w:val="auto"/>
                <w:sz w:val="16"/>
                <w:szCs w:val="16"/>
              </w:rPr>
              <w:t>-</w:t>
            </w:r>
            <w:r w:rsidR="000B427B" w:rsidRPr="00640AA8">
              <w:rPr>
                <w:rFonts w:ascii="Palatino Linotype" w:hAnsi="Palatino Linotype"/>
                <w:b/>
                <w:bCs/>
                <w:color w:val="auto"/>
                <w:sz w:val="16"/>
                <w:szCs w:val="16"/>
              </w:rPr>
              <w:t xml:space="preserve">Day Dietary Record </w:t>
            </w:r>
            <w:r w:rsidRPr="00640AA8">
              <w:rPr>
                <w:rFonts w:ascii="Palatino Linotype" w:hAnsi="Palatino Linotype"/>
                <w:b/>
                <w:bCs/>
                <w:color w:val="auto"/>
                <w:sz w:val="16"/>
                <w:szCs w:val="16"/>
              </w:rPr>
              <w:t xml:space="preserve">at 6, 9 and/or </w:t>
            </w:r>
            <w:r w:rsidR="00FE4DB7" w:rsidRPr="00640AA8">
              <w:rPr>
                <w:rFonts w:ascii="Palatino Linotype" w:hAnsi="Palatino Linotype"/>
                <w:b/>
                <w:bCs/>
                <w:color w:val="auto"/>
                <w:sz w:val="16"/>
                <w:szCs w:val="16"/>
              </w:rPr>
              <w:br/>
            </w:r>
            <w:r w:rsidRPr="00640AA8">
              <w:rPr>
                <w:rFonts w:ascii="Palatino Linotype" w:hAnsi="Palatino Linotype"/>
                <w:b/>
                <w:bCs/>
                <w:color w:val="auto"/>
                <w:sz w:val="16"/>
                <w:szCs w:val="16"/>
              </w:rPr>
              <w:t xml:space="preserve">12 </w:t>
            </w:r>
            <w:r w:rsidR="000B427B" w:rsidRPr="00640AA8">
              <w:rPr>
                <w:rFonts w:ascii="Palatino Linotype" w:hAnsi="Palatino Linotype"/>
                <w:b/>
                <w:bCs/>
                <w:color w:val="auto"/>
                <w:sz w:val="16"/>
                <w:szCs w:val="16"/>
              </w:rPr>
              <w:t>Months</w:t>
            </w:r>
          </w:p>
        </w:tc>
        <w:tc>
          <w:tcPr>
            <w:tcW w:w="1041" w:type="pct"/>
            <w:tcBorders>
              <w:top w:val="single" w:sz="8" w:space="0" w:color="auto"/>
              <w:left w:val="nil"/>
              <w:bottom w:val="single" w:sz="4" w:space="0" w:color="auto"/>
              <w:right w:val="nil"/>
            </w:tcBorders>
            <w:shd w:val="clear" w:color="auto" w:fill="FFFFFF"/>
            <w:vAlign w:val="center"/>
            <w:hideMark/>
          </w:tcPr>
          <w:p w14:paraId="560E5A94" w14:textId="18F64E01" w:rsidR="002F78E9" w:rsidRPr="00640AA8" w:rsidRDefault="002F78E9" w:rsidP="00FE4DB7">
            <w:pPr>
              <w:adjustRightInd w:val="0"/>
              <w:snapToGrid w:val="0"/>
              <w:spacing w:line="240" w:lineRule="auto"/>
              <w:jc w:val="center"/>
              <w:rPr>
                <w:rFonts w:ascii="Palatino Linotype" w:hAnsi="Palatino Linotype"/>
                <w:b/>
                <w:bCs/>
                <w:color w:val="auto"/>
                <w:sz w:val="16"/>
                <w:szCs w:val="16"/>
              </w:rPr>
            </w:pPr>
            <w:r w:rsidRPr="00640AA8">
              <w:rPr>
                <w:rFonts w:ascii="Palatino Linotype" w:hAnsi="Palatino Linotype"/>
                <w:b/>
                <w:bCs/>
                <w:color w:val="auto"/>
                <w:sz w:val="16"/>
                <w:szCs w:val="16"/>
              </w:rPr>
              <w:t xml:space="preserve">Did </w:t>
            </w:r>
            <w:r w:rsidR="000B427B" w:rsidRPr="00640AA8">
              <w:rPr>
                <w:rFonts w:ascii="Palatino Linotype" w:hAnsi="Palatino Linotype"/>
                <w:b/>
                <w:bCs/>
                <w:color w:val="auto"/>
                <w:sz w:val="16"/>
                <w:szCs w:val="16"/>
              </w:rPr>
              <w:t>Not Complete Any Single</w:t>
            </w:r>
            <w:r w:rsidRPr="00640AA8">
              <w:rPr>
                <w:rFonts w:ascii="Palatino Linotype" w:hAnsi="Palatino Linotype"/>
                <w:b/>
                <w:bCs/>
                <w:color w:val="auto"/>
                <w:sz w:val="16"/>
                <w:szCs w:val="16"/>
              </w:rPr>
              <w:t>-</w:t>
            </w:r>
            <w:r w:rsidR="000B427B" w:rsidRPr="00640AA8">
              <w:rPr>
                <w:rFonts w:ascii="Palatino Linotype" w:hAnsi="Palatino Linotype"/>
                <w:b/>
                <w:bCs/>
                <w:color w:val="auto"/>
                <w:sz w:val="16"/>
                <w:szCs w:val="16"/>
              </w:rPr>
              <w:t xml:space="preserve">Day Dietary Record </w:t>
            </w:r>
            <w:r w:rsidRPr="00640AA8">
              <w:rPr>
                <w:rFonts w:ascii="Palatino Linotype" w:hAnsi="Palatino Linotype"/>
                <w:b/>
                <w:bCs/>
                <w:color w:val="auto"/>
                <w:sz w:val="16"/>
                <w:szCs w:val="16"/>
              </w:rPr>
              <w:t xml:space="preserve">at 6, 9 and 12 </w:t>
            </w:r>
            <w:r w:rsidR="000B427B" w:rsidRPr="00640AA8">
              <w:rPr>
                <w:rFonts w:ascii="Palatino Linotype" w:hAnsi="Palatino Linotype"/>
                <w:b/>
                <w:bCs/>
                <w:color w:val="auto"/>
                <w:sz w:val="16"/>
                <w:szCs w:val="16"/>
              </w:rPr>
              <w:t>Months</w:t>
            </w:r>
          </w:p>
        </w:tc>
        <w:tc>
          <w:tcPr>
            <w:tcW w:w="480" w:type="pct"/>
            <w:vMerge w:val="restart"/>
            <w:tcBorders>
              <w:top w:val="single" w:sz="8" w:space="0" w:color="auto"/>
              <w:left w:val="nil"/>
              <w:bottom w:val="single" w:sz="4" w:space="0" w:color="000000"/>
              <w:right w:val="nil"/>
            </w:tcBorders>
            <w:shd w:val="clear" w:color="auto" w:fill="FFFFFF"/>
            <w:noWrap/>
            <w:vAlign w:val="center"/>
            <w:hideMark/>
          </w:tcPr>
          <w:p w14:paraId="7FB5B22F" w14:textId="587F11C8" w:rsidR="002F78E9" w:rsidRPr="00640AA8" w:rsidRDefault="00DD304F" w:rsidP="00FE4DB7">
            <w:pPr>
              <w:adjustRightInd w:val="0"/>
              <w:snapToGrid w:val="0"/>
              <w:spacing w:line="240" w:lineRule="auto"/>
              <w:jc w:val="center"/>
              <w:rPr>
                <w:rFonts w:ascii="Palatino Linotype" w:hAnsi="Palatino Linotype"/>
                <w:b/>
                <w:bCs/>
                <w:color w:val="auto"/>
                <w:sz w:val="16"/>
                <w:szCs w:val="16"/>
              </w:rPr>
            </w:pPr>
            <w:r w:rsidRPr="00640AA8">
              <w:rPr>
                <w:rFonts w:ascii="Palatino Linotype" w:hAnsi="Palatino Linotype"/>
                <w:b/>
                <w:bCs/>
                <w:i/>
                <w:color w:val="auto"/>
                <w:sz w:val="16"/>
                <w:szCs w:val="16"/>
              </w:rPr>
              <w:t>p</w:t>
            </w:r>
            <w:r w:rsidR="002F78E9" w:rsidRPr="00640AA8">
              <w:rPr>
                <w:rFonts w:ascii="Palatino Linotype" w:hAnsi="Palatino Linotype"/>
                <w:b/>
                <w:bCs/>
                <w:color w:val="auto"/>
                <w:sz w:val="16"/>
                <w:szCs w:val="16"/>
              </w:rPr>
              <w:t>-value</w:t>
            </w:r>
            <w:r w:rsidRPr="00640AA8">
              <w:rPr>
                <w:rFonts w:ascii="Palatino Linotype" w:hAnsi="Palatino Linotype"/>
                <w:b/>
                <w:bCs/>
                <w:color w:val="auto"/>
                <w:sz w:val="16"/>
                <w:szCs w:val="16"/>
              </w:rPr>
              <w:t xml:space="preserve"> </w:t>
            </w:r>
            <w:r w:rsidR="002F78E9" w:rsidRPr="00640AA8">
              <w:rPr>
                <w:rFonts w:ascii="Palatino Linotype" w:hAnsi="Palatino Linotype"/>
                <w:b/>
                <w:bCs/>
                <w:color w:val="auto"/>
                <w:sz w:val="16"/>
                <w:szCs w:val="16"/>
              </w:rPr>
              <w:t>*</w:t>
            </w:r>
          </w:p>
        </w:tc>
      </w:tr>
      <w:tr w:rsidR="00CA7924" w:rsidRPr="00640AA8" w14:paraId="50967702" w14:textId="77777777" w:rsidTr="00640AA8">
        <w:trPr>
          <w:jc w:val="center"/>
        </w:trPr>
        <w:tc>
          <w:tcPr>
            <w:tcW w:w="2091" w:type="pct"/>
            <w:vMerge/>
            <w:tcBorders>
              <w:top w:val="nil"/>
              <w:left w:val="nil"/>
              <w:bottom w:val="single" w:sz="4" w:space="0" w:color="000000"/>
              <w:right w:val="nil"/>
            </w:tcBorders>
            <w:vAlign w:val="center"/>
            <w:hideMark/>
          </w:tcPr>
          <w:p w14:paraId="21F4C379" w14:textId="77777777" w:rsidR="002F78E9" w:rsidRPr="00640AA8" w:rsidRDefault="002F78E9" w:rsidP="00FE4DB7">
            <w:pPr>
              <w:adjustRightInd w:val="0"/>
              <w:snapToGrid w:val="0"/>
              <w:spacing w:line="240" w:lineRule="auto"/>
              <w:jc w:val="center"/>
              <w:rPr>
                <w:rFonts w:ascii="Palatino Linotype" w:hAnsi="Palatino Linotype"/>
                <w:b/>
                <w:bCs/>
                <w:color w:val="auto"/>
                <w:sz w:val="16"/>
                <w:szCs w:val="16"/>
              </w:rPr>
            </w:pPr>
          </w:p>
        </w:tc>
        <w:tc>
          <w:tcPr>
            <w:tcW w:w="532" w:type="pct"/>
            <w:tcBorders>
              <w:top w:val="nil"/>
              <w:left w:val="nil"/>
              <w:bottom w:val="single" w:sz="4" w:space="0" w:color="auto"/>
              <w:right w:val="nil"/>
            </w:tcBorders>
            <w:shd w:val="clear" w:color="auto" w:fill="FFFFFF"/>
            <w:noWrap/>
            <w:vAlign w:val="center"/>
            <w:hideMark/>
          </w:tcPr>
          <w:p w14:paraId="45FBCF80" w14:textId="63491145" w:rsidR="002F78E9" w:rsidRPr="00640AA8" w:rsidRDefault="002E22C3" w:rsidP="00FE4DB7">
            <w:pPr>
              <w:adjustRightInd w:val="0"/>
              <w:snapToGrid w:val="0"/>
              <w:spacing w:line="240" w:lineRule="auto"/>
              <w:jc w:val="center"/>
              <w:rPr>
                <w:rFonts w:ascii="Palatino Linotype" w:hAnsi="Palatino Linotype"/>
                <w:b/>
                <w:bCs/>
                <w:color w:val="auto"/>
                <w:sz w:val="16"/>
                <w:szCs w:val="16"/>
              </w:rPr>
            </w:pPr>
            <w:r>
              <w:rPr>
                <w:rFonts w:ascii="Palatino Linotype" w:hAnsi="Palatino Linotype"/>
                <w:b/>
                <w:bCs/>
                <w:color w:val="auto"/>
                <w:sz w:val="16"/>
                <w:szCs w:val="16"/>
              </w:rPr>
              <w:t>n</w:t>
            </w:r>
            <w:r w:rsidRPr="00640AA8">
              <w:rPr>
                <w:rFonts w:ascii="Palatino Linotype" w:hAnsi="Palatino Linotype"/>
                <w:b/>
                <w:bCs/>
                <w:color w:val="auto"/>
                <w:sz w:val="16"/>
                <w:szCs w:val="16"/>
              </w:rPr>
              <w:t xml:space="preserve"> </w:t>
            </w:r>
            <w:r w:rsidR="002F78E9" w:rsidRPr="00640AA8">
              <w:rPr>
                <w:rFonts w:ascii="Palatino Linotype" w:hAnsi="Palatino Linotype"/>
                <w:b/>
                <w:bCs/>
                <w:color w:val="auto"/>
                <w:sz w:val="16"/>
                <w:szCs w:val="16"/>
              </w:rPr>
              <w:t xml:space="preserve">(%) </w:t>
            </w:r>
            <w:r w:rsidR="002F78E9" w:rsidRPr="00640AA8">
              <w:rPr>
                <w:rFonts w:ascii="Palatino Linotype" w:hAnsi="Palatino Linotype"/>
                <w:b/>
                <w:bCs/>
                <w:color w:val="auto"/>
                <w:sz w:val="16"/>
                <w:szCs w:val="16"/>
                <w:vertAlign w:val="superscript"/>
              </w:rPr>
              <w:t>1</w:t>
            </w:r>
          </w:p>
        </w:tc>
        <w:tc>
          <w:tcPr>
            <w:tcW w:w="856" w:type="pct"/>
            <w:tcBorders>
              <w:top w:val="nil"/>
              <w:left w:val="nil"/>
              <w:bottom w:val="single" w:sz="4" w:space="0" w:color="auto"/>
              <w:right w:val="nil"/>
            </w:tcBorders>
            <w:shd w:val="clear" w:color="auto" w:fill="FFFFFF"/>
            <w:noWrap/>
            <w:vAlign w:val="center"/>
            <w:hideMark/>
          </w:tcPr>
          <w:p w14:paraId="68543378" w14:textId="7BCF1A9C" w:rsidR="002F78E9" w:rsidRPr="00640AA8" w:rsidRDefault="002E22C3" w:rsidP="00FE4DB7">
            <w:pPr>
              <w:adjustRightInd w:val="0"/>
              <w:snapToGrid w:val="0"/>
              <w:spacing w:line="240" w:lineRule="auto"/>
              <w:jc w:val="center"/>
              <w:rPr>
                <w:rFonts w:ascii="Palatino Linotype" w:hAnsi="Palatino Linotype"/>
                <w:b/>
                <w:bCs/>
                <w:color w:val="auto"/>
                <w:sz w:val="16"/>
                <w:szCs w:val="16"/>
              </w:rPr>
            </w:pPr>
            <w:r>
              <w:rPr>
                <w:rFonts w:ascii="Palatino Linotype" w:hAnsi="Palatino Linotype"/>
                <w:b/>
                <w:bCs/>
                <w:color w:val="auto"/>
                <w:sz w:val="16"/>
                <w:szCs w:val="16"/>
              </w:rPr>
              <w:t>n</w:t>
            </w:r>
            <w:r w:rsidRPr="00640AA8">
              <w:rPr>
                <w:rFonts w:ascii="Palatino Linotype" w:hAnsi="Palatino Linotype"/>
                <w:b/>
                <w:bCs/>
                <w:color w:val="auto"/>
                <w:sz w:val="16"/>
                <w:szCs w:val="16"/>
              </w:rPr>
              <w:t xml:space="preserve"> </w:t>
            </w:r>
            <w:r w:rsidR="002F78E9" w:rsidRPr="00640AA8">
              <w:rPr>
                <w:rFonts w:ascii="Palatino Linotype" w:hAnsi="Palatino Linotype"/>
                <w:b/>
                <w:bCs/>
                <w:color w:val="auto"/>
                <w:sz w:val="16"/>
                <w:szCs w:val="16"/>
              </w:rPr>
              <w:t xml:space="preserve">(%) </w:t>
            </w:r>
            <w:r w:rsidR="002F78E9" w:rsidRPr="00640AA8">
              <w:rPr>
                <w:rFonts w:ascii="Palatino Linotype" w:hAnsi="Palatino Linotype"/>
                <w:b/>
                <w:bCs/>
                <w:color w:val="auto"/>
                <w:sz w:val="16"/>
                <w:szCs w:val="16"/>
                <w:vertAlign w:val="superscript"/>
              </w:rPr>
              <w:t>1</w:t>
            </w:r>
          </w:p>
        </w:tc>
        <w:tc>
          <w:tcPr>
            <w:tcW w:w="1041" w:type="pct"/>
            <w:tcBorders>
              <w:top w:val="nil"/>
              <w:left w:val="nil"/>
              <w:bottom w:val="single" w:sz="4" w:space="0" w:color="auto"/>
              <w:right w:val="nil"/>
            </w:tcBorders>
            <w:shd w:val="clear" w:color="auto" w:fill="FFFFFF"/>
            <w:noWrap/>
            <w:vAlign w:val="center"/>
            <w:hideMark/>
          </w:tcPr>
          <w:p w14:paraId="014777DC" w14:textId="533CCB4E" w:rsidR="002F78E9" w:rsidRPr="00640AA8" w:rsidRDefault="002E22C3" w:rsidP="00FE4DB7">
            <w:pPr>
              <w:adjustRightInd w:val="0"/>
              <w:snapToGrid w:val="0"/>
              <w:spacing w:line="240" w:lineRule="auto"/>
              <w:jc w:val="center"/>
              <w:rPr>
                <w:rFonts w:ascii="Palatino Linotype" w:hAnsi="Palatino Linotype"/>
                <w:b/>
                <w:bCs/>
                <w:color w:val="auto"/>
                <w:sz w:val="16"/>
                <w:szCs w:val="16"/>
              </w:rPr>
            </w:pPr>
            <w:r>
              <w:rPr>
                <w:rFonts w:ascii="Palatino Linotype" w:hAnsi="Palatino Linotype"/>
                <w:b/>
                <w:bCs/>
                <w:color w:val="auto"/>
                <w:sz w:val="16"/>
                <w:szCs w:val="16"/>
              </w:rPr>
              <w:t>n</w:t>
            </w:r>
            <w:r w:rsidRPr="00640AA8">
              <w:rPr>
                <w:rFonts w:ascii="Palatino Linotype" w:hAnsi="Palatino Linotype"/>
                <w:b/>
                <w:bCs/>
                <w:color w:val="auto"/>
                <w:sz w:val="16"/>
                <w:szCs w:val="16"/>
              </w:rPr>
              <w:t xml:space="preserve"> </w:t>
            </w:r>
            <w:r w:rsidR="002F78E9" w:rsidRPr="00640AA8">
              <w:rPr>
                <w:rFonts w:ascii="Palatino Linotype" w:hAnsi="Palatino Linotype"/>
                <w:b/>
                <w:bCs/>
                <w:color w:val="auto"/>
                <w:sz w:val="16"/>
                <w:szCs w:val="16"/>
              </w:rPr>
              <w:t xml:space="preserve">(%) </w:t>
            </w:r>
            <w:r w:rsidR="002F78E9" w:rsidRPr="00640AA8">
              <w:rPr>
                <w:rFonts w:ascii="Palatino Linotype" w:hAnsi="Palatino Linotype"/>
                <w:b/>
                <w:bCs/>
                <w:color w:val="auto"/>
                <w:sz w:val="16"/>
                <w:szCs w:val="16"/>
                <w:vertAlign w:val="superscript"/>
              </w:rPr>
              <w:t>1</w:t>
            </w:r>
          </w:p>
        </w:tc>
        <w:tc>
          <w:tcPr>
            <w:tcW w:w="480" w:type="pct"/>
            <w:vMerge/>
            <w:tcBorders>
              <w:top w:val="nil"/>
              <w:left w:val="nil"/>
              <w:bottom w:val="single" w:sz="4" w:space="0" w:color="000000"/>
              <w:right w:val="nil"/>
            </w:tcBorders>
            <w:vAlign w:val="center"/>
            <w:hideMark/>
          </w:tcPr>
          <w:p w14:paraId="2DCDF0AA" w14:textId="77777777" w:rsidR="002F78E9" w:rsidRPr="00640AA8" w:rsidRDefault="002F78E9" w:rsidP="00FE4DB7">
            <w:pPr>
              <w:adjustRightInd w:val="0"/>
              <w:snapToGrid w:val="0"/>
              <w:spacing w:line="240" w:lineRule="auto"/>
              <w:jc w:val="center"/>
              <w:rPr>
                <w:rFonts w:ascii="Palatino Linotype" w:hAnsi="Palatino Linotype"/>
                <w:b/>
                <w:bCs/>
                <w:color w:val="auto"/>
                <w:sz w:val="16"/>
                <w:szCs w:val="16"/>
              </w:rPr>
            </w:pPr>
          </w:p>
        </w:tc>
      </w:tr>
      <w:tr w:rsidR="00C51805" w:rsidRPr="00640AA8" w14:paraId="0AD4937C" w14:textId="77777777" w:rsidTr="00640AA8">
        <w:trPr>
          <w:jc w:val="center"/>
        </w:trPr>
        <w:tc>
          <w:tcPr>
            <w:tcW w:w="5000" w:type="pct"/>
            <w:gridSpan w:val="5"/>
            <w:tcBorders>
              <w:top w:val="single" w:sz="4" w:space="0" w:color="auto"/>
              <w:left w:val="nil"/>
              <w:bottom w:val="single" w:sz="4" w:space="0" w:color="auto"/>
              <w:right w:val="nil"/>
            </w:tcBorders>
            <w:shd w:val="clear" w:color="auto" w:fill="FFFFFF"/>
            <w:noWrap/>
            <w:vAlign w:val="center"/>
            <w:hideMark/>
          </w:tcPr>
          <w:p w14:paraId="3760777C" w14:textId="77777777" w:rsidR="002F78E9" w:rsidRPr="00ED0ECD" w:rsidRDefault="002F78E9" w:rsidP="00FE4DB7">
            <w:pPr>
              <w:adjustRightInd w:val="0"/>
              <w:snapToGrid w:val="0"/>
              <w:spacing w:line="240" w:lineRule="auto"/>
              <w:jc w:val="center"/>
              <w:rPr>
                <w:rFonts w:ascii="Palatino Linotype" w:hAnsi="Palatino Linotype"/>
                <w:color w:val="auto"/>
                <w:sz w:val="16"/>
                <w:szCs w:val="16"/>
              </w:rPr>
            </w:pPr>
            <w:r w:rsidRPr="008C197E">
              <w:rPr>
                <w:rFonts w:ascii="Palatino Linotype" w:hAnsi="Palatino Linotype"/>
                <w:b/>
                <w:color w:val="auto"/>
                <w:sz w:val="16"/>
                <w:szCs w:val="16"/>
              </w:rPr>
              <w:t>Infant</w:t>
            </w:r>
          </w:p>
        </w:tc>
      </w:tr>
      <w:tr w:rsidR="00DD304F" w:rsidRPr="00640AA8" w14:paraId="6A52ACB1" w14:textId="77777777" w:rsidTr="00640AA8">
        <w:trPr>
          <w:jc w:val="center"/>
        </w:trPr>
        <w:tc>
          <w:tcPr>
            <w:tcW w:w="2091" w:type="pct"/>
            <w:shd w:val="clear" w:color="auto" w:fill="FFFFFF"/>
            <w:noWrap/>
            <w:vAlign w:val="center"/>
            <w:hideMark/>
          </w:tcPr>
          <w:p w14:paraId="182AC1CF" w14:textId="53E4F609" w:rsidR="00DD304F" w:rsidRPr="00640AA8" w:rsidRDefault="00DD304F" w:rsidP="00FE4DB7">
            <w:pPr>
              <w:adjustRightInd w:val="0"/>
              <w:snapToGrid w:val="0"/>
              <w:spacing w:line="240" w:lineRule="auto"/>
              <w:jc w:val="center"/>
              <w:rPr>
                <w:rFonts w:ascii="Palatino Linotype" w:hAnsi="Palatino Linotype"/>
                <w:b/>
                <w:bCs/>
                <w:color w:val="auto"/>
                <w:sz w:val="16"/>
                <w:szCs w:val="16"/>
              </w:rPr>
            </w:pPr>
            <w:r w:rsidRPr="00640AA8">
              <w:rPr>
                <w:rFonts w:ascii="Palatino Linotype" w:hAnsi="Palatino Linotype"/>
                <w:b/>
                <w:bCs/>
                <w:color w:val="auto"/>
                <w:sz w:val="16"/>
                <w:szCs w:val="16"/>
              </w:rPr>
              <w:t xml:space="preserve">Gender </w:t>
            </w:r>
            <w:r w:rsidRPr="00640AA8">
              <w:rPr>
                <w:rFonts w:ascii="Palatino Linotype" w:hAnsi="Palatino Linotype"/>
                <w:b/>
                <w:bCs/>
                <w:color w:val="auto"/>
                <w:sz w:val="16"/>
                <w:szCs w:val="16"/>
                <w:vertAlign w:val="superscript"/>
              </w:rPr>
              <w:t>2</w:t>
            </w:r>
          </w:p>
        </w:tc>
        <w:tc>
          <w:tcPr>
            <w:tcW w:w="2429" w:type="pct"/>
            <w:gridSpan w:val="3"/>
            <w:shd w:val="clear" w:color="auto" w:fill="FFFFFF"/>
            <w:noWrap/>
            <w:vAlign w:val="center"/>
          </w:tcPr>
          <w:p w14:paraId="4051CAB1" w14:textId="48685195" w:rsidR="00DD304F" w:rsidRPr="00ED0ECD" w:rsidRDefault="00DD304F" w:rsidP="00FE4DB7">
            <w:pPr>
              <w:adjustRightInd w:val="0"/>
              <w:snapToGrid w:val="0"/>
              <w:spacing w:line="240" w:lineRule="auto"/>
              <w:jc w:val="center"/>
              <w:rPr>
                <w:rFonts w:ascii="Palatino Linotype" w:hAnsi="Palatino Linotype"/>
                <w:color w:val="auto"/>
                <w:sz w:val="16"/>
                <w:szCs w:val="16"/>
              </w:rPr>
            </w:pPr>
          </w:p>
        </w:tc>
        <w:tc>
          <w:tcPr>
            <w:tcW w:w="480" w:type="pct"/>
            <w:shd w:val="clear" w:color="auto" w:fill="FFFFFF"/>
            <w:noWrap/>
            <w:vAlign w:val="center"/>
            <w:hideMark/>
          </w:tcPr>
          <w:p w14:paraId="1CD9CB23" w14:textId="77777777" w:rsidR="00DD304F" w:rsidRPr="00640AA8" w:rsidRDefault="00DD304F"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0.703</w:t>
            </w:r>
          </w:p>
        </w:tc>
      </w:tr>
      <w:tr w:rsidR="00CA7924" w:rsidRPr="00640AA8" w14:paraId="1EAE9B05" w14:textId="77777777" w:rsidTr="00640AA8">
        <w:trPr>
          <w:jc w:val="center"/>
        </w:trPr>
        <w:tc>
          <w:tcPr>
            <w:tcW w:w="2091" w:type="pct"/>
            <w:shd w:val="clear" w:color="auto" w:fill="FFFFFF"/>
            <w:noWrap/>
            <w:vAlign w:val="center"/>
            <w:hideMark/>
          </w:tcPr>
          <w:p w14:paraId="00B7FE3D" w14:textId="77777777" w:rsidR="002F78E9" w:rsidRPr="00640AA8" w:rsidRDefault="002F78E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Male</w:t>
            </w:r>
          </w:p>
        </w:tc>
        <w:tc>
          <w:tcPr>
            <w:tcW w:w="532" w:type="pct"/>
            <w:shd w:val="clear" w:color="auto" w:fill="FFFFFF"/>
            <w:noWrap/>
            <w:vAlign w:val="center"/>
            <w:hideMark/>
          </w:tcPr>
          <w:p w14:paraId="2DA107E8" w14:textId="77777777" w:rsidR="002F78E9" w:rsidRPr="00640AA8" w:rsidRDefault="002F78E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619 (52.9)</w:t>
            </w:r>
          </w:p>
        </w:tc>
        <w:tc>
          <w:tcPr>
            <w:tcW w:w="856" w:type="pct"/>
            <w:shd w:val="clear" w:color="auto" w:fill="FFFFFF"/>
            <w:noWrap/>
            <w:vAlign w:val="center"/>
            <w:hideMark/>
          </w:tcPr>
          <w:p w14:paraId="15B92D65" w14:textId="77777777" w:rsidR="002F78E9" w:rsidRPr="00ED0ECD" w:rsidRDefault="002F78E9" w:rsidP="00FE4DB7">
            <w:pPr>
              <w:adjustRightInd w:val="0"/>
              <w:snapToGrid w:val="0"/>
              <w:spacing w:line="240" w:lineRule="auto"/>
              <w:jc w:val="center"/>
              <w:rPr>
                <w:rFonts w:ascii="Palatino Linotype" w:hAnsi="Palatino Linotype"/>
                <w:color w:val="auto"/>
                <w:sz w:val="16"/>
                <w:szCs w:val="16"/>
              </w:rPr>
            </w:pPr>
            <w:r w:rsidRPr="00ED0ECD">
              <w:rPr>
                <w:rFonts w:ascii="Palatino Linotype" w:hAnsi="Palatino Linotype"/>
                <w:color w:val="auto"/>
                <w:sz w:val="16"/>
                <w:szCs w:val="16"/>
              </w:rPr>
              <w:t>545 (52.7)</w:t>
            </w:r>
          </w:p>
        </w:tc>
        <w:tc>
          <w:tcPr>
            <w:tcW w:w="1041" w:type="pct"/>
            <w:shd w:val="clear" w:color="auto" w:fill="FFFFFF"/>
            <w:noWrap/>
            <w:vAlign w:val="center"/>
            <w:hideMark/>
          </w:tcPr>
          <w:p w14:paraId="7C0F400F" w14:textId="77777777" w:rsidR="002F78E9" w:rsidRPr="00640AA8" w:rsidRDefault="002F78E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74 (54.8)</w:t>
            </w:r>
          </w:p>
        </w:tc>
        <w:tc>
          <w:tcPr>
            <w:tcW w:w="480" w:type="pct"/>
            <w:shd w:val="clear" w:color="auto" w:fill="FFFFFF"/>
            <w:noWrap/>
            <w:vAlign w:val="center"/>
            <w:hideMark/>
          </w:tcPr>
          <w:p w14:paraId="70198921" w14:textId="71A168D9" w:rsidR="002F78E9" w:rsidRPr="00640AA8" w:rsidRDefault="00C51805"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 xml:space="preserve"> </w:t>
            </w:r>
          </w:p>
        </w:tc>
      </w:tr>
      <w:tr w:rsidR="00CA7924" w:rsidRPr="00640AA8" w14:paraId="5A1BC4DC" w14:textId="77777777" w:rsidTr="00640AA8">
        <w:trPr>
          <w:jc w:val="center"/>
        </w:trPr>
        <w:tc>
          <w:tcPr>
            <w:tcW w:w="2091" w:type="pct"/>
            <w:tcBorders>
              <w:top w:val="nil"/>
              <w:left w:val="nil"/>
              <w:bottom w:val="single" w:sz="4" w:space="0" w:color="auto"/>
              <w:right w:val="nil"/>
            </w:tcBorders>
            <w:shd w:val="clear" w:color="auto" w:fill="FFFFFF"/>
            <w:noWrap/>
            <w:vAlign w:val="center"/>
            <w:hideMark/>
          </w:tcPr>
          <w:p w14:paraId="2B7DD52D" w14:textId="77777777" w:rsidR="002F78E9" w:rsidRPr="00640AA8" w:rsidRDefault="002F78E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Female</w:t>
            </w:r>
          </w:p>
        </w:tc>
        <w:tc>
          <w:tcPr>
            <w:tcW w:w="532" w:type="pct"/>
            <w:tcBorders>
              <w:top w:val="nil"/>
              <w:left w:val="nil"/>
              <w:bottom w:val="single" w:sz="4" w:space="0" w:color="auto"/>
              <w:right w:val="nil"/>
            </w:tcBorders>
            <w:shd w:val="clear" w:color="auto" w:fill="FFFFFF"/>
            <w:noWrap/>
            <w:vAlign w:val="center"/>
            <w:hideMark/>
          </w:tcPr>
          <w:p w14:paraId="1567E855" w14:textId="77777777" w:rsidR="002F78E9" w:rsidRPr="00640AA8" w:rsidRDefault="002F78E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551 (47.1)</w:t>
            </w:r>
          </w:p>
        </w:tc>
        <w:tc>
          <w:tcPr>
            <w:tcW w:w="856" w:type="pct"/>
            <w:tcBorders>
              <w:top w:val="nil"/>
              <w:left w:val="nil"/>
              <w:bottom w:val="single" w:sz="4" w:space="0" w:color="auto"/>
              <w:right w:val="nil"/>
            </w:tcBorders>
            <w:shd w:val="clear" w:color="auto" w:fill="FFFFFF"/>
            <w:noWrap/>
            <w:vAlign w:val="center"/>
            <w:hideMark/>
          </w:tcPr>
          <w:p w14:paraId="4E48B535" w14:textId="77777777" w:rsidR="002F78E9" w:rsidRPr="00ED0ECD" w:rsidRDefault="002F78E9" w:rsidP="00FE4DB7">
            <w:pPr>
              <w:adjustRightInd w:val="0"/>
              <w:snapToGrid w:val="0"/>
              <w:spacing w:line="240" w:lineRule="auto"/>
              <w:jc w:val="center"/>
              <w:rPr>
                <w:rFonts w:ascii="Palatino Linotype" w:hAnsi="Palatino Linotype"/>
                <w:color w:val="auto"/>
                <w:sz w:val="16"/>
                <w:szCs w:val="16"/>
              </w:rPr>
            </w:pPr>
            <w:r w:rsidRPr="00ED0ECD">
              <w:rPr>
                <w:rFonts w:ascii="Palatino Linotype" w:hAnsi="Palatino Linotype"/>
                <w:color w:val="auto"/>
                <w:sz w:val="16"/>
                <w:szCs w:val="16"/>
              </w:rPr>
              <w:t>490 (47.3)</w:t>
            </w:r>
          </w:p>
        </w:tc>
        <w:tc>
          <w:tcPr>
            <w:tcW w:w="1041" w:type="pct"/>
            <w:tcBorders>
              <w:top w:val="nil"/>
              <w:left w:val="nil"/>
              <w:bottom w:val="single" w:sz="4" w:space="0" w:color="auto"/>
              <w:right w:val="nil"/>
            </w:tcBorders>
            <w:shd w:val="clear" w:color="auto" w:fill="FFFFFF"/>
            <w:noWrap/>
            <w:vAlign w:val="center"/>
            <w:hideMark/>
          </w:tcPr>
          <w:p w14:paraId="565C9229" w14:textId="77777777" w:rsidR="002F78E9" w:rsidRPr="00640AA8" w:rsidRDefault="002F78E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61 (45.2)</w:t>
            </w:r>
          </w:p>
        </w:tc>
        <w:tc>
          <w:tcPr>
            <w:tcW w:w="480" w:type="pct"/>
            <w:tcBorders>
              <w:top w:val="nil"/>
              <w:left w:val="nil"/>
              <w:bottom w:val="single" w:sz="4" w:space="0" w:color="auto"/>
              <w:right w:val="nil"/>
            </w:tcBorders>
            <w:shd w:val="clear" w:color="auto" w:fill="FFFFFF"/>
            <w:noWrap/>
            <w:vAlign w:val="center"/>
            <w:hideMark/>
          </w:tcPr>
          <w:p w14:paraId="38601BEA" w14:textId="32B907F8" w:rsidR="002F78E9" w:rsidRPr="00640AA8" w:rsidRDefault="00C51805"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 xml:space="preserve"> </w:t>
            </w:r>
          </w:p>
        </w:tc>
      </w:tr>
      <w:tr w:rsidR="00CA7924" w:rsidRPr="00640AA8" w14:paraId="262FE0A5" w14:textId="77777777" w:rsidTr="00640AA8">
        <w:trPr>
          <w:jc w:val="center"/>
        </w:trPr>
        <w:tc>
          <w:tcPr>
            <w:tcW w:w="2091" w:type="pct"/>
            <w:shd w:val="clear" w:color="auto" w:fill="FFFFFF"/>
            <w:noWrap/>
            <w:vAlign w:val="center"/>
            <w:hideMark/>
          </w:tcPr>
          <w:p w14:paraId="765C187D" w14:textId="04AB5AB5" w:rsidR="002F78E9" w:rsidRPr="00640AA8" w:rsidRDefault="00D274C6" w:rsidP="00FE4DB7">
            <w:pPr>
              <w:adjustRightInd w:val="0"/>
              <w:snapToGrid w:val="0"/>
              <w:spacing w:line="240" w:lineRule="auto"/>
              <w:jc w:val="center"/>
              <w:rPr>
                <w:rFonts w:ascii="Palatino Linotype" w:hAnsi="Palatino Linotype"/>
                <w:b/>
                <w:bCs/>
                <w:color w:val="auto"/>
                <w:sz w:val="16"/>
                <w:szCs w:val="16"/>
              </w:rPr>
            </w:pPr>
            <w:r w:rsidRPr="00640AA8">
              <w:rPr>
                <w:rFonts w:ascii="Palatino Linotype" w:hAnsi="Palatino Linotype"/>
                <w:b/>
                <w:bCs/>
                <w:color w:val="auto"/>
                <w:sz w:val="16"/>
                <w:szCs w:val="16"/>
              </w:rPr>
              <w:t>Gestational Age</w:t>
            </w:r>
            <w:r w:rsidR="00DD304F" w:rsidRPr="00640AA8">
              <w:rPr>
                <w:rFonts w:ascii="Palatino Linotype" w:hAnsi="Palatino Linotype"/>
                <w:b/>
                <w:bCs/>
                <w:color w:val="auto"/>
                <w:sz w:val="16"/>
                <w:szCs w:val="16"/>
              </w:rPr>
              <w:t xml:space="preserve"> </w:t>
            </w:r>
            <w:r w:rsidRPr="00640AA8">
              <w:rPr>
                <w:rFonts w:ascii="Palatino Linotype" w:hAnsi="Palatino Linotype"/>
                <w:b/>
                <w:bCs/>
                <w:color w:val="auto"/>
                <w:sz w:val="16"/>
                <w:szCs w:val="16"/>
                <w:vertAlign w:val="superscript"/>
              </w:rPr>
              <w:t>2</w:t>
            </w:r>
          </w:p>
        </w:tc>
        <w:tc>
          <w:tcPr>
            <w:tcW w:w="532" w:type="pct"/>
            <w:shd w:val="clear" w:color="auto" w:fill="FFFFFF"/>
            <w:noWrap/>
            <w:vAlign w:val="center"/>
          </w:tcPr>
          <w:p w14:paraId="46247B2E" w14:textId="17EEECF7" w:rsidR="002F78E9" w:rsidRPr="00640AA8" w:rsidRDefault="002F78E9" w:rsidP="00FE4DB7">
            <w:pPr>
              <w:adjustRightInd w:val="0"/>
              <w:snapToGrid w:val="0"/>
              <w:spacing w:line="240" w:lineRule="auto"/>
              <w:jc w:val="center"/>
              <w:rPr>
                <w:rFonts w:ascii="Palatino Linotype" w:hAnsi="Palatino Linotype"/>
                <w:color w:val="auto"/>
                <w:sz w:val="16"/>
                <w:szCs w:val="16"/>
              </w:rPr>
            </w:pPr>
          </w:p>
        </w:tc>
        <w:tc>
          <w:tcPr>
            <w:tcW w:w="856" w:type="pct"/>
            <w:shd w:val="clear" w:color="auto" w:fill="FFFFFF"/>
            <w:noWrap/>
            <w:vAlign w:val="center"/>
          </w:tcPr>
          <w:p w14:paraId="009672A6" w14:textId="0424EEEF" w:rsidR="002F78E9" w:rsidRPr="00ED0ECD" w:rsidRDefault="002F78E9" w:rsidP="00FE4DB7">
            <w:pPr>
              <w:adjustRightInd w:val="0"/>
              <w:snapToGrid w:val="0"/>
              <w:spacing w:line="240" w:lineRule="auto"/>
              <w:jc w:val="center"/>
              <w:rPr>
                <w:rFonts w:ascii="Palatino Linotype" w:hAnsi="Palatino Linotype"/>
                <w:color w:val="auto"/>
                <w:sz w:val="16"/>
                <w:szCs w:val="16"/>
              </w:rPr>
            </w:pPr>
          </w:p>
        </w:tc>
        <w:tc>
          <w:tcPr>
            <w:tcW w:w="1041" w:type="pct"/>
            <w:shd w:val="clear" w:color="auto" w:fill="FFFFFF"/>
            <w:noWrap/>
            <w:vAlign w:val="center"/>
          </w:tcPr>
          <w:p w14:paraId="26B9031A" w14:textId="622A1999" w:rsidR="002F78E9" w:rsidRPr="00640AA8" w:rsidRDefault="002F78E9" w:rsidP="00FE4DB7">
            <w:pPr>
              <w:adjustRightInd w:val="0"/>
              <w:snapToGrid w:val="0"/>
              <w:spacing w:line="240" w:lineRule="auto"/>
              <w:jc w:val="center"/>
              <w:rPr>
                <w:rFonts w:ascii="Palatino Linotype" w:hAnsi="Palatino Linotype"/>
                <w:color w:val="auto"/>
                <w:sz w:val="16"/>
                <w:szCs w:val="16"/>
              </w:rPr>
            </w:pPr>
          </w:p>
        </w:tc>
        <w:tc>
          <w:tcPr>
            <w:tcW w:w="480" w:type="pct"/>
            <w:shd w:val="clear" w:color="auto" w:fill="FFFFFF"/>
            <w:noWrap/>
            <w:vAlign w:val="center"/>
            <w:hideMark/>
          </w:tcPr>
          <w:p w14:paraId="22B8CA26" w14:textId="77777777" w:rsidR="002F78E9" w:rsidRPr="00640AA8" w:rsidRDefault="002F78E9" w:rsidP="00FE4DB7">
            <w:pPr>
              <w:adjustRightInd w:val="0"/>
              <w:snapToGrid w:val="0"/>
              <w:spacing w:line="240" w:lineRule="auto"/>
              <w:jc w:val="center"/>
              <w:rPr>
                <w:rFonts w:ascii="Palatino Linotype" w:hAnsi="Palatino Linotype"/>
                <w:b/>
                <w:bCs/>
                <w:color w:val="auto"/>
                <w:sz w:val="16"/>
                <w:szCs w:val="16"/>
              </w:rPr>
            </w:pPr>
            <w:r w:rsidRPr="00640AA8">
              <w:rPr>
                <w:rFonts w:ascii="Palatino Linotype" w:hAnsi="Palatino Linotype"/>
                <w:b/>
                <w:bCs/>
                <w:color w:val="auto"/>
                <w:sz w:val="16"/>
                <w:szCs w:val="16"/>
              </w:rPr>
              <w:t>0.006</w:t>
            </w:r>
          </w:p>
        </w:tc>
      </w:tr>
      <w:tr w:rsidR="00CA7924" w:rsidRPr="00640AA8" w14:paraId="0529B167" w14:textId="77777777" w:rsidTr="00640AA8">
        <w:trPr>
          <w:jc w:val="center"/>
        </w:trPr>
        <w:tc>
          <w:tcPr>
            <w:tcW w:w="2091" w:type="pct"/>
            <w:shd w:val="clear" w:color="auto" w:fill="FFFFFF"/>
            <w:noWrap/>
            <w:vAlign w:val="center"/>
            <w:hideMark/>
          </w:tcPr>
          <w:p w14:paraId="15C9EB0E" w14:textId="4E619CFC" w:rsidR="002F78E9" w:rsidRPr="00640AA8" w:rsidRDefault="002F78E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&lt;37 weeks</w:t>
            </w:r>
          </w:p>
        </w:tc>
        <w:tc>
          <w:tcPr>
            <w:tcW w:w="532" w:type="pct"/>
            <w:shd w:val="clear" w:color="auto" w:fill="FFFFFF"/>
            <w:noWrap/>
            <w:vAlign w:val="center"/>
            <w:hideMark/>
          </w:tcPr>
          <w:p w14:paraId="7E4B3064" w14:textId="77777777" w:rsidR="002F78E9" w:rsidRPr="00640AA8" w:rsidRDefault="002F78E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91 (7.8)</w:t>
            </w:r>
          </w:p>
        </w:tc>
        <w:tc>
          <w:tcPr>
            <w:tcW w:w="856" w:type="pct"/>
            <w:shd w:val="clear" w:color="auto" w:fill="FFFFFF"/>
            <w:noWrap/>
            <w:vAlign w:val="center"/>
            <w:hideMark/>
          </w:tcPr>
          <w:p w14:paraId="258C6CA5" w14:textId="77777777" w:rsidR="002F78E9" w:rsidRPr="00ED0ECD" w:rsidRDefault="002F78E9" w:rsidP="00FE4DB7">
            <w:pPr>
              <w:adjustRightInd w:val="0"/>
              <w:snapToGrid w:val="0"/>
              <w:spacing w:line="240" w:lineRule="auto"/>
              <w:jc w:val="center"/>
              <w:rPr>
                <w:rFonts w:ascii="Palatino Linotype" w:hAnsi="Palatino Linotype"/>
                <w:color w:val="auto"/>
                <w:sz w:val="16"/>
                <w:szCs w:val="16"/>
              </w:rPr>
            </w:pPr>
            <w:r w:rsidRPr="00ED0ECD">
              <w:rPr>
                <w:rFonts w:ascii="Palatino Linotype" w:hAnsi="Palatino Linotype"/>
                <w:color w:val="auto"/>
                <w:sz w:val="16"/>
                <w:szCs w:val="16"/>
              </w:rPr>
              <w:t>72 (7.0)</w:t>
            </w:r>
          </w:p>
        </w:tc>
        <w:tc>
          <w:tcPr>
            <w:tcW w:w="1041" w:type="pct"/>
            <w:shd w:val="clear" w:color="auto" w:fill="FFFFFF"/>
            <w:noWrap/>
            <w:vAlign w:val="center"/>
            <w:hideMark/>
          </w:tcPr>
          <w:p w14:paraId="1730BF00" w14:textId="77777777" w:rsidR="002F78E9" w:rsidRPr="00640AA8" w:rsidRDefault="002F78E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19 (14.1)</w:t>
            </w:r>
          </w:p>
        </w:tc>
        <w:tc>
          <w:tcPr>
            <w:tcW w:w="480" w:type="pct"/>
            <w:shd w:val="clear" w:color="auto" w:fill="FFFFFF"/>
            <w:noWrap/>
            <w:vAlign w:val="center"/>
            <w:hideMark/>
          </w:tcPr>
          <w:p w14:paraId="441C1A4C" w14:textId="0F70164D" w:rsidR="002F78E9" w:rsidRPr="00640AA8" w:rsidRDefault="00C51805"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 xml:space="preserve"> </w:t>
            </w:r>
          </w:p>
        </w:tc>
      </w:tr>
      <w:tr w:rsidR="00CA7924" w:rsidRPr="00640AA8" w14:paraId="59BF96CA" w14:textId="77777777" w:rsidTr="00640AA8">
        <w:trPr>
          <w:jc w:val="center"/>
        </w:trPr>
        <w:tc>
          <w:tcPr>
            <w:tcW w:w="2091" w:type="pct"/>
            <w:tcBorders>
              <w:top w:val="nil"/>
              <w:left w:val="nil"/>
              <w:bottom w:val="single" w:sz="4" w:space="0" w:color="auto"/>
              <w:right w:val="nil"/>
            </w:tcBorders>
            <w:shd w:val="clear" w:color="auto" w:fill="FFFFFF"/>
            <w:noWrap/>
            <w:vAlign w:val="center"/>
            <w:hideMark/>
          </w:tcPr>
          <w:p w14:paraId="2B875D17" w14:textId="6DB715B8" w:rsidR="002F78E9" w:rsidRPr="00640AA8" w:rsidRDefault="002F78E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&gt;=37 weeks</w:t>
            </w:r>
          </w:p>
        </w:tc>
        <w:tc>
          <w:tcPr>
            <w:tcW w:w="532" w:type="pct"/>
            <w:tcBorders>
              <w:top w:val="nil"/>
              <w:left w:val="nil"/>
              <w:bottom w:val="single" w:sz="4" w:space="0" w:color="auto"/>
              <w:right w:val="nil"/>
            </w:tcBorders>
            <w:shd w:val="clear" w:color="auto" w:fill="FFFFFF"/>
            <w:noWrap/>
            <w:vAlign w:val="center"/>
            <w:hideMark/>
          </w:tcPr>
          <w:p w14:paraId="030AF654" w14:textId="77777777" w:rsidR="002F78E9" w:rsidRPr="00640AA8" w:rsidRDefault="002F78E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1079 (92.2)</w:t>
            </w:r>
          </w:p>
        </w:tc>
        <w:tc>
          <w:tcPr>
            <w:tcW w:w="856" w:type="pct"/>
            <w:tcBorders>
              <w:top w:val="nil"/>
              <w:left w:val="nil"/>
              <w:bottom w:val="single" w:sz="4" w:space="0" w:color="auto"/>
              <w:right w:val="nil"/>
            </w:tcBorders>
            <w:shd w:val="clear" w:color="auto" w:fill="FFFFFF"/>
            <w:noWrap/>
            <w:vAlign w:val="center"/>
            <w:hideMark/>
          </w:tcPr>
          <w:p w14:paraId="5698A61E" w14:textId="77777777" w:rsidR="002F78E9" w:rsidRPr="00ED0ECD" w:rsidRDefault="002F78E9" w:rsidP="00FE4DB7">
            <w:pPr>
              <w:adjustRightInd w:val="0"/>
              <w:snapToGrid w:val="0"/>
              <w:spacing w:line="240" w:lineRule="auto"/>
              <w:jc w:val="center"/>
              <w:rPr>
                <w:rFonts w:ascii="Palatino Linotype" w:hAnsi="Palatino Linotype"/>
                <w:color w:val="auto"/>
                <w:sz w:val="16"/>
                <w:szCs w:val="16"/>
              </w:rPr>
            </w:pPr>
            <w:r w:rsidRPr="00ED0ECD">
              <w:rPr>
                <w:rFonts w:ascii="Palatino Linotype" w:hAnsi="Palatino Linotype"/>
                <w:color w:val="auto"/>
                <w:sz w:val="16"/>
                <w:szCs w:val="16"/>
              </w:rPr>
              <w:t>963 (93.0)</w:t>
            </w:r>
          </w:p>
        </w:tc>
        <w:tc>
          <w:tcPr>
            <w:tcW w:w="1041" w:type="pct"/>
            <w:tcBorders>
              <w:top w:val="nil"/>
              <w:left w:val="nil"/>
              <w:bottom w:val="single" w:sz="4" w:space="0" w:color="auto"/>
              <w:right w:val="nil"/>
            </w:tcBorders>
            <w:shd w:val="clear" w:color="auto" w:fill="FFFFFF"/>
            <w:noWrap/>
            <w:vAlign w:val="center"/>
            <w:hideMark/>
          </w:tcPr>
          <w:p w14:paraId="3929B02E" w14:textId="77777777" w:rsidR="002F78E9" w:rsidRPr="00640AA8" w:rsidRDefault="002F78E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116 (85.9)</w:t>
            </w:r>
          </w:p>
        </w:tc>
        <w:tc>
          <w:tcPr>
            <w:tcW w:w="480" w:type="pct"/>
            <w:tcBorders>
              <w:top w:val="nil"/>
              <w:left w:val="nil"/>
              <w:bottom w:val="single" w:sz="4" w:space="0" w:color="auto"/>
              <w:right w:val="nil"/>
            </w:tcBorders>
            <w:shd w:val="clear" w:color="auto" w:fill="FFFFFF"/>
            <w:noWrap/>
            <w:vAlign w:val="center"/>
            <w:hideMark/>
          </w:tcPr>
          <w:p w14:paraId="0F58B90B" w14:textId="562AF196" w:rsidR="002F78E9" w:rsidRPr="00640AA8" w:rsidRDefault="00C51805"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 xml:space="preserve"> </w:t>
            </w:r>
          </w:p>
        </w:tc>
      </w:tr>
      <w:tr w:rsidR="00CA7924" w:rsidRPr="00640AA8" w14:paraId="62269334" w14:textId="77777777" w:rsidTr="00640AA8">
        <w:trPr>
          <w:jc w:val="center"/>
        </w:trPr>
        <w:tc>
          <w:tcPr>
            <w:tcW w:w="2091" w:type="pct"/>
            <w:shd w:val="clear" w:color="auto" w:fill="FFFFFF"/>
            <w:noWrap/>
            <w:vAlign w:val="center"/>
            <w:hideMark/>
          </w:tcPr>
          <w:p w14:paraId="26089B47" w14:textId="041A2D40" w:rsidR="002F78E9" w:rsidRPr="00640AA8" w:rsidRDefault="00D274C6" w:rsidP="00FE4DB7">
            <w:pPr>
              <w:adjustRightInd w:val="0"/>
              <w:snapToGrid w:val="0"/>
              <w:spacing w:line="240" w:lineRule="auto"/>
              <w:jc w:val="center"/>
              <w:rPr>
                <w:rFonts w:ascii="Palatino Linotype" w:hAnsi="Palatino Linotype"/>
                <w:b/>
                <w:bCs/>
                <w:color w:val="auto"/>
                <w:sz w:val="16"/>
                <w:szCs w:val="16"/>
              </w:rPr>
            </w:pPr>
            <w:r w:rsidRPr="00640AA8">
              <w:rPr>
                <w:rFonts w:ascii="Palatino Linotype" w:hAnsi="Palatino Linotype"/>
                <w:b/>
                <w:bCs/>
                <w:color w:val="auto"/>
                <w:sz w:val="16"/>
                <w:szCs w:val="16"/>
              </w:rPr>
              <w:t>Parity</w:t>
            </w:r>
            <w:r w:rsidR="00DD304F" w:rsidRPr="00640AA8">
              <w:rPr>
                <w:rFonts w:ascii="Palatino Linotype" w:hAnsi="Palatino Linotype"/>
                <w:b/>
                <w:bCs/>
                <w:color w:val="auto"/>
                <w:sz w:val="16"/>
                <w:szCs w:val="16"/>
              </w:rPr>
              <w:t xml:space="preserve"> </w:t>
            </w:r>
            <w:r w:rsidRPr="00640AA8">
              <w:rPr>
                <w:rFonts w:ascii="Palatino Linotype" w:hAnsi="Palatino Linotype"/>
                <w:b/>
                <w:bCs/>
                <w:color w:val="auto"/>
                <w:sz w:val="16"/>
                <w:szCs w:val="16"/>
                <w:vertAlign w:val="superscript"/>
              </w:rPr>
              <w:t>2</w:t>
            </w:r>
          </w:p>
        </w:tc>
        <w:tc>
          <w:tcPr>
            <w:tcW w:w="532" w:type="pct"/>
            <w:shd w:val="clear" w:color="auto" w:fill="FFFFFF"/>
            <w:noWrap/>
            <w:vAlign w:val="center"/>
          </w:tcPr>
          <w:p w14:paraId="3339A8BE" w14:textId="73D2527E" w:rsidR="002F78E9" w:rsidRPr="00640AA8" w:rsidRDefault="002F78E9" w:rsidP="00FE4DB7">
            <w:pPr>
              <w:adjustRightInd w:val="0"/>
              <w:snapToGrid w:val="0"/>
              <w:spacing w:line="240" w:lineRule="auto"/>
              <w:jc w:val="center"/>
              <w:rPr>
                <w:rFonts w:ascii="Palatino Linotype" w:hAnsi="Palatino Linotype"/>
                <w:color w:val="auto"/>
                <w:sz w:val="16"/>
                <w:szCs w:val="16"/>
              </w:rPr>
            </w:pPr>
          </w:p>
        </w:tc>
        <w:tc>
          <w:tcPr>
            <w:tcW w:w="856" w:type="pct"/>
            <w:shd w:val="clear" w:color="auto" w:fill="FFFFFF"/>
            <w:noWrap/>
            <w:vAlign w:val="center"/>
          </w:tcPr>
          <w:p w14:paraId="460B5278" w14:textId="4241DD44" w:rsidR="002F78E9" w:rsidRPr="00ED0ECD" w:rsidRDefault="002F78E9" w:rsidP="00FE4DB7">
            <w:pPr>
              <w:adjustRightInd w:val="0"/>
              <w:snapToGrid w:val="0"/>
              <w:spacing w:line="240" w:lineRule="auto"/>
              <w:jc w:val="center"/>
              <w:rPr>
                <w:rFonts w:ascii="Palatino Linotype" w:hAnsi="Palatino Linotype"/>
                <w:color w:val="auto"/>
                <w:sz w:val="16"/>
                <w:szCs w:val="16"/>
              </w:rPr>
            </w:pPr>
          </w:p>
        </w:tc>
        <w:tc>
          <w:tcPr>
            <w:tcW w:w="1041" w:type="pct"/>
            <w:shd w:val="clear" w:color="auto" w:fill="FFFFFF"/>
            <w:noWrap/>
            <w:vAlign w:val="center"/>
          </w:tcPr>
          <w:p w14:paraId="3B67B071" w14:textId="300EC900" w:rsidR="002F78E9" w:rsidRPr="00640AA8" w:rsidRDefault="002F78E9" w:rsidP="00FE4DB7">
            <w:pPr>
              <w:adjustRightInd w:val="0"/>
              <w:snapToGrid w:val="0"/>
              <w:spacing w:line="240" w:lineRule="auto"/>
              <w:jc w:val="center"/>
              <w:rPr>
                <w:rFonts w:ascii="Palatino Linotype" w:hAnsi="Palatino Linotype"/>
                <w:color w:val="auto"/>
                <w:sz w:val="16"/>
                <w:szCs w:val="16"/>
              </w:rPr>
            </w:pPr>
          </w:p>
        </w:tc>
        <w:tc>
          <w:tcPr>
            <w:tcW w:w="480" w:type="pct"/>
            <w:shd w:val="clear" w:color="auto" w:fill="FFFFFF"/>
            <w:noWrap/>
            <w:vAlign w:val="center"/>
            <w:hideMark/>
          </w:tcPr>
          <w:p w14:paraId="13E8B9A4" w14:textId="77777777" w:rsidR="002F78E9" w:rsidRPr="00640AA8" w:rsidRDefault="002F78E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0.235</w:t>
            </w:r>
          </w:p>
        </w:tc>
      </w:tr>
      <w:tr w:rsidR="00CA7924" w:rsidRPr="00640AA8" w14:paraId="384B15BF" w14:textId="77777777" w:rsidTr="00640AA8">
        <w:trPr>
          <w:jc w:val="center"/>
        </w:trPr>
        <w:tc>
          <w:tcPr>
            <w:tcW w:w="2091" w:type="pct"/>
            <w:shd w:val="clear" w:color="auto" w:fill="FFFFFF"/>
            <w:noWrap/>
            <w:vAlign w:val="center"/>
            <w:hideMark/>
          </w:tcPr>
          <w:p w14:paraId="7CEA2ECB" w14:textId="2ECD42F2" w:rsidR="002F78E9" w:rsidRPr="00640AA8" w:rsidRDefault="002F78E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 xml:space="preserve">First </w:t>
            </w:r>
            <w:r w:rsidR="00DE5100" w:rsidRPr="00640AA8">
              <w:rPr>
                <w:rFonts w:ascii="Palatino Linotype" w:hAnsi="Palatino Linotype"/>
                <w:color w:val="auto"/>
                <w:sz w:val="16"/>
                <w:szCs w:val="16"/>
              </w:rPr>
              <w:t>c</w:t>
            </w:r>
            <w:r w:rsidRPr="00640AA8">
              <w:rPr>
                <w:rFonts w:ascii="Palatino Linotype" w:hAnsi="Palatino Linotype"/>
                <w:color w:val="auto"/>
                <w:sz w:val="16"/>
                <w:szCs w:val="16"/>
              </w:rPr>
              <w:t>hild</w:t>
            </w:r>
          </w:p>
        </w:tc>
        <w:tc>
          <w:tcPr>
            <w:tcW w:w="532" w:type="pct"/>
            <w:shd w:val="clear" w:color="auto" w:fill="FFFFFF"/>
            <w:noWrap/>
            <w:vAlign w:val="center"/>
            <w:hideMark/>
          </w:tcPr>
          <w:p w14:paraId="3F121A15" w14:textId="77777777" w:rsidR="002F78E9" w:rsidRPr="00640AA8" w:rsidRDefault="002F78E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534 (46.0)</w:t>
            </w:r>
          </w:p>
        </w:tc>
        <w:tc>
          <w:tcPr>
            <w:tcW w:w="856" w:type="pct"/>
            <w:shd w:val="clear" w:color="auto" w:fill="FFFFFF"/>
            <w:noWrap/>
            <w:vAlign w:val="center"/>
            <w:hideMark/>
          </w:tcPr>
          <w:p w14:paraId="347F66AE" w14:textId="77777777" w:rsidR="002F78E9" w:rsidRPr="00ED0ECD" w:rsidRDefault="002F78E9" w:rsidP="00FE4DB7">
            <w:pPr>
              <w:adjustRightInd w:val="0"/>
              <w:snapToGrid w:val="0"/>
              <w:spacing w:line="240" w:lineRule="auto"/>
              <w:jc w:val="center"/>
              <w:rPr>
                <w:rFonts w:ascii="Palatino Linotype" w:hAnsi="Palatino Linotype"/>
                <w:color w:val="auto"/>
                <w:sz w:val="16"/>
                <w:szCs w:val="16"/>
              </w:rPr>
            </w:pPr>
            <w:r w:rsidRPr="00ED0ECD">
              <w:rPr>
                <w:rFonts w:ascii="Palatino Linotype" w:hAnsi="Palatino Linotype"/>
                <w:color w:val="auto"/>
                <w:sz w:val="16"/>
                <w:szCs w:val="16"/>
              </w:rPr>
              <w:t>465 (45.3)</w:t>
            </w:r>
          </w:p>
        </w:tc>
        <w:tc>
          <w:tcPr>
            <w:tcW w:w="1041" w:type="pct"/>
            <w:shd w:val="clear" w:color="auto" w:fill="FFFFFF"/>
            <w:noWrap/>
            <w:vAlign w:val="center"/>
            <w:hideMark/>
          </w:tcPr>
          <w:p w14:paraId="1692ECE4" w14:textId="77777777" w:rsidR="002F78E9" w:rsidRPr="00640AA8" w:rsidRDefault="002F78E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69 (51.1)</w:t>
            </w:r>
          </w:p>
        </w:tc>
        <w:tc>
          <w:tcPr>
            <w:tcW w:w="480" w:type="pct"/>
            <w:shd w:val="clear" w:color="auto" w:fill="FFFFFF"/>
            <w:noWrap/>
            <w:vAlign w:val="center"/>
            <w:hideMark/>
          </w:tcPr>
          <w:p w14:paraId="1D96ABD7" w14:textId="5FD78DE1" w:rsidR="002F78E9" w:rsidRPr="00640AA8" w:rsidRDefault="00C51805"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 xml:space="preserve"> </w:t>
            </w:r>
          </w:p>
        </w:tc>
      </w:tr>
      <w:tr w:rsidR="00CA7924" w:rsidRPr="00640AA8" w14:paraId="708361B3" w14:textId="77777777" w:rsidTr="00640AA8">
        <w:trPr>
          <w:jc w:val="center"/>
        </w:trPr>
        <w:tc>
          <w:tcPr>
            <w:tcW w:w="2091" w:type="pct"/>
            <w:tcBorders>
              <w:top w:val="nil"/>
              <w:left w:val="nil"/>
              <w:bottom w:val="single" w:sz="4" w:space="0" w:color="auto"/>
              <w:right w:val="nil"/>
            </w:tcBorders>
            <w:shd w:val="clear" w:color="auto" w:fill="FFFFFF"/>
            <w:noWrap/>
            <w:vAlign w:val="center"/>
            <w:hideMark/>
          </w:tcPr>
          <w:p w14:paraId="338E1488" w14:textId="77777777" w:rsidR="002F78E9" w:rsidRPr="00640AA8" w:rsidRDefault="002F78E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Not the first child</w:t>
            </w:r>
          </w:p>
        </w:tc>
        <w:tc>
          <w:tcPr>
            <w:tcW w:w="532" w:type="pct"/>
            <w:tcBorders>
              <w:top w:val="nil"/>
              <w:left w:val="nil"/>
              <w:bottom w:val="single" w:sz="4" w:space="0" w:color="auto"/>
              <w:right w:val="nil"/>
            </w:tcBorders>
            <w:shd w:val="clear" w:color="auto" w:fill="FFFFFF"/>
            <w:noWrap/>
            <w:vAlign w:val="center"/>
            <w:hideMark/>
          </w:tcPr>
          <w:p w14:paraId="6CB67E92" w14:textId="77777777" w:rsidR="002F78E9" w:rsidRPr="00640AA8" w:rsidRDefault="002F78E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628 (54.0)</w:t>
            </w:r>
          </w:p>
        </w:tc>
        <w:tc>
          <w:tcPr>
            <w:tcW w:w="856" w:type="pct"/>
            <w:tcBorders>
              <w:top w:val="nil"/>
              <w:left w:val="nil"/>
              <w:bottom w:val="single" w:sz="4" w:space="0" w:color="auto"/>
              <w:right w:val="nil"/>
            </w:tcBorders>
            <w:shd w:val="clear" w:color="auto" w:fill="FFFFFF"/>
            <w:noWrap/>
            <w:vAlign w:val="center"/>
            <w:hideMark/>
          </w:tcPr>
          <w:p w14:paraId="302286B9" w14:textId="77777777" w:rsidR="002F78E9" w:rsidRPr="00ED0ECD" w:rsidRDefault="002F78E9" w:rsidP="00FE4DB7">
            <w:pPr>
              <w:adjustRightInd w:val="0"/>
              <w:snapToGrid w:val="0"/>
              <w:spacing w:line="240" w:lineRule="auto"/>
              <w:jc w:val="center"/>
              <w:rPr>
                <w:rFonts w:ascii="Palatino Linotype" w:hAnsi="Palatino Linotype"/>
                <w:color w:val="auto"/>
                <w:sz w:val="16"/>
                <w:szCs w:val="16"/>
              </w:rPr>
            </w:pPr>
            <w:r w:rsidRPr="00ED0ECD">
              <w:rPr>
                <w:rFonts w:ascii="Palatino Linotype" w:hAnsi="Palatino Linotype"/>
                <w:color w:val="auto"/>
                <w:sz w:val="16"/>
                <w:szCs w:val="16"/>
              </w:rPr>
              <w:t>562 (54.7)</w:t>
            </w:r>
          </w:p>
        </w:tc>
        <w:tc>
          <w:tcPr>
            <w:tcW w:w="1041" w:type="pct"/>
            <w:tcBorders>
              <w:top w:val="nil"/>
              <w:left w:val="nil"/>
              <w:bottom w:val="single" w:sz="4" w:space="0" w:color="auto"/>
              <w:right w:val="nil"/>
            </w:tcBorders>
            <w:shd w:val="clear" w:color="auto" w:fill="FFFFFF"/>
            <w:noWrap/>
            <w:vAlign w:val="center"/>
            <w:hideMark/>
          </w:tcPr>
          <w:p w14:paraId="37973F66" w14:textId="77777777" w:rsidR="002F78E9" w:rsidRPr="00640AA8" w:rsidRDefault="002F78E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66 (48.9)</w:t>
            </w:r>
          </w:p>
        </w:tc>
        <w:tc>
          <w:tcPr>
            <w:tcW w:w="480" w:type="pct"/>
            <w:tcBorders>
              <w:top w:val="nil"/>
              <w:left w:val="nil"/>
              <w:bottom w:val="single" w:sz="4" w:space="0" w:color="auto"/>
              <w:right w:val="nil"/>
            </w:tcBorders>
            <w:shd w:val="clear" w:color="auto" w:fill="FFFFFF"/>
            <w:noWrap/>
            <w:vAlign w:val="center"/>
            <w:hideMark/>
          </w:tcPr>
          <w:p w14:paraId="4067FDE0" w14:textId="7A77669B" w:rsidR="002F78E9" w:rsidRPr="00640AA8" w:rsidRDefault="00C51805"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 xml:space="preserve"> </w:t>
            </w:r>
          </w:p>
        </w:tc>
      </w:tr>
      <w:tr w:rsidR="00DD304F" w:rsidRPr="00640AA8" w14:paraId="0CD0CC1B" w14:textId="77777777" w:rsidTr="00640AA8">
        <w:trPr>
          <w:jc w:val="center"/>
        </w:trPr>
        <w:tc>
          <w:tcPr>
            <w:tcW w:w="2091" w:type="pct"/>
            <w:shd w:val="clear" w:color="auto" w:fill="FFFFFF"/>
            <w:noWrap/>
            <w:vAlign w:val="center"/>
            <w:hideMark/>
          </w:tcPr>
          <w:p w14:paraId="7B47FC5F" w14:textId="0AD86B42" w:rsidR="00DD304F" w:rsidRPr="00640AA8" w:rsidRDefault="00DD304F" w:rsidP="00FE4DB7">
            <w:pPr>
              <w:adjustRightInd w:val="0"/>
              <w:snapToGrid w:val="0"/>
              <w:spacing w:line="240" w:lineRule="auto"/>
              <w:jc w:val="center"/>
              <w:rPr>
                <w:rFonts w:ascii="Palatino Linotype" w:hAnsi="Palatino Linotype"/>
                <w:b/>
                <w:bCs/>
                <w:color w:val="auto"/>
                <w:sz w:val="16"/>
                <w:szCs w:val="16"/>
              </w:rPr>
            </w:pPr>
            <w:r w:rsidRPr="00640AA8">
              <w:rPr>
                <w:rFonts w:ascii="Palatino Linotype" w:hAnsi="Palatino Linotype"/>
                <w:b/>
                <w:bCs/>
                <w:color w:val="auto"/>
                <w:sz w:val="16"/>
                <w:szCs w:val="16"/>
              </w:rPr>
              <w:t xml:space="preserve">Duration of any breastfeeding </w:t>
            </w:r>
            <w:r w:rsidRPr="00640AA8">
              <w:rPr>
                <w:rFonts w:ascii="Palatino Linotype" w:hAnsi="Palatino Linotype"/>
                <w:b/>
                <w:bCs/>
                <w:color w:val="auto"/>
                <w:sz w:val="16"/>
                <w:szCs w:val="16"/>
                <w:vertAlign w:val="superscript"/>
              </w:rPr>
              <w:t>2</w:t>
            </w:r>
          </w:p>
        </w:tc>
        <w:tc>
          <w:tcPr>
            <w:tcW w:w="2429" w:type="pct"/>
            <w:gridSpan w:val="3"/>
            <w:shd w:val="clear" w:color="auto" w:fill="FFFFFF"/>
            <w:noWrap/>
            <w:vAlign w:val="center"/>
          </w:tcPr>
          <w:p w14:paraId="227552AC" w14:textId="30BBA903" w:rsidR="00DD304F" w:rsidRPr="00ED0ECD" w:rsidRDefault="00DD304F" w:rsidP="00FE4DB7">
            <w:pPr>
              <w:adjustRightInd w:val="0"/>
              <w:snapToGrid w:val="0"/>
              <w:spacing w:line="240" w:lineRule="auto"/>
              <w:jc w:val="center"/>
              <w:rPr>
                <w:rFonts w:ascii="Palatino Linotype" w:hAnsi="Palatino Linotype"/>
                <w:color w:val="auto"/>
                <w:sz w:val="16"/>
                <w:szCs w:val="16"/>
              </w:rPr>
            </w:pPr>
          </w:p>
        </w:tc>
        <w:tc>
          <w:tcPr>
            <w:tcW w:w="480" w:type="pct"/>
            <w:shd w:val="clear" w:color="auto" w:fill="FFFFFF"/>
            <w:noWrap/>
            <w:vAlign w:val="center"/>
            <w:hideMark/>
          </w:tcPr>
          <w:p w14:paraId="09F16588" w14:textId="77777777" w:rsidR="00DD304F" w:rsidRPr="00640AA8" w:rsidRDefault="00DD304F" w:rsidP="00FE4DB7">
            <w:pPr>
              <w:adjustRightInd w:val="0"/>
              <w:snapToGrid w:val="0"/>
              <w:spacing w:line="240" w:lineRule="auto"/>
              <w:jc w:val="center"/>
              <w:rPr>
                <w:rFonts w:ascii="Palatino Linotype" w:hAnsi="Palatino Linotype"/>
                <w:b/>
                <w:bCs/>
                <w:color w:val="auto"/>
                <w:sz w:val="16"/>
                <w:szCs w:val="16"/>
              </w:rPr>
            </w:pPr>
            <w:r w:rsidRPr="00640AA8">
              <w:rPr>
                <w:rFonts w:ascii="Palatino Linotype" w:hAnsi="Palatino Linotype"/>
                <w:b/>
                <w:bCs/>
                <w:color w:val="auto"/>
                <w:sz w:val="16"/>
                <w:szCs w:val="16"/>
              </w:rPr>
              <w:t>0.005</w:t>
            </w:r>
          </w:p>
        </w:tc>
      </w:tr>
      <w:tr w:rsidR="00CA7924" w:rsidRPr="00640AA8" w14:paraId="5B2807E0" w14:textId="77777777" w:rsidTr="00640AA8">
        <w:trPr>
          <w:jc w:val="center"/>
        </w:trPr>
        <w:tc>
          <w:tcPr>
            <w:tcW w:w="2091" w:type="pct"/>
            <w:shd w:val="clear" w:color="auto" w:fill="FFFFFF"/>
            <w:noWrap/>
            <w:vAlign w:val="center"/>
            <w:hideMark/>
          </w:tcPr>
          <w:p w14:paraId="4132D60A" w14:textId="77777777" w:rsidR="002F78E9" w:rsidRPr="00640AA8" w:rsidRDefault="002F78E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Never</w:t>
            </w:r>
          </w:p>
        </w:tc>
        <w:tc>
          <w:tcPr>
            <w:tcW w:w="532" w:type="pct"/>
            <w:shd w:val="clear" w:color="auto" w:fill="FFFFFF"/>
            <w:noWrap/>
            <w:vAlign w:val="center"/>
            <w:hideMark/>
          </w:tcPr>
          <w:p w14:paraId="564A1A3E" w14:textId="77777777" w:rsidR="002F78E9" w:rsidRPr="00640AA8" w:rsidRDefault="002F78E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50 (4.7)</w:t>
            </w:r>
          </w:p>
        </w:tc>
        <w:tc>
          <w:tcPr>
            <w:tcW w:w="856" w:type="pct"/>
            <w:shd w:val="clear" w:color="auto" w:fill="FFFFFF"/>
            <w:noWrap/>
            <w:vAlign w:val="center"/>
            <w:hideMark/>
          </w:tcPr>
          <w:p w14:paraId="73DDA9D7" w14:textId="77777777" w:rsidR="002F78E9" w:rsidRPr="00ED0ECD" w:rsidRDefault="002F78E9" w:rsidP="00FE4DB7">
            <w:pPr>
              <w:adjustRightInd w:val="0"/>
              <w:snapToGrid w:val="0"/>
              <w:spacing w:line="240" w:lineRule="auto"/>
              <w:jc w:val="center"/>
              <w:rPr>
                <w:rFonts w:ascii="Palatino Linotype" w:hAnsi="Palatino Linotype"/>
                <w:color w:val="auto"/>
                <w:sz w:val="16"/>
                <w:szCs w:val="16"/>
              </w:rPr>
            </w:pPr>
            <w:r w:rsidRPr="00ED0ECD">
              <w:rPr>
                <w:rFonts w:ascii="Palatino Linotype" w:hAnsi="Palatino Linotype"/>
                <w:color w:val="auto"/>
                <w:sz w:val="16"/>
                <w:szCs w:val="16"/>
              </w:rPr>
              <w:t>48 (4.7)</w:t>
            </w:r>
          </w:p>
        </w:tc>
        <w:tc>
          <w:tcPr>
            <w:tcW w:w="1041" w:type="pct"/>
            <w:shd w:val="clear" w:color="auto" w:fill="FFFFFF"/>
            <w:noWrap/>
            <w:vAlign w:val="center"/>
            <w:hideMark/>
          </w:tcPr>
          <w:p w14:paraId="19C99DD6" w14:textId="77777777" w:rsidR="002F78E9" w:rsidRPr="00640AA8" w:rsidRDefault="002F78E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2 (4.8)</w:t>
            </w:r>
          </w:p>
        </w:tc>
        <w:tc>
          <w:tcPr>
            <w:tcW w:w="480" w:type="pct"/>
            <w:shd w:val="clear" w:color="auto" w:fill="FFFFFF"/>
            <w:noWrap/>
            <w:vAlign w:val="center"/>
            <w:hideMark/>
          </w:tcPr>
          <w:p w14:paraId="66B8D09D" w14:textId="419C0832" w:rsidR="002F78E9" w:rsidRPr="00640AA8" w:rsidRDefault="00C51805"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 xml:space="preserve"> </w:t>
            </w:r>
          </w:p>
        </w:tc>
      </w:tr>
      <w:tr w:rsidR="00CA7924" w:rsidRPr="00640AA8" w14:paraId="44B1FD8A" w14:textId="77777777" w:rsidTr="00640AA8">
        <w:trPr>
          <w:jc w:val="center"/>
        </w:trPr>
        <w:tc>
          <w:tcPr>
            <w:tcW w:w="2091" w:type="pct"/>
            <w:shd w:val="clear" w:color="auto" w:fill="FFFFFF"/>
            <w:noWrap/>
            <w:vAlign w:val="center"/>
            <w:hideMark/>
          </w:tcPr>
          <w:p w14:paraId="29C30B58" w14:textId="1C888CB7" w:rsidR="002F78E9" w:rsidRPr="00640AA8" w:rsidRDefault="002F78E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&lt;3 months</w:t>
            </w:r>
          </w:p>
        </w:tc>
        <w:tc>
          <w:tcPr>
            <w:tcW w:w="532" w:type="pct"/>
            <w:shd w:val="clear" w:color="auto" w:fill="FFFFFF"/>
            <w:noWrap/>
            <w:vAlign w:val="center"/>
            <w:hideMark/>
          </w:tcPr>
          <w:p w14:paraId="3A97092F" w14:textId="77777777" w:rsidR="002F78E9" w:rsidRPr="00640AA8" w:rsidRDefault="002F78E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423 (39.6)</w:t>
            </w:r>
          </w:p>
        </w:tc>
        <w:tc>
          <w:tcPr>
            <w:tcW w:w="856" w:type="pct"/>
            <w:shd w:val="clear" w:color="auto" w:fill="FFFFFF"/>
            <w:noWrap/>
            <w:vAlign w:val="center"/>
            <w:hideMark/>
          </w:tcPr>
          <w:p w14:paraId="4F481E39" w14:textId="77777777" w:rsidR="002F78E9" w:rsidRPr="00ED0ECD" w:rsidRDefault="002F78E9" w:rsidP="00FE4DB7">
            <w:pPr>
              <w:adjustRightInd w:val="0"/>
              <w:snapToGrid w:val="0"/>
              <w:spacing w:line="240" w:lineRule="auto"/>
              <w:jc w:val="center"/>
              <w:rPr>
                <w:rFonts w:ascii="Palatino Linotype" w:hAnsi="Palatino Linotype"/>
                <w:color w:val="auto"/>
                <w:sz w:val="16"/>
                <w:szCs w:val="16"/>
              </w:rPr>
            </w:pPr>
            <w:r w:rsidRPr="00ED0ECD">
              <w:rPr>
                <w:rFonts w:ascii="Palatino Linotype" w:hAnsi="Palatino Linotype"/>
                <w:color w:val="auto"/>
                <w:sz w:val="16"/>
                <w:szCs w:val="16"/>
              </w:rPr>
              <w:t>396 (38.6)</w:t>
            </w:r>
          </w:p>
        </w:tc>
        <w:tc>
          <w:tcPr>
            <w:tcW w:w="1041" w:type="pct"/>
            <w:shd w:val="clear" w:color="auto" w:fill="FFFFFF"/>
            <w:noWrap/>
            <w:vAlign w:val="center"/>
            <w:hideMark/>
          </w:tcPr>
          <w:p w14:paraId="1CBC5BDB" w14:textId="77777777" w:rsidR="002F78E9" w:rsidRPr="00640AA8" w:rsidRDefault="002F78E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27 (64.3)</w:t>
            </w:r>
          </w:p>
        </w:tc>
        <w:tc>
          <w:tcPr>
            <w:tcW w:w="480" w:type="pct"/>
            <w:shd w:val="clear" w:color="auto" w:fill="FFFFFF"/>
            <w:noWrap/>
            <w:vAlign w:val="center"/>
            <w:hideMark/>
          </w:tcPr>
          <w:p w14:paraId="011CB0A9" w14:textId="257AC610" w:rsidR="002F78E9" w:rsidRPr="00640AA8" w:rsidRDefault="00C51805"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 xml:space="preserve"> </w:t>
            </w:r>
          </w:p>
        </w:tc>
      </w:tr>
      <w:tr w:rsidR="00CA7924" w:rsidRPr="00640AA8" w14:paraId="3348296E" w14:textId="77777777" w:rsidTr="00640AA8">
        <w:trPr>
          <w:jc w:val="center"/>
        </w:trPr>
        <w:tc>
          <w:tcPr>
            <w:tcW w:w="2091" w:type="pct"/>
            <w:tcBorders>
              <w:bottom w:val="single" w:sz="4" w:space="0" w:color="auto"/>
            </w:tcBorders>
            <w:shd w:val="clear" w:color="auto" w:fill="FFFFFF"/>
            <w:noWrap/>
            <w:vAlign w:val="center"/>
            <w:hideMark/>
          </w:tcPr>
          <w:p w14:paraId="7B586F2C" w14:textId="22454F8C" w:rsidR="002F78E9" w:rsidRPr="00640AA8" w:rsidRDefault="002F78E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&gt;=3 months</w:t>
            </w:r>
          </w:p>
        </w:tc>
        <w:tc>
          <w:tcPr>
            <w:tcW w:w="532" w:type="pct"/>
            <w:tcBorders>
              <w:bottom w:val="single" w:sz="4" w:space="0" w:color="auto"/>
            </w:tcBorders>
            <w:shd w:val="clear" w:color="auto" w:fill="FFFFFF"/>
            <w:noWrap/>
            <w:vAlign w:val="center"/>
            <w:hideMark/>
          </w:tcPr>
          <w:p w14:paraId="0AADE0B3" w14:textId="77777777" w:rsidR="002F78E9" w:rsidRPr="00640AA8" w:rsidRDefault="002F78E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594 (55.7)</w:t>
            </w:r>
          </w:p>
        </w:tc>
        <w:tc>
          <w:tcPr>
            <w:tcW w:w="856" w:type="pct"/>
            <w:tcBorders>
              <w:bottom w:val="single" w:sz="4" w:space="0" w:color="auto"/>
            </w:tcBorders>
            <w:shd w:val="clear" w:color="auto" w:fill="FFFFFF"/>
            <w:noWrap/>
            <w:vAlign w:val="center"/>
            <w:hideMark/>
          </w:tcPr>
          <w:p w14:paraId="4B91F44A" w14:textId="77777777" w:rsidR="002F78E9" w:rsidRPr="00ED0ECD" w:rsidRDefault="002F78E9" w:rsidP="00FE4DB7">
            <w:pPr>
              <w:adjustRightInd w:val="0"/>
              <w:snapToGrid w:val="0"/>
              <w:spacing w:line="240" w:lineRule="auto"/>
              <w:jc w:val="center"/>
              <w:rPr>
                <w:rFonts w:ascii="Palatino Linotype" w:hAnsi="Palatino Linotype"/>
                <w:color w:val="auto"/>
                <w:sz w:val="16"/>
                <w:szCs w:val="16"/>
              </w:rPr>
            </w:pPr>
            <w:r w:rsidRPr="00ED0ECD">
              <w:rPr>
                <w:rFonts w:ascii="Palatino Linotype" w:hAnsi="Palatino Linotype"/>
                <w:color w:val="auto"/>
                <w:sz w:val="16"/>
                <w:szCs w:val="16"/>
              </w:rPr>
              <w:t>581 (56.7)</w:t>
            </w:r>
          </w:p>
        </w:tc>
        <w:tc>
          <w:tcPr>
            <w:tcW w:w="1041" w:type="pct"/>
            <w:tcBorders>
              <w:bottom w:val="single" w:sz="4" w:space="0" w:color="auto"/>
            </w:tcBorders>
            <w:shd w:val="clear" w:color="auto" w:fill="FFFFFF"/>
            <w:noWrap/>
            <w:vAlign w:val="center"/>
            <w:hideMark/>
          </w:tcPr>
          <w:p w14:paraId="39559CBD" w14:textId="77777777" w:rsidR="002F78E9" w:rsidRPr="00640AA8" w:rsidRDefault="002F78E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13 (31.0)</w:t>
            </w:r>
          </w:p>
        </w:tc>
        <w:tc>
          <w:tcPr>
            <w:tcW w:w="480" w:type="pct"/>
            <w:tcBorders>
              <w:bottom w:val="single" w:sz="4" w:space="0" w:color="auto"/>
            </w:tcBorders>
            <w:shd w:val="clear" w:color="auto" w:fill="FFFFFF"/>
            <w:noWrap/>
            <w:vAlign w:val="center"/>
            <w:hideMark/>
          </w:tcPr>
          <w:p w14:paraId="246AE10B" w14:textId="7930CFCD" w:rsidR="002F78E9" w:rsidRPr="00640AA8" w:rsidRDefault="00C51805"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 xml:space="preserve"> </w:t>
            </w:r>
          </w:p>
        </w:tc>
      </w:tr>
      <w:tr w:rsidR="00DD304F" w:rsidRPr="00640AA8" w14:paraId="2EFEF4DC" w14:textId="77777777" w:rsidTr="00640AA8">
        <w:trPr>
          <w:jc w:val="center"/>
        </w:trPr>
        <w:tc>
          <w:tcPr>
            <w:tcW w:w="2091" w:type="pct"/>
            <w:tcBorders>
              <w:top w:val="single" w:sz="4" w:space="0" w:color="auto"/>
            </w:tcBorders>
            <w:shd w:val="clear" w:color="auto" w:fill="FFFFFF"/>
            <w:noWrap/>
            <w:vAlign w:val="center"/>
          </w:tcPr>
          <w:p w14:paraId="7E661B7B" w14:textId="6E6A997A" w:rsidR="00DD304F" w:rsidRPr="00640AA8" w:rsidRDefault="00DD304F" w:rsidP="00FE4DB7">
            <w:pPr>
              <w:adjustRightInd w:val="0"/>
              <w:snapToGrid w:val="0"/>
              <w:spacing w:line="240" w:lineRule="auto"/>
              <w:jc w:val="center"/>
              <w:rPr>
                <w:rFonts w:ascii="Palatino Linotype" w:hAnsi="Palatino Linotype"/>
                <w:b/>
                <w:color w:val="auto"/>
                <w:sz w:val="16"/>
                <w:szCs w:val="16"/>
              </w:rPr>
            </w:pPr>
            <w:r w:rsidRPr="00640AA8">
              <w:rPr>
                <w:rFonts w:ascii="Palatino Linotype" w:hAnsi="Palatino Linotype"/>
                <w:b/>
                <w:color w:val="auto"/>
                <w:sz w:val="16"/>
                <w:szCs w:val="16"/>
              </w:rPr>
              <w:t xml:space="preserve">Age of introduction of first foods </w:t>
            </w:r>
            <w:r w:rsidRPr="00640AA8">
              <w:rPr>
                <w:rFonts w:ascii="Palatino Linotype" w:hAnsi="Palatino Linotype"/>
                <w:b/>
                <w:bCs/>
                <w:color w:val="auto"/>
                <w:sz w:val="16"/>
                <w:szCs w:val="16"/>
                <w:vertAlign w:val="superscript"/>
              </w:rPr>
              <w:t>2</w:t>
            </w:r>
          </w:p>
        </w:tc>
        <w:tc>
          <w:tcPr>
            <w:tcW w:w="2909" w:type="pct"/>
            <w:gridSpan w:val="4"/>
            <w:tcBorders>
              <w:top w:val="single" w:sz="4" w:space="0" w:color="auto"/>
            </w:tcBorders>
            <w:shd w:val="clear" w:color="auto" w:fill="FFFFFF"/>
            <w:noWrap/>
            <w:vAlign w:val="center"/>
          </w:tcPr>
          <w:p w14:paraId="6F7678A3" w14:textId="77777777" w:rsidR="00DD304F" w:rsidRPr="00ED0ECD" w:rsidRDefault="00DD304F" w:rsidP="00FE4DB7">
            <w:pPr>
              <w:adjustRightInd w:val="0"/>
              <w:snapToGrid w:val="0"/>
              <w:spacing w:line="240" w:lineRule="auto"/>
              <w:jc w:val="center"/>
              <w:rPr>
                <w:rFonts w:ascii="Palatino Linotype" w:hAnsi="Palatino Linotype"/>
                <w:color w:val="auto"/>
                <w:sz w:val="16"/>
                <w:szCs w:val="16"/>
              </w:rPr>
            </w:pPr>
          </w:p>
        </w:tc>
      </w:tr>
      <w:tr w:rsidR="00CA7924" w:rsidRPr="00640AA8" w14:paraId="56201782" w14:textId="77777777" w:rsidTr="00640AA8">
        <w:trPr>
          <w:jc w:val="center"/>
        </w:trPr>
        <w:tc>
          <w:tcPr>
            <w:tcW w:w="2091" w:type="pct"/>
            <w:shd w:val="clear" w:color="auto" w:fill="FFFFFF"/>
            <w:noWrap/>
            <w:vAlign w:val="center"/>
          </w:tcPr>
          <w:p w14:paraId="1DC7DA61" w14:textId="714B8820"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≤15 weeks</w:t>
            </w:r>
          </w:p>
        </w:tc>
        <w:tc>
          <w:tcPr>
            <w:tcW w:w="532" w:type="pct"/>
            <w:shd w:val="clear" w:color="auto" w:fill="FFFFFF"/>
            <w:noWrap/>
            <w:vAlign w:val="center"/>
          </w:tcPr>
          <w:p w14:paraId="171188CB" w14:textId="52EABB69"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20 (2.4)</w:t>
            </w:r>
          </w:p>
        </w:tc>
        <w:tc>
          <w:tcPr>
            <w:tcW w:w="856" w:type="pct"/>
            <w:shd w:val="clear" w:color="auto" w:fill="FFFFFF"/>
            <w:noWrap/>
            <w:vAlign w:val="center"/>
          </w:tcPr>
          <w:p w14:paraId="16B98726" w14:textId="55EA788D" w:rsidR="0020050B" w:rsidRPr="00ED0ECD" w:rsidRDefault="0020050B" w:rsidP="00FE4DB7">
            <w:pPr>
              <w:adjustRightInd w:val="0"/>
              <w:snapToGrid w:val="0"/>
              <w:spacing w:line="240" w:lineRule="auto"/>
              <w:jc w:val="center"/>
              <w:rPr>
                <w:rFonts w:ascii="Palatino Linotype" w:hAnsi="Palatino Linotype"/>
                <w:color w:val="auto"/>
                <w:sz w:val="16"/>
                <w:szCs w:val="16"/>
              </w:rPr>
            </w:pPr>
            <w:r w:rsidRPr="00ED0ECD">
              <w:rPr>
                <w:rFonts w:ascii="Palatino Linotype" w:hAnsi="Palatino Linotype"/>
                <w:color w:val="auto"/>
                <w:sz w:val="16"/>
                <w:szCs w:val="16"/>
              </w:rPr>
              <w:t>20 (2.4)</w:t>
            </w:r>
          </w:p>
        </w:tc>
        <w:tc>
          <w:tcPr>
            <w:tcW w:w="1041" w:type="pct"/>
            <w:shd w:val="clear" w:color="auto" w:fill="FFFFFF"/>
            <w:noWrap/>
            <w:vAlign w:val="center"/>
          </w:tcPr>
          <w:p w14:paraId="66828782" w14:textId="7D1BED6A"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Missing data</w:t>
            </w:r>
            <w:r w:rsidR="001B2A78" w:rsidRPr="00640AA8">
              <w:rPr>
                <w:rFonts w:ascii="Palatino Linotype" w:hAnsi="Palatino Linotype"/>
                <w:color w:val="auto"/>
                <w:sz w:val="16"/>
                <w:szCs w:val="16"/>
              </w:rPr>
              <w:t xml:space="preserve"> </w:t>
            </w:r>
          </w:p>
        </w:tc>
        <w:tc>
          <w:tcPr>
            <w:tcW w:w="480" w:type="pct"/>
            <w:shd w:val="clear" w:color="auto" w:fill="FFFFFF"/>
            <w:noWrap/>
            <w:vAlign w:val="center"/>
          </w:tcPr>
          <w:p w14:paraId="389563BD" w14:textId="4723AA55"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NA</w:t>
            </w:r>
          </w:p>
        </w:tc>
      </w:tr>
      <w:tr w:rsidR="00CA7924" w:rsidRPr="00640AA8" w14:paraId="44DFB9E1" w14:textId="77777777" w:rsidTr="00640AA8">
        <w:trPr>
          <w:jc w:val="center"/>
        </w:trPr>
        <w:tc>
          <w:tcPr>
            <w:tcW w:w="2091" w:type="pct"/>
            <w:shd w:val="clear" w:color="auto" w:fill="FFFFFF"/>
            <w:noWrap/>
            <w:vAlign w:val="center"/>
          </w:tcPr>
          <w:p w14:paraId="770FA216" w14:textId="411D4BD0" w:rsidR="00FE4DB7" w:rsidRPr="00640AA8" w:rsidRDefault="00FE4DB7"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16–23 weeks</w:t>
            </w:r>
          </w:p>
        </w:tc>
        <w:tc>
          <w:tcPr>
            <w:tcW w:w="532" w:type="pct"/>
            <w:shd w:val="clear" w:color="auto" w:fill="FFFFFF"/>
            <w:noWrap/>
            <w:vAlign w:val="center"/>
          </w:tcPr>
          <w:p w14:paraId="2DCA1184" w14:textId="12249253" w:rsidR="00FE4DB7" w:rsidRPr="00640AA8" w:rsidRDefault="00FE4DB7"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291 (34.6)</w:t>
            </w:r>
          </w:p>
        </w:tc>
        <w:tc>
          <w:tcPr>
            <w:tcW w:w="856" w:type="pct"/>
            <w:shd w:val="clear" w:color="auto" w:fill="FFFFFF"/>
            <w:noWrap/>
            <w:vAlign w:val="center"/>
          </w:tcPr>
          <w:p w14:paraId="3C0EC19B" w14:textId="34F91A63" w:rsidR="00FE4DB7" w:rsidRPr="00ED0ECD" w:rsidRDefault="00FE4DB7" w:rsidP="00FE4DB7">
            <w:pPr>
              <w:adjustRightInd w:val="0"/>
              <w:snapToGrid w:val="0"/>
              <w:spacing w:line="240" w:lineRule="auto"/>
              <w:jc w:val="center"/>
              <w:rPr>
                <w:rFonts w:ascii="Palatino Linotype" w:hAnsi="Palatino Linotype"/>
                <w:color w:val="auto"/>
                <w:sz w:val="16"/>
                <w:szCs w:val="16"/>
              </w:rPr>
            </w:pPr>
            <w:r w:rsidRPr="00ED0ECD">
              <w:rPr>
                <w:rFonts w:ascii="Palatino Linotype" w:hAnsi="Palatino Linotype"/>
                <w:color w:val="auto"/>
                <w:sz w:val="16"/>
                <w:szCs w:val="16"/>
              </w:rPr>
              <w:t>291 (34.6)</w:t>
            </w:r>
          </w:p>
        </w:tc>
        <w:tc>
          <w:tcPr>
            <w:tcW w:w="1041" w:type="pct"/>
            <w:vMerge w:val="restart"/>
            <w:shd w:val="clear" w:color="auto" w:fill="FFFFFF"/>
            <w:noWrap/>
            <w:vAlign w:val="center"/>
          </w:tcPr>
          <w:p w14:paraId="1D262A2F" w14:textId="77777777" w:rsidR="00FE4DB7" w:rsidRPr="00640AA8" w:rsidRDefault="00FE4DB7" w:rsidP="00FE4DB7">
            <w:pPr>
              <w:adjustRightInd w:val="0"/>
              <w:snapToGrid w:val="0"/>
              <w:spacing w:line="240" w:lineRule="auto"/>
              <w:jc w:val="center"/>
              <w:rPr>
                <w:rFonts w:ascii="Palatino Linotype" w:hAnsi="Palatino Linotype"/>
                <w:color w:val="auto"/>
                <w:sz w:val="16"/>
                <w:szCs w:val="16"/>
              </w:rPr>
            </w:pPr>
          </w:p>
        </w:tc>
        <w:tc>
          <w:tcPr>
            <w:tcW w:w="480" w:type="pct"/>
            <w:vMerge w:val="restart"/>
            <w:shd w:val="clear" w:color="auto" w:fill="FFFFFF"/>
            <w:noWrap/>
            <w:vAlign w:val="center"/>
          </w:tcPr>
          <w:p w14:paraId="5C2CFC81" w14:textId="77777777" w:rsidR="00FE4DB7" w:rsidRPr="00640AA8" w:rsidRDefault="00FE4DB7" w:rsidP="00FE4DB7">
            <w:pPr>
              <w:adjustRightInd w:val="0"/>
              <w:snapToGrid w:val="0"/>
              <w:spacing w:line="240" w:lineRule="auto"/>
              <w:jc w:val="center"/>
              <w:rPr>
                <w:rFonts w:ascii="Palatino Linotype" w:hAnsi="Palatino Linotype"/>
                <w:color w:val="auto"/>
                <w:sz w:val="16"/>
                <w:szCs w:val="16"/>
              </w:rPr>
            </w:pPr>
          </w:p>
        </w:tc>
      </w:tr>
      <w:tr w:rsidR="00CA7924" w:rsidRPr="00640AA8" w14:paraId="7688DA05" w14:textId="77777777" w:rsidTr="00640AA8">
        <w:trPr>
          <w:jc w:val="center"/>
        </w:trPr>
        <w:tc>
          <w:tcPr>
            <w:tcW w:w="2091" w:type="pct"/>
            <w:shd w:val="clear" w:color="auto" w:fill="FFFFFF"/>
            <w:noWrap/>
            <w:vAlign w:val="center"/>
          </w:tcPr>
          <w:p w14:paraId="5930BC6F" w14:textId="26457348" w:rsidR="00FE4DB7" w:rsidRPr="00640AA8" w:rsidRDefault="00FE4DB7"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24–31 weeks</w:t>
            </w:r>
          </w:p>
        </w:tc>
        <w:tc>
          <w:tcPr>
            <w:tcW w:w="532" w:type="pct"/>
            <w:shd w:val="clear" w:color="auto" w:fill="FFFFFF"/>
            <w:noWrap/>
            <w:vAlign w:val="center"/>
          </w:tcPr>
          <w:p w14:paraId="3DB9CC6D" w14:textId="200E3233" w:rsidR="00FE4DB7" w:rsidRPr="00640AA8" w:rsidRDefault="00FE4DB7"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495 (58.9)</w:t>
            </w:r>
          </w:p>
        </w:tc>
        <w:tc>
          <w:tcPr>
            <w:tcW w:w="856" w:type="pct"/>
            <w:shd w:val="clear" w:color="auto" w:fill="FFFFFF"/>
            <w:noWrap/>
            <w:vAlign w:val="center"/>
          </w:tcPr>
          <w:p w14:paraId="1BE4418C" w14:textId="69F04018" w:rsidR="00FE4DB7" w:rsidRPr="00ED0ECD" w:rsidRDefault="00FE4DB7" w:rsidP="00FE4DB7">
            <w:pPr>
              <w:adjustRightInd w:val="0"/>
              <w:snapToGrid w:val="0"/>
              <w:spacing w:line="240" w:lineRule="auto"/>
              <w:jc w:val="center"/>
              <w:rPr>
                <w:rFonts w:ascii="Palatino Linotype" w:hAnsi="Palatino Linotype"/>
                <w:color w:val="auto"/>
                <w:sz w:val="16"/>
                <w:szCs w:val="16"/>
              </w:rPr>
            </w:pPr>
            <w:r w:rsidRPr="00ED0ECD">
              <w:rPr>
                <w:rFonts w:ascii="Palatino Linotype" w:hAnsi="Palatino Linotype"/>
                <w:color w:val="auto"/>
                <w:sz w:val="16"/>
                <w:szCs w:val="16"/>
              </w:rPr>
              <w:t>495 (58.9)</w:t>
            </w:r>
          </w:p>
        </w:tc>
        <w:tc>
          <w:tcPr>
            <w:tcW w:w="1041" w:type="pct"/>
            <w:vMerge/>
            <w:shd w:val="clear" w:color="auto" w:fill="FFFFFF"/>
            <w:noWrap/>
            <w:vAlign w:val="center"/>
          </w:tcPr>
          <w:p w14:paraId="1EB36A6F" w14:textId="77777777" w:rsidR="00FE4DB7" w:rsidRPr="00640AA8" w:rsidRDefault="00FE4DB7" w:rsidP="00FE4DB7">
            <w:pPr>
              <w:adjustRightInd w:val="0"/>
              <w:snapToGrid w:val="0"/>
              <w:spacing w:line="240" w:lineRule="auto"/>
              <w:jc w:val="center"/>
              <w:rPr>
                <w:rFonts w:ascii="Palatino Linotype" w:hAnsi="Palatino Linotype"/>
                <w:color w:val="auto"/>
                <w:sz w:val="16"/>
                <w:szCs w:val="16"/>
              </w:rPr>
            </w:pPr>
          </w:p>
        </w:tc>
        <w:tc>
          <w:tcPr>
            <w:tcW w:w="480" w:type="pct"/>
            <w:vMerge/>
            <w:shd w:val="clear" w:color="auto" w:fill="FFFFFF"/>
            <w:noWrap/>
            <w:vAlign w:val="center"/>
          </w:tcPr>
          <w:p w14:paraId="6406DE3E" w14:textId="77777777" w:rsidR="00FE4DB7" w:rsidRPr="00640AA8" w:rsidRDefault="00FE4DB7" w:rsidP="00FE4DB7">
            <w:pPr>
              <w:adjustRightInd w:val="0"/>
              <w:snapToGrid w:val="0"/>
              <w:spacing w:line="240" w:lineRule="auto"/>
              <w:jc w:val="center"/>
              <w:rPr>
                <w:rFonts w:ascii="Palatino Linotype" w:hAnsi="Palatino Linotype"/>
                <w:color w:val="auto"/>
                <w:sz w:val="16"/>
                <w:szCs w:val="16"/>
              </w:rPr>
            </w:pPr>
          </w:p>
        </w:tc>
      </w:tr>
      <w:tr w:rsidR="00CA7924" w:rsidRPr="00640AA8" w14:paraId="1CB9F2D0" w14:textId="77777777" w:rsidTr="00640AA8">
        <w:trPr>
          <w:jc w:val="center"/>
        </w:trPr>
        <w:tc>
          <w:tcPr>
            <w:tcW w:w="2091" w:type="pct"/>
            <w:tcBorders>
              <w:bottom w:val="single" w:sz="4" w:space="0" w:color="auto"/>
            </w:tcBorders>
            <w:shd w:val="clear" w:color="auto" w:fill="FFFFFF"/>
            <w:noWrap/>
            <w:vAlign w:val="center"/>
          </w:tcPr>
          <w:p w14:paraId="2CE2EF98" w14:textId="2A01F8D9" w:rsidR="00FE4DB7" w:rsidRPr="00640AA8" w:rsidRDefault="00FE4DB7"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≥32 weeks</w:t>
            </w:r>
          </w:p>
        </w:tc>
        <w:tc>
          <w:tcPr>
            <w:tcW w:w="532" w:type="pct"/>
            <w:tcBorders>
              <w:bottom w:val="single" w:sz="4" w:space="0" w:color="auto"/>
            </w:tcBorders>
            <w:shd w:val="clear" w:color="auto" w:fill="FFFFFF"/>
            <w:noWrap/>
            <w:vAlign w:val="center"/>
          </w:tcPr>
          <w:p w14:paraId="190E6945" w14:textId="5BA8A345" w:rsidR="00FE4DB7" w:rsidRPr="00640AA8" w:rsidRDefault="00FE4DB7"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34 (4.0)</w:t>
            </w:r>
          </w:p>
        </w:tc>
        <w:tc>
          <w:tcPr>
            <w:tcW w:w="856" w:type="pct"/>
            <w:tcBorders>
              <w:bottom w:val="single" w:sz="4" w:space="0" w:color="auto"/>
            </w:tcBorders>
            <w:shd w:val="clear" w:color="auto" w:fill="FFFFFF"/>
            <w:noWrap/>
            <w:vAlign w:val="center"/>
          </w:tcPr>
          <w:p w14:paraId="58E947BE" w14:textId="68833E74" w:rsidR="00FE4DB7" w:rsidRPr="00ED0ECD" w:rsidRDefault="00FE4DB7" w:rsidP="00FE4DB7">
            <w:pPr>
              <w:adjustRightInd w:val="0"/>
              <w:snapToGrid w:val="0"/>
              <w:spacing w:line="240" w:lineRule="auto"/>
              <w:jc w:val="center"/>
              <w:rPr>
                <w:rFonts w:ascii="Palatino Linotype" w:hAnsi="Palatino Linotype"/>
                <w:color w:val="auto"/>
                <w:sz w:val="16"/>
                <w:szCs w:val="16"/>
              </w:rPr>
            </w:pPr>
            <w:r w:rsidRPr="00ED0ECD">
              <w:rPr>
                <w:rFonts w:ascii="Palatino Linotype" w:hAnsi="Palatino Linotype"/>
                <w:color w:val="auto"/>
                <w:sz w:val="16"/>
                <w:szCs w:val="16"/>
              </w:rPr>
              <w:t>34 (4.0)</w:t>
            </w:r>
          </w:p>
        </w:tc>
        <w:tc>
          <w:tcPr>
            <w:tcW w:w="1041" w:type="pct"/>
            <w:vMerge/>
            <w:tcBorders>
              <w:bottom w:val="single" w:sz="4" w:space="0" w:color="auto"/>
            </w:tcBorders>
            <w:shd w:val="clear" w:color="auto" w:fill="FFFFFF"/>
            <w:noWrap/>
            <w:vAlign w:val="center"/>
          </w:tcPr>
          <w:p w14:paraId="08722F66" w14:textId="77777777" w:rsidR="00FE4DB7" w:rsidRPr="00640AA8" w:rsidRDefault="00FE4DB7" w:rsidP="00FE4DB7">
            <w:pPr>
              <w:adjustRightInd w:val="0"/>
              <w:snapToGrid w:val="0"/>
              <w:spacing w:line="240" w:lineRule="auto"/>
              <w:jc w:val="center"/>
              <w:rPr>
                <w:rFonts w:ascii="Palatino Linotype" w:hAnsi="Palatino Linotype"/>
                <w:color w:val="auto"/>
                <w:sz w:val="16"/>
                <w:szCs w:val="16"/>
              </w:rPr>
            </w:pPr>
          </w:p>
        </w:tc>
        <w:tc>
          <w:tcPr>
            <w:tcW w:w="480" w:type="pct"/>
            <w:vMerge/>
            <w:tcBorders>
              <w:bottom w:val="single" w:sz="4" w:space="0" w:color="auto"/>
            </w:tcBorders>
            <w:shd w:val="clear" w:color="auto" w:fill="FFFFFF"/>
            <w:noWrap/>
            <w:vAlign w:val="center"/>
          </w:tcPr>
          <w:p w14:paraId="1F911AB2" w14:textId="77777777" w:rsidR="00FE4DB7" w:rsidRPr="00640AA8" w:rsidRDefault="00FE4DB7" w:rsidP="00FE4DB7">
            <w:pPr>
              <w:adjustRightInd w:val="0"/>
              <w:snapToGrid w:val="0"/>
              <w:spacing w:line="240" w:lineRule="auto"/>
              <w:jc w:val="center"/>
              <w:rPr>
                <w:rFonts w:ascii="Palatino Linotype" w:hAnsi="Palatino Linotype"/>
                <w:color w:val="auto"/>
                <w:sz w:val="16"/>
                <w:szCs w:val="16"/>
              </w:rPr>
            </w:pPr>
          </w:p>
        </w:tc>
      </w:tr>
      <w:tr w:rsidR="00C51805" w:rsidRPr="00640AA8" w14:paraId="6EE32D37" w14:textId="77777777" w:rsidTr="00640AA8">
        <w:trPr>
          <w:jc w:val="center"/>
        </w:trPr>
        <w:tc>
          <w:tcPr>
            <w:tcW w:w="5000" w:type="pct"/>
            <w:gridSpan w:val="5"/>
            <w:tcBorders>
              <w:top w:val="single" w:sz="4" w:space="0" w:color="auto"/>
              <w:left w:val="nil"/>
              <w:bottom w:val="single" w:sz="4" w:space="0" w:color="auto"/>
              <w:right w:val="nil"/>
            </w:tcBorders>
            <w:shd w:val="clear" w:color="auto" w:fill="FFFFFF"/>
            <w:noWrap/>
            <w:vAlign w:val="center"/>
            <w:hideMark/>
          </w:tcPr>
          <w:p w14:paraId="726A30E8" w14:textId="77777777" w:rsidR="0020050B" w:rsidRPr="00ED0ECD" w:rsidRDefault="0020050B" w:rsidP="00FE4DB7">
            <w:pPr>
              <w:adjustRightInd w:val="0"/>
              <w:snapToGrid w:val="0"/>
              <w:spacing w:line="240" w:lineRule="auto"/>
              <w:jc w:val="center"/>
              <w:rPr>
                <w:rFonts w:ascii="Palatino Linotype" w:hAnsi="Palatino Linotype"/>
                <w:b/>
                <w:bCs/>
                <w:iCs/>
                <w:color w:val="auto"/>
                <w:sz w:val="16"/>
                <w:szCs w:val="16"/>
              </w:rPr>
            </w:pPr>
            <w:r w:rsidRPr="008C197E">
              <w:rPr>
                <w:rFonts w:ascii="Palatino Linotype" w:hAnsi="Palatino Linotype"/>
                <w:b/>
                <w:bCs/>
                <w:iCs/>
                <w:color w:val="auto"/>
                <w:sz w:val="16"/>
                <w:szCs w:val="16"/>
              </w:rPr>
              <w:t>Maternal</w:t>
            </w:r>
          </w:p>
        </w:tc>
      </w:tr>
      <w:tr w:rsidR="00DD304F" w:rsidRPr="00640AA8" w14:paraId="00314A7D" w14:textId="77777777" w:rsidTr="00640AA8">
        <w:trPr>
          <w:jc w:val="center"/>
        </w:trPr>
        <w:tc>
          <w:tcPr>
            <w:tcW w:w="2091" w:type="pct"/>
            <w:shd w:val="clear" w:color="auto" w:fill="FFFFFF"/>
            <w:noWrap/>
            <w:vAlign w:val="center"/>
            <w:hideMark/>
          </w:tcPr>
          <w:p w14:paraId="1C4A776A" w14:textId="77777777" w:rsidR="00DD304F" w:rsidRPr="00640AA8" w:rsidRDefault="00DD304F" w:rsidP="00FE4DB7">
            <w:pPr>
              <w:adjustRightInd w:val="0"/>
              <w:snapToGrid w:val="0"/>
              <w:spacing w:line="240" w:lineRule="auto"/>
              <w:jc w:val="center"/>
              <w:rPr>
                <w:rFonts w:ascii="Palatino Linotype" w:hAnsi="Palatino Linotype"/>
                <w:b/>
                <w:bCs/>
                <w:color w:val="auto"/>
                <w:sz w:val="16"/>
                <w:szCs w:val="16"/>
              </w:rPr>
            </w:pPr>
            <w:r w:rsidRPr="00640AA8">
              <w:rPr>
                <w:rFonts w:ascii="Palatino Linotype" w:hAnsi="Palatino Linotype"/>
                <w:b/>
                <w:bCs/>
                <w:color w:val="auto"/>
                <w:sz w:val="16"/>
                <w:szCs w:val="16"/>
              </w:rPr>
              <w:t>Maternal age</w:t>
            </w:r>
          </w:p>
        </w:tc>
        <w:tc>
          <w:tcPr>
            <w:tcW w:w="2429" w:type="pct"/>
            <w:gridSpan w:val="3"/>
            <w:shd w:val="clear" w:color="auto" w:fill="FFFFFF"/>
            <w:noWrap/>
            <w:vAlign w:val="center"/>
          </w:tcPr>
          <w:p w14:paraId="715D7B95" w14:textId="470D05AC" w:rsidR="00DD304F" w:rsidRPr="00640AA8" w:rsidRDefault="00DD304F" w:rsidP="00FE4DB7">
            <w:pPr>
              <w:adjustRightInd w:val="0"/>
              <w:snapToGrid w:val="0"/>
              <w:spacing w:line="240" w:lineRule="auto"/>
              <w:jc w:val="center"/>
              <w:rPr>
                <w:rFonts w:ascii="Palatino Linotype" w:hAnsi="Palatino Linotype"/>
                <w:color w:val="auto"/>
                <w:sz w:val="16"/>
                <w:szCs w:val="16"/>
              </w:rPr>
            </w:pPr>
          </w:p>
        </w:tc>
        <w:tc>
          <w:tcPr>
            <w:tcW w:w="480" w:type="pct"/>
            <w:shd w:val="clear" w:color="auto" w:fill="FFFFFF"/>
            <w:noWrap/>
            <w:vAlign w:val="center"/>
            <w:hideMark/>
          </w:tcPr>
          <w:p w14:paraId="2A5B008F" w14:textId="3D52F9CE" w:rsidR="00DD304F" w:rsidRPr="00640AA8" w:rsidRDefault="00DD304F" w:rsidP="00FE4DB7">
            <w:pPr>
              <w:adjustRightInd w:val="0"/>
              <w:snapToGrid w:val="0"/>
              <w:spacing w:line="240" w:lineRule="auto"/>
              <w:jc w:val="center"/>
              <w:rPr>
                <w:rFonts w:ascii="Palatino Linotype" w:hAnsi="Palatino Linotype"/>
                <w:b/>
                <w:bCs/>
                <w:color w:val="auto"/>
                <w:sz w:val="16"/>
                <w:szCs w:val="16"/>
              </w:rPr>
            </w:pPr>
            <w:r w:rsidRPr="00640AA8">
              <w:rPr>
                <w:rFonts w:ascii="Palatino Linotype" w:hAnsi="Palatino Linotype"/>
                <w:b/>
                <w:bCs/>
                <w:color w:val="auto"/>
                <w:sz w:val="16"/>
                <w:szCs w:val="16"/>
              </w:rPr>
              <w:t>&lt;0.001</w:t>
            </w:r>
          </w:p>
        </w:tc>
      </w:tr>
      <w:tr w:rsidR="00CA7924" w:rsidRPr="00640AA8" w14:paraId="4A5CA7AB" w14:textId="77777777" w:rsidTr="00640AA8">
        <w:trPr>
          <w:jc w:val="center"/>
        </w:trPr>
        <w:tc>
          <w:tcPr>
            <w:tcW w:w="2091" w:type="pct"/>
            <w:shd w:val="clear" w:color="auto" w:fill="FFFFFF"/>
            <w:noWrap/>
            <w:vAlign w:val="center"/>
            <w:hideMark/>
          </w:tcPr>
          <w:p w14:paraId="7E035D65" w14:textId="77777777"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18 to 29</w:t>
            </w:r>
          </w:p>
        </w:tc>
        <w:tc>
          <w:tcPr>
            <w:tcW w:w="532" w:type="pct"/>
            <w:shd w:val="clear" w:color="auto" w:fill="FFFFFF"/>
            <w:noWrap/>
            <w:vAlign w:val="center"/>
            <w:hideMark/>
          </w:tcPr>
          <w:p w14:paraId="6222F08A" w14:textId="77777777"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527 (42.6)</w:t>
            </w:r>
          </w:p>
        </w:tc>
        <w:tc>
          <w:tcPr>
            <w:tcW w:w="856" w:type="pct"/>
            <w:shd w:val="clear" w:color="auto" w:fill="FFFFFF"/>
            <w:noWrap/>
            <w:vAlign w:val="center"/>
            <w:hideMark/>
          </w:tcPr>
          <w:p w14:paraId="7172C84E" w14:textId="77777777"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419 (40.5)</w:t>
            </w:r>
          </w:p>
        </w:tc>
        <w:tc>
          <w:tcPr>
            <w:tcW w:w="1041" w:type="pct"/>
            <w:shd w:val="clear" w:color="auto" w:fill="FFFFFF"/>
            <w:noWrap/>
            <w:vAlign w:val="center"/>
            <w:hideMark/>
          </w:tcPr>
          <w:p w14:paraId="5B7B40EF" w14:textId="77777777"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108 (53.5)</w:t>
            </w:r>
          </w:p>
        </w:tc>
        <w:tc>
          <w:tcPr>
            <w:tcW w:w="480" w:type="pct"/>
            <w:shd w:val="clear" w:color="auto" w:fill="FFFFFF"/>
            <w:noWrap/>
            <w:vAlign w:val="center"/>
            <w:hideMark/>
          </w:tcPr>
          <w:p w14:paraId="2277008B" w14:textId="17C625E0" w:rsidR="0020050B" w:rsidRPr="00640AA8" w:rsidRDefault="00C51805" w:rsidP="00FE4DB7">
            <w:pPr>
              <w:adjustRightInd w:val="0"/>
              <w:snapToGrid w:val="0"/>
              <w:spacing w:line="240" w:lineRule="auto"/>
              <w:jc w:val="center"/>
              <w:rPr>
                <w:rFonts w:ascii="Palatino Linotype" w:hAnsi="Palatino Linotype"/>
                <w:b/>
                <w:bCs/>
                <w:color w:val="auto"/>
                <w:sz w:val="16"/>
                <w:szCs w:val="16"/>
              </w:rPr>
            </w:pPr>
            <w:r w:rsidRPr="00640AA8">
              <w:rPr>
                <w:rFonts w:ascii="Palatino Linotype" w:hAnsi="Palatino Linotype"/>
                <w:b/>
                <w:bCs/>
                <w:color w:val="auto"/>
                <w:sz w:val="16"/>
                <w:szCs w:val="16"/>
              </w:rPr>
              <w:t xml:space="preserve"> </w:t>
            </w:r>
          </w:p>
        </w:tc>
      </w:tr>
      <w:tr w:rsidR="00CA7924" w:rsidRPr="00640AA8" w14:paraId="0CFD20E7" w14:textId="77777777" w:rsidTr="00640AA8">
        <w:trPr>
          <w:jc w:val="center"/>
        </w:trPr>
        <w:tc>
          <w:tcPr>
            <w:tcW w:w="2091" w:type="pct"/>
            <w:shd w:val="clear" w:color="auto" w:fill="FFFFFF"/>
            <w:noWrap/>
            <w:vAlign w:val="center"/>
            <w:hideMark/>
          </w:tcPr>
          <w:p w14:paraId="5F99166C" w14:textId="77777777"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30 to 34</w:t>
            </w:r>
          </w:p>
        </w:tc>
        <w:tc>
          <w:tcPr>
            <w:tcW w:w="532" w:type="pct"/>
            <w:shd w:val="clear" w:color="auto" w:fill="FFFFFF"/>
            <w:noWrap/>
            <w:vAlign w:val="center"/>
            <w:hideMark/>
          </w:tcPr>
          <w:p w14:paraId="0EFE1C22" w14:textId="77777777"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416 (33.6)</w:t>
            </w:r>
          </w:p>
        </w:tc>
        <w:tc>
          <w:tcPr>
            <w:tcW w:w="856" w:type="pct"/>
            <w:shd w:val="clear" w:color="auto" w:fill="FFFFFF"/>
            <w:noWrap/>
            <w:vAlign w:val="center"/>
            <w:hideMark/>
          </w:tcPr>
          <w:p w14:paraId="4589F13C" w14:textId="77777777"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352 (34.0)</w:t>
            </w:r>
          </w:p>
        </w:tc>
        <w:tc>
          <w:tcPr>
            <w:tcW w:w="1041" w:type="pct"/>
            <w:shd w:val="clear" w:color="auto" w:fill="FFFFFF"/>
            <w:noWrap/>
            <w:vAlign w:val="center"/>
            <w:hideMark/>
          </w:tcPr>
          <w:p w14:paraId="57F85D11" w14:textId="77777777"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64 (31.7)</w:t>
            </w:r>
          </w:p>
        </w:tc>
        <w:tc>
          <w:tcPr>
            <w:tcW w:w="480" w:type="pct"/>
            <w:shd w:val="clear" w:color="auto" w:fill="FFFFFF"/>
            <w:noWrap/>
            <w:vAlign w:val="center"/>
            <w:hideMark/>
          </w:tcPr>
          <w:p w14:paraId="6E173FF2" w14:textId="683A5AE4" w:rsidR="0020050B" w:rsidRPr="00640AA8" w:rsidRDefault="00C51805" w:rsidP="00FE4DB7">
            <w:pPr>
              <w:adjustRightInd w:val="0"/>
              <w:snapToGrid w:val="0"/>
              <w:spacing w:line="240" w:lineRule="auto"/>
              <w:jc w:val="center"/>
              <w:rPr>
                <w:rFonts w:ascii="Palatino Linotype" w:hAnsi="Palatino Linotype"/>
                <w:b/>
                <w:bCs/>
                <w:color w:val="auto"/>
                <w:sz w:val="16"/>
                <w:szCs w:val="16"/>
              </w:rPr>
            </w:pPr>
            <w:r w:rsidRPr="00640AA8">
              <w:rPr>
                <w:rFonts w:ascii="Palatino Linotype" w:hAnsi="Palatino Linotype"/>
                <w:b/>
                <w:bCs/>
                <w:color w:val="auto"/>
                <w:sz w:val="16"/>
                <w:szCs w:val="16"/>
              </w:rPr>
              <w:t xml:space="preserve"> </w:t>
            </w:r>
          </w:p>
        </w:tc>
      </w:tr>
      <w:tr w:rsidR="00CA7924" w:rsidRPr="00640AA8" w14:paraId="6179371D" w14:textId="77777777" w:rsidTr="00640AA8">
        <w:trPr>
          <w:jc w:val="center"/>
        </w:trPr>
        <w:tc>
          <w:tcPr>
            <w:tcW w:w="2091" w:type="pct"/>
            <w:tcBorders>
              <w:top w:val="nil"/>
              <w:left w:val="nil"/>
              <w:bottom w:val="single" w:sz="4" w:space="0" w:color="auto"/>
              <w:right w:val="nil"/>
            </w:tcBorders>
            <w:shd w:val="clear" w:color="auto" w:fill="FFFFFF"/>
            <w:noWrap/>
            <w:vAlign w:val="center"/>
            <w:hideMark/>
          </w:tcPr>
          <w:p w14:paraId="65E3E64D" w14:textId="5031C658"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&gt;34</w:t>
            </w:r>
          </w:p>
        </w:tc>
        <w:tc>
          <w:tcPr>
            <w:tcW w:w="532" w:type="pct"/>
            <w:tcBorders>
              <w:top w:val="nil"/>
              <w:left w:val="nil"/>
              <w:bottom w:val="single" w:sz="4" w:space="0" w:color="auto"/>
              <w:right w:val="nil"/>
            </w:tcBorders>
            <w:shd w:val="clear" w:color="auto" w:fill="FFFFFF"/>
            <w:noWrap/>
            <w:vAlign w:val="center"/>
            <w:hideMark/>
          </w:tcPr>
          <w:p w14:paraId="73071480" w14:textId="77777777"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294 (23.8)</w:t>
            </w:r>
          </w:p>
        </w:tc>
        <w:tc>
          <w:tcPr>
            <w:tcW w:w="856" w:type="pct"/>
            <w:tcBorders>
              <w:top w:val="nil"/>
              <w:left w:val="nil"/>
              <w:bottom w:val="single" w:sz="4" w:space="0" w:color="auto"/>
              <w:right w:val="nil"/>
            </w:tcBorders>
            <w:shd w:val="clear" w:color="auto" w:fill="FFFFFF"/>
            <w:noWrap/>
            <w:vAlign w:val="center"/>
            <w:hideMark/>
          </w:tcPr>
          <w:p w14:paraId="71AA6E5B" w14:textId="77777777"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264 (25.5)</w:t>
            </w:r>
          </w:p>
        </w:tc>
        <w:tc>
          <w:tcPr>
            <w:tcW w:w="1041" w:type="pct"/>
            <w:tcBorders>
              <w:top w:val="nil"/>
              <w:left w:val="nil"/>
              <w:bottom w:val="single" w:sz="4" w:space="0" w:color="auto"/>
              <w:right w:val="nil"/>
            </w:tcBorders>
            <w:shd w:val="clear" w:color="auto" w:fill="FFFFFF"/>
            <w:noWrap/>
            <w:vAlign w:val="center"/>
            <w:hideMark/>
          </w:tcPr>
          <w:p w14:paraId="32587CA4" w14:textId="77777777"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30 (14.9)</w:t>
            </w:r>
          </w:p>
        </w:tc>
        <w:tc>
          <w:tcPr>
            <w:tcW w:w="480" w:type="pct"/>
            <w:tcBorders>
              <w:top w:val="nil"/>
              <w:left w:val="nil"/>
              <w:bottom w:val="single" w:sz="4" w:space="0" w:color="auto"/>
              <w:right w:val="nil"/>
            </w:tcBorders>
            <w:shd w:val="clear" w:color="auto" w:fill="FFFFFF"/>
            <w:noWrap/>
            <w:vAlign w:val="center"/>
            <w:hideMark/>
          </w:tcPr>
          <w:p w14:paraId="07B2627E" w14:textId="090F4D86" w:rsidR="0020050B" w:rsidRPr="00640AA8" w:rsidRDefault="00C51805" w:rsidP="00FE4DB7">
            <w:pPr>
              <w:adjustRightInd w:val="0"/>
              <w:snapToGrid w:val="0"/>
              <w:spacing w:line="240" w:lineRule="auto"/>
              <w:jc w:val="center"/>
              <w:rPr>
                <w:rFonts w:ascii="Palatino Linotype" w:hAnsi="Palatino Linotype"/>
                <w:b/>
                <w:bCs/>
                <w:color w:val="auto"/>
                <w:sz w:val="16"/>
                <w:szCs w:val="16"/>
              </w:rPr>
            </w:pPr>
            <w:r w:rsidRPr="00640AA8">
              <w:rPr>
                <w:rFonts w:ascii="Palatino Linotype" w:hAnsi="Palatino Linotype"/>
                <w:b/>
                <w:bCs/>
                <w:color w:val="auto"/>
                <w:sz w:val="16"/>
                <w:szCs w:val="16"/>
              </w:rPr>
              <w:t xml:space="preserve"> </w:t>
            </w:r>
          </w:p>
        </w:tc>
      </w:tr>
      <w:tr w:rsidR="00FE4DB7" w:rsidRPr="00640AA8" w14:paraId="6D407225" w14:textId="77777777" w:rsidTr="00640AA8">
        <w:trPr>
          <w:jc w:val="center"/>
        </w:trPr>
        <w:tc>
          <w:tcPr>
            <w:tcW w:w="2091" w:type="pct"/>
            <w:shd w:val="clear" w:color="auto" w:fill="FFFFFF"/>
            <w:noWrap/>
            <w:vAlign w:val="center"/>
            <w:hideMark/>
          </w:tcPr>
          <w:p w14:paraId="02444E59" w14:textId="77777777" w:rsidR="00FE4DB7" w:rsidRPr="00640AA8" w:rsidRDefault="00FE4DB7" w:rsidP="00FE4DB7">
            <w:pPr>
              <w:adjustRightInd w:val="0"/>
              <w:snapToGrid w:val="0"/>
              <w:spacing w:line="240" w:lineRule="auto"/>
              <w:jc w:val="center"/>
              <w:rPr>
                <w:rFonts w:ascii="Palatino Linotype" w:hAnsi="Palatino Linotype"/>
                <w:b/>
                <w:bCs/>
                <w:color w:val="auto"/>
                <w:sz w:val="16"/>
                <w:szCs w:val="16"/>
              </w:rPr>
            </w:pPr>
            <w:r w:rsidRPr="00640AA8">
              <w:rPr>
                <w:rFonts w:ascii="Palatino Linotype" w:hAnsi="Palatino Linotype"/>
                <w:b/>
                <w:bCs/>
                <w:color w:val="auto"/>
                <w:sz w:val="16"/>
                <w:szCs w:val="16"/>
              </w:rPr>
              <w:t>Ethnicity</w:t>
            </w:r>
          </w:p>
        </w:tc>
        <w:tc>
          <w:tcPr>
            <w:tcW w:w="2429" w:type="pct"/>
            <w:gridSpan w:val="3"/>
            <w:shd w:val="clear" w:color="auto" w:fill="FFFFFF"/>
            <w:noWrap/>
            <w:vAlign w:val="center"/>
          </w:tcPr>
          <w:p w14:paraId="363F0EB2" w14:textId="3F57EEB3" w:rsidR="00FE4DB7" w:rsidRPr="00640AA8" w:rsidRDefault="00FE4DB7" w:rsidP="00FE4DB7">
            <w:pPr>
              <w:adjustRightInd w:val="0"/>
              <w:snapToGrid w:val="0"/>
              <w:spacing w:line="240" w:lineRule="auto"/>
              <w:jc w:val="center"/>
              <w:rPr>
                <w:rFonts w:ascii="Palatino Linotype" w:hAnsi="Palatino Linotype"/>
                <w:color w:val="auto"/>
                <w:sz w:val="16"/>
                <w:szCs w:val="16"/>
              </w:rPr>
            </w:pPr>
          </w:p>
        </w:tc>
        <w:tc>
          <w:tcPr>
            <w:tcW w:w="480" w:type="pct"/>
            <w:shd w:val="clear" w:color="auto" w:fill="FFFFFF"/>
            <w:noWrap/>
            <w:vAlign w:val="center"/>
            <w:hideMark/>
          </w:tcPr>
          <w:p w14:paraId="2C239CBB" w14:textId="77777777" w:rsidR="00FE4DB7" w:rsidRPr="00640AA8" w:rsidRDefault="00FE4DB7" w:rsidP="00FE4DB7">
            <w:pPr>
              <w:adjustRightInd w:val="0"/>
              <w:snapToGrid w:val="0"/>
              <w:spacing w:line="240" w:lineRule="auto"/>
              <w:jc w:val="center"/>
              <w:rPr>
                <w:rFonts w:ascii="Palatino Linotype" w:hAnsi="Palatino Linotype"/>
                <w:b/>
                <w:bCs/>
                <w:color w:val="auto"/>
                <w:sz w:val="16"/>
                <w:szCs w:val="16"/>
              </w:rPr>
            </w:pPr>
            <w:r w:rsidRPr="00640AA8">
              <w:rPr>
                <w:rFonts w:ascii="Palatino Linotype" w:hAnsi="Palatino Linotype"/>
                <w:b/>
                <w:bCs/>
                <w:color w:val="auto"/>
                <w:sz w:val="16"/>
                <w:szCs w:val="16"/>
              </w:rPr>
              <w:t>0.012</w:t>
            </w:r>
          </w:p>
        </w:tc>
      </w:tr>
      <w:tr w:rsidR="00CA7924" w:rsidRPr="00640AA8" w14:paraId="40D9B9A1" w14:textId="77777777" w:rsidTr="00640AA8">
        <w:trPr>
          <w:jc w:val="center"/>
        </w:trPr>
        <w:tc>
          <w:tcPr>
            <w:tcW w:w="2091" w:type="pct"/>
            <w:shd w:val="clear" w:color="auto" w:fill="FFFFFF"/>
            <w:noWrap/>
            <w:vAlign w:val="center"/>
            <w:hideMark/>
          </w:tcPr>
          <w:p w14:paraId="5C67E8D4" w14:textId="77777777"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Chinese</w:t>
            </w:r>
          </w:p>
        </w:tc>
        <w:tc>
          <w:tcPr>
            <w:tcW w:w="532" w:type="pct"/>
            <w:shd w:val="clear" w:color="auto" w:fill="FFFFFF"/>
            <w:noWrap/>
            <w:vAlign w:val="center"/>
            <w:hideMark/>
          </w:tcPr>
          <w:p w14:paraId="195C02BB" w14:textId="77777777"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691 (55.9)</w:t>
            </w:r>
          </w:p>
        </w:tc>
        <w:tc>
          <w:tcPr>
            <w:tcW w:w="856" w:type="pct"/>
            <w:shd w:val="clear" w:color="auto" w:fill="FFFFFF"/>
            <w:noWrap/>
            <w:vAlign w:val="center"/>
            <w:hideMark/>
          </w:tcPr>
          <w:p w14:paraId="79E1811E" w14:textId="77777777"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594 (57.4)</w:t>
            </w:r>
          </w:p>
        </w:tc>
        <w:tc>
          <w:tcPr>
            <w:tcW w:w="1041" w:type="pct"/>
            <w:shd w:val="clear" w:color="auto" w:fill="FFFFFF"/>
            <w:noWrap/>
            <w:vAlign w:val="center"/>
            <w:hideMark/>
          </w:tcPr>
          <w:p w14:paraId="5B235D26" w14:textId="77777777"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97 (48.0)</w:t>
            </w:r>
          </w:p>
        </w:tc>
        <w:tc>
          <w:tcPr>
            <w:tcW w:w="480" w:type="pct"/>
            <w:shd w:val="clear" w:color="auto" w:fill="FFFFFF"/>
            <w:noWrap/>
            <w:vAlign w:val="center"/>
            <w:hideMark/>
          </w:tcPr>
          <w:p w14:paraId="76B96161" w14:textId="32876AAD" w:rsidR="0020050B" w:rsidRPr="00640AA8" w:rsidRDefault="00C51805"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 xml:space="preserve"> </w:t>
            </w:r>
          </w:p>
        </w:tc>
      </w:tr>
      <w:tr w:rsidR="00CA7924" w:rsidRPr="00640AA8" w14:paraId="66C47F46" w14:textId="77777777" w:rsidTr="00640AA8">
        <w:trPr>
          <w:jc w:val="center"/>
        </w:trPr>
        <w:tc>
          <w:tcPr>
            <w:tcW w:w="2091" w:type="pct"/>
            <w:shd w:val="clear" w:color="auto" w:fill="FFFFFF"/>
            <w:noWrap/>
            <w:vAlign w:val="center"/>
            <w:hideMark/>
          </w:tcPr>
          <w:p w14:paraId="7BB324D6" w14:textId="77777777"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Malay</w:t>
            </w:r>
          </w:p>
        </w:tc>
        <w:tc>
          <w:tcPr>
            <w:tcW w:w="532" w:type="pct"/>
            <w:shd w:val="clear" w:color="auto" w:fill="FFFFFF"/>
            <w:noWrap/>
            <w:vAlign w:val="center"/>
            <w:hideMark/>
          </w:tcPr>
          <w:p w14:paraId="22990D4C" w14:textId="77777777"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322 (26.0)</w:t>
            </w:r>
          </w:p>
        </w:tc>
        <w:tc>
          <w:tcPr>
            <w:tcW w:w="856" w:type="pct"/>
            <w:shd w:val="clear" w:color="auto" w:fill="FFFFFF"/>
            <w:noWrap/>
            <w:vAlign w:val="center"/>
            <w:hideMark/>
          </w:tcPr>
          <w:p w14:paraId="649FD148" w14:textId="77777777"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253 (24.4)</w:t>
            </w:r>
          </w:p>
        </w:tc>
        <w:tc>
          <w:tcPr>
            <w:tcW w:w="1041" w:type="pct"/>
            <w:shd w:val="clear" w:color="auto" w:fill="FFFFFF"/>
            <w:noWrap/>
            <w:vAlign w:val="center"/>
            <w:hideMark/>
          </w:tcPr>
          <w:p w14:paraId="622CAB98" w14:textId="77777777"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69 (34.2)</w:t>
            </w:r>
          </w:p>
        </w:tc>
        <w:tc>
          <w:tcPr>
            <w:tcW w:w="480" w:type="pct"/>
            <w:shd w:val="clear" w:color="auto" w:fill="FFFFFF"/>
            <w:noWrap/>
            <w:vAlign w:val="center"/>
            <w:hideMark/>
          </w:tcPr>
          <w:p w14:paraId="66BFCA65" w14:textId="7138E784" w:rsidR="0020050B" w:rsidRPr="00640AA8" w:rsidRDefault="00C51805"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 xml:space="preserve"> </w:t>
            </w:r>
          </w:p>
        </w:tc>
      </w:tr>
      <w:tr w:rsidR="00CA7924" w:rsidRPr="00640AA8" w14:paraId="472930EA" w14:textId="77777777" w:rsidTr="00640AA8">
        <w:trPr>
          <w:jc w:val="center"/>
        </w:trPr>
        <w:tc>
          <w:tcPr>
            <w:tcW w:w="2091" w:type="pct"/>
            <w:tcBorders>
              <w:top w:val="nil"/>
              <w:left w:val="nil"/>
              <w:bottom w:val="single" w:sz="4" w:space="0" w:color="auto"/>
              <w:right w:val="nil"/>
            </w:tcBorders>
            <w:shd w:val="clear" w:color="auto" w:fill="FFFFFF"/>
            <w:noWrap/>
            <w:vAlign w:val="center"/>
            <w:hideMark/>
          </w:tcPr>
          <w:p w14:paraId="1B538091" w14:textId="77777777"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Indian</w:t>
            </w:r>
          </w:p>
        </w:tc>
        <w:tc>
          <w:tcPr>
            <w:tcW w:w="532" w:type="pct"/>
            <w:tcBorders>
              <w:top w:val="nil"/>
              <w:left w:val="nil"/>
              <w:bottom w:val="single" w:sz="4" w:space="0" w:color="auto"/>
              <w:right w:val="nil"/>
            </w:tcBorders>
            <w:shd w:val="clear" w:color="auto" w:fill="FFFFFF"/>
            <w:noWrap/>
            <w:vAlign w:val="center"/>
            <w:hideMark/>
          </w:tcPr>
          <w:p w14:paraId="6D77EFDF" w14:textId="77777777"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224 (18.1)</w:t>
            </w:r>
          </w:p>
        </w:tc>
        <w:tc>
          <w:tcPr>
            <w:tcW w:w="856" w:type="pct"/>
            <w:tcBorders>
              <w:top w:val="nil"/>
              <w:left w:val="nil"/>
              <w:bottom w:val="single" w:sz="4" w:space="0" w:color="auto"/>
              <w:right w:val="nil"/>
            </w:tcBorders>
            <w:shd w:val="clear" w:color="auto" w:fill="FFFFFF"/>
            <w:noWrap/>
            <w:vAlign w:val="center"/>
            <w:hideMark/>
          </w:tcPr>
          <w:p w14:paraId="2D3A3CDE" w14:textId="77777777"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188 (18.2)</w:t>
            </w:r>
          </w:p>
        </w:tc>
        <w:tc>
          <w:tcPr>
            <w:tcW w:w="1041" w:type="pct"/>
            <w:tcBorders>
              <w:top w:val="nil"/>
              <w:left w:val="nil"/>
              <w:bottom w:val="single" w:sz="4" w:space="0" w:color="auto"/>
              <w:right w:val="nil"/>
            </w:tcBorders>
            <w:shd w:val="clear" w:color="auto" w:fill="FFFFFF"/>
            <w:noWrap/>
            <w:vAlign w:val="center"/>
            <w:hideMark/>
          </w:tcPr>
          <w:p w14:paraId="2E3DD80E" w14:textId="77777777"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36 (17.8)</w:t>
            </w:r>
          </w:p>
        </w:tc>
        <w:tc>
          <w:tcPr>
            <w:tcW w:w="480" w:type="pct"/>
            <w:tcBorders>
              <w:top w:val="nil"/>
              <w:left w:val="nil"/>
              <w:bottom w:val="single" w:sz="4" w:space="0" w:color="auto"/>
              <w:right w:val="nil"/>
            </w:tcBorders>
            <w:shd w:val="clear" w:color="auto" w:fill="FFFFFF"/>
            <w:noWrap/>
            <w:vAlign w:val="center"/>
            <w:hideMark/>
          </w:tcPr>
          <w:p w14:paraId="15966EE6" w14:textId="1598EF35" w:rsidR="0020050B" w:rsidRPr="00640AA8" w:rsidRDefault="00C51805"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 xml:space="preserve"> </w:t>
            </w:r>
          </w:p>
        </w:tc>
      </w:tr>
      <w:tr w:rsidR="00DD304F" w:rsidRPr="00640AA8" w14:paraId="0004E2C7" w14:textId="77777777" w:rsidTr="00640AA8">
        <w:trPr>
          <w:jc w:val="center"/>
        </w:trPr>
        <w:tc>
          <w:tcPr>
            <w:tcW w:w="2091" w:type="pct"/>
            <w:shd w:val="clear" w:color="auto" w:fill="FFFFFF"/>
            <w:noWrap/>
            <w:vAlign w:val="center"/>
            <w:hideMark/>
          </w:tcPr>
          <w:p w14:paraId="1246662A" w14:textId="47EB3E69" w:rsidR="00DD304F" w:rsidRPr="00640AA8" w:rsidRDefault="00DD304F" w:rsidP="00FE4DB7">
            <w:pPr>
              <w:adjustRightInd w:val="0"/>
              <w:snapToGrid w:val="0"/>
              <w:spacing w:line="240" w:lineRule="auto"/>
              <w:jc w:val="center"/>
              <w:rPr>
                <w:rFonts w:ascii="Palatino Linotype" w:hAnsi="Palatino Linotype"/>
                <w:b/>
                <w:bCs/>
                <w:color w:val="auto"/>
                <w:sz w:val="16"/>
                <w:szCs w:val="16"/>
              </w:rPr>
            </w:pPr>
            <w:r w:rsidRPr="00640AA8">
              <w:rPr>
                <w:rFonts w:ascii="Palatino Linotype" w:hAnsi="Palatino Linotype"/>
                <w:b/>
                <w:bCs/>
                <w:color w:val="auto"/>
                <w:sz w:val="16"/>
                <w:szCs w:val="16"/>
              </w:rPr>
              <w:t xml:space="preserve">Education </w:t>
            </w:r>
            <w:r w:rsidRPr="00640AA8">
              <w:rPr>
                <w:rFonts w:ascii="Palatino Linotype" w:hAnsi="Palatino Linotype"/>
                <w:b/>
                <w:bCs/>
                <w:color w:val="auto"/>
                <w:sz w:val="16"/>
                <w:szCs w:val="16"/>
                <w:vertAlign w:val="superscript"/>
              </w:rPr>
              <w:t>2</w:t>
            </w:r>
          </w:p>
        </w:tc>
        <w:tc>
          <w:tcPr>
            <w:tcW w:w="2429" w:type="pct"/>
            <w:gridSpan w:val="3"/>
            <w:shd w:val="clear" w:color="auto" w:fill="FFFFFF"/>
            <w:noWrap/>
            <w:vAlign w:val="center"/>
          </w:tcPr>
          <w:p w14:paraId="2764D875" w14:textId="6270BB34" w:rsidR="00DD304F" w:rsidRPr="00640AA8" w:rsidRDefault="00DD304F" w:rsidP="00FE4DB7">
            <w:pPr>
              <w:adjustRightInd w:val="0"/>
              <w:snapToGrid w:val="0"/>
              <w:spacing w:line="240" w:lineRule="auto"/>
              <w:jc w:val="center"/>
              <w:rPr>
                <w:rFonts w:ascii="Palatino Linotype" w:hAnsi="Palatino Linotype"/>
                <w:color w:val="auto"/>
                <w:sz w:val="16"/>
                <w:szCs w:val="16"/>
              </w:rPr>
            </w:pPr>
          </w:p>
        </w:tc>
        <w:tc>
          <w:tcPr>
            <w:tcW w:w="480" w:type="pct"/>
            <w:shd w:val="clear" w:color="auto" w:fill="FFFFFF"/>
            <w:noWrap/>
            <w:vAlign w:val="center"/>
            <w:hideMark/>
          </w:tcPr>
          <w:p w14:paraId="62D0D193" w14:textId="0A27A616" w:rsidR="00DD304F" w:rsidRPr="00640AA8" w:rsidRDefault="00DD304F" w:rsidP="00FE4DB7">
            <w:pPr>
              <w:adjustRightInd w:val="0"/>
              <w:snapToGrid w:val="0"/>
              <w:spacing w:line="240" w:lineRule="auto"/>
              <w:jc w:val="center"/>
              <w:rPr>
                <w:rFonts w:ascii="Palatino Linotype" w:hAnsi="Palatino Linotype"/>
                <w:b/>
                <w:bCs/>
                <w:color w:val="auto"/>
                <w:sz w:val="16"/>
                <w:szCs w:val="16"/>
              </w:rPr>
            </w:pPr>
            <w:r w:rsidRPr="00640AA8">
              <w:rPr>
                <w:rFonts w:ascii="Palatino Linotype" w:hAnsi="Palatino Linotype"/>
                <w:b/>
                <w:bCs/>
                <w:color w:val="auto"/>
                <w:sz w:val="16"/>
                <w:szCs w:val="16"/>
              </w:rPr>
              <w:t>&lt;0.001</w:t>
            </w:r>
          </w:p>
        </w:tc>
      </w:tr>
      <w:tr w:rsidR="00CA7924" w:rsidRPr="00640AA8" w14:paraId="406F2C22" w14:textId="77777777" w:rsidTr="00640AA8">
        <w:trPr>
          <w:jc w:val="center"/>
        </w:trPr>
        <w:tc>
          <w:tcPr>
            <w:tcW w:w="2091" w:type="pct"/>
            <w:shd w:val="clear" w:color="auto" w:fill="FFFFFF"/>
            <w:noWrap/>
            <w:vAlign w:val="center"/>
            <w:hideMark/>
          </w:tcPr>
          <w:p w14:paraId="567C8EC2" w14:textId="77777777"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None/Primary/Secondary</w:t>
            </w:r>
          </w:p>
        </w:tc>
        <w:tc>
          <w:tcPr>
            <w:tcW w:w="532" w:type="pct"/>
            <w:shd w:val="clear" w:color="auto" w:fill="FFFFFF"/>
            <w:noWrap/>
            <w:vAlign w:val="center"/>
            <w:hideMark/>
          </w:tcPr>
          <w:p w14:paraId="037D979A" w14:textId="77777777"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381 (31.2)</w:t>
            </w:r>
          </w:p>
        </w:tc>
        <w:tc>
          <w:tcPr>
            <w:tcW w:w="856" w:type="pct"/>
            <w:shd w:val="clear" w:color="auto" w:fill="FFFFFF"/>
            <w:noWrap/>
            <w:vAlign w:val="center"/>
            <w:hideMark/>
          </w:tcPr>
          <w:p w14:paraId="042D983C" w14:textId="77777777"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299 (29.2)</w:t>
            </w:r>
          </w:p>
        </w:tc>
        <w:tc>
          <w:tcPr>
            <w:tcW w:w="1041" w:type="pct"/>
            <w:shd w:val="clear" w:color="auto" w:fill="FFFFFF"/>
            <w:noWrap/>
            <w:vAlign w:val="center"/>
            <w:hideMark/>
          </w:tcPr>
          <w:p w14:paraId="6435EC7E" w14:textId="77777777"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82 (41.6)</w:t>
            </w:r>
          </w:p>
        </w:tc>
        <w:tc>
          <w:tcPr>
            <w:tcW w:w="480" w:type="pct"/>
            <w:shd w:val="clear" w:color="auto" w:fill="FFFFFF"/>
            <w:noWrap/>
            <w:vAlign w:val="center"/>
            <w:hideMark/>
          </w:tcPr>
          <w:p w14:paraId="03BE8E8B" w14:textId="33E28BF0" w:rsidR="0020050B" w:rsidRPr="00640AA8" w:rsidRDefault="00C51805"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 xml:space="preserve"> </w:t>
            </w:r>
          </w:p>
        </w:tc>
      </w:tr>
      <w:tr w:rsidR="00CA7924" w:rsidRPr="00640AA8" w14:paraId="1BB622C2" w14:textId="77777777" w:rsidTr="00640AA8">
        <w:trPr>
          <w:jc w:val="center"/>
        </w:trPr>
        <w:tc>
          <w:tcPr>
            <w:tcW w:w="2091" w:type="pct"/>
            <w:shd w:val="clear" w:color="auto" w:fill="FFFFFF"/>
            <w:noWrap/>
            <w:vAlign w:val="center"/>
            <w:hideMark/>
          </w:tcPr>
          <w:p w14:paraId="03FCF2B1" w14:textId="77777777"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Post-secondary</w:t>
            </w:r>
          </w:p>
        </w:tc>
        <w:tc>
          <w:tcPr>
            <w:tcW w:w="532" w:type="pct"/>
            <w:shd w:val="clear" w:color="auto" w:fill="FFFFFF"/>
            <w:noWrap/>
            <w:vAlign w:val="center"/>
            <w:hideMark/>
          </w:tcPr>
          <w:p w14:paraId="19F717B7" w14:textId="77777777"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431 (35.3)</w:t>
            </w:r>
          </w:p>
        </w:tc>
        <w:tc>
          <w:tcPr>
            <w:tcW w:w="856" w:type="pct"/>
            <w:shd w:val="clear" w:color="auto" w:fill="FFFFFF"/>
            <w:noWrap/>
            <w:vAlign w:val="center"/>
            <w:hideMark/>
          </w:tcPr>
          <w:p w14:paraId="37558FCA" w14:textId="77777777"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360 (35.2)</w:t>
            </w:r>
          </w:p>
        </w:tc>
        <w:tc>
          <w:tcPr>
            <w:tcW w:w="1041" w:type="pct"/>
            <w:shd w:val="clear" w:color="auto" w:fill="FFFFFF"/>
            <w:noWrap/>
            <w:vAlign w:val="center"/>
            <w:hideMark/>
          </w:tcPr>
          <w:p w14:paraId="6879F6B9" w14:textId="77777777"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71 (36.0)</w:t>
            </w:r>
          </w:p>
        </w:tc>
        <w:tc>
          <w:tcPr>
            <w:tcW w:w="480" w:type="pct"/>
            <w:shd w:val="clear" w:color="auto" w:fill="FFFFFF"/>
            <w:noWrap/>
            <w:vAlign w:val="center"/>
            <w:hideMark/>
          </w:tcPr>
          <w:p w14:paraId="29FAF5D8" w14:textId="6C8D56E1" w:rsidR="0020050B" w:rsidRPr="00640AA8" w:rsidRDefault="00C51805"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 xml:space="preserve"> </w:t>
            </w:r>
          </w:p>
        </w:tc>
      </w:tr>
      <w:tr w:rsidR="00CA7924" w:rsidRPr="00640AA8" w14:paraId="71D3E28B" w14:textId="77777777" w:rsidTr="00640AA8">
        <w:trPr>
          <w:jc w:val="center"/>
        </w:trPr>
        <w:tc>
          <w:tcPr>
            <w:tcW w:w="2091" w:type="pct"/>
            <w:tcBorders>
              <w:top w:val="nil"/>
              <w:left w:val="nil"/>
              <w:bottom w:val="single" w:sz="4" w:space="0" w:color="auto"/>
              <w:right w:val="nil"/>
            </w:tcBorders>
            <w:shd w:val="clear" w:color="auto" w:fill="FFFFFF"/>
            <w:noWrap/>
            <w:vAlign w:val="center"/>
            <w:hideMark/>
          </w:tcPr>
          <w:p w14:paraId="3560244D" w14:textId="77777777"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University and beyond</w:t>
            </w:r>
          </w:p>
        </w:tc>
        <w:tc>
          <w:tcPr>
            <w:tcW w:w="532" w:type="pct"/>
            <w:tcBorders>
              <w:top w:val="nil"/>
              <w:left w:val="nil"/>
              <w:bottom w:val="single" w:sz="4" w:space="0" w:color="auto"/>
              <w:right w:val="nil"/>
            </w:tcBorders>
            <w:shd w:val="clear" w:color="auto" w:fill="FFFFFF"/>
            <w:noWrap/>
            <w:vAlign w:val="center"/>
            <w:hideMark/>
          </w:tcPr>
          <w:p w14:paraId="445D5DD0" w14:textId="77777777"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408 (33.4)</w:t>
            </w:r>
          </w:p>
        </w:tc>
        <w:tc>
          <w:tcPr>
            <w:tcW w:w="856" w:type="pct"/>
            <w:tcBorders>
              <w:top w:val="nil"/>
              <w:left w:val="nil"/>
              <w:bottom w:val="single" w:sz="4" w:space="0" w:color="auto"/>
              <w:right w:val="nil"/>
            </w:tcBorders>
            <w:shd w:val="clear" w:color="auto" w:fill="FFFFFF"/>
            <w:noWrap/>
            <w:vAlign w:val="center"/>
            <w:hideMark/>
          </w:tcPr>
          <w:p w14:paraId="4CE4C51C" w14:textId="77777777"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364 (35.6)</w:t>
            </w:r>
          </w:p>
        </w:tc>
        <w:tc>
          <w:tcPr>
            <w:tcW w:w="1041" w:type="pct"/>
            <w:tcBorders>
              <w:top w:val="nil"/>
              <w:left w:val="nil"/>
              <w:bottom w:val="single" w:sz="4" w:space="0" w:color="auto"/>
              <w:right w:val="nil"/>
            </w:tcBorders>
            <w:shd w:val="clear" w:color="auto" w:fill="FFFFFF"/>
            <w:noWrap/>
            <w:vAlign w:val="center"/>
            <w:hideMark/>
          </w:tcPr>
          <w:p w14:paraId="7F6AA71F" w14:textId="77777777"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44 (22.3)</w:t>
            </w:r>
          </w:p>
        </w:tc>
        <w:tc>
          <w:tcPr>
            <w:tcW w:w="480" w:type="pct"/>
            <w:tcBorders>
              <w:top w:val="nil"/>
              <w:left w:val="nil"/>
              <w:bottom w:val="single" w:sz="4" w:space="0" w:color="auto"/>
              <w:right w:val="nil"/>
            </w:tcBorders>
            <w:shd w:val="clear" w:color="auto" w:fill="FFFFFF"/>
            <w:noWrap/>
            <w:vAlign w:val="center"/>
            <w:hideMark/>
          </w:tcPr>
          <w:p w14:paraId="399A5C4E" w14:textId="231B464E" w:rsidR="0020050B" w:rsidRPr="00640AA8" w:rsidRDefault="00C51805"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 xml:space="preserve"> </w:t>
            </w:r>
          </w:p>
        </w:tc>
      </w:tr>
      <w:tr w:rsidR="00DD304F" w:rsidRPr="00640AA8" w14:paraId="4BAEFA2C" w14:textId="77777777" w:rsidTr="00640AA8">
        <w:trPr>
          <w:jc w:val="center"/>
        </w:trPr>
        <w:tc>
          <w:tcPr>
            <w:tcW w:w="2091" w:type="pct"/>
            <w:shd w:val="clear" w:color="auto" w:fill="FFFFFF"/>
            <w:noWrap/>
            <w:vAlign w:val="center"/>
            <w:hideMark/>
          </w:tcPr>
          <w:p w14:paraId="68A6CFE7" w14:textId="1B0AEA97" w:rsidR="00DD304F" w:rsidRPr="00640AA8" w:rsidRDefault="00DD304F" w:rsidP="00FE4DB7">
            <w:pPr>
              <w:adjustRightInd w:val="0"/>
              <w:snapToGrid w:val="0"/>
              <w:spacing w:line="240" w:lineRule="auto"/>
              <w:jc w:val="center"/>
              <w:rPr>
                <w:rFonts w:ascii="Palatino Linotype" w:hAnsi="Palatino Linotype"/>
                <w:b/>
                <w:bCs/>
                <w:color w:val="auto"/>
                <w:sz w:val="16"/>
                <w:szCs w:val="16"/>
              </w:rPr>
            </w:pPr>
            <w:r w:rsidRPr="00640AA8">
              <w:rPr>
                <w:rFonts w:ascii="Palatino Linotype" w:hAnsi="Palatino Linotype"/>
                <w:b/>
                <w:bCs/>
                <w:color w:val="auto"/>
                <w:sz w:val="16"/>
                <w:szCs w:val="16"/>
              </w:rPr>
              <w:t xml:space="preserve">Employment status </w:t>
            </w:r>
            <w:r w:rsidRPr="00640AA8">
              <w:rPr>
                <w:rFonts w:ascii="Palatino Linotype" w:hAnsi="Palatino Linotype"/>
                <w:b/>
                <w:bCs/>
                <w:color w:val="auto"/>
                <w:sz w:val="16"/>
                <w:szCs w:val="16"/>
                <w:vertAlign w:val="superscript"/>
              </w:rPr>
              <w:t>2</w:t>
            </w:r>
          </w:p>
        </w:tc>
        <w:tc>
          <w:tcPr>
            <w:tcW w:w="2429" w:type="pct"/>
            <w:gridSpan w:val="3"/>
            <w:shd w:val="clear" w:color="auto" w:fill="FFFFFF"/>
            <w:noWrap/>
            <w:vAlign w:val="center"/>
          </w:tcPr>
          <w:p w14:paraId="21EFF9C3" w14:textId="2CFCEF07" w:rsidR="00DD304F" w:rsidRPr="00640AA8" w:rsidRDefault="00DD304F" w:rsidP="00FE4DB7">
            <w:pPr>
              <w:adjustRightInd w:val="0"/>
              <w:snapToGrid w:val="0"/>
              <w:spacing w:line="240" w:lineRule="auto"/>
              <w:jc w:val="center"/>
              <w:rPr>
                <w:rFonts w:ascii="Palatino Linotype" w:hAnsi="Palatino Linotype"/>
                <w:color w:val="auto"/>
                <w:sz w:val="16"/>
                <w:szCs w:val="16"/>
              </w:rPr>
            </w:pPr>
          </w:p>
        </w:tc>
        <w:tc>
          <w:tcPr>
            <w:tcW w:w="480" w:type="pct"/>
            <w:shd w:val="clear" w:color="auto" w:fill="FFFFFF"/>
            <w:noWrap/>
            <w:vAlign w:val="center"/>
            <w:hideMark/>
          </w:tcPr>
          <w:p w14:paraId="0E4D6F2E" w14:textId="77777777" w:rsidR="00DD304F" w:rsidRPr="00640AA8" w:rsidRDefault="00DD304F"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0.289</w:t>
            </w:r>
          </w:p>
        </w:tc>
      </w:tr>
      <w:tr w:rsidR="00CA7924" w:rsidRPr="00640AA8" w14:paraId="47251EF9" w14:textId="77777777" w:rsidTr="00640AA8">
        <w:trPr>
          <w:jc w:val="center"/>
        </w:trPr>
        <w:tc>
          <w:tcPr>
            <w:tcW w:w="2091" w:type="pct"/>
            <w:shd w:val="clear" w:color="auto" w:fill="FFFFFF"/>
            <w:noWrap/>
            <w:vAlign w:val="center"/>
            <w:hideMark/>
          </w:tcPr>
          <w:p w14:paraId="12C0483F" w14:textId="77777777"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Unemployed</w:t>
            </w:r>
          </w:p>
        </w:tc>
        <w:tc>
          <w:tcPr>
            <w:tcW w:w="532" w:type="pct"/>
            <w:shd w:val="clear" w:color="auto" w:fill="FFFFFF"/>
            <w:noWrap/>
            <w:vAlign w:val="center"/>
            <w:hideMark/>
          </w:tcPr>
          <w:p w14:paraId="75A05FB1" w14:textId="77777777"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358 (29.6)</w:t>
            </w:r>
          </w:p>
        </w:tc>
        <w:tc>
          <w:tcPr>
            <w:tcW w:w="856" w:type="pct"/>
            <w:shd w:val="clear" w:color="auto" w:fill="FFFFFF"/>
            <w:noWrap/>
            <w:vAlign w:val="center"/>
            <w:hideMark/>
          </w:tcPr>
          <w:p w14:paraId="2483FC18" w14:textId="77777777"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293 (28.9)</w:t>
            </w:r>
          </w:p>
        </w:tc>
        <w:tc>
          <w:tcPr>
            <w:tcW w:w="1041" w:type="pct"/>
            <w:shd w:val="clear" w:color="auto" w:fill="FFFFFF"/>
            <w:noWrap/>
            <w:vAlign w:val="center"/>
            <w:hideMark/>
          </w:tcPr>
          <w:p w14:paraId="766AE2AE" w14:textId="77777777"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65 (33.0)</w:t>
            </w:r>
          </w:p>
        </w:tc>
        <w:tc>
          <w:tcPr>
            <w:tcW w:w="480" w:type="pct"/>
            <w:shd w:val="clear" w:color="auto" w:fill="FFFFFF"/>
            <w:noWrap/>
            <w:vAlign w:val="center"/>
            <w:hideMark/>
          </w:tcPr>
          <w:p w14:paraId="7D8735BA" w14:textId="7FA98088" w:rsidR="0020050B" w:rsidRPr="00640AA8" w:rsidRDefault="00C51805"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 xml:space="preserve"> </w:t>
            </w:r>
          </w:p>
        </w:tc>
      </w:tr>
      <w:tr w:rsidR="00CA7924" w:rsidRPr="00640AA8" w14:paraId="5CFEFB2F" w14:textId="77777777" w:rsidTr="00640AA8">
        <w:trPr>
          <w:jc w:val="center"/>
        </w:trPr>
        <w:tc>
          <w:tcPr>
            <w:tcW w:w="2091" w:type="pct"/>
            <w:tcBorders>
              <w:top w:val="nil"/>
              <w:left w:val="nil"/>
              <w:bottom w:val="single" w:sz="4" w:space="0" w:color="auto"/>
              <w:right w:val="nil"/>
            </w:tcBorders>
            <w:shd w:val="clear" w:color="auto" w:fill="FFFFFF"/>
            <w:noWrap/>
            <w:vAlign w:val="center"/>
            <w:hideMark/>
          </w:tcPr>
          <w:p w14:paraId="762220C7" w14:textId="77777777"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Employed</w:t>
            </w:r>
          </w:p>
        </w:tc>
        <w:tc>
          <w:tcPr>
            <w:tcW w:w="532" w:type="pct"/>
            <w:tcBorders>
              <w:top w:val="nil"/>
              <w:left w:val="nil"/>
              <w:bottom w:val="single" w:sz="4" w:space="0" w:color="auto"/>
              <w:right w:val="nil"/>
            </w:tcBorders>
            <w:shd w:val="clear" w:color="auto" w:fill="FFFFFF"/>
            <w:noWrap/>
            <w:vAlign w:val="center"/>
            <w:hideMark/>
          </w:tcPr>
          <w:p w14:paraId="165068D5" w14:textId="77777777"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852 (70.4)</w:t>
            </w:r>
          </w:p>
        </w:tc>
        <w:tc>
          <w:tcPr>
            <w:tcW w:w="856" w:type="pct"/>
            <w:tcBorders>
              <w:top w:val="nil"/>
              <w:left w:val="nil"/>
              <w:bottom w:val="single" w:sz="4" w:space="0" w:color="auto"/>
              <w:right w:val="nil"/>
            </w:tcBorders>
            <w:shd w:val="clear" w:color="auto" w:fill="FFFFFF"/>
            <w:noWrap/>
            <w:vAlign w:val="center"/>
            <w:hideMark/>
          </w:tcPr>
          <w:p w14:paraId="25D274A5" w14:textId="77777777"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720 (71.1)</w:t>
            </w:r>
          </w:p>
        </w:tc>
        <w:tc>
          <w:tcPr>
            <w:tcW w:w="1041" w:type="pct"/>
            <w:tcBorders>
              <w:top w:val="nil"/>
              <w:left w:val="nil"/>
              <w:bottom w:val="single" w:sz="4" w:space="0" w:color="auto"/>
              <w:right w:val="nil"/>
            </w:tcBorders>
            <w:shd w:val="clear" w:color="auto" w:fill="FFFFFF"/>
            <w:noWrap/>
            <w:vAlign w:val="center"/>
            <w:hideMark/>
          </w:tcPr>
          <w:p w14:paraId="15D19970" w14:textId="77777777" w:rsidR="0020050B" w:rsidRPr="00640AA8" w:rsidRDefault="0020050B"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132 (67.0)</w:t>
            </w:r>
          </w:p>
        </w:tc>
        <w:tc>
          <w:tcPr>
            <w:tcW w:w="480" w:type="pct"/>
            <w:tcBorders>
              <w:top w:val="nil"/>
              <w:left w:val="nil"/>
              <w:bottom w:val="single" w:sz="4" w:space="0" w:color="auto"/>
              <w:right w:val="nil"/>
            </w:tcBorders>
            <w:shd w:val="clear" w:color="auto" w:fill="FFFFFF"/>
            <w:noWrap/>
            <w:vAlign w:val="center"/>
            <w:hideMark/>
          </w:tcPr>
          <w:p w14:paraId="24F819B5" w14:textId="49DB53DF" w:rsidR="0020050B" w:rsidRPr="00640AA8" w:rsidRDefault="00C51805"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 xml:space="preserve"> </w:t>
            </w:r>
          </w:p>
        </w:tc>
      </w:tr>
      <w:tr w:rsidR="00142D09" w:rsidRPr="00640AA8" w14:paraId="10E26521" w14:textId="77777777" w:rsidTr="00640AA8">
        <w:trPr>
          <w:jc w:val="center"/>
        </w:trPr>
        <w:tc>
          <w:tcPr>
            <w:tcW w:w="2091" w:type="pct"/>
            <w:tcBorders>
              <w:top w:val="single" w:sz="4" w:space="0" w:color="auto"/>
            </w:tcBorders>
            <w:shd w:val="clear" w:color="auto" w:fill="FFFFFF"/>
            <w:noWrap/>
            <w:vAlign w:val="center"/>
          </w:tcPr>
          <w:p w14:paraId="72B59A07" w14:textId="0EFBC6E0" w:rsidR="00142D09" w:rsidRPr="00640AA8" w:rsidRDefault="00142D09" w:rsidP="00FE4DB7">
            <w:pPr>
              <w:adjustRightInd w:val="0"/>
              <w:snapToGrid w:val="0"/>
              <w:spacing w:line="240" w:lineRule="auto"/>
              <w:jc w:val="center"/>
              <w:rPr>
                <w:rFonts w:ascii="Palatino Linotype" w:hAnsi="Palatino Linotype"/>
                <w:b/>
                <w:bCs/>
                <w:color w:val="auto"/>
                <w:sz w:val="16"/>
                <w:szCs w:val="16"/>
              </w:rPr>
            </w:pPr>
            <w:r w:rsidRPr="00640AA8">
              <w:rPr>
                <w:rFonts w:ascii="Palatino Linotype" w:hAnsi="Palatino Linotype"/>
                <w:b/>
                <w:bCs/>
                <w:color w:val="auto"/>
                <w:sz w:val="16"/>
                <w:szCs w:val="16"/>
              </w:rPr>
              <w:t xml:space="preserve">Monthly household income </w:t>
            </w:r>
            <w:r w:rsidRPr="00640AA8">
              <w:rPr>
                <w:rFonts w:ascii="Palatino Linotype" w:hAnsi="Palatino Linotype"/>
                <w:b/>
                <w:bCs/>
                <w:color w:val="auto"/>
                <w:sz w:val="16"/>
                <w:szCs w:val="16"/>
                <w:vertAlign w:val="superscript"/>
              </w:rPr>
              <w:t>2</w:t>
            </w:r>
          </w:p>
        </w:tc>
        <w:tc>
          <w:tcPr>
            <w:tcW w:w="2429" w:type="pct"/>
            <w:gridSpan w:val="3"/>
            <w:tcBorders>
              <w:top w:val="single" w:sz="4" w:space="0" w:color="auto"/>
            </w:tcBorders>
            <w:shd w:val="clear" w:color="auto" w:fill="FFFFFF"/>
            <w:noWrap/>
            <w:vAlign w:val="center"/>
          </w:tcPr>
          <w:p w14:paraId="6056DA24" w14:textId="6A3A30AB" w:rsidR="00142D09" w:rsidRPr="00640AA8" w:rsidRDefault="00142D09" w:rsidP="00FE4DB7">
            <w:pPr>
              <w:adjustRightInd w:val="0"/>
              <w:snapToGrid w:val="0"/>
              <w:spacing w:line="240" w:lineRule="auto"/>
              <w:jc w:val="center"/>
              <w:rPr>
                <w:rFonts w:ascii="Palatino Linotype" w:hAnsi="Palatino Linotype"/>
                <w:color w:val="auto"/>
                <w:sz w:val="16"/>
                <w:szCs w:val="16"/>
              </w:rPr>
            </w:pPr>
          </w:p>
        </w:tc>
        <w:tc>
          <w:tcPr>
            <w:tcW w:w="480" w:type="pct"/>
            <w:tcBorders>
              <w:top w:val="single" w:sz="4" w:space="0" w:color="auto"/>
            </w:tcBorders>
            <w:noWrap/>
            <w:vAlign w:val="center"/>
          </w:tcPr>
          <w:p w14:paraId="7EFB7C74" w14:textId="4EAA5829"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b/>
                <w:bCs/>
                <w:color w:val="auto"/>
                <w:sz w:val="16"/>
                <w:szCs w:val="16"/>
              </w:rPr>
              <w:t>&lt;0.001</w:t>
            </w:r>
          </w:p>
        </w:tc>
      </w:tr>
      <w:tr w:rsidR="009D6A45" w:rsidRPr="00640AA8" w14:paraId="429F549D" w14:textId="77777777" w:rsidTr="00640AA8">
        <w:trPr>
          <w:jc w:val="center"/>
        </w:trPr>
        <w:tc>
          <w:tcPr>
            <w:tcW w:w="2091" w:type="pct"/>
            <w:shd w:val="clear" w:color="auto" w:fill="FFFFFF"/>
            <w:noWrap/>
            <w:vAlign w:val="center"/>
          </w:tcPr>
          <w:p w14:paraId="479DEE5A" w14:textId="5032ADB1" w:rsidR="00142D09" w:rsidRPr="00640AA8" w:rsidRDefault="00142D09" w:rsidP="00FE4DB7">
            <w:pPr>
              <w:adjustRightInd w:val="0"/>
              <w:snapToGrid w:val="0"/>
              <w:spacing w:line="240" w:lineRule="auto"/>
              <w:jc w:val="center"/>
              <w:rPr>
                <w:rFonts w:ascii="Palatino Linotype" w:hAnsi="Palatino Linotype"/>
                <w:b/>
                <w:bCs/>
                <w:color w:val="auto"/>
                <w:sz w:val="16"/>
                <w:szCs w:val="16"/>
              </w:rPr>
            </w:pPr>
            <w:r w:rsidRPr="00640AA8">
              <w:rPr>
                <w:rFonts w:ascii="Palatino Linotype" w:hAnsi="Palatino Linotype"/>
                <w:color w:val="auto"/>
                <w:sz w:val="16"/>
                <w:szCs w:val="16"/>
              </w:rPr>
              <w:t>≤$1999</w:t>
            </w:r>
          </w:p>
        </w:tc>
        <w:tc>
          <w:tcPr>
            <w:tcW w:w="532" w:type="pct"/>
            <w:shd w:val="clear" w:color="auto" w:fill="FFFFFF"/>
            <w:noWrap/>
            <w:vAlign w:val="center"/>
          </w:tcPr>
          <w:p w14:paraId="10CDC0C6" w14:textId="626BF2D4"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181 (15.7)</w:t>
            </w:r>
          </w:p>
        </w:tc>
        <w:tc>
          <w:tcPr>
            <w:tcW w:w="856" w:type="pct"/>
            <w:shd w:val="clear" w:color="auto" w:fill="FFFFFF"/>
            <w:noWrap/>
            <w:vAlign w:val="center"/>
          </w:tcPr>
          <w:p w14:paraId="406929BF" w14:textId="624FA0AE"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140 (14.5)</w:t>
            </w:r>
          </w:p>
        </w:tc>
        <w:tc>
          <w:tcPr>
            <w:tcW w:w="1041" w:type="pct"/>
            <w:shd w:val="clear" w:color="auto" w:fill="FFFFFF"/>
            <w:noWrap/>
            <w:vAlign w:val="center"/>
          </w:tcPr>
          <w:p w14:paraId="1D73589C" w14:textId="23D4221B"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41 (22.2)</w:t>
            </w:r>
          </w:p>
        </w:tc>
        <w:tc>
          <w:tcPr>
            <w:tcW w:w="480" w:type="pct"/>
            <w:vMerge w:val="restart"/>
            <w:noWrap/>
            <w:vAlign w:val="center"/>
          </w:tcPr>
          <w:p w14:paraId="6D1B1270" w14:textId="1FAE6B19" w:rsidR="00142D09" w:rsidRPr="00640AA8" w:rsidRDefault="00142D09" w:rsidP="00FE4DB7">
            <w:pPr>
              <w:adjustRightInd w:val="0"/>
              <w:snapToGrid w:val="0"/>
              <w:spacing w:line="240" w:lineRule="auto"/>
              <w:jc w:val="center"/>
              <w:rPr>
                <w:rFonts w:ascii="Palatino Linotype" w:hAnsi="Palatino Linotype"/>
                <w:color w:val="auto"/>
                <w:sz w:val="16"/>
                <w:szCs w:val="16"/>
              </w:rPr>
            </w:pPr>
          </w:p>
        </w:tc>
      </w:tr>
      <w:tr w:rsidR="009D6A45" w:rsidRPr="00640AA8" w14:paraId="2A8C1FC0" w14:textId="77777777" w:rsidTr="00640AA8">
        <w:trPr>
          <w:jc w:val="center"/>
        </w:trPr>
        <w:tc>
          <w:tcPr>
            <w:tcW w:w="2091" w:type="pct"/>
            <w:shd w:val="clear" w:color="auto" w:fill="FFFFFF"/>
            <w:noWrap/>
            <w:vAlign w:val="center"/>
          </w:tcPr>
          <w:p w14:paraId="69651272" w14:textId="5DA1C10A" w:rsidR="00142D09" w:rsidRPr="00640AA8" w:rsidRDefault="00142D09" w:rsidP="00FE4DB7">
            <w:pPr>
              <w:adjustRightInd w:val="0"/>
              <w:snapToGrid w:val="0"/>
              <w:spacing w:line="240" w:lineRule="auto"/>
              <w:jc w:val="center"/>
              <w:rPr>
                <w:rFonts w:ascii="Palatino Linotype" w:hAnsi="Palatino Linotype"/>
                <w:b/>
                <w:bCs/>
                <w:color w:val="auto"/>
                <w:sz w:val="16"/>
                <w:szCs w:val="16"/>
              </w:rPr>
            </w:pPr>
            <w:r w:rsidRPr="00640AA8">
              <w:rPr>
                <w:rFonts w:ascii="Palatino Linotype" w:hAnsi="Palatino Linotype"/>
                <w:color w:val="auto"/>
                <w:sz w:val="16"/>
                <w:szCs w:val="16"/>
              </w:rPr>
              <w:lastRenderedPageBreak/>
              <w:t>$2000</w:t>
            </w:r>
            <w:r w:rsidR="00827963" w:rsidRPr="00640AA8">
              <w:rPr>
                <w:rFonts w:ascii="Palatino Linotype" w:hAnsi="Palatino Linotype"/>
                <w:color w:val="auto"/>
                <w:sz w:val="16"/>
                <w:szCs w:val="16"/>
              </w:rPr>
              <w:t>–</w:t>
            </w:r>
            <w:r w:rsidRPr="00640AA8">
              <w:rPr>
                <w:rFonts w:ascii="Palatino Linotype" w:hAnsi="Palatino Linotype"/>
                <w:color w:val="auto"/>
                <w:sz w:val="16"/>
                <w:szCs w:val="16"/>
              </w:rPr>
              <w:t>5999</w:t>
            </w:r>
          </w:p>
        </w:tc>
        <w:tc>
          <w:tcPr>
            <w:tcW w:w="532" w:type="pct"/>
            <w:shd w:val="clear" w:color="auto" w:fill="FFFFFF"/>
            <w:noWrap/>
            <w:vAlign w:val="center"/>
          </w:tcPr>
          <w:p w14:paraId="6581926D" w14:textId="2FFEADD5"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640 (55.6)</w:t>
            </w:r>
          </w:p>
        </w:tc>
        <w:tc>
          <w:tcPr>
            <w:tcW w:w="856" w:type="pct"/>
            <w:shd w:val="clear" w:color="auto" w:fill="FFFFFF"/>
            <w:noWrap/>
            <w:vAlign w:val="center"/>
          </w:tcPr>
          <w:p w14:paraId="36DB58D5" w14:textId="585F97FF"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532 (55.0)</w:t>
            </w:r>
          </w:p>
        </w:tc>
        <w:tc>
          <w:tcPr>
            <w:tcW w:w="1041" w:type="pct"/>
            <w:shd w:val="clear" w:color="auto" w:fill="FFFFFF"/>
            <w:noWrap/>
            <w:vAlign w:val="center"/>
          </w:tcPr>
          <w:p w14:paraId="17EBB92D" w14:textId="665706BF"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108 (58.4)</w:t>
            </w:r>
          </w:p>
        </w:tc>
        <w:tc>
          <w:tcPr>
            <w:tcW w:w="480" w:type="pct"/>
            <w:vMerge/>
            <w:noWrap/>
            <w:vAlign w:val="center"/>
          </w:tcPr>
          <w:p w14:paraId="492BA600" w14:textId="2D46D7ED" w:rsidR="00142D09" w:rsidRPr="00640AA8" w:rsidRDefault="00142D09" w:rsidP="00FE4DB7">
            <w:pPr>
              <w:adjustRightInd w:val="0"/>
              <w:snapToGrid w:val="0"/>
              <w:spacing w:line="240" w:lineRule="auto"/>
              <w:jc w:val="center"/>
              <w:rPr>
                <w:rFonts w:ascii="Palatino Linotype" w:hAnsi="Palatino Linotype"/>
                <w:color w:val="auto"/>
                <w:sz w:val="16"/>
                <w:szCs w:val="16"/>
              </w:rPr>
            </w:pPr>
          </w:p>
        </w:tc>
      </w:tr>
      <w:tr w:rsidR="009D6A45" w:rsidRPr="00640AA8" w14:paraId="7C5F3468" w14:textId="77777777" w:rsidTr="00640AA8">
        <w:trPr>
          <w:jc w:val="center"/>
        </w:trPr>
        <w:tc>
          <w:tcPr>
            <w:tcW w:w="2091" w:type="pct"/>
            <w:shd w:val="clear" w:color="auto" w:fill="FFFFFF"/>
            <w:noWrap/>
            <w:vAlign w:val="center"/>
          </w:tcPr>
          <w:p w14:paraId="7FD59AE2" w14:textId="40281CA1" w:rsidR="00142D09" w:rsidRPr="00640AA8" w:rsidRDefault="00142D09" w:rsidP="00FE4DB7">
            <w:pPr>
              <w:adjustRightInd w:val="0"/>
              <w:snapToGrid w:val="0"/>
              <w:spacing w:line="240" w:lineRule="auto"/>
              <w:jc w:val="center"/>
              <w:rPr>
                <w:rFonts w:ascii="Palatino Linotype" w:hAnsi="Palatino Linotype"/>
                <w:b/>
                <w:bCs/>
                <w:color w:val="auto"/>
                <w:sz w:val="16"/>
                <w:szCs w:val="16"/>
              </w:rPr>
            </w:pPr>
            <w:r w:rsidRPr="00640AA8">
              <w:rPr>
                <w:rFonts w:ascii="Palatino Linotype" w:hAnsi="Palatino Linotype"/>
                <w:color w:val="auto"/>
                <w:sz w:val="16"/>
                <w:szCs w:val="16"/>
              </w:rPr>
              <w:t>≥$6000</w:t>
            </w:r>
          </w:p>
        </w:tc>
        <w:tc>
          <w:tcPr>
            <w:tcW w:w="532" w:type="pct"/>
            <w:shd w:val="clear" w:color="auto" w:fill="FFFFFF"/>
            <w:noWrap/>
            <w:vAlign w:val="center"/>
          </w:tcPr>
          <w:p w14:paraId="40A3D686" w14:textId="3BE72ECA"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331 (28.7)</w:t>
            </w:r>
          </w:p>
        </w:tc>
        <w:tc>
          <w:tcPr>
            <w:tcW w:w="856" w:type="pct"/>
            <w:shd w:val="clear" w:color="auto" w:fill="FFFFFF"/>
            <w:noWrap/>
            <w:vAlign w:val="center"/>
          </w:tcPr>
          <w:p w14:paraId="6869A76C" w14:textId="2EFADD9D"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295 (30.5)</w:t>
            </w:r>
          </w:p>
        </w:tc>
        <w:tc>
          <w:tcPr>
            <w:tcW w:w="1041" w:type="pct"/>
            <w:shd w:val="clear" w:color="auto" w:fill="FFFFFF"/>
            <w:noWrap/>
            <w:vAlign w:val="center"/>
          </w:tcPr>
          <w:p w14:paraId="3848C4C8" w14:textId="6914AEE4"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36 (19.5)</w:t>
            </w:r>
          </w:p>
        </w:tc>
        <w:tc>
          <w:tcPr>
            <w:tcW w:w="480" w:type="pct"/>
            <w:vMerge/>
            <w:noWrap/>
            <w:vAlign w:val="center"/>
          </w:tcPr>
          <w:p w14:paraId="5AB211BC" w14:textId="3C19998C" w:rsidR="00142D09" w:rsidRPr="00640AA8" w:rsidRDefault="00142D09" w:rsidP="00FE4DB7">
            <w:pPr>
              <w:adjustRightInd w:val="0"/>
              <w:snapToGrid w:val="0"/>
              <w:spacing w:line="240" w:lineRule="auto"/>
              <w:jc w:val="center"/>
              <w:rPr>
                <w:rFonts w:ascii="Palatino Linotype" w:hAnsi="Palatino Linotype"/>
                <w:color w:val="auto"/>
                <w:sz w:val="16"/>
                <w:szCs w:val="16"/>
              </w:rPr>
            </w:pPr>
          </w:p>
        </w:tc>
      </w:tr>
      <w:tr w:rsidR="00142D09" w:rsidRPr="00640AA8" w14:paraId="1D5CECC8" w14:textId="77777777" w:rsidTr="00640AA8">
        <w:trPr>
          <w:jc w:val="center"/>
        </w:trPr>
        <w:tc>
          <w:tcPr>
            <w:tcW w:w="2091" w:type="pct"/>
            <w:tcBorders>
              <w:top w:val="single" w:sz="4" w:space="0" w:color="auto"/>
            </w:tcBorders>
            <w:shd w:val="clear" w:color="auto" w:fill="FFFFFF"/>
            <w:noWrap/>
            <w:vAlign w:val="center"/>
            <w:hideMark/>
          </w:tcPr>
          <w:p w14:paraId="32B98731" w14:textId="459134F1" w:rsidR="00142D09" w:rsidRPr="00640AA8" w:rsidRDefault="00DE5100" w:rsidP="00FE4DB7">
            <w:pPr>
              <w:adjustRightInd w:val="0"/>
              <w:snapToGrid w:val="0"/>
              <w:spacing w:line="240" w:lineRule="auto"/>
              <w:jc w:val="center"/>
              <w:rPr>
                <w:rFonts w:ascii="Palatino Linotype" w:hAnsi="Palatino Linotype"/>
                <w:b/>
                <w:bCs/>
                <w:color w:val="auto"/>
                <w:sz w:val="16"/>
                <w:szCs w:val="16"/>
              </w:rPr>
            </w:pPr>
            <w:r w:rsidRPr="00640AA8">
              <w:rPr>
                <w:rFonts w:ascii="Palatino Linotype" w:hAnsi="Palatino Linotype"/>
                <w:b/>
                <w:bCs/>
                <w:color w:val="auto"/>
                <w:sz w:val="16"/>
                <w:szCs w:val="16"/>
              </w:rPr>
              <w:t>Body mass index (</w:t>
            </w:r>
            <w:r w:rsidR="00142D09" w:rsidRPr="00640AA8">
              <w:rPr>
                <w:rFonts w:ascii="Palatino Linotype" w:hAnsi="Palatino Linotype"/>
                <w:b/>
                <w:bCs/>
                <w:color w:val="auto"/>
                <w:sz w:val="16"/>
                <w:szCs w:val="16"/>
              </w:rPr>
              <w:t>BMI</w:t>
            </w:r>
            <w:r w:rsidRPr="00640AA8">
              <w:rPr>
                <w:rFonts w:ascii="Palatino Linotype" w:hAnsi="Palatino Linotype"/>
                <w:b/>
                <w:bCs/>
                <w:color w:val="auto"/>
                <w:sz w:val="16"/>
                <w:szCs w:val="16"/>
              </w:rPr>
              <w:t>)</w:t>
            </w:r>
            <w:r w:rsidR="00142D09" w:rsidRPr="00640AA8">
              <w:rPr>
                <w:rFonts w:ascii="Palatino Linotype" w:hAnsi="Palatino Linotype"/>
                <w:b/>
                <w:bCs/>
                <w:color w:val="auto"/>
                <w:sz w:val="16"/>
                <w:szCs w:val="16"/>
              </w:rPr>
              <w:t xml:space="preserve"> at 26 weeks of gestation </w:t>
            </w:r>
            <w:r w:rsidR="00142D09" w:rsidRPr="00640AA8">
              <w:rPr>
                <w:rFonts w:ascii="Palatino Linotype" w:hAnsi="Palatino Linotype"/>
                <w:b/>
                <w:bCs/>
                <w:color w:val="auto"/>
                <w:sz w:val="16"/>
                <w:szCs w:val="16"/>
                <w:vertAlign w:val="superscript"/>
              </w:rPr>
              <w:t>2</w:t>
            </w:r>
          </w:p>
        </w:tc>
        <w:tc>
          <w:tcPr>
            <w:tcW w:w="2429" w:type="pct"/>
            <w:gridSpan w:val="3"/>
            <w:tcBorders>
              <w:top w:val="single" w:sz="4" w:space="0" w:color="auto"/>
            </w:tcBorders>
            <w:shd w:val="clear" w:color="auto" w:fill="FFFFFF"/>
            <w:noWrap/>
            <w:vAlign w:val="center"/>
          </w:tcPr>
          <w:p w14:paraId="45D39D1A" w14:textId="585467E2" w:rsidR="00142D09" w:rsidRPr="00640AA8" w:rsidRDefault="00142D09" w:rsidP="00FE4DB7">
            <w:pPr>
              <w:adjustRightInd w:val="0"/>
              <w:snapToGrid w:val="0"/>
              <w:spacing w:line="240" w:lineRule="auto"/>
              <w:jc w:val="center"/>
              <w:rPr>
                <w:rFonts w:ascii="Palatino Linotype" w:hAnsi="Palatino Linotype"/>
                <w:color w:val="auto"/>
                <w:sz w:val="16"/>
                <w:szCs w:val="16"/>
              </w:rPr>
            </w:pPr>
          </w:p>
        </w:tc>
        <w:tc>
          <w:tcPr>
            <w:tcW w:w="480" w:type="pct"/>
            <w:tcBorders>
              <w:top w:val="single" w:sz="4" w:space="0" w:color="auto"/>
            </w:tcBorders>
            <w:noWrap/>
            <w:vAlign w:val="center"/>
            <w:hideMark/>
          </w:tcPr>
          <w:p w14:paraId="623EC6C9" w14:textId="77777777"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0.508</w:t>
            </w:r>
          </w:p>
        </w:tc>
      </w:tr>
      <w:tr w:rsidR="009D6A45" w:rsidRPr="00640AA8" w14:paraId="412BA002" w14:textId="77777777" w:rsidTr="00640AA8">
        <w:trPr>
          <w:jc w:val="center"/>
        </w:trPr>
        <w:tc>
          <w:tcPr>
            <w:tcW w:w="2091" w:type="pct"/>
            <w:shd w:val="clear" w:color="auto" w:fill="FFFFFF"/>
            <w:noWrap/>
            <w:vAlign w:val="center"/>
            <w:hideMark/>
          </w:tcPr>
          <w:p w14:paraId="10F46D61" w14:textId="58B5E3F6"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&lt;18.5 to 24.9</w:t>
            </w:r>
          </w:p>
        </w:tc>
        <w:tc>
          <w:tcPr>
            <w:tcW w:w="532" w:type="pct"/>
            <w:shd w:val="clear" w:color="auto" w:fill="FFFFFF"/>
            <w:noWrap/>
            <w:vAlign w:val="center"/>
            <w:hideMark/>
          </w:tcPr>
          <w:p w14:paraId="0C14E8F9" w14:textId="77777777"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486 (46.6)</w:t>
            </w:r>
          </w:p>
        </w:tc>
        <w:tc>
          <w:tcPr>
            <w:tcW w:w="856" w:type="pct"/>
            <w:shd w:val="clear" w:color="auto" w:fill="FFFFFF"/>
            <w:noWrap/>
            <w:vAlign w:val="center"/>
            <w:hideMark/>
          </w:tcPr>
          <w:p w14:paraId="193A5DEB" w14:textId="77777777"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422 (46.2)</w:t>
            </w:r>
          </w:p>
        </w:tc>
        <w:tc>
          <w:tcPr>
            <w:tcW w:w="1041" w:type="pct"/>
            <w:shd w:val="clear" w:color="auto" w:fill="FFFFFF"/>
            <w:noWrap/>
            <w:vAlign w:val="center"/>
            <w:hideMark/>
          </w:tcPr>
          <w:p w14:paraId="6F31C275" w14:textId="77777777"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64 (48.9)</w:t>
            </w:r>
          </w:p>
        </w:tc>
        <w:tc>
          <w:tcPr>
            <w:tcW w:w="480" w:type="pct"/>
            <w:vMerge w:val="restart"/>
            <w:shd w:val="clear" w:color="auto" w:fill="FFFFFF"/>
            <w:noWrap/>
            <w:vAlign w:val="center"/>
            <w:hideMark/>
          </w:tcPr>
          <w:p w14:paraId="62FDE449" w14:textId="3B31471A" w:rsidR="00142D09" w:rsidRPr="00640AA8" w:rsidRDefault="00142D09" w:rsidP="00FE4DB7">
            <w:pPr>
              <w:adjustRightInd w:val="0"/>
              <w:snapToGrid w:val="0"/>
              <w:spacing w:line="240" w:lineRule="auto"/>
              <w:jc w:val="center"/>
              <w:rPr>
                <w:rFonts w:ascii="Palatino Linotype" w:hAnsi="Palatino Linotype"/>
                <w:color w:val="auto"/>
                <w:sz w:val="16"/>
                <w:szCs w:val="16"/>
              </w:rPr>
            </w:pPr>
          </w:p>
        </w:tc>
      </w:tr>
      <w:tr w:rsidR="009D6A45" w:rsidRPr="00640AA8" w14:paraId="2354C2A1" w14:textId="77777777" w:rsidTr="00640AA8">
        <w:trPr>
          <w:jc w:val="center"/>
        </w:trPr>
        <w:tc>
          <w:tcPr>
            <w:tcW w:w="2091" w:type="pct"/>
            <w:shd w:val="clear" w:color="auto" w:fill="FFFFFF"/>
            <w:noWrap/>
            <w:vAlign w:val="center"/>
            <w:hideMark/>
          </w:tcPr>
          <w:p w14:paraId="41A63E40" w14:textId="77777777"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25 to 29.9</w:t>
            </w:r>
          </w:p>
        </w:tc>
        <w:tc>
          <w:tcPr>
            <w:tcW w:w="532" w:type="pct"/>
            <w:shd w:val="clear" w:color="auto" w:fill="FFFFFF"/>
            <w:noWrap/>
            <w:vAlign w:val="center"/>
            <w:hideMark/>
          </w:tcPr>
          <w:p w14:paraId="21AEE8B4" w14:textId="77777777"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364 (34.9)</w:t>
            </w:r>
          </w:p>
        </w:tc>
        <w:tc>
          <w:tcPr>
            <w:tcW w:w="856" w:type="pct"/>
            <w:shd w:val="clear" w:color="auto" w:fill="FFFFFF"/>
            <w:noWrap/>
            <w:vAlign w:val="center"/>
            <w:hideMark/>
          </w:tcPr>
          <w:p w14:paraId="4E2217DB" w14:textId="77777777"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319 (34.9)</w:t>
            </w:r>
          </w:p>
        </w:tc>
        <w:tc>
          <w:tcPr>
            <w:tcW w:w="1041" w:type="pct"/>
            <w:shd w:val="clear" w:color="auto" w:fill="FFFFFF"/>
            <w:noWrap/>
            <w:vAlign w:val="center"/>
            <w:hideMark/>
          </w:tcPr>
          <w:p w14:paraId="0CFA1DEE" w14:textId="77777777"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45 (34.4)</w:t>
            </w:r>
          </w:p>
        </w:tc>
        <w:tc>
          <w:tcPr>
            <w:tcW w:w="480" w:type="pct"/>
            <w:vMerge/>
            <w:shd w:val="clear" w:color="auto" w:fill="FFFFFF"/>
            <w:noWrap/>
            <w:vAlign w:val="center"/>
            <w:hideMark/>
          </w:tcPr>
          <w:p w14:paraId="725AE01E" w14:textId="6FE9F7EA" w:rsidR="00142D09" w:rsidRPr="00640AA8" w:rsidRDefault="00142D09" w:rsidP="00FE4DB7">
            <w:pPr>
              <w:adjustRightInd w:val="0"/>
              <w:snapToGrid w:val="0"/>
              <w:spacing w:line="240" w:lineRule="auto"/>
              <w:jc w:val="center"/>
              <w:rPr>
                <w:rFonts w:ascii="Palatino Linotype" w:hAnsi="Palatino Linotype"/>
                <w:color w:val="auto"/>
                <w:sz w:val="16"/>
                <w:szCs w:val="16"/>
              </w:rPr>
            </w:pPr>
          </w:p>
        </w:tc>
      </w:tr>
      <w:tr w:rsidR="009D6A45" w:rsidRPr="00640AA8" w14:paraId="4DF2522A" w14:textId="77777777" w:rsidTr="00640AA8">
        <w:trPr>
          <w:jc w:val="center"/>
        </w:trPr>
        <w:tc>
          <w:tcPr>
            <w:tcW w:w="2091" w:type="pct"/>
            <w:tcBorders>
              <w:top w:val="nil"/>
              <w:left w:val="nil"/>
              <w:bottom w:val="single" w:sz="4" w:space="0" w:color="auto"/>
              <w:right w:val="nil"/>
            </w:tcBorders>
            <w:shd w:val="clear" w:color="auto" w:fill="FFFFFF"/>
            <w:noWrap/>
            <w:vAlign w:val="center"/>
            <w:hideMark/>
          </w:tcPr>
          <w:p w14:paraId="05BB6B57" w14:textId="53807AB2"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&gt;30</w:t>
            </w:r>
          </w:p>
        </w:tc>
        <w:tc>
          <w:tcPr>
            <w:tcW w:w="532" w:type="pct"/>
            <w:tcBorders>
              <w:top w:val="nil"/>
              <w:left w:val="nil"/>
              <w:bottom w:val="single" w:sz="4" w:space="0" w:color="auto"/>
              <w:right w:val="nil"/>
            </w:tcBorders>
            <w:shd w:val="clear" w:color="auto" w:fill="FFFFFF"/>
            <w:noWrap/>
            <w:vAlign w:val="center"/>
            <w:hideMark/>
          </w:tcPr>
          <w:p w14:paraId="02119BB6" w14:textId="77777777"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194 (18.6)</w:t>
            </w:r>
          </w:p>
        </w:tc>
        <w:tc>
          <w:tcPr>
            <w:tcW w:w="856" w:type="pct"/>
            <w:tcBorders>
              <w:top w:val="nil"/>
              <w:left w:val="nil"/>
              <w:bottom w:val="single" w:sz="4" w:space="0" w:color="auto"/>
              <w:right w:val="nil"/>
            </w:tcBorders>
            <w:shd w:val="clear" w:color="auto" w:fill="FFFFFF"/>
            <w:noWrap/>
            <w:vAlign w:val="center"/>
            <w:hideMark/>
          </w:tcPr>
          <w:p w14:paraId="788F43F2" w14:textId="77777777"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172 (18.8)</w:t>
            </w:r>
          </w:p>
        </w:tc>
        <w:tc>
          <w:tcPr>
            <w:tcW w:w="1041" w:type="pct"/>
            <w:tcBorders>
              <w:top w:val="nil"/>
              <w:left w:val="nil"/>
              <w:bottom w:val="single" w:sz="4" w:space="0" w:color="auto"/>
            </w:tcBorders>
            <w:shd w:val="clear" w:color="auto" w:fill="FFFFFF"/>
            <w:noWrap/>
            <w:vAlign w:val="center"/>
            <w:hideMark/>
          </w:tcPr>
          <w:p w14:paraId="2B2E88EA" w14:textId="77777777"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22 (16.8)</w:t>
            </w:r>
          </w:p>
        </w:tc>
        <w:tc>
          <w:tcPr>
            <w:tcW w:w="480" w:type="pct"/>
            <w:vMerge/>
            <w:tcBorders>
              <w:bottom w:val="single" w:sz="4" w:space="0" w:color="auto"/>
            </w:tcBorders>
            <w:shd w:val="clear" w:color="auto" w:fill="FFFFFF"/>
            <w:noWrap/>
            <w:vAlign w:val="center"/>
            <w:hideMark/>
          </w:tcPr>
          <w:p w14:paraId="33473613" w14:textId="2103D2BF" w:rsidR="00142D09" w:rsidRPr="00640AA8" w:rsidRDefault="00142D09" w:rsidP="00FE4DB7">
            <w:pPr>
              <w:adjustRightInd w:val="0"/>
              <w:snapToGrid w:val="0"/>
              <w:spacing w:line="240" w:lineRule="auto"/>
              <w:jc w:val="center"/>
              <w:rPr>
                <w:rFonts w:ascii="Palatino Linotype" w:hAnsi="Palatino Linotype"/>
                <w:color w:val="auto"/>
                <w:sz w:val="16"/>
                <w:szCs w:val="16"/>
              </w:rPr>
            </w:pPr>
          </w:p>
        </w:tc>
      </w:tr>
      <w:tr w:rsidR="00142D09" w:rsidRPr="00640AA8" w14:paraId="27578DBD" w14:textId="77777777" w:rsidTr="00640AA8">
        <w:trPr>
          <w:jc w:val="center"/>
        </w:trPr>
        <w:tc>
          <w:tcPr>
            <w:tcW w:w="2091" w:type="pct"/>
            <w:shd w:val="clear" w:color="auto" w:fill="FFFFFF"/>
            <w:noWrap/>
            <w:vAlign w:val="center"/>
            <w:hideMark/>
          </w:tcPr>
          <w:p w14:paraId="6446F83C" w14:textId="5D396FF2" w:rsidR="00142D09" w:rsidRPr="00640AA8" w:rsidRDefault="00142D09" w:rsidP="00FE4DB7">
            <w:pPr>
              <w:adjustRightInd w:val="0"/>
              <w:snapToGrid w:val="0"/>
              <w:spacing w:line="240" w:lineRule="auto"/>
              <w:jc w:val="center"/>
              <w:rPr>
                <w:rFonts w:ascii="Palatino Linotype" w:hAnsi="Palatino Linotype"/>
                <w:b/>
                <w:bCs/>
                <w:color w:val="auto"/>
                <w:sz w:val="16"/>
                <w:szCs w:val="16"/>
              </w:rPr>
            </w:pPr>
            <w:r w:rsidRPr="00640AA8">
              <w:rPr>
                <w:rFonts w:ascii="Palatino Linotype" w:hAnsi="Palatino Linotype"/>
                <w:b/>
                <w:bCs/>
                <w:color w:val="auto"/>
                <w:sz w:val="16"/>
                <w:szCs w:val="16"/>
              </w:rPr>
              <w:t xml:space="preserve">Alcohol consumption before pregnancy </w:t>
            </w:r>
            <w:r w:rsidRPr="00640AA8">
              <w:rPr>
                <w:rFonts w:ascii="Palatino Linotype" w:hAnsi="Palatino Linotype"/>
                <w:b/>
                <w:bCs/>
                <w:color w:val="auto"/>
                <w:sz w:val="16"/>
                <w:szCs w:val="16"/>
                <w:vertAlign w:val="superscript"/>
              </w:rPr>
              <w:t>2</w:t>
            </w:r>
          </w:p>
        </w:tc>
        <w:tc>
          <w:tcPr>
            <w:tcW w:w="2429" w:type="pct"/>
            <w:gridSpan w:val="3"/>
            <w:shd w:val="clear" w:color="auto" w:fill="FFFFFF"/>
            <w:noWrap/>
            <w:vAlign w:val="center"/>
          </w:tcPr>
          <w:p w14:paraId="0654A7D4" w14:textId="28C33FE2" w:rsidR="00142D09" w:rsidRPr="00640AA8" w:rsidRDefault="00142D09" w:rsidP="00FE4DB7">
            <w:pPr>
              <w:adjustRightInd w:val="0"/>
              <w:snapToGrid w:val="0"/>
              <w:spacing w:line="240" w:lineRule="auto"/>
              <w:jc w:val="center"/>
              <w:rPr>
                <w:rFonts w:ascii="Palatino Linotype" w:hAnsi="Palatino Linotype"/>
                <w:color w:val="auto"/>
                <w:sz w:val="16"/>
                <w:szCs w:val="16"/>
              </w:rPr>
            </w:pPr>
          </w:p>
        </w:tc>
        <w:tc>
          <w:tcPr>
            <w:tcW w:w="480" w:type="pct"/>
            <w:shd w:val="clear" w:color="auto" w:fill="FFFFFF"/>
            <w:noWrap/>
            <w:vAlign w:val="center"/>
            <w:hideMark/>
          </w:tcPr>
          <w:p w14:paraId="78B7341F" w14:textId="77777777"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0.677</w:t>
            </w:r>
          </w:p>
        </w:tc>
      </w:tr>
      <w:tr w:rsidR="009D6A45" w:rsidRPr="00640AA8" w14:paraId="4981EDAC" w14:textId="77777777" w:rsidTr="00640AA8">
        <w:trPr>
          <w:jc w:val="center"/>
        </w:trPr>
        <w:tc>
          <w:tcPr>
            <w:tcW w:w="2091" w:type="pct"/>
            <w:shd w:val="clear" w:color="auto" w:fill="FFFFFF"/>
            <w:noWrap/>
            <w:vAlign w:val="center"/>
            <w:hideMark/>
          </w:tcPr>
          <w:p w14:paraId="64E54487" w14:textId="77777777"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Yes</w:t>
            </w:r>
          </w:p>
        </w:tc>
        <w:tc>
          <w:tcPr>
            <w:tcW w:w="532" w:type="pct"/>
            <w:shd w:val="clear" w:color="auto" w:fill="FFFFFF"/>
            <w:noWrap/>
            <w:vAlign w:val="center"/>
            <w:hideMark/>
          </w:tcPr>
          <w:p w14:paraId="4A82EA13" w14:textId="77777777"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410 (35.1)</w:t>
            </w:r>
          </w:p>
        </w:tc>
        <w:tc>
          <w:tcPr>
            <w:tcW w:w="856" w:type="pct"/>
            <w:shd w:val="clear" w:color="auto" w:fill="FFFFFF"/>
            <w:noWrap/>
            <w:vAlign w:val="center"/>
            <w:hideMark/>
          </w:tcPr>
          <w:p w14:paraId="1B5ABE7C" w14:textId="77777777"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356 (34.8)</w:t>
            </w:r>
          </w:p>
        </w:tc>
        <w:tc>
          <w:tcPr>
            <w:tcW w:w="1041" w:type="pct"/>
            <w:shd w:val="clear" w:color="auto" w:fill="FFFFFF"/>
            <w:noWrap/>
            <w:vAlign w:val="center"/>
            <w:hideMark/>
          </w:tcPr>
          <w:p w14:paraId="034A5DE3" w14:textId="77777777"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54 (37.0)</w:t>
            </w:r>
          </w:p>
        </w:tc>
        <w:tc>
          <w:tcPr>
            <w:tcW w:w="480" w:type="pct"/>
            <w:vMerge w:val="restart"/>
            <w:shd w:val="clear" w:color="auto" w:fill="FFFFFF"/>
            <w:noWrap/>
            <w:vAlign w:val="center"/>
            <w:hideMark/>
          </w:tcPr>
          <w:p w14:paraId="570081D7" w14:textId="07562E89" w:rsidR="00142D09" w:rsidRPr="00640AA8" w:rsidRDefault="00142D09" w:rsidP="00FE4DB7">
            <w:pPr>
              <w:adjustRightInd w:val="0"/>
              <w:snapToGrid w:val="0"/>
              <w:spacing w:line="240" w:lineRule="auto"/>
              <w:jc w:val="center"/>
              <w:rPr>
                <w:rFonts w:ascii="Palatino Linotype" w:hAnsi="Palatino Linotype"/>
                <w:color w:val="auto"/>
                <w:sz w:val="16"/>
                <w:szCs w:val="16"/>
              </w:rPr>
            </w:pPr>
          </w:p>
        </w:tc>
      </w:tr>
      <w:tr w:rsidR="009D6A45" w:rsidRPr="00640AA8" w14:paraId="0DA37789" w14:textId="77777777" w:rsidTr="00640AA8">
        <w:trPr>
          <w:jc w:val="center"/>
        </w:trPr>
        <w:tc>
          <w:tcPr>
            <w:tcW w:w="2091" w:type="pct"/>
            <w:tcBorders>
              <w:top w:val="nil"/>
              <w:left w:val="nil"/>
              <w:bottom w:val="single" w:sz="4" w:space="0" w:color="auto"/>
              <w:right w:val="nil"/>
            </w:tcBorders>
            <w:shd w:val="clear" w:color="auto" w:fill="FFFFFF"/>
            <w:noWrap/>
            <w:vAlign w:val="center"/>
            <w:hideMark/>
          </w:tcPr>
          <w:p w14:paraId="1887C4CA" w14:textId="77777777"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No</w:t>
            </w:r>
          </w:p>
        </w:tc>
        <w:tc>
          <w:tcPr>
            <w:tcW w:w="532" w:type="pct"/>
            <w:tcBorders>
              <w:top w:val="nil"/>
              <w:left w:val="nil"/>
              <w:bottom w:val="single" w:sz="4" w:space="0" w:color="auto"/>
              <w:right w:val="nil"/>
            </w:tcBorders>
            <w:shd w:val="clear" w:color="auto" w:fill="FFFFFF"/>
            <w:noWrap/>
            <w:vAlign w:val="center"/>
            <w:hideMark/>
          </w:tcPr>
          <w:p w14:paraId="2B95430A" w14:textId="77777777"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758 (64.9)</w:t>
            </w:r>
          </w:p>
        </w:tc>
        <w:tc>
          <w:tcPr>
            <w:tcW w:w="856" w:type="pct"/>
            <w:tcBorders>
              <w:top w:val="nil"/>
              <w:left w:val="nil"/>
              <w:bottom w:val="single" w:sz="4" w:space="0" w:color="auto"/>
              <w:right w:val="nil"/>
            </w:tcBorders>
            <w:shd w:val="clear" w:color="auto" w:fill="FFFFFF"/>
            <w:noWrap/>
            <w:vAlign w:val="center"/>
            <w:hideMark/>
          </w:tcPr>
          <w:p w14:paraId="18399F51" w14:textId="77777777"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666 (65.2)</w:t>
            </w:r>
          </w:p>
        </w:tc>
        <w:tc>
          <w:tcPr>
            <w:tcW w:w="1041" w:type="pct"/>
            <w:tcBorders>
              <w:top w:val="nil"/>
              <w:left w:val="nil"/>
              <w:bottom w:val="single" w:sz="4" w:space="0" w:color="auto"/>
            </w:tcBorders>
            <w:shd w:val="clear" w:color="auto" w:fill="FFFFFF"/>
            <w:noWrap/>
            <w:vAlign w:val="center"/>
            <w:hideMark/>
          </w:tcPr>
          <w:p w14:paraId="75A1A13E" w14:textId="77777777"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92 (63.0)</w:t>
            </w:r>
          </w:p>
        </w:tc>
        <w:tc>
          <w:tcPr>
            <w:tcW w:w="480" w:type="pct"/>
            <w:vMerge/>
            <w:tcBorders>
              <w:bottom w:val="single" w:sz="4" w:space="0" w:color="auto"/>
            </w:tcBorders>
            <w:shd w:val="clear" w:color="auto" w:fill="FFFFFF"/>
            <w:noWrap/>
            <w:vAlign w:val="center"/>
            <w:hideMark/>
          </w:tcPr>
          <w:p w14:paraId="54B3B7EA" w14:textId="14A2AB2D" w:rsidR="00142D09" w:rsidRPr="00640AA8" w:rsidRDefault="00142D09" w:rsidP="00FE4DB7">
            <w:pPr>
              <w:adjustRightInd w:val="0"/>
              <w:snapToGrid w:val="0"/>
              <w:spacing w:line="240" w:lineRule="auto"/>
              <w:jc w:val="center"/>
              <w:rPr>
                <w:rFonts w:ascii="Palatino Linotype" w:hAnsi="Palatino Linotype"/>
                <w:color w:val="auto"/>
                <w:sz w:val="16"/>
                <w:szCs w:val="16"/>
              </w:rPr>
            </w:pPr>
          </w:p>
        </w:tc>
      </w:tr>
      <w:tr w:rsidR="00142D09" w:rsidRPr="00640AA8" w14:paraId="10666EE4" w14:textId="77777777" w:rsidTr="00640AA8">
        <w:trPr>
          <w:jc w:val="center"/>
        </w:trPr>
        <w:tc>
          <w:tcPr>
            <w:tcW w:w="2091" w:type="pct"/>
            <w:shd w:val="clear" w:color="auto" w:fill="FFFFFF"/>
            <w:noWrap/>
            <w:vAlign w:val="center"/>
            <w:hideMark/>
          </w:tcPr>
          <w:p w14:paraId="532D68FB" w14:textId="3AF389AA" w:rsidR="00142D09" w:rsidRPr="00640AA8" w:rsidRDefault="00142D09" w:rsidP="00FE4DB7">
            <w:pPr>
              <w:adjustRightInd w:val="0"/>
              <w:snapToGrid w:val="0"/>
              <w:spacing w:line="240" w:lineRule="auto"/>
              <w:jc w:val="center"/>
              <w:rPr>
                <w:rFonts w:ascii="Palatino Linotype" w:hAnsi="Palatino Linotype"/>
                <w:b/>
                <w:bCs/>
                <w:color w:val="auto"/>
                <w:sz w:val="16"/>
                <w:szCs w:val="16"/>
              </w:rPr>
            </w:pPr>
            <w:r w:rsidRPr="00640AA8">
              <w:rPr>
                <w:rFonts w:ascii="Palatino Linotype" w:hAnsi="Palatino Linotype"/>
                <w:b/>
                <w:bCs/>
                <w:color w:val="auto"/>
                <w:sz w:val="16"/>
                <w:szCs w:val="16"/>
              </w:rPr>
              <w:t xml:space="preserve">Alcohol consumption during pregnancy </w:t>
            </w:r>
            <w:r w:rsidRPr="00640AA8">
              <w:rPr>
                <w:rFonts w:ascii="Palatino Linotype" w:hAnsi="Palatino Linotype"/>
                <w:b/>
                <w:bCs/>
                <w:color w:val="auto"/>
                <w:sz w:val="16"/>
                <w:szCs w:val="16"/>
                <w:vertAlign w:val="superscript"/>
              </w:rPr>
              <w:t>2</w:t>
            </w:r>
          </w:p>
        </w:tc>
        <w:tc>
          <w:tcPr>
            <w:tcW w:w="2429" w:type="pct"/>
            <w:gridSpan w:val="3"/>
            <w:shd w:val="clear" w:color="auto" w:fill="FFFFFF"/>
            <w:noWrap/>
            <w:vAlign w:val="center"/>
          </w:tcPr>
          <w:p w14:paraId="1C9B4EF2" w14:textId="650E021F" w:rsidR="00142D09" w:rsidRPr="00640AA8" w:rsidRDefault="00142D09" w:rsidP="00FE4DB7">
            <w:pPr>
              <w:adjustRightInd w:val="0"/>
              <w:snapToGrid w:val="0"/>
              <w:spacing w:line="240" w:lineRule="auto"/>
              <w:jc w:val="center"/>
              <w:rPr>
                <w:rFonts w:ascii="Palatino Linotype" w:hAnsi="Palatino Linotype"/>
                <w:color w:val="auto"/>
                <w:sz w:val="16"/>
                <w:szCs w:val="16"/>
              </w:rPr>
            </w:pPr>
          </w:p>
        </w:tc>
        <w:tc>
          <w:tcPr>
            <w:tcW w:w="480" w:type="pct"/>
            <w:shd w:val="clear" w:color="auto" w:fill="FFFFFF"/>
            <w:noWrap/>
            <w:vAlign w:val="center"/>
            <w:hideMark/>
          </w:tcPr>
          <w:p w14:paraId="0D3048D3" w14:textId="77777777"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0.986</w:t>
            </w:r>
          </w:p>
        </w:tc>
      </w:tr>
      <w:tr w:rsidR="009D6A45" w:rsidRPr="00640AA8" w14:paraId="2A0F0E2C" w14:textId="77777777" w:rsidTr="00640AA8">
        <w:trPr>
          <w:jc w:val="center"/>
        </w:trPr>
        <w:tc>
          <w:tcPr>
            <w:tcW w:w="2091" w:type="pct"/>
            <w:shd w:val="clear" w:color="auto" w:fill="FFFFFF"/>
            <w:noWrap/>
            <w:vAlign w:val="center"/>
            <w:hideMark/>
          </w:tcPr>
          <w:p w14:paraId="44B8E90F" w14:textId="77777777"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Yes</w:t>
            </w:r>
          </w:p>
        </w:tc>
        <w:tc>
          <w:tcPr>
            <w:tcW w:w="532" w:type="pct"/>
            <w:shd w:val="clear" w:color="auto" w:fill="FFFFFF"/>
            <w:noWrap/>
            <w:vAlign w:val="center"/>
            <w:hideMark/>
          </w:tcPr>
          <w:p w14:paraId="04D1C230" w14:textId="77777777"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20 (1.7)</w:t>
            </w:r>
          </w:p>
        </w:tc>
        <w:tc>
          <w:tcPr>
            <w:tcW w:w="856" w:type="pct"/>
            <w:shd w:val="clear" w:color="auto" w:fill="FFFFFF"/>
            <w:noWrap/>
            <w:vAlign w:val="center"/>
            <w:hideMark/>
          </w:tcPr>
          <w:p w14:paraId="7E1367D4" w14:textId="77777777"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18 (1.8)</w:t>
            </w:r>
          </w:p>
        </w:tc>
        <w:tc>
          <w:tcPr>
            <w:tcW w:w="1041" w:type="pct"/>
            <w:shd w:val="clear" w:color="auto" w:fill="FFFFFF"/>
            <w:noWrap/>
            <w:vAlign w:val="center"/>
            <w:hideMark/>
          </w:tcPr>
          <w:p w14:paraId="4983194A" w14:textId="77777777"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2 (1.4)</w:t>
            </w:r>
          </w:p>
        </w:tc>
        <w:tc>
          <w:tcPr>
            <w:tcW w:w="480" w:type="pct"/>
            <w:vMerge w:val="restart"/>
            <w:shd w:val="clear" w:color="auto" w:fill="FFFFFF"/>
            <w:noWrap/>
            <w:vAlign w:val="center"/>
            <w:hideMark/>
          </w:tcPr>
          <w:p w14:paraId="456E0DAA" w14:textId="05B784A7" w:rsidR="00142D09" w:rsidRPr="00640AA8" w:rsidRDefault="00142D09" w:rsidP="00FE4DB7">
            <w:pPr>
              <w:adjustRightInd w:val="0"/>
              <w:snapToGrid w:val="0"/>
              <w:spacing w:line="240" w:lineRule="auto"/>
              <w:jc w:val="center"/>
              <w:rPr>
                <w:rFonts w:ascii="Palatino Linotype" w:hAnsi="Palatino Linotype"/>
                <w:color w:val="auto"/>
                <w:sz w:val="16"/>
                <w:szCs w:val="16"/>
              </w:rPr>
            </w:pPr>
          </w:p>
        </w:tc>
      </w:tr>
      <w:tr w:rsidR="009D6A45" w:rsidRPr="00640AA8" w14:paraId="11B8566F" w14:textId="77777777" w:rsidTr="00640AA8">
        <w:trPr>
          <w:jc w:val="center"/>
        </w:trPr>
        <w:tc>
          <w:tcPr>
            <w:tcW w:w="2091" w:type="pct"/>
            <w:tcBorders>
              <w:top w:val="nil"/>
              <w:left w:val="nil"/>
              <w:bottom w:val="single" w:sz="4" w:space="0" w:color="auto"/>
              <w:right w:val="nil"/>
            </w:tcBorders>
            <w:shd w:val="clear" w:color="auto" w:fill="FFFFFF"/>
            <w:noWrap/>
            <w:vAlign w:val="center"/>
            <w:hideMark/>
          </w:tcPr>
          <w:p w14:paraId="1E9F788A" w14:textId="77777777"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No</w:t>
            </w:r>
          </w:p>
        </w:tc>
        <w:tc>
          <w:tcPr>
            <w:tcW w:w="532" w:type="pct"/>
            <w:tcBorders>
              <w:top w:val="nil"/>
              <w:left w:val="nil"/>
              <w:bottom w:val="single" w:sz="4" w:space="0" w:color="auto"/>
              <w:right w:val="nil"/>
            </w:tcBorders>
            <w:shd w:val="clear" w:color="auto" w:fill="FFFFFF"/>
            <w:noWrap/>
            <w:vAlign w:val="center"/>
            <w:hideMark/>
          </w:tcPr>
          <w:p w14:paraId="66E015B4" w14:textId="77777777"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1128 (98.3)</w:t>
            </w:r>
          </w:p>
        </w:tc>
        <w:tc>
          <w:tcPr>
            <w:tcW w:w="856" w:type="pct"/>
            <w:tcBorders>
              <w:top w:val="nil"/>
              <w:left w:val="nil"/>
              <w:bottom w:val="single" w:sz="4" w:space="0" w:color="auto"/>
              <w:right w:val="nil"/>
            </w:tcBorders>
            <w:shd w:val="clear" w:color="auto" w:fill="FFFFFF"/>
            <w:noWrap/>
            <w:vAlign w:val="center"/>
            <w:hideMark/>
          </w:tcPr>
          <w:p w14:paraId="3DAD96D9" w14:textId="77777777"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985 (98.2)</w:t>
            </w:r>
          </w:p>
        </w:tc>
        <w:tc>
          <w:tcPr>
            <w:tcW w:w="1041" w:type="pct"/>
            <w:tcBorders>
              <w:top w:val="nil"/>
              <w:left w:val="nil"/>
              <w:bottom w:val="single" w:sz="4" w:space="0" w:color="auto"/>
            </w:tcBorders>
            <w:shd w:val="clear" w:color="auto" w:fill="FFFFFF"/>
            <w:noWrap/>
            <w:vAlign w:val="center"/>
            <w:hideMark/>
          </w:tcPr>
          <w:p w14:paraId="4780D15B" w14:textId="77777777"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143 (98.6)</w:t>
            </w:r>
          </w:p>
        </w:tc>
        <w:tc>
          <w:tcPr>
            <w:tcW w:w="480" w:type="pct"/>
            <w:vMerge/>
            <w:tcBorders>
              <w:bottom w:val="single" w:sz="4" w:space="0" w:color="auto"/>
            </w:tcBorders>
            <w:shd w:val="clear" w:color="auto" w:fill="FFFFFF"/>
            <w:noWrap/>
            <w:vAlign w:val="center"/>
            <w:hideMark/>
          </w:tcPr>
          <w:p w14:paraId="33EC77AF" w14:textId="70CEF1D1" w:rsidR="00142D09" w:rsidRPr="00640AA8" w:rsidRDefault="00142D09" w:rsidP="00FE4DB7">
            <w:pPr>
              <w:adjustRightInd w:val="0"/>
              <w:snapToGrid w:val="0"/>
              <w:spacing w:line="240" w:lineRule="auto"/>
              <w:jc w:val="center"/>
              <w:rPr>
                <w:rFonts w:ascii="Palatino Linotype" w:hAnsi="Palatino Linotype"/>
                <w:color w:val="auto"/>
                <w:sz w:val="16"/>
                <w:szCs w:val="16"/>
              </w:rPr>
            </w:pPr>
          </w:p>
        </w:tc>
      </w:tr>
      <w:tr w:rsidR="009D6A45" w:rsidRPr="00640AA8" w14:paraId="3B8D8B2A" w14:textId="77777777" w:rsidTr="00640AA8">
        <w:trPr>
          <w:jc w:val="center"/>
        </w:trPr>
        <w:tc>
          <w:tcPr>
            <w:tcW w:w="2091" w:type="pct"/>
            <w:shd w:val="clear" w:color="auto" w:fill="FFFFFF"/>
            <w:noWrap/>
            <w:vAlign w:val="center"/>
            <w:hideMark/>
          </w:tcPr>
          <w:p w14:paraId="67D89C57" w14:textId="5C3A6586" w:rsidR="007242EB" w:rsidRPr="00640AA8" w:rsidRDefault="00D274C6" w:rsidP="00FE4DB7">
            <w:pPr>
              <w:adjustRightInd w:val="0"/>
              <w:snapToGrid w:val="0"/>
              <w:spacing w:line="240" w:lineRule="auto"/>
              <w:jc w:val="center"/>
              <w:rPr>
                <w:rFonts w:ascii="Palatino Linotype" w:hAnsi="Palatino Linotype"/>
                <w:b/>
                <w:bCs/>
                <w:color w:val="auto"/>
                <w:sz w:val="16"/>
                <w:szCs w:val="16"/>
              </w:rPr>
            </w:pPr>
            <w:r w:rsidRPr="00640AA8">
              <w:rPr>
                <w:rFonts w:ascii="Palatino Linotype" w:hAnsi="Palatino Linotype"/>
                <w:b/>
                <w:bCs/>
                <w:color w:val="auto"/>
                <w:sz w:val="16"/>
                <w:szCs w:val="16"/>
              </w:rPr>
              <w:t>Smoking before pregnancy</w:t>
            </w:r>
            <w:r w:rsidR="00142D09" w:rsidRPr="00640AA8">
              <w:rPr>
                <w:rFonts w:ascii="Palatino Linotype" w:hAnsi="Palatino Linotype"/>
                <w:b/>
                <w:bCs/>
                <w:color w:val="auto"/>
                <w:sz w:val="16"/>
                <w:szCs w:val="16"/>
              </w:rPr>
              <w:t xml:space="preserve"> </w:t>
            </w:r>
            <w:r w:rsidRPr="00640AA8">
              <w:rPr>
                <w:rFonts w:ascii="Palatino Linotype" w:hAnsi="Palatino Linotype"/>
                <w:b/>
                <w:bCs/>
                <w:color w:val="auto"/>
                <w:sz w:val="16"/>
                <w:szCs w:val="16"/>
                <w:vertAlign w:val="superscript"/>
              </w:rPr>
              <w:t>2</w:t>
            </w:r>
          </w:p>
        </w:tc>
        <w:tc>
          <w:tcPr>
            <w:tcW w:w="532" w:type="pct"/>
            <w:shd w:val="clear" w:color="auto" w:fill="FFFFFF"/>
            <w:noWrap/>
            <w:vAlign w:val="center"/>
          </w:tcPr>
          <w:p w14:paraId="7BF2A266" w14:textId="4D79BB2E" w:rsidR="007242EB" w:rsidRPr="00640AA8" w:rsidRDefault="007242EB" w:rsidP="00FE4DB7">
            <w:pPr>
              <w:adjustRightInd w:val="0"/>
              <w:snapToGrid w:val="0"/>
              <w:spacing w:line="240" w:lineRule="auto"/>
              <w:jc w:val="center"/>
              <w:rPr>
                <w:rFonts w:ascii="Palatino Linotype" w:hAnsi="Palatino Linotype"/>
                <w:color w:val="auto"/>
                <w:sz w:val="16"/>
                <w:szCs w:val="16"/>
              </w:rPr>
            </w:pPr>
          </w:p>
        </w:tc>
        <w:tc>
          <w:tcPr>
            <w:tcW w:w="856" w:type="pct"/>
            <w:shd w:val="clear" w:color="auto" w:fill="FFFFFF"/>
            <w:noWrap/>
            <w:vAlign w:val="center"/>
          </w:tcPr>
          <w:p w14:paraId="264D195E" w14:textId="7BF6FDF6" w:rsidR="007242EB" w:rsidRPr="00640AA8" w:rsidRDefault="007242EB" w:rsidP="00FE4DB7">
            <w:pPr>
              <w:adjustRightInd w:val="0"/>
              <w:snapToGrid w:val="0"/>
              <w:spacing w:line="240" w:lineRule="auto"/>
              <w:jc w:val="center"/>
              <w:rPr>
                <w:rFonts w:ascii="Palatino Linotype" w:hAnsi="Palatino Linotype"/>
                <w:color w:val="auto"/>
                <w:sz w:val="16"/>
                <w:szCs w:val="16"/>
              </w:rPr>
            </w:pPr>
          </w:p>
        </w:tc>
        <w:tc>
          <w:tcPr>
            <w:tcW w:w="1041" w:type="pct"/>
            <w:shd w:val="clear" w:color="auto" w:fill="FFFFFF"/>
            <w:noWrap/>
            <w:vAlign w:val="center"/>
          </w:tcPr>
          <w:p w14:paraId="76D2FDCB" w14:textId="762EC98C" w:rsidR="007242EB" w:rsidRPr="00640AA8" w:rsidRDefault="007242EB" w:rsidP="00FE4DB7">
            <w:pPr>
              <w:adjustRightInd w:val="0"/>
              <w:snapToGrid w:val="0"/>
              <w:spacing w:line="240" w:lineRule="auto"/>
              <w:jc w:val="center"/>
              <w:rPr>
                <w:rFonts w:ascii="Palatino Linotype" w:hAnsi="Palatino Linotype"/>
                <w:color w:val="auto"/>
                <w:sz w:val="16"/>
                <w:szCs w:val="16"/>
              </w:rPr>
            </w:pPr>
          </w:p>
        </w:tc>
        <w:tc>
          <w:tcPr>
            <w:tcW w:w="480" w:type="pct"/>
            <w:shd w:val="clear" w:color="auto" w:fill="FFFFFF"/>
            <w:noWrap/>
            <w:vAlign w:val="center"/>
            <w:hideMark/>
          </w:tcPr>
          <w:p w14:paraId="175F3C00" w14:textId="77777777" w:rsidR="007242EB" w:rsidRPr="00640AA8" w:rsidRDefault="007242EB" w:rsidP="00FE4DB7">
            <w:pPr>
              <w:adjustRightInd w:val="0"/>
              <w:snapToGrid w:val="0"/>
              <w:spacing w:line="240" w:lineRule="auto"/>
              <w:jc w:val="center"/>
              <w:rPr>
                <w:rFonts w:ascii="Palatino Linotype" w:hAnsi="Palatino Linotype"/>
                <w:b/>
                <w:bCs/>
                <w:color w:val="auto"/>
                <w:sz w:val="16"/>
                <w:szCs w:val="16"/>
              </w:rPr>
            </w:pPr>
            <w:r w:rsidRPr="00640AA8">
              <w:rPr>
                <w:rFonts w:ascii="Palatino Linotype" w:hAnsi="Palatino Linotype"/>
                <w:b/>
                <w:bCs/>
                <w:color w:val="auto"/>
                <w:sz w:val="16"/>
                <w:szCs w:val="16"/>
              </w:rPr>
              <w:t>0.019</w:t>
            </w:r>
          </w:p>
        </w:tc>
      </w:tr>
      <w:tr w:rsidR="009D6A45" w:rsidRPr="00640AA8" w14:paraId="673EB341" w14:textId="77777777" w:rsidTr="00640AA8">
        <w:trPr>
          <w:jc w:val="center"/>
        </w:trPr>
        <w:tc>
          <w:tcPr>
            <w:tcW w:w="2091" w:type="pct"/>
            <w:shd w:val="clear" w:color="auto" w:fill="FFFFFF"/>
            <w:noWrap/>
            <w:vAlign w:val="center"/>
            <w:hideMark/>
          </w:tcPr>
          <w:p w14:paraId="4020A8D1" w14:textId="77777777"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Yes</w:t>
            </w:r>
          </w:p>
        </w:tc>
        <w:tc>
          <w:tcPr>
            <w:tcW w:w="532" w:type="pct"/>
            <w:shd w:val="clear" w:color="auto" w:fill="FFFFFF"/>
            <w:noWrap/>
            <w:vAlign w:val="center"/>
            <w:hideMark/>
          </w:tcPr>
          <w:p w14:paraId="3FF93C9B" w14:textId="77777777"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156 (13.3)</w:t>
            </w:r>
          </w:p>
        </w:tc>
        <w:tc>
          <w:tcPr>
            <w:tcW w:w="856" w:type="pct"/>
            <w:shd w:val="clear" w:color="auto" w:fill="FFFFFF"/>
            <w:noWrap/>
            <w:vAlign w:val="center"/>
            <w:hideMark/>
          </w:tcPr>
          <w:p w14:paraId="5796E89D" w14:textId="77777777"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127 (12.4)</w:t>
            </w:r>
          </w:p>
        </w:tc>
        <w:tc>
          <w:tcPr>
            <w:tcW w:w="1041" w:type="pct"/>
            <w:shd w:val="clear" w:color="auto" w:fill="FFFFFF"/>
            <w:noWrap/>
            <w:vAlign w:val="center"/>
            <w:hideMark/>
          </w:tcPr>
          <w:p w14:paraId="5366B4DD" w14:textId="77777777"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29 (19.9)</w:t>
            </w:r>
          </w:p>
        </w:tc>
        <w:tc>
          <w:tcPr>
            <w:tcW w:w="480" w:type="pct"/>
            <w:vMerge w:val="restart"/>
            <w:shd w:val="clear" w:color="auto" w:fill="FFFFFF"/>
            <w:noWrap/>
            <w:vAlign w:val="center"/>
            <w:hideMark/>
          </w:tcPr>
          <w:p w14:paraId="2635565B" w14:textId="33EC2EC4" w:rsidR="00142D09" w:rsidRPr="00640AA8" w:rsidRDefault="00142D09" w:rsidP="00FE4DB7">
            <w:pPr>
              <w:adjustRightInd w:val="0"/>
              <w:snapToGrid w:val="0"/>
              <w:spacing w:line="240" w:lineRule="auto"/>
              <w:jc w:val="center"/>
              <w:rPr>
                <w:rFonts w:ascii="Palatino Linotype" w:hAnsi="Palatino Linotype"/>
                <w:color w:val="auto"/>
                <w:sz w:val="16"/>
                <w:szCs w:val="16"/>
              </w:rPr>
            </w:pPr>
          </w:p>
        </w:tc>
      </w:tr>
      <w:tr w:rsidR="009D6A45" w:rsidRPr="00640AA8" w14:paraId="1353E928" w14:textId="77777777" w:rsidTr="00640AA8">
        <w:trPr>
          <w:jc w:val="center"/>
        </w:trPr>
        <w:tc>
          <w:tcPr>
            <w:tcW w:w="2091" w:type="pct"/>
            <w:tcBorders>
              <w:top w:val="nil"/>
              <w:left w:val="nil"/>
              <w:bottom w:val="single" w:sz="4" w:space="0" w:color="auto"/>
              <w:right w:val="nil"/>
            </w:tcBorders>
            <w:shd w:val="clear" w:color="auto" w:fill="FFFFFF"/>
            <w:noWrap/>
            <w:vAlign w:val="center"/>
            <w:hideMark/>
          </w:tcPr>
          <w:p w14:paraId="6B6FA86A" w14:textId="77777777"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No</w:t>
            </w:r>
          </w:p>
        </w:tc>
        <w:tc>
          <w:tcPr>
            <w:tcW w:w="532" w:type="pct"/>
            <w:tcBorders>
              <w:top w:val="nil"/>
              <w:left w:val="nil"/>
              <w:bottom w:val="single" w:sz="4" w:space="0" w:color="auto"/>
              <w:right w:val="nil"/>
            </w:tcBorders>
            <w:shd w:val="clear" w:color="auto" w:fill="FFFFFF"/>
            <w:noWrap/>
            <w:vAlign w:val="center"/>
            <w:hideMark/>
          </w:tcPr>
          <w:p w14:paraId="359CE89D" w14:textId="77777777"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1014 (86.7)</w:t>
            </w:r>
          </w:p>
        </w:tc>
        <w:tc>
          <w:tcPr>
            <w:tcW w:w="856" w:type="pct"/>
            <w:tcBorders>
              <w:top w:val="nil"/>
              <w:left w:val="nil"/>
              <w:bottom w:val="single" w:sz="4" w:space="0" w:color="auto"/>
              <w:right w:val="nil"/>
            </w:tcBorders>
            <w:shd w:val="clear" w:color="auto" w:fill="FFFFFF"/>
            <w:noWrap/>
            <w:vAlign w:val="center"/>
            <w:hideMark/>
          </w:tcPr>
          <w:p w14:paraId="5F949D7C" w14:textId="77777777"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897 (87.6)</w:t>
            </w:r>
          </w:p>
        </w:tc>
        <w:tc>
          <w:tcPr>
            <w:tcW w:w="1041" w:type="pct"/>
            <w:tcBorders>
              <w:top w:val="nil"/>
              <w:left w:val="nil"/>
              <w:bottom w:val="single" w:sz="4" w:space="0" w:color="auto"/>
            </w:tcBorders>
            <w:shd w:val="clear" w:color="auto" w:fill="FFFFFF"/>
            <w:noWrap/>
            <w:vAlign w:val="center"/>
            <w:hideMark/>
          </w:tcPr>
          <w:p w14:paraId="636A7EB4" w14:textId="77777777"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117 (80.1)</w:t>
            </w:r>
          </w:p>
        </w:tc>
        <w:tc>
          <w:tcPr>
            <w:tcW w:w="480" w:type="pct"/>
            <w:vMerge/>
            <w:tcBorders>
              <w:bottom w:val="single" w:sz="4" w:space="0" w:color="auto"/>
            </w:tcBorders>
            <w:shd w:val="clear" w:color="auto" w:fill="FFFFFF"/>
            <w:noWrap/>
            <w:vAlign w:val="center"/>
            <w:hideMark/>
          </w:tcPr>
          <w:p w14:paraId="078BA55F" w14:textId="1B825E00" w:rsidR="00142D09" w:rsidRPr="00640AA8" w:rsidRDefault="00142D09" w:rsidP="00FE4DB7">
            <w:pPr>
              <w:adjustRightInd w:val="0"/>
              <w:snapToGrid w:val="0"/>
              <w:spacing w:line="240" w:lineRule="auto"/>
              <w:jc w:val="center"/>
              <w:rPr>
                <w:rFonts w:ascii="Palatino Linotype" w:hAnsi="Palatino Linotype"/>
                <w:color w:val="auto"/>
                <w:sz w:val="16"/>
                <w:szCs w:val="16"/>
              </w:rPr>
            </w:pPr>
          </w:p>
        </w:tc>
      </w:tr>
      <w:tr w:rsidR="00142D09" w:rsidRPr="00640AA8" w14:paraId="1D1861CA" w14:textId="77777777" w:rsidTr="00640AA8">
        <w:trPr>
          <w:jc w:val="center"/>
        </w:trPr>
        <w:tc>
          <w:tcPr>
            <w:tcW w:w="2091" w:type="pct"/>
            <w:shd w:val="clear" w:color="auto" w:fill="FFFFFF"/>
            <w:noWrap/>
            <w:vAlign w:val="center"/>
            <w:hideMark/>
          </w:tcPr>
          <w:p w14:paraId="15246D7D" w14:textId="2F75AA23" w:rsidR="00142D09" w:rsidRPr="00640AA8" w:rsidRDefault="00142D09" w:rsidP="00FE4DB7">
            <w:pPr>
              <w:adjustRightInd w:val="0"/>
              <w:snapToGrid w:val="0"/>
              <w:spacing w:line="240" w:lineRule="auto"/>
              <w:jc w:val="center"/>
              <w:rPr>
                <w:rFonts w:ascii="Palatino Linotype" w:hAnsi="Palatino Linotype"/>
                <w:b/>
                <w:bCs/>
                <w:color w:val="auto"/>
                <w:sz w:val="16"/>
                <w:szCs w:val="16"/>
              </w:rPr>
            </w:pPr>
            <w:r w:rsidRPr="00640AA8">
              <w:rPr>
                <w:rFonts w:ascii="Palatino Linotype" w:hAnsi="Palatino Linotype"/>
                <w:b/>
                <w:bCs/>
                <w:color w:val="auto"/>
                <w:sz w:val="16"/>
                <w:szCs w:val="16"/>
              </w:rPr>
              <w:t xml:space="preserve">Smoking during pregnancy </w:t>
            </w:r>
            <w:r w:rsidRPr="00640AA8">
              <w:rPr>
                <w:rFonts w:ascii="Palatino Linotype" w:hAnsi="Palatino Linotype"/>
                <w:b/>
                <w:bCs/>
                <w:color w:val="auto"/>
                <w:sz w:val="16"/>
                <w:szCs w:val="16"/>
                <w:vertAlign w:val="superscript"/>
              </w:rPr>
              <w:t>2</w:t>
            </w:r>
          </w:p>
        </w:tc>
        <w:tc>
          <w:tcPr>
            <w:tcW w:w="2429" w:type="pct"/>
            <w:gridSpan w:val="3"/>
            <w:shd w:val="clear" w:color="auto" w:fill="FFFFFF"/>
            <w:noWrap/>
            <w:vAlign w:val="center"/>
          </w:tcPr>
          <w:p w14:paraId="4FF07B78" w14:textId="192D4000" w:rsidR="00142D09" w:rsidRPr="00640AA8" w:rsidRDefault="00142D09" w:rsidP="00FE4DB7">
            <w:pPr>
              <w:adjustRightInd w:val="0"/>
              <w:snapToGrid w:val="0"/>
              <w:spacing w:line="240" w:lineRule="auto"/>
              <w:jc w:val="center"/>
              <w:rPr>
                <w:rFonts w:ascii="Palatino Linotype" w:hAnsi="Palatino Linotype"/>
                <w:color w:val="auto"/>
                <w:sz w:val="16"/>
                <w:szCs w:val="16"/>
              </w:rPr>
            </w:pPr>
          </w:p>
        </w:tc>
        <w:tc>
          <w:tcPr>
            <w:tcW w:w="480" w:type="pct"/>
            <w:shd w:val="clear" w:color="auto" w:fill="FFFFFF"/>
            <w:noWrap/>
            <w:vAlign w:val="center"/>
            <w:hideMark/>
          </w:tcPr>
          <w:p w14:paraId="57BD8807" w14:textId="77777777"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0.285</w:t>
            </w:r>
          </w:p>
        </w:tc>
      </w:tr>
      <w:tr w:rsidR="009D6A45" w:rsidRPr="00640AA8" w14:paraId="19D07790" w14:textId="77777777" w:rsidTr="00640AA8">
        <w:trPr>
          <w:jc w:val="center"/>
        </w:trPr>
        <w:tc>
          <w:tcPr>
            <w:tcW w:w="2091" w:type="pct"/>
            <w:shd w:val="clear" w:color="auto" w:fill="FFFFFF"/>
            <w:noWrap/>
            <w:vAlign w:val="center"/>
            <w:hideMark/>
          </w:tcPr>
          <w:p w14:paraId="4B6C55C7" w14:textId="77777777"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Yes</w:t>
            </w:r>
          </w:p>
        </w:tc>
        <w:tc>
          <w:tcPr>
            <w:tcW w:w="532" w:type="pct"/>
            <w:shd w:val="clear" w:color="auto" w:fill="FFFFFF"/>
            <w:noWrap/>
            <w:vAlign w:val="center"/>
            <w:hideMark/>
          </w:tcPr>
          <w:p w14:paraId="16239381" w14:textId="77777777"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29 (1.7)</w:t>
            </w:r>
          </w:p>
        </w:tc>
        <w:tc>
          <w:tcPr>
            <w:tcW w:w="856" w:type="pct"/>
            <w:shd w:val="clear" w:color="auto" w:fill="FFFFFF"/>
            <w:noWrap/>
            <w:vAlign w:val="center"/>
            <w:hideMark/>
          </w:tcPr>
          <w:p w14:paraId="6DDE7807" w14:textId="77777777"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23 (2.2)</w:t>
            </w:r>
          </w:p>
        </w:tc>
        <w:tc>
          <w:tcPr>
            <w:tcW w:w="1041" w:type="pct"/>
            <w:shd w:val="clear" w:color="auto" w:fill="FFFFFF"/>
            <w:noWrap/>
            <w:vAlign w:val="center"/>
            <w:hideMark/>
          </w:tcPr>
          <w:p w14:paraId="0AAF9F47" w14:textId="77777777"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6 (4.1)</w:t>
            </w:r>
          </w:p>
        </w:tc>
        <w:tc>
          <w:tcPr>
            <w:tcW w:w="480" w:type="pct"/>
            <w:vMerge w:val="restart"/>
            <w:shd w:val="clear" w:color="auto" w:fill="FFFFFF"/>
            <w:noWrap/>
            <w:vAlign w:val="center"/>
            <w:hideMark/>
          </w:tcPr>
          <w:p w14:paraId="0E7E2EA7" w14:textId="5FC37408" w:rsidR="00142D09" w:rsidRPr="00640AA8" w:rsidRDefault="00142D09" w:rsidP="00FE4DB7">
            <w:pPr>
              <w:adjustRightInd w:val="0"/>
              <w:snapToGrid w:val="0"/>
              <w:spacing w:line="240" w:lineRule="auto"/>
              <w:jc w:val="center"/>
              <w:rPr>
                <w:rFonts w:ascii="Palatino Linotype" w:hAnsi="Palatino Linotype"/>
                <w:color w:val="auto"/>
                <w:sz w:val="16"/>
                <w:szCs w:val="16"/>
              </w:rPr>
            </w:pPr>
          </w:p>
        </w:tc>
      </w:tr>
      <w:tr w:rsidR="009D6A45" w:rsidRPr="00640AA8" w14:paraId="648B5B26" w14:textId="77777777" w:rsidTr="00640AA8">
        <w:trPr>
          <w:jc w:val="center"/>
        </w:trPr>
        <w:tc>
          <w:tcPr>
            <w:tcW w:w="2091" w:type="pct"/>
            <w:tcBorders>
              <w:top w:val="nil"/>
              <w:left w:val="nil"/>
              <w:bottom w:val="single" w:sz="8" w:space="0" w:color="auto"/>
              <w:right w:val="nil"/>
            </w:tcBorders>
            <w:shd w:val="clear" w:color="auto" w:fill="FFFFFF"/>
            <w:noWrap/>
            <w:vAlign w:val="center"/>
            <w:hideMark/>
          </w:tcPr>
          <w:p w14:paraId="6D87A04F" w14:textId="77777777"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No</w:t>
            </w:r>
          </w:p>
        </w:tc>
        <w:tc>
          <w:tcPr>
            <w:tcW w:w="532" w:type="pct"/>
            <w:tcBorders>
              <w:top w:val="nil"/>
              <w:left w:val="nil"/>
              <w:bottom w:val="single" w:sz="8" w:space="0" w:color="auto"/>
              <w:right w:val="nil"/>
            </w:tcBorders>
            <w:shd w:val="clear" w:color="auto" w:fill="FFFFFF"/>
            <w:noWrap/>
            <w:vAlign w:val="center"/>
            <w:hideMark/>
          </w:tcPr>
          <w:p w14:paraId="071DDE1B" w14:textId="77777777"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1140 (97.5)</w:t>
            </w:r>
          </w:p>
        </w:tc>
        <w:tc>
          <w:tcPr>
            <w:tcW w:w="856" w:type="pct"/>
            <w:tcBorders>
              <w:top w:val="nil"/>
              <w:left w:val="nil"/>
              <w:bottom w:val="single" w:sz="8" w:space="0" w:color="auto"/>
              <w:right w:val="nil"/>
            </w:tcBorders>
            <w:shd w:val="clear" w:color="auto" w:fill="FFFFFF"/>
            <w:noWrap/>
            <w:vAlign w:val="center"/>
            <w:hideMark/>
          </w:tcPr>
          <w:p w14:paraId="1FDE5866" w14:textId="77777777"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1000 (97.8)</w:t>
            </w:r>
          </w:p>
        </w:tc>
        <w:tc>
          <w:tcPr>
            <w:tcW w:w="1041" w:type="pct"/>
            <w:tcBorders>
              <w:top w:val="nil"/>
              <w:left w:val="nil"/>
              <w:bottom w:val="single" w:sz="8" w:space="0" w:color="auto"/>
            </w:tcBorders>
            <w:shd w:val="clear" w:color="auto" w:fill="FFFFFF"/>
            <w:noWrap/>
            <w:vAlign w:val="center"/>
            <w:hideMark/>
          </w:tcPr>
          <w:p w14:paraId="2FF20970" w14:textId="77777777" w:rsidR="00142D09" w:rsidRPr="00640AA8" w:rsidRDefault="00142D09" w:rsidP="00FE4DB7">
            <w:pPr>
              <w:adjustRightInd w:val="0"/>
              <w:snapToGrid w:val="0"/>
              <w:spacing w:line="240" w:lineRule="auto"/>
              <w:jc w:val="center"/>
              <w:rPr>
                <w:rFonts w:ascii="Palatino Linotype" w:hAnsi="Palatino Linotype"/>
                <w:color w:val="auto"/>
                <w:sz w:val="16"/>
                <w:szCs w:val="16"/>
              </w:rPr>
            </w:pPr>
            <w:r w:rsidRPr="00640AA8">
              <w:rPr>
                <w:rFonts w:ascii="Palatino Linotype" w:hAnsi="Palatino Linotype"/>
                <w:color w:val="auto"/>
                <w:sz w:val="16"/>
                <w:szCs w:val="16"/>
              </w:rPr>
              <w:t>140 (95.9)</w:t>
            </w:r>
          </w:p>
        </w:tc>
        <w:tc>
          <w:tcPr>
            <w:tcW w:w="480" w:type="pct"/>
            <w:vMerge/>
            <w:tcBorders>
              <w:bottom w:val="single" w:sz="8" w:space="0" w:color="auto"/>
            </w:tcBorders>
            <w:shd w:val="clear" w:color="auto" w:fill="FFFFFF"/>
            <w:noWrap/>
            <w:vAlign w:val="center"/>
            <w:hideMark/>
          </w:tcPr>
          <w:p w14:paraId="7360D2FE" w14:textId="161B653F" w:rsidR="00142D09" w:rsidRPr="00640AA8" w:rsidRDefault="00142D09" w:rsidP="00FE4DB7">
            <w:pPr>
              <w:adjustRightInd w:val="0"/>
              <w:snapToGrid w:val="0"/>
              <w:spacing w:line="240" w:lineRule="auto"/>
              <w:jc w:val="center"/>
              <w:rPr>
                <w:rFonts w:ascii="Palatino Linotype" w:hAnsi="Palatino Linotype"/>
                <w:color w:val="auto"/>
                <w:sz w:val="16"/>
                <w:szCs w:val="16"/>
              </w:rPr>
            </w:pPr>
          </w:p>
        </w:tc>
      </w:tr>
    </w:tbl>
    <w:p w14:paraId="6913E5D3" w14:textId="42F83FB6" w:rsidR="000F0E36" w:rsidRPr="000F0E36" w:rsidRDefault="000F0E36" w:rsidP="000F0E36">
      <w:pPr>
        <w:pStyle w:val="MDPI22heading2"/>
        <w:kinsoku/>
        <w:overflowPunct/>
        <w:autoSpaceDE/>
        <w:autoSpaceDN/>
        <w:spacing w:before="0" w:after="240"/>
        <w:ind w:left="425" w:right="425"/>
        <w:jc w:val="both"/>
        <w:outlineLvl w:val="9"/>
        <w:rPr>
          <w:i w:val="0"/>
          <w:sz w:val="18"/>
        </w:rPr>
      </w:pPr>
      <w:r w:rsidRPr="000F0E36">
        <w:rPr>
          <w:i w:val="0"/>
          <w:color w:val="auto"/>
          <w:sz w:val="18"/>
          <w:szCs w:val="18"/>
          <w:vertAlign w:val="superscript"/>
        </w:rPr>
        <w:t>1</w:t>
      </w:r>
      <w:r w:rsidRPr="000F0E36">
        <w:rPr>
          <w:i w:val="0"/>
          <w:color w:val="auto"/>
          <w:sz w:val="18"/>
          <w:szCs w:val="18"/>
        </w:rPr>
        <w:t xml:space="preserve"> reflects count </w:t>
      </w:r>
      <w:r w:rsidRPr="0099443C">
        <w:rPr>
          <w:i w:val="0"/>
          <w:color w:val="auto"/>
          <w:sz w:val="18"/>
          <w:szCs w:val="18"/>
        </w:rPr>
        <w:t xml:space="preserve">and percentages within column (in brackets) of categorical variables </w:t>
      </w:r>
      <w:r w:rsidRPr="0099443C">
        <w:rPr>
          <w:i w:val="0"/>
          <w:color w:val="auto"/>
          <w:sz w:val="18"/>
          <w:szCs w:val="18"/>
          <w:vertAlign w:val="superscript"/>
        </w:rPr>
        <w:t>2</w:t>
      </w:r>
      <w:r w:rsidRPr="0099443C">
        <w:rPr>
          <w:i w:val="0"/>
          <w:color w:val="auto"/>
          <w:sz w:val="18"/>
          <w:szCs w:val="18"/>
        </w:rPr>
        <w:t xml:space="preserve"> Number of missing data for total study population: </w:t>
      </w:r>
      <w:r w:rsidRPr="008C197E">
        <w:rPr>
          <w:i w:val="0"/>
          <w:color w:val="auto"/>
          <w:sz w:val="18"/>
          <w:szCs w:val="18"/>
        </w:rPr>
        <w:t>Infant</w:t>
      </w:r>
      <w:r w:rsidRPr="002E22C3">
        <w:rPr>
          <w:i w:val="0"/>
          <w:color w:val="auto"/>
          <w:sz w:val="18"/>
          <w:szCs w:val="18"/>
        </w:rPr>
        <w:t xml:space="preserve"> (</w:t>
      </w:r>
      <w:r w:rsidR="002E22C3" w:rsidRPr="008C197E">
        <w:rPr>
          <w:i w:val="0"/>
          <w:color w:val="auto"/>
          <w:sz w:val="18"/>
          <w:szCs w:val="18"/>
        </w:rPr>
        <w:t>n</w:t>
      </w:r>
      <w:r w:rsidR="002E22C3" w:rsidRPr="002E22C3">
        <w:rPr>
          <w:i w:val="0"/>
          <w:color w:val="auto"/>
          <w:sz w:val="18"/>
          <w:szCs w:val="18"/>
        </w:rPr>
        <w:t xml:space="preserve"> </w:t>
      </w:r>
      <w:r w:rsidRPr="002E22C3">
        <w:rPr>
          <w:i w:val="0"/>
          <w:color w:val="auto"/>
          <w:sz w:val="18"/>
          <w:szCs w:val="18"/>
        </w:rPr>
        <w:t>= 1176)</w:t>
      </w:r>
      <w:r w:rsidRPr="0099443C">
        <w:rPr>
          <w:i w:val="0"/>
          <w:color w:val="auto"/>
          <w:sz w:val="18"/>
          <w:szCs w:val="18"/>
        </w:rPr>
        <w:t xml:space="preserve">: n = 6 for ‘Gender’, n = 6 for ‘Gestational Age’, n = 14 for ‘Parity’, n = 109 for ‘Duration of any breastfeeding’, n = 336 for ‘Age of introduction of first foods’, there were no information on the age of introduction of first foods for those who did not provide any dietary data; </w:t>
      </w:r>
      <w:r w:rsidRPr="008C197E">
        <w:rPr>
          <w:i w:val="0"/>
          <w:color w:val="auto"/>
          <w:sz w:val="18"/>
          <w:szCs w:val="18"/>
        </w:rPr>
        <w:t>Maternal</w:t>
      </w:r>
      <w:r w:rsidRPr="0099443C">
        <w:rPr>
          <w:i w:val="0"/>
          <w:color w:val="auto"/>
          <w:sz w:val="18"/>
          <w:szCs w:val="18"/>
        </w:rPr>
        <w:t xml:space="preserve"> </w:t>
      </w:r>
      <w:r w:rsidRPr="002E22C3">
        <w:rPr>
          <w:i w:val="0"/>
          <w:color w:val="auto"/>
          <w:sz w:val="18"/>
          <w:szCs w:val="18"/>
        </w:rPr>
        <w:t>(</w:t>
      </w:r>
      <w:r w:rsidR="002E22C3" w:rsidRPr="008C197E">
        <w:rPr>
          <w:i w:val="0"/>
          <w:color w:val="auto"/>
          <w:sz w:val="18"/>
          <w:szCs w:val="18"/>
        </w:rPr>
        <w:t xml:space="preserve">n </w:t>
      </w:r>
      <w:r w:rsidRPr="002E22C3">
        <w:rPr>
          <w:i w:val="0"/>
          <w:color w:val="auto"/>
          <w:sz w:val="18"/>
          <w:szCs w:val="18"/>
        </w:rPr>
        <w:t>=</w:t>
      </w:r>
      <w:r w:rsidR="000B427B" w:rsidRPr="002E22C3">
        <w:rPr>
          <w:i w:val="0"/>
          <w:color w:val="auto"/>
          <w:sz w:val="18"/>
          <w:szCs w:val="18"/>
        </w:rPr>
        <w:t xml:space="preserve"> </w:t>
      </w:r>
      <w:r w:rsidRPr="002E22C3">
        <w:rPr>
          <w:i w:val="0"/>
          <w:color w:val="auto"/>
          <w:sz w:val="18"/>
          <w:szCs w:val="18"/>
        </w:rPr>
        <w:t>1237)</w:t>
      </w:r>
      <w:r w:rsidRPr="0099443C">
        <w:rPr>
          <w:i w:val="0"/>
          <w:color w:val="auto"/>
          <w:sz w:val="18"/>
          <w:szCs w:val="18"/>
        </w:rPr>
        <w:t>: n = 17 for ‘Education’, n = 27 for ‘Employment status’, n = 85 for ‘Monthly household income; ≤$1999 refers to low income range; $2000–5999 refers to median income range; ≥$6000,refers to high income range, n = 193 for ‘BMI at 26 weeks of gestation’, n = 69 for ‘Alcohol consumption before pregnancy’, n = 89 for ‘Alcohol</w:t>
      </w:r>
      <w:r w:rsidRPr="000F0E36">
        <w:rPr>
          <w:i w:val="0"/>
          <w:color w:val="auto"/>
          <w:sz w:val="18"/>
          <w:szCs w:val="18"/>
        </w:rPr>
        <w:t xml:space="preserve"> consumption during pregnancy’, n = 67 for ‘Smoking before pregnancy’, and n= 68 for ‘Smoking during pregnancy’. *</w:t>
      </w:r>
      <w:r w:rsidRPr="000F0E36">
        <w:rPr>
          <w:i w:val="0"/>
          <w:iCs/>
          <w:color w:val="auto"/>
          <w:sz w:val="18"/>
          <w:szCs w:val="18"/>
        </w:rPr>
        <w:t xml:space="preserve"> </w:t>
      </w:r>
      <w:r w:rsidRPr="000F0E36">
        <w:rPr>
          <w:iCs/>
          <w:color w:val="auto"/>
          <w:sz w:val="18"/>
          <w:szCs w:val="18"/>
        </w:rPr>
        <w:t>p</w:t>
      </w:r>
      <w:r w:rsidRPr="000F0E36">
        <w:rPr>
          <w:i w:val="0"/>
          <w:color w:val="auto"/>
          <w:sz w:val="18"/>
          <w:szCs w:val="18"/>
        </w:rPr>
        <w:t xml:space="preserve"> values were obtained from </w:t>
      </w:r>
      <w:r w:rsidR="00DE5100">
        <w:rPr>
          <w:i w:val="0"/>
          <w:color w:val="auto"/>
          <w:sz w:val="18"/>
          <w:szCs w:val="18"/>
        </w:rPr>
        <w:t>c</w:t>
      </w:r>
      <w:r w:rsidRPr="000F0E36">
        <w:rPr>
          <w:i w:val="0"/>
          <w:color w:val="auto"/>
          <w:sz w:val="18"/>
          <w:szCs w:val="18"/>
        </w:rPr>
        <w:t xml:space="preserve">hi-squared tests for categorical variables. Statistically significant </w:t>
      </w:r>
      <w:r w:rsidRPr="00D874C3">
        <w:rPr>
          <w:iCs/>
          <w:color w:val="auto"/>
          <w:sz w:val="18"/>
          <w:szCs w:val="18"/>
        </w:rPr>
        <w:t>p</w:t>
      </w:r>
      <w:r w:rsidRPr="000F0E36">
        <w:rPr>
          <w:i w:val="0"/>
          <w:color w:val="auto"/>
          <w:sz w:val="18"/>
          <w:szCs w:val="18"/>
        </w:rPr>
        <w:t xml:space="preserve"> values &lt;0.05 were highlighted in bold.</w:t>
      </w:r>
    </w:p>
    <w:p w14:paraId="73CC3C40" w14:textId="4F45922F" w:rsidR="00FA3E28" w:rsidRPr="00662262" w:rsidRDefault="00FA3E28" w:rsidP="00662262">
      <w:pPr>
        <w:pStyle w:val="MDPI22heading2"/>
      </w:pPr>
      <w:r w:rsidRPr="00662262">
        <w:t xml:space="preserve">3.2. Energy and </w:t>
      </w:r>
      <w:r w:rsidR="00912B82" w:rsidRPr="00662262">
        <w:t xml:space="preserve">Macronutrient Intakes </w:t>
      </w:r>
      <w:r w:rsidRPr="00662262">
        <w:t xml:space="preserve">of </w:t>
      </w:r>
      <w:r w:rsidR="00912B82" w:rsidRPr="00662262">
        <w:t xml:space="preserve">Infants </w:t>
      </w:r>
      <w:r w:rsidRPr="00662262">
        <w:t xml:space="preserve">by </w:t>
      </w:r>
      <w:r w:rsidR="00912B82" w:rsidRPr="00662262">
        <w:t>Milk</w:t>
      </w:r>
      <w:r w:rsidR="00DE5100">
        <w:t>-</w:t>
      </w:r>
      <w:r w:rsidR="00912B82" w:rsidRPr="00662262">
        <w:t>Feed Type</w:t>
      </w:r>
    </w:p>
    <w:p w14:paraId="2CE74D85" w14:textId="52A8B31D" w:rsidR="00BB5588" w:rsidRPr="00662262" w:rsidRDefault="00BB5588" w:rsidP="00662262">
      <w:pPr>
        <w:pStyle w:val="MDPI31text"/>
      </w:pPr>
      <w:r w:rsidRPr="00662262">
        <w:t xml:space="preserve">The majority of the cohort was fed with </w:t>
      </w:r>
      <w:r w:rsidR="00855454" w:rsidRPr="00662262">
        <w:t>formula milk (</w:t>
      </w:r>
      <w:r w:rsidRPr="00662262">
        <w:t>without breastmilk</w:t>
      </w:r>
      <w:r w:rsidR="00855454" w:rsidRPr="00662262">
        <w:t>)</w:t>
      </w:r>
      <w:r w:rsidRPr="00662262">
        <w:t xml:space="preserve"> at 6, 9 and 12 months of age </w:t>
      </w:r>
      <w:r w:rsidR="00855454" w:rsidRPr="00662262">
        <w:t>(63.2%, 72.8%, and 79.9%</w:t>
      </w:r>
      <w:r w:rsidR="00DE5100">
        <w:t>,</w:t>
      </w:r>
      <w:r w:rsidR="00855454" w:rsidRPr="00662262">
        <w:t xml:space="preserve"> </w:t>
      </w:r>
      <w:r w:rsidRPr="00662262">
        <w:t>respectively</w:t>
      </w:r>
      <w:r w:rsidR="00855454" w:rsidRPr="00662262">
        <w:t>)</w:t>
      </w:r>
      <w:r w:rsidRPr="00662262">
        <w:t>. The prevalence of infants fed with breastmilk</w:t>
      </w:r>
      <w:r w:rsidR="00855454" w:rsidRPr="00662262">
        <w:t xml:space="preserve"> (</w:t>
      </w:r>
      <w:r w:rsidR="000D7081" w:rsidRPr="00662262">
        <w:t>without formula</w:t>
      </w:r>
      <w:r w:rsidR="00855454" w:rsidRPr="00662262">
        <w:t>)</w:t>
      </w:r>
      <w:r w:rsidRPr="00662262">
        <w:t xml:space="preserve"> in the entire cohort, at the respective time points, was low from 6 to 12 months of age </w:t>
      </w:r>
      <w:r w:rsidR="008462F0" w:rsidRPr="00912B82">
        <w:t>(online</w:t>
      </w:r>
      <w:r w:rsidR="008462F0" w:rsidRPr="00662262">
        <w:rPr>
          <w:b/>
        </w:rPr>
        <w:t xml:space="preserve"> </w:t>
      </w:r>
      <w:r w:rsidR="008462F0" w:rsidRPr="005A0A8F">
        <w:t>Supplementary Figure S2</w:t>
      </w:r>
      <w:r w:rsidRPr="005A0A8F">
        <w:t>)</w:t>
      </w:r>
      <w:r w:rsidRPr="00662262">
        <w:t>.</w:t>
      </w:r>
    </w:p>
    <w:p w14:paraId="4DD29D8F" w14:textId="48B0F791" w:rsidR="00EC0286" w:rsidRPr="00662262" w:rsidRDefault="00FA3E28" w:rsidP="00662262">
      <w:pPr>
        <w:pStyle w:val="MDPI31text"/>
      </w:pPr>
      <w:r w:rsidRPr="00662262">
        <w:t xml:space="preserve">The mean energy intakes of all infants at 6, 9 and 12 months were 640, 675 and 761 kcal, respectively </w:t>
      </w:r>
      <w:r w:rsidRPr="005A0A8F">
        <w:t>(</w:t>
      </w:r>
      <w:r w:rsidRPr="008C197E">
        <w:t>Table 2</w:t>
      </w:r>
      <w:r w:rsidRPr="00F64B92">
        <w:t>).</w:t>
      </w:r>
      <w:r w:rsidRPr="00662262">
        <w:t xml:space="preserve"> </w:t>
      </w:r>
      <w:r w:rsidR="00BB49FA" w:rsidRPr="00662262">
        <w:t>The only significant difference in mean energy intakes, among milk feed types, was observed at 9 months of age (</w:t>
      </w:r>
      <w:r w:rsidR="00BB49FA" w:rsidRPr="00F5384F">
        <w:rPr>
          <w:i/>
        </w:rPr>
        <w:t>p</w:t>
      </w:r>
      <w:r w:rsidR="00BB49FA" w:rsidRPr="00662262">
        <w:t xml:space="preserve"> &lt; 0.001) </w:t>
      </w:r>
      <w:r w:rsidR="00BB49FA" w:rsidRPr="005A0A8F">
        <w:t>(</w:t>
      </w:r>
      <w:r w:rsidR="00BB49FA" w:rsidRPr="00A503A4">
        <w:t>Table 2</w:t>
      </w:r>
      <w:r w:rsidR="00BB49FA" w:rsidRPr="005A0A8F">
        <w:t>)</w:t>
      </w:r>
      <w:r w:rsidR="00BB49FA" w:rsidRPr="00662262">
        <w:t xml:space="preserve">. FF and MF infants had higher energy intakes as compared to BF infants. </w:t>
      </w:r>
      <w:r w:rsidR="00EC0286" w:rsidRPr="00662262">
        <w:t xml:space="preserve">Overall, the local estimated energy requirements for </w:t>
      </w:r>
      <w:r w:rsidR="00BB49FA" w:rsidRPr="00662262">
        <w:t xml:space="preserve">both male and female infants </w:t>
      </w:r>
      <w:r w:rsidR="00EC0286" w:rsidRPr="00662262">
        <w:t xml:space="preserve">at 6 (M: 600 kcal; F: 560 kcal), 9 (M: 670 kcal; F: 620 kcal) and 12 (M: 740 kcal; F: 640 kcal) months were met, with the exception of 9-month-old breast fed infants and 12-month-old breast-fed male infants </w:t>
      </w:r>
      <w:r w:rsidR="00EC0286" w:rsidRPr="005A0A8F">
        <w:t>(</w:t>
      </w:r>
      <w:r w:rsidR="00EC0286" w:rsidRPr="008C197E">
        <w:t xml:space="preserve">Table </w:t>
      </w:r>
      <w:r w:rsidR="004B4C59" w:rsidRPr="008C197E">
        <w:t>3</w:t>
      </w:r>
      <w:r w:rsidR="00EC0286" w:rsidRPr="005A0A8F">
        <w:t xml:space="preserve">) </w:t>
      </w:r>
      <w:r w:rsidR="00EC0286" w:rsidRPr="00662262">
        <w:t>[20].</w:t>
      </w:r>
    </w:p>
    <w:p w14:paraId="4355F70B" w14:textId="2FE4998C" w:rsidR="00B33DF0" w:rsidRPr="00662262" w:rsidRDefault="00FA3E28" w:rsidP="00912B82">
      <w:pPr>
        <w:pStyle w:val="MDPI31text"/>
        <w:rPr>
          <w:b/>
          <w:color w:val="auto"/>
        </w:rPr>
        <w:sectPr w:rsidR="00B33DF0" w:rsidRPr="00662262" w:rsidSect="00C51805">
          <w:headerReference w:type="default" r:id="rId8"/>
          <w:headerReference w:type="first" r:id="rId9"/>
          <w:footerReference w:type="first" r:id="rId10"/>
          <w:type w:val="continuous"/>
          <w:pgSz w:w="11906" w:h="16838" w:code="9"/>
          <w:pgMar w:top="1417" w:right="1531" w:bottom="1077" w:left="1531" w:header="1020" w:footer="850" w:gutter="0"/>
          <w:cols w:space="425"/>
          <w:titlePg/>
          <w:docGrid w:type="lines" w:linePitch="326"/>
        </w:sectPr>
      </w:pPr>
      <w:r w:rsidRPr="00662262">
        <w:t>Increasing intakes from 6 to 12 months of age were observed for protein (9.9 to 14.5 TE</w:t>
      </w:r>
      <w:r w:rsidR="00912B82">
        <w:t>%</w:t>
      </w:r>
      <w:r w:rsidRPr="00662262">
        <w:t xml:space="preserve"> (</w:t>
      </w:r>
      <w:r w:rsidR="00DE5100">
        <w:t>t</w:t>
      </w:r>
      <w:r w:rsidRPr="00662262">
        <w:t xml:space="preserve">otal </w:t>
      </w:r>
      <w:r w:rsidR="00DE5100">
        <w:t>e</w:t>
      </w:r>
      <w:r w:rsidRPr="00662262">
        <w:t>nergy %)), carbohydrates (48.1 to 50.9 TE</w:t>
      </w:r>
      <w:r w:rsidR="00912B82">
        <w:t>%</w:t>
      </w:r>
      <w:r w:rsidRPr="00662262">
        <w:t>) and dietary fibre (2.5 to 4.4 g per 1000 kcal TE). Total fat intake, however, decreased from 42.0 TE</w:t>
      </w:r>
      <w:r w:rsidR="00912B82">
        <w:t>%</w:t>
      </w:r>
      <w:r w:rsidRPr="00662262">
        <w:t xml:space="preserve"> at 6 months to 34.6 TE</w:t>
      </w:r>
      <w:r w:rsidR="00912B82">
        <w:t>%</w:t>
      </w:r>
      <w:r w:rsidRPr="00662262">
        <w:t xml:space="preserve"> at 12 months</w:t>
      </w:r>
      <w:r w:rsidR="0036630B" w:rsidRPr="00662262">
        <w:t xml:space="preserve"> </w:t>
      </w:r>
      <w:r w:rsidR="0036630B" w:rsidRPr="005A0A8F">
        <w:t>(</w:t>
      </w:r>
      <w:r w:rsidR="0036630B" w:rsidRPr="008C197E">
        <w:t>Table 2</w:t>
      </w:r>
      <w:r w:rsidR="0036630B" w:rsidRPr="005A0A8F">
        <w:t>)</w:t>
      </w:r>
      <w:r w:rsidR="0036630B" w:rsidRPr="00662262">
        <w:t>.</w:t>
      </w:r>
      <w:r w:rsidR="00F31FA5" w:rsidRPr="00662262">
        <w:t xml:space="preserve"> For the </w:t>
      </w:r>
      <w:r w:rsidRPr="00662262">
        <w:t>macronutrient levels</w:t>
      </w:r>
      <w:r w:rsidR="00575017" w:rsidRPr="00662262">
        <w:t xml:space="preserve"> </w:t>
      </w:r>
      <w:r w:rsidR="00F31FA5" w:rsidRPr="00662262">
        <w:t xml:space="preserve">at 12 months, </w:t>
      </w:r>
      <w:r w:rsidR="00575017" w:rsidRPr="00662262">
        <w:t>those r</w:t>
      </w:r>
      <w:r w:rsidR="009B1D4C" w:rsidRPr="00662262">
        <w:t>ecommended</w:t>
      </w:r>
      <w:r w:rsidR="00F31FA5" w:rsidRPr="00662262">
        <w:t xml:space="preserve"> by the Institute of Medicine (IOM)</w:t>
      </w:r>
      <w:r w:rsidR="00790957" w:rsidRPr="00662262">
        <w:t xml:space="preserve"> </w:t>
      </w:r>
      <w:r w:rsidR="00C20074" w:rsidRPr="00662262">
        <w:t>i.e.</w:t>
      </w:r>
      <w:r w:rsidR="00C51805" w:rsidRPr="00662262">
        <w:t>,</w:t>
      </w:r>
      <w:r w:rsidR="00C20074" w:rsidRPr="00662262">
        <w:t xml:space="preserve"> </w:t>
      </w:r>
      <w:r w:rsidR="00F31FA5" w:rsidRPr="00662262">
        <w:t>protein (</w:t>
      </w:r>
      <w:r w:rsidR="00780698" w:rsidRPr="00662262">
        <w:t>5–2</w:t>
      </w:r>
      <w:r w:rsidR="00F31FA5" w:rsidRPr="00662262">
        <w:t>0</w:t>
      </w:r>
      <w:r w:rsidR="00912B82">
        <w:t>%</w:t>
      </w:r>
      <w:r w:rsidR="00F31FA5" w:rsidRPr="00662262">
        <w:t>TE), total fat (3</w:t>
      </w:r>
      <w:r w:rsidR="00780698" w:rsidRPr="00662262">
        <w:t>0–4</w:t>
      </w:r>
      <w:r w:rsidR="00F31FA5" w:rsidRPr="00662262">
        <w:t>0</w:t>
      </w:r>
      <w:r w:rsidR="00912B82">
        <w:t>%</w:t>
      </w:r>
      <w:r w:rsidR="00F31FA5" w:rsidRPr="00662262">
        <w:t>TE) and carbohydrates (4</w:t>
      </w:r>
      <w:r w:rsidR="00780698" w:rsidRPr="00662262">
        <w:t>5–6</w:t>
      </w:r>
      <w:r w:rsidR="00F31FA5" w:rsidRPr="00662262">
        <w:t>5</w:t>
      </w:r>
      <w:r w:rsidR="00912B82">
        <w:t>%</w:t>
      </w:r>
      <w:r w:rsidR="00F31FA5" w:rsidRPr="00662262">
        <w:t>TE)</w:t>
      </w:r>
      <w:r w:rsidR="00C20074" w:rsidRPr="00662262">
        <w:t xml:space="preserve"> </w:t>
      </w:r>
      <w:r w:rsidR="00F31FA5" w:rsidRPr="00662262">
        <w:t>were</w:t>
      </w:r>
      <w:r w:rsidR="00925FEB" w:rsidRPr="00662262">
        <w:t xml:space="preserve"> </w:t>
      </w:r>
      <w:r w:rsidR="009B1D4C" w:rsidRPr="00662262">
        <w:t xml:space="preserve">all </w:t>
      </w:r>
      <w:r w:rsidR="00F31FA5" w:rsidRPr="00662262">
        <w:t>met</w:t>
      </w:r>
      <w:r w:rsidR="00925FEB" w:rsidRPr="00662262">
        <w:t xml:space="preserve"> </w:t>
      </w:r>
      <w:r w:rsidR="00925FEB" w:rsidRPr="005A0A8F">
        <w:t>(</w:t>
      </w:r>
      <w:r w:rsidR="00925FEB" w:rsidRPr="008C197E">
        <w:t>Table 2</w:t>
      </w:r>
      <w:r w:rsidR="00925FEB" w:rsidRPr="00F64B92">
        <w:t>)</w:t>
      </w:r>
      <w:r w:rsidR="00F31FA5" w:rsidRPr="00662262">
        <w:t xml:space="preserve"> [21</w:t>
      </w:r>
      <w:r w:rsidRPr="00662262">
        <w:t>].</w:t>
      </w:r>
    </w:p>
    <w:p w14:paraId="5D7279C2" w14:textId="65D6683F" w:rsidR="00067746" w:rsidRPr="00662262" w:rsidRDefault="00FA3E28" w:rsidP="00662262">
      <w:pPr>
        <w:pStyle w:val="MDPI31text"/>
      </w:pPr>
      <w:r w:rsidRPr="00662262">
        <w:lastRenderedPageBreak/>
        <w:t>Macronutrient intakes (TE</w:t>
      </w:r>
      <w:r w:rsidR="00912B82">
        <w:t>%</w:t>
      </w:r>
      <w:r w:rsidRPr="00662262">
        <w:t>) differed significantly across the various milk</w:t>
      </w:r>
      <w:r w:rsidR="00DE5100">
        <w:t>-</w:t>
      </w:r>
      <w:r w:rsidRPr="00662262">
        <w:t>feed groups at 6, 9 and 12 months of age</w:t>
      </w:r>
      <w:r w:rsidR="00303CBD">
        <w:t xml:space="preserve"> (Table 2)</w:t>
      </w:r>
      <w:r w:rsidRPr="00662262">
        <w:t>. FF infants followed by MF infants consistently had the highest protein (TE</w:t>
      </w:r>
      <w:r w:rsidR="00912B82">
        <w:t>%</w:t>
      </w:r>
      <w:r w:rsidRPr="00662262">
        <w:t>) intakes as compared to BF infants at 6, 9 and 12 months of age</w:t>
      </w:r>
      <w:r w:rsidR="00DE5100">
        <w:t>,</w:t>
      </w:r>
      <w:r w:rsidRPr="00662262">
        <w:t xml:space="preserve"> respectively. An overall reverse trend was observed for total fat intakes (TE</w:t>
      </w:r>
      <w:r w:rsidR="00912B82">
        <w:t>%</w:t>
      </w:r>
      <w:r w:rsidRPr="00662262">
        <w:t>) at 6, 9 and 12 months of age: BF infants followed by MF infants had the highest intakes as compared to FF infants. However, at 9 months of age, MF infants had a slightly higher total fat intake compared to BF infants. The trend for carbohydrate intakes at 6 and 12 months is similar to that of protein intakes, with FF infants having the highest intakes and BF the lowest.</w:t>
      </w:r>
    </w:p>
    <w:p w14:paraId="19EA194F" w14:textId="77777777" w:rsidR="00662262" w:rsidRPr="00662262" w:rsidRDefault="00662262" w:rsidP="00662262">
      <w:pPr>
        <w:pStyle w:val="MDPI31text"/>
        <w:ind w:firstLine="0"/>
      </w:pPr>
    </w:p>
    <w:p w14:paraId="4F483C58" w14:textId="77777777" w:rsidR="00FE7447" w:rsidRPr="00662262" w:rsidRDefault="00FE7447" w:rsidP="00C51805">
      <w:pPr>
        <w:adjustRightInd w:val="0"/>
        <w:snapToGrid w:val="0"/>
        <w:spacing w:line="240" w:lineRule="auto"/>
        <w:jc w:val="left"/>
        <w:rPr>
          <w:rFonts w:ascii="Palatino Linotype" w:hAnsi="Palatino Linotype"/>
          <w:color w:val="auto"/>
        </w:rPr>
        <w:sectPr w:rsidR="00FE7447" w:rsidRPr="00662262" w:rsidSect="00C51805">
          <w:headerReference w:type="even" r:id="rId11"/>
          <w:headerReference w:type="default" r:id="rId12"/>
          <w:footerReference w:type="default" r:id="rId13"/>
          <w:headerReference w:type="first" r:id="rId14"/>
          <w:footerReference w:type="first" r:id="rId15"/>
          <w:type w:val="continuous"/>
          <w:pgSz w:w="11906" w:h="16838" w:code="9"/>
          <w:pgMar w:top="1417" w:right="1531" w:bottom="1077" w:left="1531" w:header="1020" w:footer="850" w:gutter="0"/>
          <w:pgNumType w:start="1"/>
          <w:cols w:space="425"/>
          <w:docGrid w:type="lines" w:linePitch="326"/>
        </w:sectPr>
      </w:pPr>
    </w:p>
    <w:p w14:paraId="00DB67B9" w14:textId="18B22741" w:rsidR="00363BF6" w:rsidRPr="00662262" w:rsidRDefault="00363BF6" w:rsidP="00C51805">
      <w:pPr>
        <w:pStyle w:val="MDPI41tablecaption"/>
        <w:jc w:val="center"/>
        <w:rPr>
          <w:color w:val="auto"/>
        </w:rPr>
      </w:pPr>
      <w:r w:rsidRPr="00125DDE">
        <w:rPr>
          <w:b/>
          <w:color w:val="auto"/>
        </w:rPr>
        <w:lastRenderedPageBreak/>
        <w:t>Table 2.</w:t>
      </w:r>
      <w:r w:rsidRPr="00662262">
        <w:rPr>
          <w:color w:val="auto"/>
        </w:rPr>
        <w:t xml:space="preserve"> Cross</w:t>
      </w:r>
      <w:r w:rsidR="00DE5100">
        <w:rPr>
          <w:color w:val="auto"/>
        </w:rPr>
        <w:t>-</w:t>
      </w:r>
      <w:r w:rsidRPr="00662262">
        <w:rPr>
          <w:color w:val="auto"/>
        </w:rPr>
        <w:t>sectional analyses of energy and energy-adjusted macronutrient and dietary fibre intakes of all infants</w:t>
      </w:r>
      <w:r w:rsidR="00DE5100">
        <w:rPr>
          <w:color w:val="auto"/>
        </w:rPr>
        <w:t>,</w:t>
      </w:r>
      <w:r w:rsidRPr="00662262">
        <w:rPr>
          <w:color w:val="auto"/>
        </w:rPr>
        <w:t xml:space="preserve"> and stratified by type of milk feed.</w:t>
      </w:r>
    </w:p>
    <w:tbl>
      <w:tblPr>
        <w:tblStyle w:val="Mdeck5tablebodythreelines"/>
        <w:tblW w:w="5000" w:type="pct"/>
        <w:tblLook w:val="04A0" w:firstRow="1" w:lastRow="0" w:firstColumn="1" w:lastColumn="0" w:noHBand="0" w:noVBand="1"/>
      </w:tblPr>
      <w:tblGrid>
        <w:gridCol w:w="3189"/>
        <w:gridCol w:w="1669"/>
        <w:gridCol w:w="34"/>
        <w:gridCol w:w="634"/>
        <w:gridCol w:w="2029"/>
        <w:gridCol w:w="808"/>
        <w:gridCol w:w="583"/>
        <w:gridCol w:w="910"/>
        <w:gridCol w:w="641"/>
        <w:gridCol w:w="908"/>
        <w:gridCol w:w="643"/>
        <w:gridCol w:w="1728"/>
      </w:tblGrid>
      <w:tr w:rsidR="00A503A4" w:rsidRPr="00395241" w14:paraId="7C9173E5" w14:textId="77777777" w:rsidTr="00ED0ECD">
        <w:trPr>
          <w:cnfStyle w:val="100000000000" w:firstRow="1" w:lastRow="0" w:firstColumn="0" w:lastColumn="0" w:oddVBand="0" w:evenVBand="0" w:oddHBand="0" w:evenHBand="0" w:firstRowFirstColumn="0" w:firstRowLastColumn="0" w:lastRowFirstColumn="0" w:lastRowLastColumn="0"/>
        </w:trPr>
        <w:tc>
          <w:tcPr>
            <w:tcW w:w="900" w:type="pct"/>
            <w:vMerge w:val="restart"/>
            <w:noWrap/>
            <w:hideMark/>
          </w:tcPr>
          <w:p w14:paraId="3C95BCB0" w14:textId="77777777" w:rsidR="00A503A4" w:rsidRDefault="00A503A4" w:rsidP="001663C8">
            <w:pPr>
              <w:pStyle w:val="MDPI42tablebody"/>
              <w:spacing w:line="240" w:lineRule="auto"/>
              <w:rPr>
                <w:color w:val="auto"/>
                <w:sz w:val="16"/>
                <w:szCs w:val="16"/>
                <w:lang w:val="en-US"/>
              </w:rPr>
            </w:pPr>
            <w:r>
              <w:rPr>
                <w:color w:val="auto"/>
                <w:sz w:val="16"/>
                <w:szCs w:val="16"/>
                <w:lang w:val="en-US"/>
              </w:rPr>
              <w:t>Dietary intakes of energy, m</w:t>
            </w:r>
            <w:r w:rsidR="008F5B5E">
              <w:rPr>
                <w:color w:val="auto"/>
                <w:sz w:val="16"/>
                <w:szCs w:val="16"/>
                <w:lang w:val="en-US"/>
              </w:rPr>
              <w:t>acronutrient</w:t>
            </w:r>
            <w:r>
              <w:rPr>
                <w:color w:val="auto"/>
                <w:sz w:val="16"/>
                <w:szCs w:val="16"/>
                <w:lang w:val="en-US"/>
              </w:rPr>
              <w:t xml:space="preserve"> </w:t>
            </w:r>
          </w:p>
          <w:p w14:paraId="7C26D030" w14:textId="12A86BA2" w:rsidR="00653FBB" w:rsidRPr="00395241" w:rsidRDefault="00A503A4" w:rsidP="001663C8">
            <w:pPr>
              <w:pStyle w:val="MDPI42tablebody"/>
              <w:spacing w:line="240" w:lineRule="auto"/>
              <w:rPr>
                <w:color w:val="auto"/>
                <w:sz w:val="16"/>
                <w:szCs w:val="16"/>
                <w:lang w:val="en-US"/>
              </w:rPr>
            </w:pPr>
            <w:r>
              <w:rPr>
                <w:color w:val="auto"/>
                <w:sz w:val="16"/>
                <w:szCs w:val="16"/>
                <w:lang w:val="en-US"/>
              </w:rPr>
              <w:t>and f</w:t>
            </w:r>
            <w:r w:rsidR="008F5B5E">
              <w:rPr>
                <w:color w:val="auto"/>
                <w:sz w:val="16"/>
                <w:szCs w:val="16"/>
                <w:lang w:val="en-US"/>
              </w:rPr>
              <w:t>ibre</w:t>
            </w:r>
          </w:p>
        </w:tc>
        <w:tc>
          <w:tcPr>
            <w:tcW w:w="832" w:type="pct"/>
            <w:gridSpan w:val="2"/>
            <w:vMerge w:val="restart"/>
          </w:tcPr>
          <w:p w14:paraId="780DB32D" w14:textId="5E034C97" w:rsidR="00653FBB" w:rsidRPr="00395241" w:rsidRDefault="00653FBB" w:rsidP="00FE4DB7">
            <w:pPr>
              <w:pStyle w:val="MDPI42tablebody"/>
              <w:spacing w:line="240" w:lineRule="auto"/>
              <w:rPr>
                <w:color w:val="auto"/>
                <w:sz w:val="16"/>
                <w:szCs w:val="16"/>
                <w:lang w:val="en-US"/>
              </w:rPr>
            </w:pPr>
            <w:r w:rsidRPr="00395241">
              <w:rPr>
                <w:color w:val="auto"/>
                <w:sz w:val="16"/>
                <w:szCs w:val="16"/>
                <w:lang w:val="en-US"/>
              </w:rPr>
              <w:t>Recommended Intakes</w:t>
            </w:r>
          </w:p>
        </w:tc>
        <w:tc>
          <w:tcPr>
            <w:tcW w:w="985" w:type="pct"/>
            <w:gridSpan w:val="2"/>
            <w:noWrap/>
            <w:hideMark/>
          </w:tcPr>
          <w:p w14:paraId="409FC6C0" w14:textId="77777777" w:rsidR="00653FBB" w:rsidRPr="00395241" w:rsidRDefault="00653FBB" w:rsidP="00FE4DB7">
            <w:pPr>
              <w:pStyle w:val="MDPI42tablebody"/>
              <w:spacing w:line="240" w:lineRule="auto"/>
              <w:rPr>
                <w:color w:val="auto"/>
                <w:sz w:val="16"/>
                <w:szCs w:val="16"/>
                <w:lang w:val="en-US"/>
              </w:rPr>
            </w:pPr>
            <w:r w:rsidRPr="00395241">
              <w:rPr>
                <w:color w:val="auto"/>
                <w:sz w:val="16"/>
                <w:szCs w:val="16"/>
                <w:lang w:val="en-US"/>
              </w:rPr>
              <w:t>All</w:t>
            </w:r>
          </w:p>
        </w:tc>
        <w:tc>
          <w:tcPr>
            <w:tcW w:w="503" w:type="pct"/>
            <w:gridSpan w:val="2"/>
            <w:noWrap/>
            <w:hideMark/>
          </w:tcPr>
          <w:p w14:paraId="4C9881E6" w14:textId="36C9FA00" w:rsidR="00653FBB" w:rsidRPr="00395241" w:rsidRDefault="00653FBB" w:rsidP="00FE4DB7">
            <w:pPr>
              <w:pStyle w:val="MDPI42tablebody"/>
              <w:spacing w:line="240" w:lineRule="auto"/>
              <w:rPr>
                <w:color w:val="auto"/>
                <w:sz w:val="16"/>
                <w:szCs w:val="16"/>
                <w:lang w:val="en-US"/>
              </w:rPr>
            </w:pPr>
            <w:r w:rsidRPr="00395241">
              <w:rPr>
                <w:color w:val="auto"/>
                <w:sz w:val="16"/>
                <w:szCs w:val="16"/>
                <w:lang w:val="en-US"/>
              </w:rPr>
              <w:t>Breast-Fed</w:t>
            </w:r>
            <w:r w:rsidR="00A54079">
              <w:rPr>
                <w:color w:val="auto"/>
                <w:sz w:val="16"/>
                <w:szCs w:val="16"/>
                <w:lang w:val="en-US"/>
              </w:rPr>
              <w:t xml:space="preserve"> (BF)</w:t>
            </w:r>
          </w:p>
        </w:tc>
        <w:tc>
          <w:tcPr>
            <w:tcW w:w="561" w:type="pct"/>
            <w:gridSpan w:val="2"/>
            <w:noWrap/>
            <w:hideMark/>
          </w:tcPr>
          <w:p w14:paraId="11BC3FB5" w14:textId="7D88A850" w:rsidR="00653FBB" w:rsidRPr="00395241" w:rsidRDefault="00653FBB" w:rsidP="00FE4DB7">
            <w:pPr>
              <w:pStyle w:val="MDPI42tablebody"/>
              <w:spacing w:line="240" w:lineRule="auto"/>
              <w:rPr>
                <w:color w:val="auto"/>
                <w:sz w:val="16"/>
                <w:szCs w:val="16"/>
                <w:lang w:val="en-US"/>
              </w:rPr>
            </w:pPr>
            <w:r w:rsidRPr="00395241">
              <w:rPr>
                <w:color w:val="auto"/>
                <w:sz w:val="16"/>
                <w:szCs w:val="16"/>
                <w:lang w:val="en-US"/>
              </w:rPr>
              <w:t>Mixed-Fed</w:t>
            </w:r>
            <w:r w:rsidR="00A54079">
              <w:rPr>
                <w:color w:val="auto"/>
                <w:sz w:val="16"/>
                <w:szCs w:val="16"/>
                <w:lang w:val="en-US"/>
              </w:rPr>
              <w:t xml:space="preserve"> (MF)</w:t>
            </w:r>
          </w:p>
        </w:tc>
        <w:tc>
          <w:tcPr>
            <w:tcW w:w="562" w:type="pct"/>
            <w:gridSpan w:val="2"/>
            <w:noWrap/>
            <w:hideMark/>
          </w:tcPr>
          <w:p w14:paraId="7DE4AC7C" w14:textId="7EAE0EDA" w:rsidR="00653FBB" w:rsidRPr="00395241" w:rsidRDefault="000B427B" w:rsidP="00FE4DB7">
            <w:pPr>
              <w:pStyle w:val="MDPI42tablebody"/>
              <w:spacing w:line="240" w:lineRule="auto"/>
              <w:rPr>
                <w:color w:val="auto"/>
                <w:sz w:val="16"/>
                <w:szCs w:val="16"/>
                <w:lang w:val="en-US"/>
              </w:rPr>
            </w:pPr>
            <w:r w:rsidRPr="00395241">
              <w:rPr>
                <w:color w:val="auto"/>
                <w:sz w:val="16"/>
                <w:szCs w:val="16"/>
                <w:lang w:val="en-US"/>
              </w:rPr>
              <w:t>Formula</w:t>
            </w:r>
            <w:r w:rsidR="00653FBB" w:rsidRPr="00395241">
              <w:rPr>
                <w:color w:val="auto"/>
                <w:sz w:val="16"/>
                <w:szCs w:val="16"/>
                <w:lang w:val="en-US"/>
              </w:rPr>
              <w:t>-</w:t>
            </w:r>
            <w:r w:rsidRPr="00395241">
              <w:rPr>
                <w:color w:val="auto"/>
                <w:sz w:val="16"/>
                <w:szCs w:val="16"/>
                <w:lang w:val="en-US"/>
              </w:rPr>
              <w:t>Fed</w:t>
            </w:r>
            <w:r w:rsidR="00A54079">
              <w:rPr>
                <w:color w:val="auto"/>
                <w:sz w:val="16"/>
                <w:szCs w:val="16"/>
                <w:lang w:val="en-US"/>
              </w:rPr>
              <w:t xml:space="preserve"> (FF)</w:t>
            </w:r>
          </w:p>
        </w:tc>
        <w:tc>
          <w:tcPr>
            <w:tcW w:w="657" w:type="pct"/>
            <w:vMerge w:val="restart"/>
            <w:noWrap/>
            <w:hideMark/>
          </w:tcPr>
          <w:p w14:paraId="26346A6A" w14:textId="4261BF76" w:rsidR="00653FBB" w:rsidRPr="00395241" w:rsidRDefault="00653FBB" w:rsidP="00FE4DB7">
            <w:pPr>
              <w:pStyle w:val="MDPI42tablebody"/>
              <w:spacing w:line="240" w:lineRule="auto"/>
              <w:rPr>
                <w:color w:val="auto"/>
                <w:sz w:val="16"/>
                <w:szCs w:val="16"/>
                <w:lang w:val="en-US"/>
              </w:rPr>
            </w:pPr>
            <w:r w:rsidRPr="00395241">
              <w:rPr>
                <w:i/>
                <w:color w:val="auto"/>
                <w:sz w:val="16"/>
                <w:szCs w:val="16"/>
                <w:lang w:val="en-US"/>
              </w:rPr>
              <w:t>p</w:t>
            </w:r>
            <w:r w:rsidRPr="00395241">
              <w:rPr>
                <w:color w:val="auto"/>
                <w:sz w:val="16"/>
                <w:szCs w:val="16"/>
                <w:lang w:val="en-US"/>
              </w:rPr>
              <w:t>-value</w:t>
            </w:r>
          </w:p>
          <w:p w14:paraId="43E32865" w14:textId="326FFF45" w:rsidR="00653FBB" w:rsidRPr="00395241" w:rsidRDefault="00653FBB" w:rsidP="00FE4DB7">
            <w:pPr>
              <w:pStyle w:val="MDPI42tablebody"/>
              <w:spacing w:line="240" w:lineRule="auto"/>
              <w:rPr>
                <w:color w:val="auto"/>
                <w:sz w:val="16"/>
                <w:szCs w:val="16"/>
                <w:lang w:val="en-US"/>
              </w:rPr>
            </w:pPr>
            <w:r w:rsidRPr="00395241">
              <w:rPr>
                <w:color w:val="auto"/>
                <w:sz w:val="16"/>
                <w:szCs w:val="16"/>
                <w:lang w:val="en-US"/>
              </w:rPr>
              <w:t xml:space="preserve">(by </w:t>
            </w:r>
            <w:r w:rsidR="00177E9E" w:rsidRPr="00395241">
              <w:rPr>
                <w:color w:val="auto"/>
                <w:sz w:val="16"/>
                <w:szCs w:val="16"/>
                <w:lang w:val="en-US"/>
              </w:rPr>
              <w:t>Milk</w:t>
            </w:r>
            <w:r w:rsidR="00DE5100">
              <w:rPr>
                <w:color w:val="auto"/>
                <w:sz w:val="16"/>
                <w:szCs w:val="16"/>
                <w:lang w:val="en-US"/>
              </w:rPr>
              <w:t>-</w:t>
            </w:r>
            <w:r w:rsidR="00177E9E" w:rsidRPr="00395241">
              <w:rPr>
                <w:color w:val="auto"/>
                <w:sz w:val="16"/>
                <w:szCs w:val="16"/>
                <w:lang w:val="en-US"/>
              </w:rPr>
              <w:t>Feed Type</w:t>
            </w:r>
            <w:r w:rsidRPr="00395241">
              <w:rPr>
                <w:color w:val="auto"/>
                <w:sz w:val="16"/>
                <w:szCs w:val="16"/>
                <w:lang w:val="en-US"/>
              </w:rPr>
              <w:t>)</w:t>
            </w:r>
          </w:p>
        </w:tc>
      </w:tr>
      <w:tr w:rsidR="00A503A4" w:rsidRPr="00395241" w14:paraId="7294939A" w14:textId="77777777" w:rsidTr="00ED0ECD">
        <w:tc>
          <w:tcPr>
            <w:tcW w:w="900" w:type="pct"/>
            <w:vMerge/>
            <w:noWrap/>
            <w:hideMark/>
          </w:tcPr>
          <w:p w14:paraId="7B562FED" w14:textId="29D25803" w:rsidR="00653FBB" w:rsidRPr="00395241" w:rsidRDefault="00653FBB" w:rsidP="00FE4DB7">
            <w:pPr>
              <w:pStyle w:val="MDPI42tablebody"/>
              <w:spacing w:line="240" w:lineRule="auto"/>
              <w:rPr>
                <w:color w:val="auto"/>
                <w:sz w:val="16"/>
                <w:szCs w:val="16"/>
                <w:lang w:val="en-US"/>
              </w:rPr>
            </w:pPr>
          </w:p>
        </w:tc>
        <w:tc>
          <w:tcPr>
            <w:tcW w:w="832" w:type="pct"/>
            <w:gridSpan w:val="2"/>
            <w:vMerge/>
          </w:tcPr>
          <w:p w14:paraId="34798551" w14:textId="4449CB26" w:rsidR="00653FBB" w:rsidRPr="00395241" w:rsidRDefault="00653FBB" w:rsidP="00FE4DB7">
            <w:pPr>
              <w:pStyle w:val="MDPI42tablebody"/>
              <w:spacing w:line="240" w:lineRule="auto"/>
              <w:rPr>
                <w:b w:val="0"/>
                <w:color w:val="auto"/>
                <w:sz w:val="16"/>
                <w:szCs w:val="16"/>
                <w:lang w:val="en-US"/>
              </w:rPr>
            </w:pPr>
          </w:p>
        </w:tc>
        <w:tc>
          <w:tcPr>
            <w:tcW w:w="985" w:type="pct"/>
            <w:gridSpan w:val="2"/>
            <w:hideMark/>
          </w:tcPr>
          <w:p w14:paraId="34FC55C2" w14:textId="45994554" w:rsidR="00653FBB" w:rsidRPr="00395241" w:rsidRDefault="00653FBB" w:rsidP="00FE4DB7">
            <w:pPr>
              <w:pStyle w:val="MDPI42tablebody"/>
              <w:spacing w:line="240" w:lineRule="auto"/>
              <w:rPr>
                <w:color w:val="auto"/>
                <w:sz w:val="16"/>
                <w:szCs w:val="16"/>
                <w:lang w:val="en-US"/>
              </w:rPr>
            </w:pPr>
            <w:r w:rsidRPr="00395241">
              <w:rPr>
                <w:color w:val="auto"/>
                <w:sz w:val="16"/>
                <w:szCs w:val="16"/>
                <w:lang w:val="en-US"/>
              </w:rPr>
              <w:t xml:space="preserve">(n = 760, 893, 907) </w:t>
            </w:r>
            <w:r w:rsidRPr="00395241">
              <w:rPr>
                <w:color w:val="auto"/>
                <w:sz w:val="16"/>
                <w:szCs w:val="16"/>
                <w:shd w:val="clear" w:color="auto" w:fill="FFFFFF"/>
                <w:vertAlign w:val="superscript"/>
                <w:lang w:val="en-US"/>
              </w:rPr>
              <w:t>‡</w:t>
            </w:r>
          </w:p>
        </w:tc>
        <w:tc>
          <w:tcPr>
            <w:tcW w:w="503" w:type="pct"/>
            <w:gridSpan w:val="2"/>
            <w:noWrap/>
            <w:hideMark/>
          </w:tcPr>
          <w:p w14:paraId="4F72CB71" w14:textId="27216BAE" w:rsidR="00653FBB" w:rsidRPr="00395241" w:rsidRDefault="00653FBB" w:rsidP="00FE4DB7">
            <w:pPr>
              <w:pStyle w:val="MDPI42tablebody"/>
              <w:spacing w:line="240" w:lineRule="auto"/>
              <w:rPr>
                <w:color w:val="auto"/>
                <w:sz w:val="16"/>
                <w:szCs w:val="16"/>
                <w:lang w:val="en-US"/>
              </w:rPr>
            </w:pPr>
            <w:r w:rsidRPr="00395241">
              <w:rPr>
                <w:color w:val="auto"/>
                <w:sz w:val="16"/>
                <w:szCs w:val="16"/>
                <w:lang w:val="en-US"/>
              </w:rPr>
              <w:t xml:space="preserve">(n = 120, 94, 57) </w:t>
            </w:r>
            <w:r w:rsidRPr="00395241">
              <w:rPr>
                <w:color w:val="auto"/>
                <w:sz w:val="16"/>
                <w:szCs w:val="16"/>
                <w:shd w:val="clear" w:color="auto" w:fill="FFFFFF"/>
                <w:vertAlign w:val="superscript"/>
                <w:lang w:val="en-US"/>
              </w:rPr>
              <w:t>‡</w:t>
            </w:r>
          </w:p>
        </w:tc>
        <w:tc>
          <w:tcPr>
            <w:tcW w:w="561" w:type="pct"/>
            <w:gridSpan w:val="2"/>
            <w:noWrap/>
            <w:hideMark/>
          </w:tcPr>
          <w:p w14:paraId="01F39156" w14:textId="1021DB0B" w:rsidR="00653FBB" w:rsidRPr="00395241" w:rsidRDefault="00653FBB" w:rsidP="00FE4DB7">
            <w:pPr>
              <w:pStyle w:val="MDPI42tablebody"/>
              <w:spacing w:line="240" w:lineRule="auto"/>
              <w:rPr>
                <w:color w:val="auto"/>
                <w:sz w:val="16"/>
                <w:szCs w:val="16"/>
                <w:lang w:val="en-US"/>
              </w:rPr>
            </w:pPr>
            <w:r w:rsidRPr="00395241">
              <w:rPr>
                <w:color w:val="auto"/>
                <w:sz w:val="16"/>
                <w:szCs w:val="16"/>
                <w:lang w:val="en-US"/>
              </w:rPr>
              <w:t xml:space="preserve">(n = 160, 149, 125) </w:t>
            </w:r>
            <w:r w:rsidRPr="00395241">
              <w:rPr>
                <w:color w:val="auto"/>
                <w:sz w:val="16"/>
                <w:szCs w:val="16"/>
                <w:shd w:val="clear" w:color="auto" w:fill="FFFFFF"/>
                <w:vertAlign w:val="superscript"/>
                <w:lang w:val="en-US"/>
              </w:rPr>
              <w:t>‡</w:t>
            </w:r>
          </w:p>
        </w:tc>
        <w:tc>
          <w:tcPr>
            <w:tcW w:w="562" w:type="pct"/>
            <w:gridSpan w:val="2"/>
            <w:noWrap/>
            <w:hideMark/>
          </w:tcPr>
          <w:p w14:paraId="781B3734" w14:textId="27111D5C" w:rsidR="00653FBB" w:rsidRPr="00395241" w:rsidRDefault="00653FBB" w:rsidP="00FE4DB7">
            <w:pPr>
              <w:pStyle w:val="MDPI42tablebody"/>
              <w:spacing w:line="240" w:lineRule="auto"/>
              <w:rPr>
                <w:color w:val="auto"/>
                <w:sz w:val="16"/>
                <w:szCs w:val="16"/>
                <w:lang w:val="en-US"/>
              </w:rPr>
            </w:pPr>
            <w:r w:rsidRPr="00395241">
              <w:rPr>
                <w:color w:val="auto"/>
                <w:sz w:val="16"/>
                <w:szCs w:val="16"/>
                <w:lang w:val="en-US"/>
              </w:rPr>
              <w:t xml:space="preserve">(n = 480, 650, 725) </w:t>
            </w:r>
            <w:r w:rsidRPr="00395241">
              <w:rPr>
                <w:color w:val="auto"/>
                <w:sz w:val="16"/>
                <w:szCs w:val="16"/>
                <w:shd w:val="clear" w:color="auto" w:fill="FFFFFF"/>
                <w:vertAlign w:val="superscript"/>
                <w:lang w:val="en-US"/>
              </w:rPr>
              <w:t>‡</w:t>
            </w:r>
          </w:p>
        </w:tc>
        <w:tc>
          <w:tcPr>
            <w:tcW w:w="657" w:type="pct"/>
            <w:vMerge/>
            <w:hideMark/>
          </w:tcPr>
          <w:p w14:paraId="4721B11E" w14:textId="77777777" w:rsidR="00653FBB" w:rsidRPr="00395241" w:rsidRDefault="00653FBB" w:rsidP="00FE4DB7">
            <w:pPr>
              <w:pStyle w:val="MDPI42tablebody"/>
              <w:spacing w:line="240" w:lineRule="auto"/>
              <w:rPr>
                <w:b w:val="0"/>
                <w:i/>
                <w:iCs/>
                <w:color w:val="auto"/>
                <w:sz w:val="16"/>
                <w:szCs w:val="16"/>
                <w:lang w:val="en-US"/>
              </w:rPr>
            </w:pPr>
          </w:p>
        </w:tc>
      </w:tr>
      <w:tr w:rsidR="00A503A4" w:rsidRPr="00395241" w14:paraId="06449E58" w14:textId="77777777" w:rsidTr="00ED0ECD">
        <w:tc>
          <w:tcPr>
            <w:tcW w:w="900" w:type="pct"/>
            <w:vMerge/>
            <w:tcBorders>
              <w:bottom w:val="single" w:sz="4" w:space="0" w:color="auto"/>
            </w:tcBorders>
            <w:noWrap/>
            <w:hideMark/>
          </w:tcPr>
          <w:p w14:paraId="48EF74A1" w14:textId="77777777" w:rsidR="00653FBB" w:rsidRPr="00395241" w:rsidRDefault="00653FBB" w:rsidP="00FE4DB7">
            <w:pPr>
              <w:pStyle w:val="MDPI42tablebody"/>
              <w:spacing w:line="240" w:lineRule="auto"/>
              <w:rPr>
                <w:color w:val="auto"/>
                <w:sz w:val="16"/>
                <w:szCs w:val="16"/>
                <w:lang w:val="en-US"/>
              </w:rPr>
            </w:pPr>
          </w:p>
        </w:tc>
        <w:tc>
          <w:tcPr>
            <w:tcW w:w="832" w:type="pct"/>
            <w:gridSpan w:val="2"/>
            <w:vMerge/>
            <w:tcBorders>
              <w:bottom w:val="single" w:sz="4" w:space="0" w:color="auto"/>
            </w:tcBorders>
          </w:tcPr>
          <w:p w14:paraId="255A1DBB" w14:textId="77777777" w:rsidR="00653FBB" w:rsidRPr="00395241" w:rsidRDefault="00653FBB" w:rsidP="00FE4DB7">
            <w:pPr>
              <w:pStyle w:val="MDPI42tablebody"/>
              <w:spacing w:line="240" w:lineRule="auto"/>
              <w:rPr>
                <w:color w:val="auto"/>
                <w:sz w:val="16"/>
                <w:szCs w:val="16"/>
                <w:lang w:val="en-US"/>
              </w:rPr>
            </w:pPr>
          </w:p>
        </w:tc>
        <w:tc>
          <w:tcPr>
            <w:tcW w:w="235" w:type="pct"/>
            <w:tcBorders>
              <w:bottom w:val="single" w:sz="4" w:space="0" w:color="auto"/>
            </w:tcBorders>
            <w:noWrap/>
            <w:hideMark/>
          </w:tcPr>
          <w:p w14:paraId="0D334F3A" w14:textId="77777777" w:rsidR="00653FBB" w:rsidRPr="00395241" w:rsidRDefault="00653FBB" w:rsidP="00FE4DB7">
            <w:pPr>
              <w:pStyle w:val="MDPI42tablebody"/>
              <w:spacing w:line="240" w:lineRule="auto"/>
              <w:rPr>
                <w:b w:val="0"/>
                <w:color w:val="auto"/>
                <w:sz w:val="16"/>
                <w:szCs w:val="16"/>
                <w:lang w:val="en-US"/>
              </w:rPr>
            </w:pPr>
            <w:r w:rsidRPr="00395241">
              <w:rPr>
                <w:color w:val="auto"/>
                <w:sz w:val="16"/>
                <w:szCs w:val="16"/>
                <w:lang w:val="en-US"/>
              </w:rPr>
              <w:t>Mean</w:t>
            </w:r>
          </w:p>
        </w:tc>
        <w:tc>
          <w:tcPr>
            <w:tcW w:w="750" w:type="pct"/>
            <w:tcBorders>
              <w:bottom w:val="single" w:sz="4" w:space="0" w:color="auto"/>
            </w:tcBorders>
            <w:noWrap/>
            <w:hideMark/>
          </w:tcPr>
          <w:p w14:paraId="047311B5" w14:textId="5F2DD9B8" w:rsidR="00653FBB" w:rsidRPr="00395241" w:rsidRDefault="00A54079" w:rsidP="00FE4DB7">
            <w:pPr>
              <w:pStyle w:val="MDPI42tablebody"/>
              <w:spacing w:line="240" w:lineRule="auto"/>
              <w:rPr>
                <w:b w:val="0"/>
                <w:color w:val="auto"/>
                <w:sz w:val="16"/>
                <w:szCs w:val="16"/>
                <w:lang w:val="en-US"/>
              </w:rPr>
            </w:pPr>
            <w:r>
              <w:rPr>
                <w:color w:val="auto"/>
                <w:sz w:val="16"/>
                <w:szCs w:val="16"/>
                <w:lang w:val="en-US"/>
              </w:rPr>
              <w:t>Standard Deviation (</w:t>
            </w:r>
            <w:r w:rsidR="00653FBB" w:rsidRPr="00395241">
              <w:rPr>
                <w:color w:val="auto"/>
                <w:sz w:val="16"/>
                <w:szCs w:val="16"/>
                <w:lang w:val="en-US"/>
              </w:rPr>
              <w:t>SD</w:t>
            </w:r>
            <w:r>
              <w:rPr>
                <w:color w:val="auto"/>
                <w:sz w:val="16"/>
                <w:szCs w:val="16"/>
                <w:lang w:val="en-US"/>
              </w:rPr>
              <w:t>)</w:t>
            </w:r>
          </w:p>
        </w:tc>
        <w:tc>
          <w:tcPr>
            <w:tcW w:w="292" w:type="pct"/>
            <w:tcBorders>
              <w:bottom w:val="single" w:sz="4" w:space="0" w:color="auto"/>
            </w:tcBorders>
            <w:noWrap/>
            <w:hideMark/>
          </w:tcPr>
          <w:p w14:paraId="4D7AF19E" w14:textId="77777777" w:rsidR="00653FBB" w:rsidRPr="00395241" w:rsidRDefault="00653FBB" w:rsidP="00FE4DB7">
            <w:pPr>
              <w:pStyle w:val="MDPI42tablebody"/>
              <w:spacing w:line="240" w:lineRule="auto"/>
              <w:rPr>
                <w:b w:val="0"/>
                <w:color w:val="auto"/>
                <w:sz w:val="16"/>
                <w:szCs w:val="16"/>
                <w:lang w:val="en-US"/>
              </w:rPr>
            </w:pPr>
            <w:r w:rsidRPr="00395241">
              <w:rPr>
                <w:color w:val="auto"/>
                <w:sz w:val="16"/>
                <w:szCs w:val="16"/>
                <w:lang w:val="en-US"/>
              </w:rPr>
              <w:t>Mean</w:t>
            </w:r>
          </w:p>
        </w:tc>
        <w:tc>
          <w:tcPr>
            <w:tcW w:w="211" w:type="pct"/>
            <w:tcBorders>
              <w:bottom w:val="single" w:sz="4" w:space="0" w:color="auto"/>
            </w:tcBorders>
            <w:noWrap/>
            <w:hideMark/>
          </w:tcPr>
          <w:p w14:paraId="00942254" w14:textId="77777777" w:rsidR="00653FBB" w:rsidRPr="00395241" w:rsidRDefault="00653FBB" w:rsidP="00FE4DB7">
            <w:pPr>
              <w:pStyle w:val="MDPI42tablebody"/>
              <w:spacing w:line="240" w:lineRule="auto"/>
              <w:rPr>
                <w:b w:val="0"/>
                <w:color w:val="auto"/>
                <w:sz w:val="16"/>
                <w:szCs w:val="16"/>
                <w:lang w:val="en-US"/>
              </w:rPr>
            </w:pPr>
            <w:r w:rsidRPr="00395241">
              <w:rPr>
                <w:color w:val="auto"/>
                <w:sz w:val="16"/>
                <w:szCs w:val="16"/>
                <w:lang w:val="en-US"/>
              </w:rPr>
              <w:t>SD</w:t>
            </w:r>
          </w:p>
        </w:tc>
        <w:tc>
          <w:tcPr>
            <w:tcW w:w="329" w:type="pct"/>
            <w:tcBorders>
              <w:bottom w:val="single" w:sz="4" w:space="0" w:color="auto"/>
            </w:tcBorders>
            <w:noWrap/>
            <w:hideMark/>
          </w:tcPr>
          <w:p w14:paraId="4DF5A185" w14:textId="77777777" w:rsidR="00653FBB" w:rsidRPr="00395241" w:rsidRDefault="00653FBB" w:rsidP="00FE4DB7">
            <w:pPr>
              <w:pStyle w:val="MDPI42tablebody"/>
              <w:spacing w:line="240" w:lineRule="auto"/>
              <w:rPr>
                <w:b w:val="0"/>
                <w:color w:val="auto"/>
                <w:sz w:val="16"/>
                <w:szCs w:val="16"/>
                <w:lang w:val="en-US"/>
              </w:rPr>
            </w:pPr>
            <w:r w:rsidRPr="00395241">
              <w:rPr>
                <w:color w:val="auto"/>
                <w:sz w:val="16"/>
                <w:szCs w:val="16"/>
                <w:lang w:val="en-US"/>
              </w:rPr>
              <w:t>Mean</w:t>
            </w:r>
          </w:p>
        </w:tc>
        <w:tc>
          <w:tcPr>
            <w:tcW w:w="232" w:type="pct"/>
            <w:tcBorders>
              <w:bottom w:val="single" w:sz="4" w:space="0" w:color="auto"/>
            </w:tcBorders>
            <w:noWrap/>
            <w:hideMark/>
          </w:tcPr>
          <w:p w14:paraId="63423D36" w14:textId="77777777" w:rsidR="00653FBB" w:rsidRPr="00395241" w:rsidRDefault="00653FBB" w:rsidP="00FE4DB7">
            <w:pPr>
              <w:pStyle w:val="MDPI42tablebody"/>
              <w:spacing w:line="240" w:lineRule="auto"/>
              <w:rPr>
                <w:b w:val="0"/>
                <w:color w:val="auto"/>
                <w:sz w:val="16"/>
                <w:szCs w:val="16"/>
                <w:lang w:val="en-US"/>
              </w:rPr>
            </w:pPr>
            <w:r w:rsidRPr="00395241">
              <w:rPr>
                <w:color w:val="auto"/>
                <w:sz w:val="16"/>
                <w:szCs w:val="16"/>
                <w:lang w:val="en-US"/>
              </w:rPr>
              <w:t>SD</w:t>
            </w:r>
          </w:p>
        </w:tc>
        <w:tc>
          <w:tcPr>
            <w:tcW w:w="329" w:type="pct"/>
            <w:tcBorders>
              <w:bottom w:val="single" w:sz="4" w:space="0" w:color="auto"/>
            </w:tcBorders>
            <w:noWrap/>
            <w:hideMark/>
          </w:tcPr>
          <w:p w14:paraId="7F333A5F" w14:textId="77777777" w:rsidR="00653FBB" w:rsidRPr="00395241" w:rsidRDefault="00653FBB" w:rsidP="00FE4DB7">
            <w:pPr>
              <w:pStyle w:val="MDPI42tablebody"/>
              <w:spacing w:line="240" w:lineRule="auto"/>
              <w:rPr>
                <w:b w:val="0"/>
                <w:color w:val="auto"/>
                <w:sz w:val="16"/>
                <w:szCs w:val="16"/>
                <w:lang w:val="en-US"/>
              </w:rPr>
            </w:pPr>
            <w:r w:rsidRPr="00395241">
              <w:rPr>
                <w:color w:val="auto"/>
                <w:sz w:val="16"/>
                <w:szCs w:val="16"/>
                <w:lang w:val="en-US"/>
              </w:rPr>
              <w:t>Mean</w:t>
            </w:r>
          </w:p>
        </w:tc>
        <w:tc>
          <w:tcPr>
            <w:tcW w:w="233" w:type="pct"/>
            <w:tcBorders>
              <w:bottom w:val="single" w:sz="4" w:space="0" w:color="auto"/>
            </w:tcBorders>
            <w:noWrap/>
            <w:hideMark/>
          </w:tcPr>
          <w:p w14:paraId="6B535515" w14:textId="77777777" w:rsidR="00653FBB" w:rsidRPr="00395241" w:rsidRDefault="00653FBB" w:rsidP="00FE4DB7">
            <w:pPr>
              <w:pStyle w:val="MDPI42tablebody"/>
              <w:spacing w:line="240" w:lineRule="auto"/>
              <w:rPr>
                <w:b w:val="0"/>
                <w:color w:val="auto"/>
                <w:sz w:val="16"/>
                <w:szCs w:val="16"/>
                <w:lang w:val="en-US"/>
              </w:rPr>
            </w:pPr>
            <w:r w:rsidRPr="00395241">
              <w:rPr>
                <w:color w:val="auto"/>
                <w:sz w:val="16"/>
                <w:szCs w:val="16"/>
                <w:lang w:val="en-US"/>
              </w:rPr>
              <w:t>SD</w:t>
            </w:r>
          </w:p>
        </w:tc>
        <w:tc>
          <w:tcPr>
            <w:tcW w:w="657" w:type="pct"/>
            <w:vMerge/>
            <w:tcBorders>
              <w:bottom w:val="single" w:sz="4" w:space="0" w:color="auto"/>
            </w:tcBorders>
            <w:hideMark/>
          </w:tcPr>
          <w:p w14:paraId="76F3E928" w14:textId="77777777" w:rsidR="00653FBB" w:rsidRPr="00395241" w:rsidRDefault="00653FBB" w:rsidP="00FE4DB7">
            <w:pPr>
              <w:pStyle w:val="MDPI42tablebody"/>
              <w:spacing w:line="240" w:lineRule="auto"/>
              <w:rPr>
                <w:b w:val="0"/>
                <w:i/>
                <w:iCs/>
                <w:color w:val="auto"/>
                <w:sz w:val="16"/>
                <w:szCs w:val="16"/>
                <w:lang w:val="en-US"/>
              </w:rPr>
            </w:pPr>
          </w:p>
        </w:tc>
      </w:tr>
      <w:tr w:rsidR="00A503A4" w:rsidRPr="00395241" w14:paraId="40698407" w14:textId="77777777" w:rsidTr="00ED0ECD">
        <w:tc>
          <w:tcPr>
            <w:tcW w:w="900" w:type="pct"/>
            <w:tcBorders>
              <w:top w:val="single" w:sz="4" w:space="0" w:color="auto"/>
              <w:bottom w:val="nil"/>
            </w:tcBorders>
            <w:noWrap/>
            <w:hideMark/>
          </w:tcPr>
          <w:p w14:paraId="117B3E5C" w14:textId="77777777" w:rsidR="00142D09" w:rsidRPr="00395241" w:rsidRDefault="00142D09" w:rsidP="00FE4DB7">
            <w:pPr>
              <w:pStyle w:val="MDPI42tablebody"/>
              <w:spacing w:line="240" w:lineRule="auto"/>
              <w:rPr>
                <w:b w:val="0"/>
                <w:bCs/>
                <w:color w:val="auto"/>
                <w:sz w:val="16"/>
                <w:szCs w:val="16"/>
                <w:lang w:val="en-US"/>
              </w:rPr>
            </w:pPr>
            <w:r w:rsidRPr="00395241">
              <w:rPr>
                <w:bCs/>
                <w:color w:val="auto"/>
                <w:sz w:val="16"/>
                <w:szCs w:val="16"/>
                <w:lang w:val="en-US"/>
              </w:rPr>
              <w:t>Energy (TE) (kcal)</w:t>
            </w:r>
          </w:p>
        </w:tc>
        <w:tc>
          <w:tcPr>
            <w:tcW w:w="832" w:type="pct"/>
            <w:gridSpan w:val="2"/>
            <w:tcBorders>
              <w:top w:val="single" w:sz="4" w:space="0" w:color="auto"/>
              <w:bottom w:val="nil"/>
            </w:tcBorders>
          </w:tcPr>
          <w:p w14:paraId="4013FF3A" w14:textId="7D064068" w:rsidR="00142D09" w:rsidRPr="00125DDE" w:rsidRDefault="00142D09" w:rsidP="00FE4DB7">
            <w:pPr>
              <w:pStyle w:val="MDPI42tablebody"/>
              <w:spacing w:line="240" w:lineRule="auto"/>
              <w:rPr>
                <w:b w:val="0"/>
                <w:color w:val="auto"/>
                <w:sz w:val="16"/>
                <w:szCs w:val="16"/>
                <w:lang w:val="en-US"/>
              </w:rPr>
            </w:pPr>
            <w:r w:rsidRPr="00125DDE">
              <w:rPr>
                <w:b w:val="0"/>
                <w:color w:val="auto"/>
                <w:sz w:val="16"/>
                <w:szCs w:val="16"/>
                <w:lang w:val="en-US"/>
              </w:rPr>
              <w:t>EAR of Male/Female</w:t>
            </w:r>
            <w:r w:rsidR="00A54079">
              <w:rPr>
                <w:b w:val="0"/>
                <w:color w:val="auto"/>
                <w:sz w:val="16"/>
                <w:szCs w:val="16"/>
                <w:lang w:val="en-US"/>
              </w:rPr>
              <w:t xml:space="preserve"> </w:t>
            </w:r>
            <w:r w:rsidRPr="00125DDE">
              <w:rPr>
                <w:b w:val="0"/>
                <w:color w:val="auto"/>
                <w:sz w:val="16"/>
                <w:szCs w:val="16"/>
                <w:lang w:val="en-US"/>
              </w:rPr>
              <w:t xml:space="preserve">(HPB) </w:t>
            </w:r>
            <w:r w:rsidRPr="00125DDE">
              <w:rPr>
                <w:b w:val="0"/>
                <w:color w:val="auto"/>
                <w:sz w:val="16"/>
                <w:szCs w:val="16"/>
                <w:shd w:val="clear" w:color="auto" w:fill="FFFFFF"/>
                <w:vertAlign w:val="superscript"/>
                <w:lang w:val="en-US"/>
              </w:rPr>
              <w:t>†</w:t>
            </w:r>
          </w:p>
        </w:tc>
        <w:tc>
          <w:tcPr>
            <w:tcW w:w="3268" w:type="pct"/>
            <w:gridSpan w:val="9"/>
            <w:tcBorders>
              <w:top w:val="single" w:sz="4" w:space="0" w:color="auto"/>
              <w:bottom w:val="nil"/>
            </w:tcBorders>
            <w:noWrap/>
            <w:hideMark/>
          </w:tcPr>
          <w:p w14:paraId="47526E97" w14:textId="68EB542A" w:rsidR="00142D09" w:rsidRPr="00395241" w:rsidRDefault="00142D09" w:rsidP="00FE4DB7">
            <w:pPr>
              <w:pStyle w:val="MDPI42tablebody"/>
              <w:spacing w:line="240" w:lineRule="auto"/>
              <w:rPr>
                <w:color w:val="auto"/>
                <w:sz w:val="16"/>
                <w:szCs w:val="16"/>
                <w:lang w:val="en-US"/>
              </w:rPr>
            </w:pPr>
          </w:p>
        </w:tc>
      </w:tr>
      <w:tr w:rsidR="00A503A4" w:rsidRPr="00395241" w14:paraId="4FAAC83C" w14:textId="77777777" w:rsidTr="00ED0ECD">
        <w:tc>
          <w:tcPr>
            <w:tcW w:w="900" w:type="pct"/>
            <w:tcBorders>
              <w:top w:val="nil"/>
              <w:bottom w:val="nil"/>
            </w:tcBorders>
            <w:noWrap/>
          </w:tcPr>
          <w:p w14:paraId="2AFACCF9" w14:textId="77777777" w:rsidR="00363BF6" w:rsidRPr="00125DDE" w:rsidRDefault="00363BF6" w:rsidP="00FE4DB7">
            <w:pPr>
              <w:pStyle w:val="MDPI42tablebody"/>
              <w:spacing w:line="240" w:lineRule="auto"/>
              <w:rPr>
                <w:b w:val="0"/>
                <w:color w:val="auto"/>
                <w:sz w:val="16"/>
                <w:szCs w:val="16"/>
                <w:lang w:val="en-US"/>
              </w:rPr>
            </w:pPr>
            <w:r w:rsidRPr="00125DDE">
              <w:rPr>
                <w:b w:val="0"/>
                <w:color w:val="auto"/>
                <w:sz w:val="16"/>
                <w:szCs w:val="16"/>
                <w:lang w:val="en-US"/>
              </w:rPr>
              <w:t>6 months</w:t>
            </w:r>
          </w:p>
        </w:tc>
        <w:tc>
          <w:tcPr>
            <w:tcW w:w="832" w:type="pct"/>
            <w:gridSpan w:val="2"/>
            <w:tcBorders>
              <w:top w:val="nil"/>
              <w:bottom w:val="nil"/>
            </w:tcBorders>
          </w:tcPr>
          <w:p w14:paraId="72962A6C" w14:textId="60B18DE4" w:rsidR="00363BF6" w:rsidRPr="00395241" w:rsidRDefault="00B33DF0" w:rsidP="00FE4DB7">
            <w:pPr>
              <w:pStyle w:val="MDPI42tablebody"/>
              <w:spacing w:line="240" w:lineRule="auto"/>
              <w:rPr>
                <w:b w:val="0"/>
                <w:color w:val="auto"/>
                <w:sz w:val="16"/>
                <w:szCs w:val="16"/>
                <w:lang w:val="en-US"/>
              </w:rPr>
            </w:pPr>
            <w:r w:rsidRPr="00395241">
              <w:rPr>
                <w:b w:val="0"/>
                <w:color w:val="auto"/>
                <w:sz w:val="16"/>
                <w:szCs w:val="16"/>
                <w:lang w:val="en-US"/>
              </w:rPr>
              <w:t>600/560</w:t>
            </w:r>
          </w:p>
        </w:tc>
        <w:tc>
          <w:tcPr>
            <w:tcW w:w="235" w:type="pct"/>
            <w:tcBorders>
              <w:top w:val="nil"/>
              <w:bottom w:val="nil"/>
            </w:tcBorders>
            <w:noWrap/>
            <w:hideMark/>
          </w:tcPr>
          <w:p w14:paraId="05E65365"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640</w:t>
            </w:r>
          </w:p>
        </w:tc>
        <w:tc>
          <w:tcPr>
            <w:tcW w:w="750" w:type="pct"/>
            <w:tcBorders>
              <w:top w:val="nil"/>
              <w:bottom w:val="nil"/>
            </w:tcBorders>
            <w:noWrap/>
            <w:hideMark/>
          </w:tcPr>
          <w:p w14:paraId="7019FB5E"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158</w:t>
            </w:r>
          </w:p>
        </w:tc>
        <w:tc>
          <w:tcPr>
            <w:tcW w:w="292" w:type="pct"/>
            <w:tcBorders>
              <w:top w:val="nil"/>
              <w:bottom w:val="nil"/>
            </w:tcBorders>
            <w:noWrap/>
            <w:hideMark/>
          </w:tcPr>
          <w:p w14:paraId="2FCD2F66"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652</w:t>
            </w:r>
          </w:p>
        </w:tc>
        <w:tc>
          <w:tcPr>
            <w:tcW w:w="211" w:type="pct"/>
            <w:tcBorders>
              <w:top w:val="nil"/>
              <w:bottom w:val="nil"/>
            </w:tcBorders>
            <w:noWrap/>
            <w:hideMark/>
          </w:tcPr>
          <w:p w14:paraId="6DA02568"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112</w:t>
            </w:r>
          </w:p>
        </w:tc>
        <w:tc>
          <w:tcPr>
            <w:tcW w:w="329" w:type="pct"/>
            <w:tcBorders>
              <w:top w:val="nil"/>
              <w:bottom w:val="nil"/>
            </w:tcBorders>
            <w:noWrap/>
            <w:hideMark/>
          </w:tcPr>
          <w:p w14:paraId="33C80051"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647</w:t>
            </w:r>
          </w:p>
        </w:tc>
        <w:tc>
          <w:tcPr>
            <w:tcW w:w="232" w:type="pct"/>
            <w:tcBorders>
              <w:top w:val="nil"/>
              <w:bottom w:val="nil"/>
            </w:tcBorders>
            <w:noWrap/>
            <w:hideMark/>
          </w:tcPr>
          <w:p w14:paraId="1AC0EEE2"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98</w:t>
            </w:r>
          </w:p>
        </w:tc>
        <w:tc>
          <w:tcPr>
            <w:tcW w:w="329" w:type="pct"/>
            <w:tcBorders>
              <w:top w:val="nil"/>
              <w:bottom w:val="nil"/>
            </w:tcBorders>
            <w:noWrap/>
            <w:hideMark/>
          </w:tcPr>
          <w:p w14:paraId="76990434"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634</w:t>
            </w:r>
          </w:p>
        </w:tc>
        <w:tc>
          <w:tcPr>
            <w:tcW w:w="233" w:type="pct"/>
            <w:tcBorders>
              <w:top w:val="nil"/>
              <w:bottom w:val="nil"/>
            </w:tcBorders>
            <w:noWrap/>
            <w:hideMark/>
          </w:tcPr>
          <w:p w14:paraId="67433041"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182</w:t>
            </w:r>
          </w:p>
        </w:tc>
        <w:tc>
          <w:tcPr>
            <w:tcW w:w="657" w:type="pct"/>
            <w:tcBorders>
              <w:top w:val="nil"/>
              <w:bottom w:val="nil"/>
            </w:tcBorders>
            <w:noWrap/>
            <w:hideMark/>
          </w:tcPr>
          <w:p w14:paraId="179F2713"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0.450</w:t>
            </w:r>
          </w:p>
        </w:tc>
      </w:tr>
      <w:tr w:rsidR="00A503A4" w:rsidRPr="00395241" w14:paraId="2A8A3346" w14:textId="77777777" w:rsidTr="00ED0ECD">
        <w:tc>
          <w:tcPr>
            <w:tcW w:w="900" w:type="pct"/>
            <w:tcBorders>
              <w:bottom w:val="nil"/>
            </w:tcBorders>
            <w:noWrap/>
          </w:tcPr>
          <w:p w14:paraId="65D098CF" w14:textId="371A6E10" w:rsidR="00363BF6" w:rsidRPr="00125DDE" w:rsidRDefault="00B33DF0" w:rsidP="00FE4DB7">
            <w:pPr>
              <w:pStyle w:val="MDPI42tablebody"/>
              <w:spacing w:line="240" w:lineRule="auto"/>
              <w:rPr>
                <w:b w:val="0"/>
                <w:color w:val="auto"/>
                <w:sz w:val="16"/>
                <w:szCs w:val="16"/>
                <w:lang w:val="en-US"/>
              </w:rPr>
            </w:pPr>
            <w:r w:rsidRPr="00125DDE">
              <w:rPr>
                <w:b w:val="0"/>
                <w:color w:val="auto"/>
                <w:sz w:val="16"/>
                <w:szCs w:val="16"/>
                <w:lang w:val="en-US"/>
              </w:rPr>
              <w:t>9 months</w:t>
            </w:r>
          </w:p>
        </w:tc>
        <w:tc>
          <w:tcPr>
            <w:tcW w:w="832" w:type="pct"/>
            <w:gridSpan w:val="2"/>
            <w:tcBorders>
              <w:bottom w:val="nil"/>
            </w:tcBorders>
          </w:tcPr>
          <w:p w14:paraId="0E833670" w14:textId="353B7E9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670/620</w:t>
            </w:r>
          </w:p>
        </w:tc>
        <w:tc>
          <w:tcPr>
            <w:tcW w:w="235" w:type="pct"/>
            <w:tcBorders>
              <w:bottom w:val="nil"/>
            </w:tcBorders>
            <w:noWrap/>
            <w:hideMark/>
          </w:tcPr>
          <w:p w14:paraId="5ACC161E"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675</w:t>
            </w:r>
          </w:p>
        </w:tc>
        <w:tc>
          <w:tcPr>
            <w:tcW w:w="750" w:type="pct"/>
            <w:tcBorders>
              <w:bottom w:val="nil"/>
            </w:tcBorders>
            <w:noWrap/>
            <w:hideMark/>
          </w:tcPr>
          <w:p w14:paraId="627955E9"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173</w:t>
            </w:r>
          </w:p>
        </w:tc>
        <w:tc>
          <w:tcPr>
            <w:tcW w:w="292" w:type="pct"/>
            <w:tcBorders>
              <w:bottom w:val="nil"/>
            </w:tcBorders>
            <w:noWrap/>
            <w:hideMark/>
          </w:tcPr>
          <w:p w14:paraId="63E1C3C1" w14:textId="0A8FE36E"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580</w:t>
            </w:r>
            <w:r w:rsidR="00653FBB" w:rsidRPr="00395241">
              <w:rPr>
                <w:b w:val="0"/>
                <w:color w:val="auto"/>
                <w:sz w:val="16"/>
                <w:szCs w:val="16"/>
                <w:lang w:val="en-US"/>
              </w:rPr>
              <w:t xml:space="preserve"> </w:t>
            </w:r>
            <w:r w:rsidRPr="00395241">
              <w:rPr>
                <w:b w:val="0"/>
                <w:color w:val="auto"/>
                <w:sz w:val="16"/>
                <w:szCs w:val="16"/>
                <w:vertAlign w:val="superscript"/>
                <w:lang w:val="en-US"/>
              </w:rPr>
              <w:t>a</w:t>
            </w:r>
          </w:p>
        </w:tc>
        <w:tc>
          <w:tcPr>
            <w:tcW w:w="211" w:type="pct"/>
            <w:tcBorders>
              <w:bottom w:val="nil"/>
            </w:tcBorders>
            <w:noWrap/>
            <w:hideMark/>
          </w:tcPr>
          <w:p w14:paraId="671FA378"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122</w:t>
            </w:r>
          </w:p>
        </w:tc>
        <w:tc>
          <w:tcPr>
            <w:tcW w:w="329" w:type="pct"/>
            <w:tcBorders>
              <w:bottom w:val="nil"/>
            </w:tcBorders>
            <w:noWrap/>
            <w:hideMark/>
          </w:tcPr>
          <w:p w14:paraId="43CF2310" w14:textId="7A71B5C2"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683</w:t>
            </w:r>
            <w:r w:rsidR="00605047" w:rsidRPr="00395241">
              <w:rPr>
                <w:b w:val="0"/>
                <w:color w:val="auto"/>
                <w:sz w:val="16"/>
                <w:szCs w:val="16"/>
                <w:lang w:val="en-US"/>
              </w:rPr>
              <w:t xml:space="preserve"> </w:t>
            </w:r>
            <w:r w:rsidRPr="00395241">
              <w:rPr>
                <w:b w:val="0"/>
                <w:color w:val="auto"/>
                <w:sz w:val="16"/>
                <w:szCs w:val="16"/>
                <w:vertAlign w:val="superscript"/>
                <w:lang w:val="en-US"/>
              </w:rPr>
              <w:t>b</w:t>
            </w:r>
          </w:p>
        </w:tc>
        <w:tc>
          <w:tcPr>
            <w:tcW w:w="232" w:type="pct"/>
            <w:tcBorders>
              <w:bottom w:val="nil"/>
            </w:tcBorders>
            <w:noWrap/>
            <w:hideMark/>
          </w:tcPr>
          <w:p w14:paraId="7C80E8F0"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137</w:t>
            </w:r>
          </w:p>
        </w:tc>
        <w:tc>
          <w:tcPr>
            <w:tcW w:w="329" w:type="pct"/>
            <w:tcBorders>
              <w:bottom w:val="nil"/>
            </w:tcBorders>
            <w:noWrap/>
            <w:hideMark/>
          </w:tcPr>
          <w:p w14:paraId="78752E01" w14:textId="184CEFBC"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687</w:t>
            </w:r>
            <w:r w:rsidR="00605047" w:rsidRPr="00395241">
              <w:rPr>
                <w:b w:val="0"/>
                <w:color w:val="auto"/>
                <w:sz w:val="16"/>
                <w:szCs w:val="16"/>
                <w:lang w:val="en-US"/>
              </w:rPr>
              <w:t xml:space="preserve"> </w:t>
            </w:r>
            <w:r w:rsidRPr="00395241">
              <w:rPr>
                <w:b w:val="0"/>
                <w:color w:val="auto"/>
                <w:sz w:val="16"/>
                <w:szCs w:val="16"/>
                <w:vertAlign w:val="superscript"/>
                <w:lang w:val="en-US"/>
              </w:rPr>
              <w:t>b</w:t>
            </w:r>
          </w:p>
        </w:tc>
        <w:tc>
          <w:tcPr>
            <w:tcW w:w="233" w:type="pct"/>
            <w:tcBorders>
              <w:bottom w:val="nil"/>
            </w:tcBorders>
            <w:noWrap/>
            <w:hideMark/>
          </w:tcPr>
          <w:p w14:paraId="4272CF14"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183</w:t>
            </w:r>
          </w:p>
        </w:tc>
        <w:tc>
          <w:tcPr>
            <w:tcW w:w="657" w:type="pct"/>
            <w:tcBorders>
              <w:bottom w:val="nil"/>
            </w:tcBorders>
            <w:noWrap/>
            <w:hideMark/>
          </w:tcPr>
          <w:p w14:paraId="497F0FB3" w14:textId="3DF73BD2" w:rsidR="00363BF6" w:rsidRPr="00125DDE" w:rsidRDefault="00363BF6" w:rsidP="00FE4DB7">
            <w:pPr>
              <w:pStyle w:val="MDPI42tablebody"/>
              <w:spacing w:line="240" w:lineRule="auto"/>
              <w:rPr>
                <w:bCs/>
                <w:color w:val="auto"/>
                <w:sz w:val="16"/>
                <w:szCs w:val="16"/>
                <w:lang w:val="en-US"/>
              </w:rPr>
            </w:pPr>
            <w:r w:rsidRPr="00125DDE">
              <w:rPr>
                <w:bCs/>
                <w:color w:val="auto"/>
                <w:sz w:val="16"/>
                <w:szCs w:val="16"/>
                <w:lang w:val="en-US"/>
              </w:rPr>
              <w:t>&lt;0.001</w:t>
            </w:r>
          </w:p>
        </w:tc>
      </w:tr>
      <w:tr w:rsidR="00A503A4" w:rsidRPr="00395241" w14:paraId="2AB1F10A" w14:textId="77777777" w:rsidTr="00ED0ECD">
        <w:tc>
          <w:tcPr>
            <w:tcW w:w="900" w:type="pct"/>
            <w:tcBorders>
              <w:bottom w:val="single" w:sz="4" w:space="0" w:color="auto"/>
            </w:tcBorders>
            <w:noWrap/>
          </w:tcPr>
          <w:p w14:paraId="12DDD7D4" w14:textId="1086F805" w:rsidR="00363BF6" w:rsidRPr="00125DDE" w:rsidRDefault="00B33DF0" w:rsidP="00FE4DB7">
            <w:pPr>
              <w:pStyle w:val="MDPI42tablebody"/>
              <w:spacing w:line="240" w:lineRule="auto"/>
              <w:rPr>
                <w:b w:val="0"/>
                <w:color w:val="auto"/>
                <w:sz w:val="16"/>
                <w:szCs w:val="16"/>
                <w:lang w:val="en-US"/>
              </w:rPr>
            </w:pPr>
            <w:r w:rsidRPr="00125DDE">
              <w:rPr>
                <w:b w:val="0"/>
                <w:color w:val="auto"/>
                <w:sz w:val="16"/>
                <w:szCs w:val="16"/>
                <w:lang w:val="en-US"/>
              </w:rPr>
              <w:t>12 months</w:t>
            </w:r>
          </w:p>
        </w:tc>
        <w:tc>
          <w:tcPr>
            <w:tcW w:w="832" w:type="pct"/>
            <w:gridSpan w:val="2"/>
            <w:tcBorders>
              <w:bottom w:val="single" w:sz="4" w:space="0" w:color="auto"/>
            </w:tcBorders>
          </w:tcPr>
          <w:p w14:paraId="63AD99DC" w14:textId="4A9EBC48"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740/640</w:t>
            </w:r>
          </w:p>
        </w:tc>
        <w:tc>
          <w:tcPr>
            <w:tcW w:w="235" w:type="pct"/>
            <w:tcBorders>
              <w:bottom w:val="single" w:sz="4" w:space="0" w:color="auto"/>
            </w:tcBorders>
            <w:noWrap/>
            <w:hideMark/>
          </w:tcPr>
          <w:p w14:paraId="15F46F75"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761</w:t>
            </w:r>
          </w:p>
        </w:tc>
        <w:tc>
          <w:tcPr>
            <w:tcW w:w="750" w:type="pct"/>
            <w:tcBorders>
              <w:bottom w:val="single" w:sz="4" w:space="0" w:color="auto"/>
            </w:tcBorders>
            <w:noWrap/>
            <w:hideMark/>
          </w:tcPr>
          <w:p w14:paraId="5D648982"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208</w:t>
            </w:r>
          </w:p>
        </w:tc>
        <w:tc>
          <w:tcPr>
            <w:tcW w:w="292" w:type="pct"/>
            <w:tcBorders>
              <w:bottom w:val="single" w:sz="4" w:space="0" w:color="auto"/>
            </w:tcBorders>
            <w:noWrap/>
            <w:hideMark/>
          </w:tcPr>
          <w:p w14:paraId="74FC2E4B"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716</w:t>
            </w:r>
          </w:p>
        </w:tc>
        <w:tc>
          <w:tcPr>
            <w:tcW w:w="211" w:type="pct"/>
            <w:tcBorders>
              <w:bottom w:val="single" w:sz="4" w:space="0" w:color="auto"/>
            </w:tcBorders>
            <w:noWrap/>
            <w:hideMark/>
          </w:tcPr>
          <w:p w14:paraId="0988ECEF"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187</w:t>
            </w:r>
          </w:p>
        </w:tc>
        <w:tc>
          <w:tcPr>
            <w:tcW w:w="329" w:type="pct"/>
            <w:tcBorders>
              <w:bottom w:val="single" w:sz="4" w:space="0" w:color="auto"/>
            </w:tcBorders>
            <w:noWrap/>
            <w:hideMark/>
          </w:tcPr>
          <w:p w14:paraId="64F63FB3"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795</w:t>
            </w:r>
          </w:p>
        </w:tc>
        <w:tc>
          <w:tcPr>
            <w:tcW w:w="232" w:type="pct"/>
            <w:tcBorders>
              <w:bottom w:val="single" w:sz="4" w:space="0" w:color="auto"/>
            </w:tcBorders>
            <w:noWrap/>
            <w:hideMark/>
          </w:tcPr>
          <w:p w14:paraId="55F69CAE"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164</w:t>
            </w:r>
          </w:p>
        </w:tc>
        <w:tc>
          <w:tcPr>
            <w:tcW w:w="329" w:type="pct"/>
            <w:tcBorders>
              <w:bottom w:val="single" w:sz="4" w:space="0" w:color="auto"/>
            </w:tcBorders>
            <w:noWrap/>
            <w:hideMark/>
          </w:tcPr>
          <w:p w14:paraId="70E59334"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759</w:t>
            </w:r>
          </w:p>
        </w:tc>
        <w:tc>
          <w:tcPr>
            <w:tcW w:w="233" w:type="pct"/>
            <w:tcBorders>
              <w:bottom w:val="single" w:sz="4" w:space="0" w:color="auto"/>
            </w:tcBorders>
            <w:noWrap/>
            <w:hideMark/>
          </w:tcPr>
          <w:p w14:paraId="324D237C"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216</w:t>
            </w:r>
          </w:p>
        </w:tc>
        <w:tc>
          <w:tcPr>
            <w:tcW w:w="657" w:type="pct"/>
            <w:tcBorders>
              <w:bottom w:val="single" w:sz="4" w:space="0" w:color="auto"/>
            </w:tcBorders>
            <w:noWrap/>
            <w:hideMark/>
          </w:tcPr>
          <w:p w14:paraId="54570D9C"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0.050</w:t>
            </w:r>
          </w:p>
        </w:tc>
      </w:tr>
      <w:tr w:rsidR="00A503A4" w:rsidRPr="00395241" w14:paraId="07AC3995" w14:textId="77777777" w:rsidTr="00ED0ECD">
        <w:tc>
          <w:tcPr>
            <w:tcW w:w="900" w:type="pct"/>
            <w:tcBorders>
              <w:top w:val="single" w:sz="4" w:space="0" w:color="auto"/>
              <w:bottom w:val="nil"/>
            </w:tcBorders>
            <w:noWrap/>
            <w:hideMark/>
          </w:tcPr>
          <w:p w14:paraId="0778DE89" w14:textId="77777777" w:rsidR="00142D09" w:rsidRPr="00395241" w:rsidRDefault="00142D09" w:rsidP="00FE4DB7">
            <w:pPr>
              <w:pStyle w:val="MDPI42tablebody"/>
              <w:spacing w:line="240" w:lineRule="auto"/>
              <w:rPr>
                <w:b w:val="0"/>
                <w:bCs/>
                <w:color w:val="auto"/>
                <w:sz w:val="16"/>
                <w:szCs w:val="16"/>
                <w:lang w:val="en-US"/>
              </w:rPr>
            </w:pPr>
            <w:r w:rsidRPr="00395241">
              <w:rPr>
                <w:bCs/>
                <w:color w:val="auto"/>
                <w:sz w:val="16"/>
                <w:szCs w:val="16"/>
                <w:lang w:val="en-US"/>
              </w:rPr>
              <w:t>Protein (% TE)</w:t>
            </w:r>
          </w:p>
        </w:tc>
        <w:tc>
          <w:tcPr>
            <w:tcW w:w="832" w:type="pct"/>
            <w:gridSpan w:val="2"/>
            <w:tcBorders>
              <w:top w:val="single" w:sz="4" w:space="0" w:color="auto"/>
              <w:bottom w:val="nil"/>
            </w:tcBorders>
          </w:tcPr>
          <w:p w14:paraId="42FDCF56" w14:textId="77777777" w:rsidR="00142D09" w:rsidRPr="00395241" w:rsidRDefault="00142D09" w:rsidP="00FE4DB7">
            <w:pPr>
              <w:pStyle w:val="MDPI42tablebody"/>
              <w:spacing w:line="240" w:lineRule="auto"/>
              <w:rPr>
                <w:b w:val="0"/>
                <w:color w:val="auto"/>
                <w:sz w:val="16"/>
                <w:szCs w:val="16"/>
                <w:lang w:val="en-US"/>
              </w:rPr>
            </w:pPr>
            <w:r w:rsidRPr="00395241">
              <w:rPr>
                <w:b w:val="0"/>
                <w:color w:val="auto"/>
                <w:sz w:val="16"/>
                <w:szCs w:val="16"/>
                <w:lang w:val="en-US"/>
              </w:rPr>
              <w:t xml:space="preserve">AMDR (IOM) </w:t>
            </w:r>
            <w:r w:rsidRPr="004728B4">
              <w:rPr>
                <w:b w:val="0"/>
                <w:color w:val="auto"/>
                <w:sz w:val="16"/>
                <w:szCs w:val="16"/>
                <w:shd w:val="clear" w:color="auto" w:fill="FFFFFF"/>
                <w:vertAlign w:val="superscript"/>
                <w:lang w:val="en-US"/>
              </w:rPr>
              <w:t>†</w:t>
            </w:r>
          </w:p>
        </w:tc>
        <w:tc>
          <w:tcPr>
            <w:tcW w:w="3268" w:type="pct"/>
            <w:gridSpan w:val="9"/>
            <w:tcBorders>
              <w:top w:val="single" w:sz="4" w:space="0" w:color="auto"/>
              <w:bottom w:val="nil"/>
            </w:tcBorders>
            <w:noWrap/>
            <w:hideMark/>
          </w:tcPr>
          <w:p w14:paraId="4EE02304" w14:textId="77777777" w:rsidR="00142D09" w:rsidRPr="00395241" w:rsidRDefault="00142D09" w:rsidP="00FE4DB7">
            <w:pPr>
              <w:pStyle w:val="MDPI42tablebody"/>
              <w:spacing w:line="240" w:lineRule="auto"/>
              <w:rPr>
                <w:b w:val="0"/>
                <w:color w:val="auto"/>
                <w:sz w:val="16"/>
                <w:szCs w:val="16"/>
                <w:lang w:val="en-US"/>
              </w:rPr>
            </w:pPr>
          </w:p>
        </w:tc>
      </w:tr>
      <w:tr w:rsidR="00A503A4" w:rsidRPr="00395241" w14:paraId="14FA649E" w14:textId="77777777" w:rsidTr="00ED0ECD">
        <w:tc>
          <w:tcPr>
            <w:tcW w:w="900" w:type="pct"/>
            <w:tcBorders>
              <w:top w:val="nil"/>
            </w:tcBorders>
            <w:noWrap/>
            <w:hideMark/>
          </w:tcPr>
          <w:p w14:paraId="7529B688" w14:textId="77777777" w:rsidR="00363BF6" w:rsidRPr="00125DDE" w:rsidRDefault="00363BF6" w:rsidP="00FE4DB7">
            <w:pPr>
              <w:pStyle w:val="MDPI42tablebody"/>
              <w:spacing w:line="240" w:lineRule="auto"/>
              <w:rPr>
                <w:b w:val="0"/>
                <w:color w:val="auto"/>
                <w:sz w:val="16"/>
                <w:szCs w:val="16"/>
                <w:lang w:val="en-US"/>
              </w:rPr>
            </w:pPr>
            <w:r w:rsidRPr="00125DDE">
              <w:rPr>
                <w:b w:val="0"/>
                <w:color w:val="auto"/>
                <w:sz w:val="16"/>
                <w:szCs w:val="16"/>
                <w:lang w:val="en-US"/>
              </w:rPr>
              <w:t>6 months</w:t>
            </w:r>
          </w:p>
        </w:tc>
        <w:tc>
          <w:tcPr>
            <w:tcW w:w="832" w:type="pct"/>
            <w:gridSpan w:val="2"/>
            <w:tcBorders>
              <w:top w:val="nil"/>
            </w:tcBorders>
          </w:tcPr>
          <w:p w14:paraId="5C4C8274"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w:t>
            </w:r>
          </w:p>
        </w:tc>
        <w:tc>
          <w:tcPr>
            <w:tcW w:w="235" w:type="pct"/>
            <w:tcBorders>
              <w:top w:val="nil"/>
            </w:tcBorders>
            <w:noWrap/>
            <w:hideMark/>
          </w:tcPr>
          <w:p w14:paraId="7E359080"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9.9</w:t>
            </w:r>
          </w:p>
        </w:tc>
        <w:tc>
          <w:tcPr>
            <w:tcW w:w="750" w:type="pct"/>
            <w:tcBorders>
              <w:top w:val="nil"/>
            </w:tcBorders>
            <w:noWrap/>
            <w:hideMark/>
          </w:tcPr>
          <w:p w14:paraId="67F58212"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2.5</w:t>
            </w:r>
          </w:p>
        </w:tc>
        <w:tc>
          <w:tcPr>
            <w:tcW w:w="292" w:type="pct"/>
            <w:tcBorders>
              <w:top w:val="nil"/>
            </w:tcBorders>
            <w:noWrap/>
            <w:hideMark/>
          </w:tcPr>
          <w:p w14:paraId="508BEB3E" w14:textId="5AC6DF39"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7.1</w:t>
            </w:r>
            <w:r w:rsidR="00653FBB" w:rsidRPr="00395241">
              <w:rPr>
                <w:b w:val="0"/>
                <w:color w:val="auto"/>
                <w:sz w:val="16"/>
                <w:szCs w:val="16"/>
                <w:lang w:val="en-US"/>
              </w:rPr>
              <w:t xml:space="preserve"> </w:t>
            </w:r>
            <w:r w:rsidRPr="00395241">
              <w:rPr>
                <w:b w:val="0"/>
                <w:color w:val="auto"/>
                <w:sz w:val="16"/>
                <w:szCs w:val="16"/>
                <w:vertAlign w:val="superscript"/>
                <w:lang w:val="en-US"/>
              </w:rPr>
              <w:t>a</w:t>
            </w:r>
          </w:p>
        </w:tc>
        <w:tc>
          <w:tcPr>
            <w:tcW w:w="211" w:type="pct"/>
            <w:tcBorders>
              <w:top w:val="nil"/>
            </w:tcBorders>
            <w:noWrap/>
            <w:hideMark/>
          </w:tcPr>
          <w:p w14:paraId="22CC8949"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0.7</w:t>
            </w:r>
          </w:p>
        </w:tc>
        <w:tc>
          <w:tcPr>
            <w:tcW w:w="329" w:type="pct"/>
            <w:tcBorders>
              <w:top w:val="nil"/>
            </w:tcBorders>
            <w:noWrap/>
            <w:hideMark/>
          </w:tcPr>
          <w:p w14:paraId="1BBB6E3E" w14:textId="00BF1A85"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9.2</w:t>
            </w:r>
            <w:r w:rsidR="00605047" w:rsidRPr="00395241">
              <w:rPr>
                <w:b w:val="0"/>
                <w:color w:val="auto"/>
                <w:sz w:val="16"/>
                <w:szCs w:val="16"/>
                <w:lang w:val="en-US"/>
              </w:rPr>
              <w:t xml:space="preserve"> </w:t>
            </w:r>
            <w:r w:rsidRPr="00395241">
              <w:rPr>
                <w:b w:val="0"/>
                <w:color w:val="auto"/>
                <w:sz w:val="16"/>
                <w:szCs w:val="16"/>
                <w:vertAlign w:val="superscript"/>
                <w:lang w:val="en-US"/>
              </w:rPr>
              <w:t>b</w:t>
            </w:r>
          </w:p>
        </w:tc>
        <w:tc>
          <w:tcPr>
            <w:tcW w:w="232" w:type="pct"/>
            <w:tcBorders>
              <w:top w:val="nil"/>
            </w:tcBorders>
            <w:noWrap/>
            <w:hideMark/>
          </w:tcPr>
          <w:p w14:paraId="00810743"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1.8</w:t>
            </w:r>
          </w:p>
        </w:tc>
        <w:tc>
          <w:tcPr>
            <w:tcW w:w="329" w:type="pct"/>
            <w:tcBorders>
              <w:top w:val="nil"/>
            </w:tcBorders>
            <w:noWrap/>
            <w:hideMark/>
          </w:tcPr>
          <w:p w14:paraId="7100346F" w14:textId="39A802A2"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10.8</w:t>
            </w:r>
            <w:r w:rsidR="00605047" w:rsidRPr="00395241">
              <w:rPr>
                <w:b w:val="0"/>
                <w:color w:val="auto"/>
                <w:sz w:val="16"/>
                <w:szCs w:val="16"/>
                <w:lang w:val="en-US"/>
              </w:rPr>
              <w:t xml:space="preserve"> </w:t>
            </w:r>
            <w:r w:rsidRPr="00395241">
              <w:rPr>
                <w:b w:val="0"/>
                <w:color w:val="auto"/>
                <w:sz w:val="16"/>
                <w:szCs w:val="16"/>
                <w:vertAlign w:val="superscript"/>
                <w:lang w:val="en-US"/>
              </w:rPr>
              <w:t>c</w:t>
            </w:r>
          </w:p>
        </w:tc>
        <w:tc>
          <w:tcPr>
            <w:tcW w:w="233" w:type="pct"/>
            <w:tcBorders>
              <w:top w:val="nil"/>
            </w:tcBorders>
            <w:noWrap/>
            <w:hideMark/>
          </w:tcPr>
          <w:p w14:paraId="2FE86EC7" w14:textId="13CA54C6" w:rsidR="00363BF6" w:rsidRPr="00395241" w:rsidRDefault="00AE75D9" w:rsidP="00FE4DB7">
            <w:pPr>
              <w:pStyle w:val="MDPI42tablebody"/>
              <w:spacing w:line="240" w:lineRule="auto"/>
              <w:rPr>
                <w:b w:val="0"/>
                <w:color w:val="auto"/>
                <w:sz w:val="16"/>
                <w:szCs w:val="16"/>
                <w:lang w:val="en-US"/>
              </w:rPr>
            </w:pPr>
            <w:r w:rsidRPr="00395241">
              <w:rPr>
                <w:b w:val="0"/>
                <w:color w:val="auto"/>
                <w:sz w:val="16"/>
                <w:szCs w:val="16"/>
                <w:lang w:val="en-US"/>
              </w:rPr>
              <w:t>2.</w:t>
            </w:r>
            <w:r w:rsidR="00363BF6" w:rsidRPr="00395241">
              <w:rPr>
                <w:b w:val="0"/>
                <w:color w:val="auto"/>
                <w:sz w:val="16"/>
                <w:szCs w:val="16"/>
                <w:lang w:val="en-US"/>
              </w:rPr>
              <w:t>4</w:t>
            </w:r>
          </w:p>
        </w:tc>
        <w:tc>
          <w:tcPr>
            <w:tcW w:w="657" w:type="pct"/>
            <w:tcBorders>
              <w:top w:val="nil"/>
            </w:tcBorders>
            <w:noWrap/>
            <w:hideMark/>
          </w:tcPr>
          <w:p w14:paraId="02EE8F41" w14:textId="6DA1D230" w:rsidR="00363BF6" w:rsidRPr="00125DDE" w:rsidRDefault="00363BF6" w:rsidP="00FE4DB7">
            <w:pPr>
              <w:pStyle w:val="MDPI42tablebody"/>
              <w:spacing w:line="240" w:lineRule="auto"/>
              <w:rPr>
                <w:bCs/>
                <w:color w:val="auto"/>
                <w:sz w:val="16"/>
                <w:szCs w:val="16"/>
                <w:lang w:val="en-US"/>
              </w:rPr>
            </w:pPr>
            <w:r w:rsidRPr="00125DDE">
              <w:rPr>
                <w:bCs/>
                <w:color w:val="auto"/>
                <w:sz w:val="16"/>
                <w:szCs w:val="16"/>
                <w:lang w:val="en-US"/>
              </w:rPr>
              <w:t>&lt;0.001</w:t>
            </w:r>
          </w:p>
        </w:tc>
      </w:tr>
      <w:tr w:rsidR="00A503A4" w:rsidRPr="00395241" w14:paraId="25F75672" w14:textId="77777777" w:rsidTr="00ED0ECD">
        <w:tc>
          <w:tcPr>
            <w:tcW w:w="900" w:type="pct"/>
            <w:noWrap/>
            <w:hideMark/>
          </w:tcPr>
          <w:p w14:paraId="64F2B71F" w14:textId="1238A4AD" w:rsidR="00363BF6" w:rsidRPr="00125DDE" w:rsidRDefault="00B33DF0" w:rsidP="00FE4DB7">
            <w:pPr>
              <w:pStyle w:val="MDPI42tablebody"/>
              <w:spacing w:line="240" w:lineRule="auto"/>
              <w:rPr>
                <w:b w:val="0"/>
                <w:color w:val="auto"/>
                <w:sz w:val="16"/>
                <w:szCs w:val="16"/>
                <w:lang w:val="en-US"/>
              </w:rPr>
            </w:pPr>
            <w:r w:rsidRPr="00125DDE">
              <w:rPr>
                <w:b w:val="0"/>
                <w:color w:val="auto"/>
                <w:sz w:val="16"/>
                <w:szCs w:val="16"/>
                <w:lang w:val="en-US"/>
              </w:rPr>
              <w:t>9 months</w:t>
            </w:r>
          </w:p>
        </w:tc>
        <w:tc>
          <w:tcPr>
            <w:tcW w:w="832" w:type="pct"/>
            <w:gridSpan w:val="2"/>
          </w:tcPr>
          <w:p w14:paraId="4E681A2B"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w:t>
            </w:r>
          </w:p>
        </w:tc>
        <w:tc>
          <w:tcPr>
            <w:tcW w:w="235" w:type="pct"/>
            <w:noWrap/>
            <w:hideMark/>
          </w:tcPr>
          <w:p w14:paraId="0AC0D1C5"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13.1</w:t>
            </w:r>
          </w:p>
        </w:tc>
        <w:tc>
          <w:tcPr>
            <w:tcW w:w="750" w:type="pct"/>
            <w:noWrap/>
            <w:hideMark/>
          </w:tcPr>
          <w:p w14:paraId="223C267E"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3.1</w:t>
            </w:r>
          </w:p>
        </w:tc>
        <w:tc>
          <w:tcPr>
            <w:tcW w:w="292" w:type="pct"/>
            <w:noWrap/>
            <w:hideMark/>
          </w:tcPr>
          <w:p w14:paraId="789D84E4" w14:textId="2CB183D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10.5</w:t>
            </w:r>
            <w:r w:rsidR="00653FBB" w:rsidRPr="00395241">
              <w:rPr>
                <w:b w:val="0"/>
                <w:color w:val="auto"/>
                <w:sz w:val="16"/>
                <w:szCs w:val="16"/>
                <w:lang w:val="en-US"/>
              </w:rPr>
              <w:t xml:space="preserve"> </w:t>
            </w:r>
            <w:r w:rsidRPr="00395241">
              <w:rPr>
                <w:b w:val="0"/>
                <w:color w:val="auto"/>
                <w:sz w:val="16"/>
                <w:szCs w:val="16"/>
                <w:vertAlign w:val="superscript"/>
                <w:lang w:val="en-US"/>
              </w:rPr>
              <w:t>a</w:t>
            </w:r>
          </w:p>
        </w:tc>
        <w:tc>
          <w:tcPr>
            <w:tcW w:w="211" w:type="pct"/>
            <w:noWrap/>
            <w:hideMark/>
          </w:tcPr>
          <w:p w14:paraId="4E0005DB"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3.0</w:t>
            </w:r>
          </w:p>
        </w:tc>
        <w:tc>
          <w:tcPr>
            <w:tcW w:w="329" w:type="pct"/>
            <w:noWrap/>
            <w:hideMark/>
          </w:tcPr>
          <w:p w14:paraId="71ED731B" w14:textId="51D4E1C0"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11.6</w:t>
            </w:r>
            <w:r w:rsidR="00605047" w:rsidRPr="00395241">
              <w:rPr>
                <w:b w:val="0"/>
                <w:color w:val="auto"/>
                <w:sz w:val="16"/>
                <w:szCs w:val="16"/>
                <w:lang w:val="en-US"/>
              </w:rPr>
              <w:t xml:space="preserve"> </w:t>
            </w:r>
            <w:r w:rsidRPr="00395241">
              <w:rPr>
                <w:b w:val="0"/>
                <w:color w:val="auto"/>
                <w:sz w:val="16"/>
                <w:szCs w:val="16"/>
                <w:vertAlign w:val="superscript"/>
                <w:lang w:val="en-US"/>
              </w:rPr>
              <w:t>b</w:t>
            </w:r>
          </w:p>
        </w:tc>
        <w:tc>
          <w:tcPr>
            <w:tcW w:w="232" w:type="pct"/>
            <w:noWrap/>
            <w:hideMark/>
          </w:tcPr>
          <w:p w14:paraId="3D65B6C3"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2.8</w:t>
            </w:r>
          </w:p>
        </w:tc>
        <w:tc>
          <w:tcPr>
            <w:tcW w:w="329" w:type="pct"/>
            <w:noWrap/>
            <w:hideMark/>
          </w:tcPr>
          <w:p w14:paraId="02213CAC" w14:textId="18BBB02B"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13.8</w:t>
            </w:r>
            <w:r w:rsidR="00605047" w:rsidRPr="00395241">
              <w:rPr>
                <w:b w:val="0"/>
                <w:color w:val="auto"/>
                <w:sz w:val="16"/>
                <w:szCs w:val="16"/>
                <w:lang w:val="en-US"/>
              </w:rPr>
              <w:t xml:space="preserve"> </w:t>
            </w:r>
            <w:r w:rsidRPr="00395241">
              <w:rPr>
                <w:b w:val="0"/>
                <w:color w:val="auto"/>
                <w:sz w:val="16"/>
                <w:szCs w:val="16"/>
                <w:vertAlign w:val="superscript"/>
                <w:lang w:val="en-US"/>
              </w:rPr>
              <w:t>c</w:t>
            </w:r>
          </w:p>
        </w:tc>
        <w:tc>
          <w:tcPr>
            <w:tcW w:w="233" w:type="pct"/>
            <w:noWrap/>
            <w:hideMark/>
          </w:tcPr>
          <w:p w14:paraId="50214031"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2.8</w:t>
            </w:r>
          </w:p>
        </w:tc>
        <w:tc>
          <w:tcPr>
            <w:tcW w:w="657" w:type="pct"/>
            <w:noWrap/>
            <w:hideMark/>
          </w:tcPr>
          <w:p w14:paraId="26A86A00" w14:textId="1DCD21CA" w:rsidR="00363BF6" w:rsidRPr="00125DDE" w:rsidRDefault="00363BF6" w:rsidP="00FE4DB7">
            <w:pPr>
              <w:pStyle w:val="MDPI42tablebody"/>
              <w:spacing w:line="240" w:lineRule="auto"/>
              <w:rPr>
                <w:bCs/>
                <w:color w:val="auto"/>
                <w:sz w:val="16"/>
                <w:szCs w:val="16"/>
                <w:lang w:val="en-US"/>
              </w:rPr>
            </w:pPr>
            <w:r w:rsidRPr="00125DDE">
              <w:rPr>
                <w:bCs/>
                <w:color w:val="auto"/>
                <w:sz w:val="16"/>
                <w:szCs w:val="16"/>
                <w:lang w:val="en-US"/>
              </w:rPr>
              <w:t>&lt;0.001</w:t>
            </w:r>
          </w:p>
        </w:tc>
      </w:tr>
      <w:tr w:rsidR="00A503A4" w:rsidRPr="00395241" w14:paraId="2B718C79" w14:textId="77777777" w:rsidTr="00ED0ECD">
        <w:tc>
          <w:tcPr>
            <w:tcW w:w="900" w:type="pct"/>
            <w:tcBorders>
              <w:bottom w:val="single" w:sz="4" w:space="0" w:color="auto"/>
            </w:tcBorders>
            <w:noWrap/>
            <w:hideMark/>
          </w:tcPr>
          <w:p w14:paraId="1CBC2217" w14:textId="1A6D2E17" w:rsidR="00363BF6" w:rsidRPr="00125DDE" w:rsidRDefault="00B33DF0" w:rsidP="00FE4DB7">
            <w:pPr>
              <w:pStyle w:val="MDPI42tablebody"/>
              <w:spacing w:line="240" w:lineRule="auto"/>
              <w:rPr>
                <w:b w:val="0"/>
                <w:color w:val="auto"/>
                <w:sz w:val="16"/>
                <w:szCs w:val="16"/>
                <w:lang w:val="en-US"/>
              </w:rPr>
            </w:pPr>
            <w:r w:rsidRPr="00125DDE">
              <w:rPr>
                <w:b w:val="0"/>
                <w:color w:val="auto"/>
                <w:sz w:val="16"/>
                <w:szCs w:val="16"/>
                <w:lang w:val="en-US"/>
              </w:rPr>
              <w:t>12 months</w:t>
            </w:r>
          </w:p>
        </w:tc>
        <w:tc>
          <w:tcPr>
            <w:tcW w:w="832" w:type="pct"/>
            <w:gridSpan w:val="2"/>
            <w:tcBorders>
              <w:bottom w:val="single" w:sz="4" w:space="0" w:color="auto"/>
            </w:tcBorders>
          </w:tcPr>
          <w:p w14:paraId="78749B8D" w14:textId="42596306" w:rsidR="00363BF6" w:rsidRPr="00395241" w:rsidRDefault="00780698" w:rsidP="00FE4DB7">
            <w:pPr>
              <w:pStyle w:val="MDPI42tablebody"/>
              <w:spacing w:line="240" w:lineRule="auto"/>
              <w:rPr>
                <w:b w:val="0"/>
                <w:color w:val="auto"/>
                <w:sz w:val="16"/>
                <w:szCs w:val="16"/>
                <w:lang w:val="en-US"/>
              </w:rPr>
            </w:pPr>
            <w:r w:rsidRPr="00395241">
              <w:rPr>
                <w:b w:val="0"/>
                <w:color w:val="auto"/>
                <w:sz w:val="16"/>
                <w:szCs w:val="16"/>
                <w:lang w:val="en-US"/>
              </w:rPr>
              <w:t>5–2</w:t>
            </w:r>
            <w:r w:rsidR="00363BF6" w:rsidRPr="00395241">
              <w:rPr>
                <w:b w:val="0"/>
                <w:color w:val="auto"/>
                <w:sz w:val="16"/>
                <w:szCs w:val="16"/>
                <w:lang w:val="en-US"/>
              </w:rPr>
              <w:t>0</w:t>
            </w:r>
          </w:p>
        </w:tc>
        <w:tc>
          <w:tcPr>
            <w:tcW w:w="235" w:type="pct"/>
            <w:tcBorders>
              <w:bottom w:val="single" w:sz="4" w:space="0" w:color="auto"/>
            </w:tcBorders>
            <w:noWrap/>
            <w:hideMark/>
          </w:tcPr>
          <w:p w14:paraId="2C807034"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14.5</w:t>
            </w:r>
          </w:p>
        </w:tc>
        <w:tc>
          <w:tcPr>
            <w:tcW w:w="750" w:type="pct"/>
            <w:tcBorders>
              <w:bottom w:val="single" w:sz="4" w:space="0" w:color="auto"/>
            </w:tcBorders>
            <w:noWrap/>
            <w:hideMark/>
          </w:tcPr>
          <w:p w14:paraId="565D37A8"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3.4</w:t>
            </w:r>
          </w:p>
        </w:tc>
        <w:tc>
          <w:tcPr>
            <w:tcW w:w="292" w:type="pct"/>
            <w:tcBorders>
              <w:bottom w:val="single" w:sz="4" w:space="0" w:color="auto"/>
            </w:tcBorders>
            <w:noWrap/>
            <w:hideMark/>
          </w:tcPr>
          <w:p w14:paraId="512D0DC8" w14:textId="08556EF9"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10.9</w:t>
            </w:r>
            <w:r w:rsidR="00653FBB" w:rsidRPr="00395241">
              <w:rPr>
                <w:b w:val="0"/>
                <w:color w:val="auto"/>
                <w:sz w:val="16"/>
                <w:szCs w:val="16"/>
                <w:lang w:val="en-US"/>
              </w:rPr>
              <w:t xml:space="preserve"> </w:t>
            </w:r>
            <w:r w:rsidRPr="00395241">
              <w:rPr>
                <w:b w:val="0"/>
                <w:color w:val="auto"/>
                <w:sz w:val="16"/>
                <w:szCs w:val="16"/>
                <w:vertAlign w:val="superscript"/>
                <w:lang w:val="en-US"/>
              </w:rPr>
              <w:t>a</w:t>
            </w:r>
          </w:p>
        </w:tc>
        <w:tc>
          <w:tcPr>
            <w:tcW w:w="211" w:type="pct"/>
            <w:tcBorders>
              <w:bottom w:val="single" w:sz="4" w:space="0" w:color="auto"/>
            </w:tcBorders>
            <w:noWrap/>
            <w:hideMark/>
          </w:tcPr>
          <w:p w14:paraId="4876A51F"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3.4</w:t>
            </w:r>
          </w:p>
        </w:tc>
        <w:tc>
          <w:tcPr>
            <w:tcW w:w="329" w:type="pct"/>
            <w:tcBorders>
              <w:bottom w:val="single" w:sz="4" w:space="0" w:color="auto"/>
            </w:tcBorders>
            <w:noWrap/>
            <w:hideMark/>
          </w:tcPr>
          <w:p w14:paraId="0AA96C95" w14:textId="0CBEBA68"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12.5</w:t>
            </w:r>
            <w:r w:rsidR="00605047" w:rsidRPr="00395241">
              <w:rPr>
                <w:b w:val="0"/>
                <w:color w:val="auto"/>
                <w:sz w:val="16"/>
                <w:szCs w:val="16"/>
                <w:lang w:val="en-US"/>
              </w:rPr>
              <w:t xml:space="preserve"> </w:t>
            </w:r>
            <w:r w:rsidRPr="00395241">
              <w:rPr>
                <w:b w:val="0"/>
                <w:color w:val="auto"/>
                <w:sz w:val="16"/>
                <w:szCs w:val="16"/>
                <w:vertAlign w:val="superscript"/>
                <w:lang w:val="en-US"/>
              </w:rPr>
              <w:t>b</w:t>
            </w:r>
          </w:p>
        </w:tc>
        <w:tc>
          <w:tcPr>
            <w:tcW w:w="232" w:type="pct"/>
            <w:tcBorders>
              <w:bottom w:val="single" w:sz="4" w:space="0" w:color="auto"/>
            </w:tcBorders>
            <w:noWrap/>
            <w:hideMark/>
          </w:tcPr>
          <w:p w14:paraId="20B74D33"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2.7</w:t>
            </w:r>
          </w:p>
        </w:tc>
        <w:tc>
          <w:tcPr>
            <w:tcW w:w="329" w:type="pct"/>
            <w:tcBorders>
              <w:bottom w:val="single" w:sz="4" w:space="0" w:color="auto"/>
            </w:tcBorders>
            <w:noWrap/>
            <w:hideMark/>
          </w:tcPr>
          <w:p w14:paraId="3319526E" w14:textId="4086F3B4"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15.1</w:t>
            </w:r>
            <w:r w:rsidR="00605047" w:rsidRPr="00395241">
              <w:rPr>
                <w:b w:val="0"/>
                <w:color w:val="auto"/>
                <w:sz w:val="16"/>
                <w:szCs w:val="16"/>
                <w:lang w:val="en-US"/>
              </w:rPr>
              <w:t xml:space="preserve"> </w:t>
            </w:r>
            <w:r w:rsidRPr="00395241">
              <w:rPr>
                <w:b w:val="0"/>
                <w:color w:val="auto"/>
                <w:sz w:val="16"/>
                <w:szCs w:val="16"/>
                <w:vertAlign w:val="superscript"/>
                <w:lang w:val="en-US"/>
              </w:rPr>
              <w:t>c</w:t>
            </w:r>
          </w:p>
        </w:tc>
        <w:tc>
          <w:tcPr>
            <w:tcW w:w="233" w:type="pct"/>
            <w:tcBorders>
              <w:bottom w:val="single" w:sz="4" w:space="0" w:color="auto"/>
            </w:tcBorders>
            <w:noWrap/>
            <w:hideMark/>
          </w:tcPr>
          <w:p w14:paraId="6D7C0293"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3.2</w:t>
            </w:r>
          </w:p>
        </w:tc>
        <w:tc>
          <w:tcPr>
            <w:tcW w:w="657" w:type="pct"/>
            <w:tcBorders>
              <w:bottom w:val="single" w:sz="4" w:space="0" w:color="auto"/>
            </w:tcBorders>
            <w:noWrap/>
            <w:hideMark/>
          </w:tcPr>
          <w:p w14:paraId="497BBF95" w14:textId="48417363" w:rsidR="00363BF6" w:rsidRPr="00125DDE" w:rsidRDefault="00363BF6" w:rsidP="00FE4DB7">
            <w:pPr>
              <w:pStyle w:val="MDPI42tablebody"/>
              <w:spacing w:line="240" w:lineRule="auto"/>
              <w:rPr>
                <w:bCs/>
                <w:color w:val="auto"/>
                <w:sz w:val="16"/>
                <w:szCs w:val="16"/>
                <w:lang w:val="en-US"/>
              </w:rPr>
            </w:pPr>
            <w:r w:rsidRPr="00125DDE">
              <w:rPr>
                <w:bCs/>
                <w:color w:val="auto"/>
                <w:sz w:val="16"/>
                <w:szCs w:val="16"/>
                <w:lang w:val="en-US"/>
              </w:rPr>
              <w:t>&lt;0.001</w:t>
            </w:r>
          </w:p>
        </w:tc>
      </w:tr>
      <w:tr w:rsidR="00A503A4" w:rsidRPr="00395241" w14:paraId="16220CC1" w14:textId="77777777" w:rsidTr="00ED0ECD">
        <w:tc>
          <w:tcPr>
            <w:tcW w:w="900" w:type="pct"/>
            <w:tcBorders>
              <w:top w:val="single" w:sz="4" w:space="0" w:color="auto"/>
              <w:bottom w:val="nil"/>
            </w:tcBorders>
            <w:noWrap/>
            <w:hideMark/>
          </w:tcPr>
          <w:p w14:paraId="3E26D387" w14:textId="77777777" w:rsidR="00142D09" w:rsidRPr="00395241" w:rsidRDefault="00142D09" w:rsidP="00FE4DB7">
            <w:pPr>
              <w:pStyle w:val="MDPI42tablebody"/>
              <w:spacing w:line="240" w:lineRule="auto"/>
              <w:rPr>
                <w:b w:val="0"/>
                <w:bCs/>
                <w:color w:val="auto"/>
                <w:sz w:val="16"/>
                <w:szCs w:val="16"/>
                <w:lang w:val="en-US"/>
              </w:rPr>
            </w:pPr>
            <w:r w:rsidRPr="00395241">
              <w:rPr>
                <w:bCs/>
                <w:color w:val="auto"/>
                <w:sz w:val="16"/>
                <w:szCs w:val="16"/>
                <w:lang w:val="en-US"/>
              </w:rPr>
              <w:t>Total Fat (% TE)</w:t>
            </w:r>
          </w:p>
        </w:tc>
        <w:tc>
          <w:tcPr>
            <w:tcW w:w="832" w:type="pct"/>
            <w:gridSpan w:val="2"/>
            <w:tcBorders>
              <w:top w:val="single" w:sz="4" w:space="0" w:color="auto"/>
              <w:bottom w:val="nil"/>
            </w:tcBorders>
          </w:tcPr>
          <w:p w14:paraId="728DA626" w14:textId="77777777" w:rsidR="00142D09" w:rsidRPr="00395241" w:rsidRDefault="00142D09" w:rsidP="00FE4DB7">
            <w:pPr>
              <w:pStyle w:val="MDPI42tablebody"/>
              <w:spacing w:line="240" w:lineRule="auto"/>
              <w:rPr>
                <w:b w:val="0"/>
                <w:color w:val="auto"/>
                <w:sz w:val="16"/>
                <w:szCs w:val="16"/>
                <w:lang w:val="en-US"/>
              </w:rPr>
            </w:pPr>
            <w:r w:rsidRPr="00395241">
              <w:rPr>
                <w:b w:val="0"/>
                <w:color w:val="auto"/>
                <w:sz w:val="16"/>
                <w:szCs w:val="16"/>
                <w:lang w:val="en-US"/>
              </w:rPr>
              <w:t xml:space="preserve">AMDR (IOM) </w:t>
            </w:r>
            <w:r w:rsidRPr="00395241">
              <w:rPr>
                <w:b w:val="0"/>
                <w:color w:val="auto"/>
                <w:sz w:val="16"/>
                <w:szCs w:val="16"/>
                <w:shd w:val="clear" w:color="auto" w:fill="FFFFFF"/>
                <w:vertAlign w:val="superscript"/>
                <w:lang w:val="en-US"/>
              </w:rPr>
              <w:t>†</w:t>
            </w:r>
          </w:p>
        </w:tc>
        <w:tc>
          <w:tcPr>
            <w:tcW w:w="3268" w:type="pct"/>
            <w:gridSpan w:val="9"/>
            <w:tcBorders>
              <w:top w:val="single" w:sz="4" w:space="0" w:color="auto"/>
              <w:bottom w:val="nil"/>
            </w:tcBorders>
            <w:noWrap/>
            <w:hideMark/>
          </w:tcPr>
          <w:p w14:paraId="7419A028" w14:textId="77777777" w:rsidR="00142D09" w:rsidRPr="00395241" w:rsidRDefault="00142D09" w:rsidP="00FE4DB7">
            <w:pPr>
              <w:pStyle w:val="MDPI42tablebody"/>
              <w:spacing w:line="240" w:lineRule="auto"/>
              <w:rPr>
                <w:b w:val="0"/>
                <w:color w:val="auto"/>
                <w:sz w:val="16"/>
                <w:szCs w:val="16"/>
                <w:lang w:val="en-US"/>
              </w:rPr>
            </w:pPr>
          </w:p>
        </w:tc>
      </w:tr>
      <w:tr w:rsidR="00A503A4" w:rsidRPr="00395241" w14:paraId="398D78A5" w14:textId="77777777" w:rsidTr="00ED0ECD">
        <w:tc>
          <w:tcPr>
            <w:tcW w:w="900" w:type="pct"/>
            <w:tcBorders>
              <w:top w:val="nil"/>
            </w:tcBorders>
            <w:noWrap/>
            <w:hideMark/>
          </w:tcPr>
          <w:p w14:paraId="33500315" w14:textId="77777777" w:rsidR="00363BF6" w:rsidRPr="00125DDE" w:rsidRDefault="00363BF6" w:rsidP="00FE4DB7">
            <w:pPr>
              <w:pStyle w:val="MDPI42tablebody"/>
              <w:spacing w:line="240" w:lineRule="auto"/>
              <w:rPr>
                <w:b w:val="0"/>
                <w:color w:val="auto"/>
                <w:sz w:val="16"/>
                <w:szCs w:val="16"/>
                <w:lang w:val="en-US"/>
              </w:rPr>
            </w:pPr>
            <w:r w:rsidRPr="00125DDE">
              <w:rPr>
                <w:b w:val="0"/>
                <w:color w:val="auto"/>
                <w:sz w:val="16"/>
                <w:szCs w:val="16"/>
                <w:lang w:val="en-US"/>
              </w:rPr>
              <w:t>6 months</w:t>
            </w:r>
          </w:p>
        </w:tc>
        <w:tc>
          <w:tcPr>
            <w:tcW w:w="832" w:type="pct"/>
            <w:gridSpan w:val="2"/>
            <w:tcBorders>
              <w:top w:val="nil"/>
            </w:tcBorders>
          </w:tcPr>
          <w:p w14:paraId="1F931499"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w:t>
            </w:r>
          </w:p>
        </w:tc>
        <w:tc>
          <w:tcPr>
            <w:tcW w:w="235" w:type="pct"/>
            <w:tcBorders>
              <w:top w:val="nil"/>
            </w:tcBorders>
            <w:noWrap/>
            <w:hideMark/>
          </w:tcPr>
          <w:p w14:paraId="6889EE7F"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42.0</w:t>
            </w:r>
          </w:p>
        </w:tc>
        <w:tc>
          <w:tcPr>
            <w:tcW w:w="750" w:type="pct"/>
            <w:tcBorders>
              <w:top w:val="nil"/>
            </w:tcBorders>
            <w:noWrap/>
            <w:hideMark/>
          </w:tcPr>
          <w:p w14:paraId="0E8F71D4"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6.3</w:t>
            </w:r>
          </w:p>
        </w:tc>
        <w:tc>
          <w:tcPr>
            <w:tcW w:w="292" w:type="pct"/>
            <w:tcBorders>
              <w:top w:val="nil"/>
            </w:tcBorders>
            <w:noWrap/>
            <w:hideMark/>
          </w:tcPr>
          <w:p w14:paraId="300E96E0" w14:textId="334A0473"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49.7</w:t>
            </w:r>
            <w:r w:rsidR="00653FBB" w:rsidRPr="00395241">
              <w:rPr>
                <w:b w:val="0"/>
                <w:color w:val="auto"/>
                <w:sz w:val="16"/>
                <w:szCs w:val="16"/>
                <w:lang w:val="en-US"/>
              </w:rPr>
              <w:t xml:space="preserve"> </w:t>
            </w:r>
            <w:r w:rsidRPr="00395241">
              <w:rPr>
                <w:b w:val="0"/>
                <w:color w:val="auto"/>
                <w:sz w:val="16"/>
                <w:szCs w:val="16"/>
                <w:vertAlign w:val="superscript"/>
                <w:lang w:val="en-US"/>
              </w:rPr>
              <w:t>a</w:t>
            </w:r>
          </w:p>
        </w:tc>
        <w:tc>
          <w:tcPr>
            <w:tcW w:w="211" w:type="pct"/>
            <w:tcBorders>
              <w:top w:val="nil"/>
            </w:tcBorders>
            <w:noWrap/>
            <w:hideMark/>
          </w:tcPr>
          <w:p w14:paraId="3ABEE671"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3.1</w:t>
            </w:r>
          </w:p>
        </w:tc>
        <w:tc>
          <w:tcPr>
            <w:tcW w:w="329" w:type="pct"/>
            <w:tcBorders>
              <w:top w:val="nil"/>
            </w:tcBorders>
            <w:noWrap/>
            <w:hideMark/>
          </w:tcPr>
          <w:p w14:paraId="489B5970" w14:textId="770DFF72"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44.4</w:t>
            </w:r>
            <w:r w:rsidR="00605047" w:rsidRPr="00395241">
              <w:rPr>
                <w:b w:val="0"/>
                <w:color w:val="auto"/>
                <w:sz w:val="16"/>
                <w:szCs w:val="16"/>
                <w:lang w:val="en-US"/>
              </w:rPr>
              <w:t xml:space="preserve"> </w:t>
            </w:r>
            <w:r w:rsidRPr="00395241">
              <w:rPr>
                <w:b w:val="0"/>
                <w:color w:val="auto"/>
                <w:sz w:val="16"/>
                <w:szCs w:val="16"/>
                <w:vertAlign w:val="superscript"/>
                <w:lang w:val="en-US"/>
              </w:rPr>
              <w:t>b</w:t>
            </w:r>
          </w:p>
        </w:tc>
        <w:tc>
          <w:tcPr>
            <w:tcW w:w="232" w:type="pct"/>
            <w:tcBorders>
              <w:top w:val="nil"/>
            </w:tcBorders>
            <w:noWrap/>
            <w:hideMark/>
          </w:tcPr>
          <w:p w14:paraId="0AC2F61B"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4.3</w:t>
            </w:r>
          </w:p>
        </w:tc>
        <w:tc>
          <w:tcPr>
            <w:tcW w:w="329" w:type="pct"/>
            <w:tcBorders>
              <w:top w:val="nil"/>
            </w:tcBorders>
            <w:noWrap/>
            <w:hideMark/>
          </w:tcPr>
          <w:p w14:paraId="74682A2B" w14:textId="74D65171"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39.2</w:t>
            </w:r>
            <w:r w:rsidR="00605047" w:rsidRPr="00395241">
              <w:rPr>
                <w:b w:val="0"/>
                <w:color w:val="auto"/>
                <w:sz w:val="16"/>
                <w:szCs w:val="16"/>
                <w:lang w:val="en-US"/>
              </w:rPr>
              <w:t xml:space="preserve"> </w:t>
            </w:r>
            <w:r w:rsidRPr="00395241">
              <w:rPr>
                <w:b w:val="0"/>
                <w:color w:val="auto"/>
                <w:sz w:val="16"/>
                <w:szCs w:val="16"/>
                <w:vertAlign w:val="superscript"/>
                <w:lang w:val="en-US"/>
              </w:rPr>
              <w:t>c</w:t>
            </w:r>
          </w:p>
        </w:tc>
        <w:tc>
          <w:tcPr>
            <w:tcW w:w="233" w:type="pct"/>
            <w:tcBorders>
              <w:top w:val="nil"/>
            </w:tcBorders>
            <w:noWrap/>
            <w:hideMark/>
          </w:tcPr>
          <w:p w14:paraId="5B26B4F2"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5.5</w:t>
            </w:r>
          </w:p>
        </w:tc>
        <w:tc>
          <w:tcPr>
            <w:tcW w:w="657" w:type="pct"/>
            <w:tcBorders>
              <w:top w:val="nil"/>
            </w:tcBorders>
            <w:noWrap/>
            <w:hideMark/>
          </w:tcPr>
          <w:p w14:paraId="76F89588" w14:textId="546589D0" w:rsidR="00363BF6" w:rsidRPr="00125DDE" w:rsidRDefault="00363BF6" w:rsidP="00FE4DB7">
            <w:pPr>
              <w:pStyle w:val="MDPI42tablebody"/>
              <w:spacing w:line="240" w:lineRule="auto"/>
              <w:rPr>
                <w:bCs/>
                <w:color w:val="auto"/>
                <w:sz w:val="16"/>
                <w:szCs w:val="16"/>
                <w:lang w:val="en-US"/>
              </w:rPr>
            </w:pPr>
            <w:r w:rsidRPr="00125DDE">
              <w:rPr>
                <w:bCs/>
                <w:color w:val="auto"/>
                <w:sz w:val="16"/>
                <w:szCs w:val="16"/>
                <w:lang w:val="en-US"/>
              </w:rPr>
              <w:t>&lt;0.001</w:t>
            </w:r>
          </w:p>
        </w:tc>
      </w:tr>
      <w:tr w:rsidR="00A503A4" w:rsidRPr="00395241" w14:paraId="785FC79B" w14:textId="77777777" w:rsidTr="00ED0ECD">
        <w:tc>
          <w:tcPr>
            <w:tcW w:w="900" w:type="pct"/>
            <w:noWrap/>
            <w:hideMark/>
          </w:tcPr>
          <w:p w14:paraId="035A1DB3" w14:textId="2FDD3354" w:rsidR="00363BF6" w:rsidRPr="00125DDE" w:rsidRDefault="00B33DF0" w:rsidP="00FE4DB7">
            <w:pPr>
              <w:pStyle w:val="MDPI42tablebody"/>
              <w:spacing w:line="240" w:lineRule="auto"/>
              <w:rPr>
                <w:b w:val="0"/>
                <w:color w:val="auto"/>
                <w:sz w:val="16"/>
                <w:szCs w:val="16"/>
                <w:lang w:val="en-US"/>
              </w:rPr>
            </w:pPr>
            <w:r w:rsidRPr="00125DDE">
              <w:rPr>
                <w:b w:val="0"/>
                <w:color w:val="auto"/>
                <w:sz w:val="16"/>
                <w:szCs w:val="16"/>
                <w:lang w:val="en-US"/>
              </w:rPr>
              <w:t>9 months</w:t>
            </w:r>
          </w:p>
        </w:tc>
        <w:tc>
          <w:tcPr>
            <w:tcW w:w="832" w:type="pct"/>
            <w:gridSpan w:val="2"/>
          </w:tcPr>
          <w:p w14:paraId="333201A4"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w:t>
            </w:r>
          </w:p>
        </w:tc>
        <w:tc>
          <w:tcPr>
            <w:tcW w:w="235" w:type="pct"/>
            <w:noWrap/>
            <w:hideMark/>
          </w:tcPr>
          <w:p w14:paraId="2075D176"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36.9</w:t>
            </w:r>
          </w:p>
        </w:tc>
        <w:tc>
          <w:tcPr>
            <w:tcW w:w="750" w:type="pct"/>
            <w:noWrap/>
            <w:hideMark/>
          </w:tcPr>
          <w:p w14:paraId="62F17062"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5.7</w:t>
            </w:r>
          </w:p>
        </w:tc>
        <w:tc>
          <w:tcPr>
            <w:tcW w:w="292" w:type="pct"/>
            <w:noWrap/>
            <w:hideMark/>
          </w:tcPr>
          <w:p w14:paraId="63715B9B" w14:textId="6345625A"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38.5</w:t>
            </w:r>
            <w:r w:rsidR="00653FBB" w:rsidRPr="00395241">
              <w:rPr>
                <w:b w:val="0"/>
                <w:color w:val="auto"/>
                <w:sz w:val="16"/>
                <w:szCs w:val="16"/>
                <w:lang w:val="en-US"/>
              </w:rPr>
              <w:t xml:space="preserve"> </w:t>
            </w:r>
            <w:r w:rsidRPr="00395241">
              <w:rPr>
                <w:b w:val="0"/>
                <w:color w:val="auto"/>
                <w:sz w:val="16"/>
                <w:szCs w:val="16"/>
                <w:vertAlign w:val="superscript"/>
                <w:lang w:val="en-US"/>
              </w:rPr>
              <w:t>a</w:t>
            </w:r>
          </w:p>
        </w:tc>
        <w:tc>
          <w:tcPr>
            <w:tcW w:w="211" w:type="pct"/>
            <w:noWrap/>
            <w:hideMark/>
          </w:tcPr>
          <w:p w14:paraId="0ED43AC1"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5.1</w:t>
            </w:r>
          </w:p>
        </w:tc>
        <w:tc>
          <w:tcPr>
            <w:tcW w:w="329" w:type="pct"/>
            <w:noWrap/>
            <w:hideMark/>
          </w:tcPr>
          <w:p w14:paraId="7EDEB1BC" w14:textId="0E4BE350"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41.7</w:t>
            </w:r>
            <w:r w:rsidR="00605047" w:rsidRPr="00395241">
              <w:rPr>
                <w:b w:val="0"/>
                <w:color w:val="auto"/>
                <w:sz w:val="16"/>
                <w:szCs w:val="16"/>
                <w:lang w:val="en-US"/>
              </w:rPr>
              <w:t xml:space="preserve"> </w:t>
            </w:r>
            <w:r w:rsidRPr="00395241">
              <w:rPr>
                <w:b w:val="0"/>
                <w:color w:val="auto"/>
                <w:sz w:val="16"/>
                <w:szCs w:val="16"/>
                <w:vertAlign w:val="superscript"/>
                <w:lang w:val="en-US"/>
              </w:rPr>
              <w:t>b</w:t>
            </w:r>
          </w:p>
        </w:tc>
        <w:tc>
          <w:tcPr>
            <w:tcW w:w="232" w:type="pct"/>
            <w:noWrap/>
            <w:hideMark/>
          </w:tcPr>
          <w:p w14:paraId="40557F45"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5.6</w:t>
            </w:r>
          </w:p>
        </w:tc>
        <w:tc>
          <w:tcPr>
            <w:tcW w:w="329" w:type="pct"/>
            <w:noWrap/>
            <w:hideMark/>
          </w:tcPr>
          <w:p w14:paraId="2B004B37" w14:textId="4E5E276C"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35.6</w:t>
            </w:r>
            <w:r w:rsidR="00605047" w:rsidRPr="00395241">
              <w:rPr>
                <w:b w:val="0"/>
                <w:color w:val="auto"/>
                <w:sz w:val="16"/>
                <w:szCs w:val="16"/>
                <w:lang w:val="en-US"/>
              </w:rPr>
              <w:t xml:space="preserve"> </w:t>
            </w:r>
            <w:r w:rsidRPr="00395241">
              <w:rPr>
                <w:b w:val="0"/>
                <w:color w:val="auto"/>
                <w:sz w:val="16"/>
                <w:szCs w:val="16"/>
                <w:vertAlign w:val="superscript"/>
                <w:lang w:val="en-US"/>
              </w:rPr>
              <w:t>c</w:t>
            </w:r>
          </w:p>
        </w:tc>
        <w:tc>
          <w:tcPr>
            <w:tcW w:w="233" w:type="pct"/>
            <w:noWrap/>
            <w:hideMark/>
          </w:tcPr>
          <w:p w14:paraId="45524BF4"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5.1</w:t>
            </w:r>
          </w:p>
        </w:tc>
        <w:tc>
          <w:tcPr>
            <w:tcW w:w="657" w:type="pct"/>
            <w:noWrap/>
            <w:hideMark/>
          </w:tcPr>
          <w:p w14:paraId="0138BAB8" w14:textId="3C775BC6" w:rsidR="00363BF6" w:rsidRPr="00125DDE" w:rsidRDefault="00363BF6" w:rsidP="00FE4DB7">
            <w:pPr>
              <w:pStyle w:val="MDPI42tablebody"/>
              <w:spacing w:line="240" w:lineRule="auto"/>
              <w:rPr>
                <w:bCs/>
                <w:color w:val="auto"/>
                <w:sz w:val="16"/>
                <w:szCs w:val="16"/>
                <w:lang w:val="en-US"/>
              </w:rPr>
            </w:pPr>
            <w:r w:rsidRPr="00125DDE">
              <w:rPr>
                <w:bCs/>
                <w:color w:val="auto"/>
                <w:sz w:val="16"/>
                <w:szCs w:val="16"/>
                <w:lang w:val="en-US"/>
              </w:rPr>
              <w:t>&lt;0.001</w:t>
            </w:r>
          </w:p>
        </w:tc>
      </w:tr>
      <w:tr w:rsidR="00A503A4" w:rsidRPr="00395241" w14:paraId="1516F6B9" w14:textId="77777777" w:rsidTr="00ED0ECD">
        <w:tc>
          <w:tcPr>
            <w:tcW w:w="900" w:type="pct"/>
            <w:tcBorders>
              <w:bottom w:val="single" w:sz="4" w:space="0" w:color="auto"/>
            </w:tcBorders>
            <w:noWrap/>
            <w:hideMark/>
          </w:tcPr>
          <w:p w14:paraId="0D79904E" w14:textId="706DFE67" w:rsidR="00363BF6" w:rsidRPr="00125DDE" w:rsidRDefault="00B33DF0" w:rsidP="00FE4DB7">
            <w:pPr>
              <w:pStyle w:val="MDPI42tablebody"/>
              <w:spacing w:line="240" w:lineRule="auto"/>
              <w:rPr>
                <w:b w:val="0"/>
                <w:color w:val="auto"/>
                <w:sz w:val="16"/>
                <w:szCs w:val="16"/>
                <w:lang w:val="en-US"/>
              </w:rPr>
            </w:pPr>
            <w:r w:rsidRPr="00125DDE">
              <w:rPr>
                <w:b w:val="0"/>
                <w:color w:val="auto"/>
                <w:sz w:val="16"/>
                <w:szCs w:val="16"/>
                <w:lang w:val="en-US"/>
              </w:rPr>
              <w:t>12 months</w:t>
            </w:r>
          </w:p>
        </w:tc>
        <w:tc>
          <w:tcPr>
            <w:tcW w:w="832" w:type="pct"/>
            <w:gridSpan w:val="2"/>
            <w:tcBorders>
              <w:bottom w:val="single" w:sz="4" w:space="0" w:color="auto"/>
            </w:tcBorders>
          </w:tcPr>
          <w:p w14:paraId="0BA1BD42" w14:textId="075C4A8C"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3</w:t>
            </w:r>
            <w:r w:rsidR="00780698" w:rsidRPr="00395241">
              <w:rPr>
                <w:b w:val="0"/>
                <w:color w:val="auto"/>
                <w:sz w:val="16"/>
                <w:szCs w:val="16"/>
                <w:lang w:val="en-US"/>
              </w:rPr>
              <w:t>0–4</w:t>
            </w:r>
            <w:r w:rsidRPr="00395241">
              <w:rPr>
                <w:b w:val="0"/>
                <w:color w:val="auto"/>
                <w:sz w:val="16"/>
                <w:szCs w:val="16"/>
                <w:lang w:val="en-US"/>
              </w:rPr>
              <w:t>0</w:t>
            </w:r>
          </w:p>
        </w:tc>
        <w:tc>
          <w:tcPr>
            <w:tcW w:w="235" w:type="pct"/>
            <w:tcBorders>
              <w:bottom w:val="single" w:sz="4" w:space="0" w:color="auto"/>
            </w:tcBorders>
            <w:noWrap/>
            <w:hideMark/>
          </w:tcPr>
          <w:p w14:paraId="56E633F0"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34.6</w:t>
            </w:r>
          </w:p>
        </w:tc>
        <w:tc>
          <w:tcPr>
            <w:tcW w:w="750" w:type="pct"/>
            <w:tcBorders>
              <w:bottom w:val="single" w:sz="4" w:space="0" w:color="auto"/>
            </w:tcBorders>
            <w:noWrap/>
            <w:hideMark/>
          </w:tcPr>
          <w:p w14:paraId="58636969"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7.5</w:t>
            </w:r>
          </w:p>
        </w:tc>
        <w:tc>
          <w:tcPr>
            <w:tcW w:w="292" w:type="pct"/>
            <w:tcBorders>
              <w:bottom w:val="single" w:sz="4" w:space="0" w:color="auto"/>
            </w:tcBorders>
            <w:noWrap/>
            <w:hideMark/>
          </w:tcPr>
          <w:p w14:paraId="78CFB835" w14:textId="7DD14DA8"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42.1</w:t>
            </w:r>
            <w:r w:rsidR="00653FBB" w:rsidRPr="00395241">
              <w:rPr>
                <w:b w:val="0"/>
                <w:color w:val="auto"/>
                <w:sz w:val="16"/>
                <w:szCs w:val="16"/>
                <w:lang w:val="en-US"/>
              </w:rPr>
              <w:t xml:space="preserve"> </w:t>
            </w:r>
            <w:r w:rsidRPr="00395241">
              <w:rPr>
                <w:b w:val="0"/>
                <w:color w:val="auto"/>
                <w:sz w:val="16"/>
                <w:szCs w:val="16"/>
                <w:vertAlign w:val="superscript"/>
                <w:lang w:val="en-US"/>
              </w:rPr>
              <w:t>a</w:t>
            </w:r>
          </w:p>
        </w:tc>
        <w:tc>
          <w:tcPr>
            <w:tcW w:w="211" w:type="pct"/>
            <w:tcBorders>
              <w:bottom w:val="single" w:sz="4" w:space="0" w:color="auto"/>
            </w:tcBorders>
            <w:noWrap/>
            <w:hideMark/>
          </w:tcPr>
          <w:p w14:paraId="53DACC01"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9.0</w:t>
            </w:r>
          </w:p>
        </w:tc>
        <w:tc>
          <w:tcPr>
            <w:tcW w:w="329" w:type="pct"/>
            <w:tcBorders>
              <w:bottom w:val="single" w:sz="4" w:space="0" w:color="auto"/>
            </w:tcBorders>
            <w:noWrap/>
            <w:hideMark/>
          </w:tcPr>
          <w:p w14:paraId="0BD11ADB" w14:textId="28A79D68"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41.5</w:t>
            </w:r>
            <w:r w:rsidR="00605047" w:rsidRPr="00395241">
              <w:rPr>
                <w:b w:val="0"/>
                <w:color w:val="auto"/>
                <w:sz w:val="16"/>
                <w:szCs w:val="16"/>
                <w:lang w:val="en-US"/>
              </w:rPr>
              <w:t xml:space="preserve"> </w:t>
            </w:r>
            <w:r w:rsidRPr="00395241">
              <w:rPr>
                <w:b w:val="0"/>
                <w:color w:val="auto"/>
                <w:sz w:val="16"/>
                <w:szCs w:val="16"/>
                <w:vertAlign w:val="superscript"/>
                <w:lang w:val="en-US"/>
              </w:rPr>
              <w:t>a</w:t>
            </w:r>
          </w:p>
        </w:tc>
        <w:tc>
          <w:tcPr>
            <w:tcW w:w="232" w:type="pct"/>
            <w:tcBorders>
              <w:bottom w:val="single" w:sz="4" w:space="0" w:color="auto"/>
            </w:tcBorders>
            <w:noWrap/>
            <w:hideMark/>
          </w:tcPr>
          <w:p w14:paraId="70000AE3"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7.0</w:t>
            </w:r>
          </w:p>
        </w:tc>
        <w:tc>
          <w:tcPr>
            <w:tcW w:w="329" w:type="pct"/>
            <w:tcBorders>
              <w:bottom w:val="single" w:sz="4" w:space="0" w:color="auto"/>
            </w:tcBorders>
            <w:noWrap/>
            <w:hideMark/>
          </w:tcPr>
          <w:p w14:paraId="4CAEA3AB" w14:textId="38814940"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32.8</w:t>
            </w:r>
            <w:r w:rsidR="00605047" w:rsidRPr="00395241">
              <w:rPr>
                <w:b w:val="0"/>
                <w:color w:val="auto"/>
                <w:sz w:val="16"/>
                <w:szCs w:val="16"/>
                <w:lang w:val="en-US"/>
              </w:rPr>
              <w:t xml:space="preserve"> </w:t>
            </w:r>
            <w:r w:rsidRPr="00395241">
              <w:rPr>
                <w:b w:val="0"/>
                <w:color w:val="auto"/>
                <w:sz w:val="16"/>
                <w:szCs w:val="16"/>
                <w:vertAlign w:val="superscript"/>
                <w:lang w:val="en-US"/>
              </w:rPr>
              <w:t>b</w:t>
            </w:r>
          </w:p>
        </w:tc>
        <w:tc>
          <w:tcPr>
            <w:tcW w:w="233" w:type="pct"/>
            <w:tcBorders>
              <w:bottom w:val="single" w:sz="4" w:space="0" w:color="auto"/>
            </w:tcBorders>
            <w:noWrap/>
            <w:hideMark/>
          </w:tcPr>
          <w:p w14:paraId="62C9C50A"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6.3</w:t>
            </w:r>
          </w:p>
        </w:tc>
        <w:tc>
          <w:tcPr>
            <w:tcW w:w="657" w:type="pct"/>
            <w:tcBorders>
              <w:bottom w:val="single" w:sz="4" w:space="0" w:color="auto"/>
            </w:tcBorders>
            <w:noWrap/>
            <w:hideMark/>
          </w:tcPr>
          <w:p w14:paraId="7198FC61" w14:textId="2F801088" w:rsidR="00363BF6" w:rsidRPr="00125DDE" w:rsidRDefault="00363BF6" w:rsidP="00FE4DB7">
            <w:pPr>
              <w:pStyle w:val="MDPI42tablebody"/>
              <w:spacing w:line="240" w:lineRule="auto"/>
              <w:rPr>
                <w:bCs/>
                <w:color w:val="auto"/>
                <w:sz w:val="16"/>
                <w:szCs w:val="16"/>
                <w:lang w:val="en-US"/>
              </w:rPr>
            </w:pPr>
            <w:r w:rsidRPr="00125DDE">
              <w:rPr>
                <w:bCs/>
                <w:color w:val="auto"/>
                <w:sz w:val="16"/>
                <w:szCs w:val="16"/>
                <w:lang w:val="en-US"/>
              </w:rPr>
              <w:t>&lt;0.001</w:t>
            </w:r>
          </w:p>
        </w:tc>
      </w:tr>
      <w:tr w:rsidR="00A503A4" w:rsidRPr="00395241" w14:paraId="784B380A" w14:textId="77777777" w:rsidTr="00ED0ECD">
        <w:tc>
          <w:tcPr>
            <w:tcW w:w="900" w:type="pct"/>
            <w:tcBorders>
              <w:top w:val="single" w:sz="4" w:space="0" w:color="auto"/>
              <w:bottom w:val="nil"/>
            </w:tcBorders>
            <w:noWrap/>
          </w:tcPr>
          <w:p w14:paraId="2D03D6D3" w14:textId="77777777" w:rsidR="00142D09" w:rsidRPr="00395241" w:rsidRDefault="00142D09" w:rsidP="00FE4DB7">
            <w:pPr>
              <w:pStyle w:val="MDPI42tablebody"/>
              <w:spacing w:line="240" w:lineRule="auto"/>
              <w:rPr>
                <w:color w:val="auto"/>
                <w:sz w:val="16"/>
                <w:szCs w:val="16"/>
                <w:lang w:val="en-US"/>
              </w:rPr>
            </w:pPr>
            <w:r w:rsidRPr="00395241">
              <w:rPr>
                <w:bCs/>
                <w:color w:val="auto"/>
                <w:sz w:val="16"/>
                <w:szCs w:val="16"/>
                <w:lang w:val="en-US"/>
              </w:rPr>
              <w:t>Carbohydrate (% TE)</w:t>
            </w:r>
          </w:p>
        </w:tc>
        <w:tc>
          <w:tcPr>
            <w:tcW w:w="832" w:type="pct"/>
            <w:gridSpan w:val="2"/>
            <w:tcBorders>
              <w:top w:val="single" w:sz="4" w:space="0" w:color="auto"/>
              <w:bottom w:val="nil"/>
            </w:tcBorders>
          </w:tcPr>
          <w:p w14:paraId="0755184D" w14:textId="563B7E41" w:rsidR="00142D09" w:rsidRPr="00395241" w:rsidRDefault="00142D09" w:rsidP="00FE4DB7">
            <w:pPr>
              <w:pStyle w:val="MDPI42tablebody"/>
              <w:spacing w:line="240" w:lineRule="auto"/>
              <w:rPr>
                <w:b w:val="0"/>
                <w:color w:val="auto"/>
                <w:sz w:val="16"/>
                <w:szCs w:val="16"/>
                <w:lang w:val="en-US"/>
              </w:rPr>
            </w:pPr>
            <w:r w:rsidRPr="00395241">
              <w:rPr>
                <w:b w:val="0"/>
                <w:color w:val="auto"/>
                <w:sz w:val="16"/>
                <w:szCs w:val="16"/>
                <w:lang w:val="en-US"/>
              </w:rPr>
              <w:t xml:space="preserve">AMDR (IOM) </w:t>
            </w:r>
            <w:r w:rsidRPr="00395241">
              <w:rPr>
                <w:b w:val="0"/>
                <w:color w:val="auto"/>
                <w:sz w:val="16"/>
                <w:szCs w:val="16"/>
                <w:shd w:val="clear" w:color="auto" w:fill="FFFFFF"/>
                <w:vertAlign w:val="superscript"/>
                <w:lang w:val="en-US"/>
              </w:rPr>
              <w:t>†</w:t>
            </w:r>
          </w:p>
        </w:tc>
        <w:tc>
          <w:tcPr>
            <w:tcW w:w="3268" w:type="pct"/>
            <w:gridSpan w:val="9"/>
            <w:tcBorders>
              <w:top w:val="single" w:sz="4" w:space="0" w:color="auto"/>
              <w:bottom w:val="nil"/>
            </w:tcBorders>
            <w:noWrap/>
          </w:tcPr>
          <w:p w14:paraId="2BFBDC9D" w14:textId="77777777" w:rsidR="00142D09" w:rsidRPr="00395241" w:rsidRDefault="00142D09" w:rsidP="00FE4DB7">
            <w:pPr>
              <w:pStyle w:val="MDPI42tablebody"/>
              <w:spacing w:line="240" w:lineRule="auto"/>
              <w:rPr>
                <w:b w:val="0"/>
                <w:bCs/>
                <w:color w:val="auto"/>
                <w:sz w:val="16"/>
                <w:szCs w:val="16"/>
                <w:lang w:val="en-US"/>
              </w:rPr>
            </w:pPr>
          </w:p>
        </w:tc>
      </w:tr>
      <w:tr w:rsidR="00A503A4" w:rsidRPr="00395241" w14:paraId="51D4AAD5" w14:textId="77777777" w:rsidTr="00ED0ECD">
        <w:tc>
          <w:tcPr>
            <w:tcW w:w="900" w:type="pct"/>
            <w:tcBorders>
              <w:top w:val="nil"/>
            </w:tcBorders>
            <w:noWrap/>
          </w:tcPr>
          <w:p w14:paraId="78B1E2FF" w14:textId="77777777" w:rsidR="00363BF6" w:rsidRPr="00125DDE" w:rsidRDefault="00363BF6" w:rsidP="00FE4DB7">
            <w:pPr>
              <w:pStyle w:val="MDPI42tablebody"/>
              <w:spacing w:line="240" w:lineRule="auto"/>
              <w:rPr>
                <w:b w:val="0"/>
                <w:color w:val="auto"/>
                <w:sz w:val="16"/>
                <w:szCs w:val="16"/>
                <w:lang w:val="en-US"/>
              </w:rPr>
            </w:pPr>
            <w:r w:rsidRPr="00125DDE">
              <w:rPr>
                <w:b w:val="0"/>
                <w:color w:val="auto"/>
                <w:sz w:val="16"/>
                <w:szCs w:val="16"/>
                <w:lang w:val="en-US"/>
              </w:rPr>
              <w:t>6 months</w:t>
            </w:r>
          </w:p>
        </w:tc>
        <w:tc>
          <w:tcPr>
            <w:tcW w:w="832" w:type="pct"/>
            <w:gridSpan w:val="2"/>
            <w:tcBorders>
              <w:top w:val="nil"/>
            </w:tcBorders>
          </w:tcPr>
          <w:p w14:paraId="5B5E4B25"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w:t>
            </w:r>
          </w:p>
        </w:tc>
        <w:tc>
          <w:tcPr>
            <w:tcW w:w="235" w:type="pct"/>
            <w:tcBorders>
              <w:top w:val="nil"/>
            </w:tcBorders>
            <w:noWrap/>
          </w:tcPr>
          <w:p w14:paraId="4B75A3AE"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48.1</w:t>
            </w:r>
          </w:p>
        </w:tc>
        <w:tc>
          <w:tcPr>
            <w:tcW w:w="750" w:type="pct"/>
            <w:tcBorders>
              <w:top w:val="nil"/>
            </w:tcBorders>
            <w:noWrap/>
          </w:tcPr>
          <w:p w14:paraId="7B1530DC"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5.3</w:t>
            </w:r>
          </w:p>
        </w:tc>
        <w:tc>
          <w:tcPr>
            <w:tcW w:w="292" w:type="pct"/>
            <w:tcBorders>
              <w:top w:val="nil"/>
            </w:tcBorders>
            <w:noWrap/>
          </w:tcPr>
          <w:p w14:paraId="77006247" w14:textId="02251930"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43.1</w:t>
            </w:r>
            <w:r w:rsidR="00653FBB" w:rsidRPr="00395241">
              <w:rPr>
                <w:b w:val="0"/>
                <w:color w:val="auto"/>
                <w:sz w:val="16"/>
                <w:szCs w:val="16"/>
                <w:lang w:val="en-US"/>
              </w:rPr>
              <w:t xml:space="preserve"> </w:t>
            </w:r>
            <w:r w:rsidRPr="00395241">
              <w:rPr>
                <w:b w:val="0"/>
                <w:color w:val="auto"/>
                <w:sz w:val="16"/>
                <w:szCs w:val="16"/>
                <w:vertAlign w:val="superscript"/>
                <w:lang w:val="en-US"/>
              </w:rPr>
              <w:t>a</w:t>
            </w:r>
          </w:p>
        </w:tc>
        <w:tc>
          <w:tcPr>
            <w:tcW w:w="211" w:type="pct"/>
            <w:tcBorders>
              <w:top w:val="nil"/>
            </w:tcBorders>
            <w:noWrap/>
          </w:tcPr>
          <w:p w14:paraId="64C72F75"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2.8</w:t>
            </w:r>
          </w:p>
        </w:tc>
        <w:tc>
          <w:tcPr>
            <w:tcW w:w="329" w:type="pct"/>
            <w:tcBorders>
              <w:top w:val="nil"/>
            </w:tcBorders>
            <w:noWrap/>
          </w:tcPr>
          <w:p w14:paraId="48748A79" w14:textId="34C111D2"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46.4</w:t>
            </w:r>
            <w:r w:rsidR="00605047" w:rsidRPr="00395241">
              <w:rPr>
                <w:b w:val="0"/>
                <w:color w:val="auto"/>
                <w:sz w:val="16"/>
                <w:szCs w:val="16"/>
                <w:lang w:val="en-US"/>
              </w:rPr>
              <w:t xml:space="preserve"> </w:t>
            </w:r>
            <w:r w:rsidRPr="00395241">
              <w:rPr>
                <w:b w:val="0"/>
                <w:color w:val="auto"/>
                <w:sz w:val="16"/>
                <w:szCs w:val="16"/>
                <w:vertAlign w:val="superscript"/>
                <w:lang w:val="en-US"/>
              </w:rPr>
              <w:t>b</w:t>
            </w:r>
          </w:p>
        </w:tc>
        <w:tc>
          <w:tcPr>
            <w:tcW w:w="232" w:type="pct"/>
            <w:tcBorders>
              <w:top w:val="nil"/>
            </w:tcBorders>
            <w:noWrap/>
          </w:tcPr>
          <w:p w14:paraId="39F11E2C"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3.7</w:t>
            </w:r>
          </w:p>
        </w:tc>
        <w:tc>
          <w:tcPr>
            <w:tcW w:w="329" w:type="pct"/>
            <w:tcBorders>
              <w:top w:val="nil"/>
            </w:tcBorders>
            <w:noWrap/>
          </w:tcPr>
          <w:p w14:paraId="721F4C22" w14:textId="239D5A18"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50.0</w:t>
            </w:r>
            <w:r w:rsidR="00605047" w:rsidRPr="00395241">
              <w:rPr>
                <w:b w:val="0"/>
                <w:color w:val="auto"/>
                <w:sz w:val="16"/>
                <w:szCs w:val="16"/>
                <w:lang w:val="en-US"/>
              </w:rPr>
              <w:t xml:space="preserve"> </w:t>
            </w:r>
            <w:r w:rsidRPr="00395241">
              <w:rPr>
                <w:b w:val="0"/>
                <w:color w:val="auto"/>
                <w:sz w:val="16"/>
                <w:szCs w:val="16"/>
                <w:vertAlign w:val="superscript"/>
                <w:lang w:val="en-US"/>
              </w:rPr>
              <w:t>c</w:t>
            </w:r>
          </w:p>
        </w:tc>
        <w:tc>
          <w:tcPr>
            <w:tcW w:w="233" w:type="pct"/>
            <w:tcBorders>
              <w:top w:val="nil"/>
            </w:tcBorders>
            <w:noWrap/>
          </w:tcPr>
          <w:p w14:paraId="35B89F80"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5.2</w:t>
            </w:r>
          </w:p>
        </w:tc>
        <w:tc>
          <w:tcPr>
            <w:tcW w:w="657" w:type="pct"/>
            <w:tcBorders>
              <w:top w:val="nil"/>
            </w:tcBorders>
            <w:noWrap/>
          </w:tcPr>
          <w:p w14:paraId="06CBC1C1" w14:textId="2F129CCB" w:rsidR="00363BF6" w:rsidRPr="00125DDE" w:rsidRDefault="00363BF6" w:rsidP="00FE4DB7">
            <w:pPr>
              <w:pStyle w:val="MDPI42tablebody"/>
              <w:spacing w:line="240" w:lineRule="auto"/>
              <w:rPr>
                <w:bCs/>
                <w:color w:val="auto"/>
                <w:sz w:val="16"/>
                <w:szCs w:val="16"/>
                <w:lang w:val="en-US"/>
              </w:rPr>
            </w:pPr>
            <w:r w:rsidRPr="00125DDE">
              <w:rPr>
                <w:bCs/>
                <w:color w:val="auto"/>
                <w:sz w:val="16"/>
                <w:szCs w:val="16"/>
                <w:lang w:val="en-US"/>
              </w:rPr>
              <w:t>&lt;0.001</w:t>
            </w:r>
          </w:p>
        </w:tc>
      </w:tr>
      <w:tr w:rsidR="00A503A4" w:rsidRPr="00395241" w14:paraId="0EABF602" w14:textId="77777777" w:rsidTr="00ED0ECD">
        <w:tc>
          <w:tcPr>
            <w:tcW w:w="900" w:type="pct"/>
            <w:noWrap/>
          </w:tcPr>
          <w:p w14:paraId="66AA7D2D" w14:textId="73D7C92F" w:rsidR="00363BF6" w:rsidRPr="00125DDE" w:rsidRDefault="00B33DF0" w:rsidP="00FE4DB7">
            <w:pPr>
              <w:pStyle w:val="MDPI42tablebody"/>
              <w:spacing w:line="240" w:lineRule="auto"/>
              <w:rPr>
                <w:b w:val="0"/>
                <w:color w:val="auto"/>
                <w:sz w:val="16"/>
                <w:szCs w:val="16"/>
                <w:lang w:val="en-US"/>
              </w:rPr>
            </w:pPr>
            <w:r w:rsidRPr="00125DDE">
              <w:rPr>
                <w:b w:val="0"/>
                <w:color w:val="auto"/>
                <w:sz w:val="16"/>
                <w:szCs w:val="16"/>
                <w:lang w:val="en-US"/>
              </w:rPr>
              <w:t>9 months</w:t>
            </w:r>
          </w:p>
        </w:tc>
        <w:tc>
          <w:tcPr>
            <w:tcW w:w="832" w:type="pct"/>
            <w:gridSpan w:val="2"/>
          </w:tcPr>
          <w:p w14:paraId="35911259"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w:t>
            </w:r>
          </w:p>
        </w:tc>
        <w:tc>
          <w:tcPr>
            <w:tcW w:w="235" w:type="pct"/>
            <w:noWrap/>
          </w:tcPr>
          <w:p w14:paraId="1979A27F"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50.0</w:t>
            </w:r>
          </w:p>
        </w:tc>
        <w:tc>
          <w:tcPr>
            <w:tcW w:w="750" w:type="pct"/>
            <w:noWrap/>
          </w:tcPr>
          <w:p w14:paraId="6A5BA485"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5.7</w:t>
            </w:r>
          </w:p>
        </w:tc>
        <w:tc>
          <w:tcPr>
            <w:tcW w:w="292" w:type="pct"/>
            <w:noWrap/>
          </w:tcPr>
          <w:p w14:paraId="58C37FF8" w14:textId="266B8CFC"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51.0</w:t>
            </w:r>
            <w:r w:rsidR="00653FBB" w:rsidRPr="00395241">
              <w:rPr>
                <w:b w:val="0"/>
                <w:color w:val="auto"/>
                <w:sz w:val="16"/>
                <w:szCs w:val="16"/>
                <w:lang w:val="en-US"/>
              </w:rPr>
              <w:t xml:space="preserve"> </w:t>
            </w:r>
            <w:r w:rsidRPr="00395241">
              <w:rPr>
                <w:b w:val="0"/>
                <w:color w:val="auto"/>
                <w:sz w:val="16"/>
                <w:szCs w:val="16"/>
                <w:vertAlign w:val="superscript"/>
                <w:lang w:val="en-US"/>
              </w:rPr>
              <w:t>a</w:t>
            </w:r>
          </w:p>
        </w:tc>
        <w:tc>
          <w:tcPr>
            <w:tcW w:w="211" w:type="pct"/>
            <w:noWrap/>
          </w:tcPr>
          <w:p w14:paraId="5F113E62"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5.3</w:t>
            </w:r>
          </w:p>
        </w:tc>
        <w:tc>
          <w:tcPr>
            <w:tcW w:w="329" w:type="pct"/>
            <w:noWrap/>
          </w:tcPr>
          <w:p w14:paraId="33932805" w14:textId="3795D78C"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46.7</w:t>
            </w:r>
            <w:r w:rsidR="00605047" w:rsidRPr="00395241">
              <w:rPr>
                <w:b w:val="0"/>
                <w:color w:val="auto"/>
                <w:sz w:val="16"/>
                <w:szCs w:val="16"/>
                <w:lang w:val="en-US"/>
              </w:rPr>
              <w:t xml:space="preserve"> </w:t>
            </w:r>
            <w:r w:rsidRPr="00395241">
              <w:rPr>
                <w:b w:val="0"/>
                <w:color w:val="auto"/>
                <w:sz w:val="16"/>
                <w:szCs w:val="16"/>
                <w:vertAlign w:val="superscript"/>
                <w:lang w:val="en-US"/>
              </w:rPr>
              <w:t>b</w:t>
            </w:r>
          </w:p>
        </w:tc>
        <w:tc>
          <w:tcPr>
            <w:tcW w:w="232" w:type="pct"/>
            <w:noWrap/>
          </w:tcPr>
          <w:p w14:paraId="2F73094E"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5.3</w:t>
            </w:r>
          </w:p>
        </w:tc>
        <w:tc>
          <w:tcPr>
            <w:tcW w:w="329" w:type="pct"/>
            <w:noWrap/>
          </w:tcPr>
          <w:p w14:paraId="6B38C5BB" w14:textId="3DD6B8AB"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50.6</w:t>
            </w:r>
            <w:r w:rsidR="00605047" w:rsidRPr="00395241">
              <w:rPr>
                <w:b w:val="0"/>
                <w:color w:val="auto"/>
                <w:sz w:val="16"/>
                <w:szCs w:val="16"/>
                <w:lang w:val="en-US"/>
              </w:rPr>
              <w:t xml:space="preserve"> </w:t>
            </w:r>
            <w:r w:rsidRPr="00395241">
              <w:rPr>
                <w:b w:val="0"/>
                <w:color w:val="auto"/>
                <w:sz w:val="16"/>
                <w:szCs w:val="16"/>
                <w:vertAlign w:val="superscript"/>
                <w:lang w:val="en-US"/>
              </w:rPr>
              <w:t>a</w:t>
            </w:r>
          </w:p>
        </w:tc>
        <w:tc>
          <w:tcPr>
            <w:tcW w:w="233" w:type="pct"/>
            <w:noWrap/>
          </w:tcPr>
          <w:p w14:paraId="7C069350"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5.5</w:t>
            </w:r>
          </w:p>
        </w:tc>
        <w:tc>
          <w:tcPr>
            <w:tcW w:w="657" w:type="pct"/>
            <w:noWrap/>
          </w:tcPr>
          <w:p w14:paraId="234E51FC" w14:textId="596783B0" w:rsidR="00363BF6" w:rsidRPr="00125DDE" w:rsidRDefault="00363BF6" w:rsidP="00FE4DB7">
            <w:pPr>
              <w:pStyle w:val="MDPI42tablebody"/>
              <w:spacing w:line="240" w:lineRule="auto"/>
              <w:rPr>
                <w:bCs/>
                <w:color w:val="auto"/>
                <w:sz w:val="16"/>
                <w:szCs w:val="16"/>
                <w:lang w:val="en-US"/>
              </w:rPr>
            </w:pPr>
            <w:r w:rsidRPr="00125DDE">
              <w:rPr>
                <w:bCs/>
                <w:color w:val="auto"/>
                <w:sz w:val="16"/>
                <w:szCs w:val="16"/>
                <w:lang w:val="en-US"/>
              </w:rPr>
              <w:t>&lt;0.001</w:t>
            </w:r>
          </w:p>
        </w:tc>
      </w:tr>
      <w:tr w:rsidR="00A503A4" w:rsidRPr="00395241" w14:paraId="5B1EB06D" w14:textId="77777777" w:rsidTr="00ED0ECD">
        <w:tc>
          <w:tcPr>
            <w:tcW w:w="900" w:type="pct"/>
            <w:noWrap/>
          </w:tcPr>
          <w:p w14:paraId="76096CCF" w14:textId="4F5575E5" w:rsidR="00363BF6" w:rsidRPr="00125DDE" w:rsidRDefault="00B33DF0" w:rsidP="00FE4DB7">
            <w:pPr>
              <w:pStyle w:val="MDPI42tablebody"/>
              <w:spacing w:line="240" w:lineRule="auto"/>
              <w:rPr>
                <w:b w:val="0"/>
                <w:color w:val="auto"/>
                <w:sz w:val="16"/>
                <w:szCs w:val="16"/>
                <w:lang w:val="en-US"/>
              </w:rPr>
            </w:pPr>
            <w:r w:rsidRPr="00125DDE">
              <w:rPr>
                <w:b w:val="0"/>
                <w:color w:val="auto"/>
                <w:sz w:val="16"/>
                <w:szCs w:val="16"/>
                <w:lang w:val="en-US"/>
              </w:rPr>
              <w:t>12 months</w:t>
            </w:r>
          </w:p>
        </w:tc>
        <w:tc>
          <w:tcPr>
            <w:tcW w:w="832" w:type="pct"/>
            <w:gridSpan w:val="2"/>
          </w:tcPr>
          <w:p w14:paraId="62A04958" w14:textId="629BFED1"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4</w:t>
            </w:r>
            <w:r w:rsidR="00780698" w:rsidRPr="00395241">
              <w:rPr>
                <w:b w:val="0"/>
                <w:color w:val="auto"/>
                <w:sz w:val="16"/>
                <w:szCs w:val="16"/>
                <w:lang w:val="en-US"/>
              </w:rPr>
              <w:t>5–6</w:t>
            </w:r>
            <w:r w:rsidRPr="00395241">
              <w:rPr>
                <w:b w:val="0"/>
                <w:color w:val="auto"/>
                <w:sz w:val="16"/>
                <w:szCs w:val="16"/>
                <w:lang w:val="en-US"/>
              </w:rPr>
              <w:t>5</w:t>
            </w:r>
          </w:p>
        </w:tc>
        <w:tc>
          <w:tcPr>
            <w:tcW w:w="235" w:type="pct"/>
            <w:noWrap/>
          </w:tcPr>
          <w:p w14:paraId="3A2A9075"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50.9</w:t>
            </w:r>
          </w:p>
        </w:tc>
        <w:tc>
          <w:tcPr>
            <w:tcW w:w="750" w:type="pct"/>
            <w:noWrap/>
          </w:tcPr>
          <w:p w14:paraId="0DF4AA07"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7.6</w:t>
            </w:r>
          </w:p>
        </w:tc>
        <w:tc>
          <w:tcPr>
            <w:tcW w:w="292" w:type="pct"/>
            <w:noWrap/>
          </w:tcPr>
          <w:p w14:paraId="7E2B99FE" w14:textId="5B3C8DD9"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47.0</w:t>
            </w:r>
            <w:r w:rsidR="00653FBB" w:rsidRPr="00395241">
              <w:rPr>
                <w:b w:val="0"/>
                <w:color w:val="auto"/>
                <w:sz w:val="16"/>
                <w:szCs w:val="16"/>
                <w:lang w:val="en-US"/>
              </w:rPr>
              <w:t xml:space="preserve"> </w:t>
            </w:r>
            <w:r w:rsidRPr="00395241">
              <w:rPr>
                <w:b w:val="0"/>
                <w:color w:val="auto"/>
                <w:sz w:val="16"/>
                <w:szCs w:val="16"/>
                <w:vertAlign w:val="superscript"/>
                <w:lang w:val="en-US"/>
              </w:rPr>
              <w:t>a</w:t>
            </w:r>
          </w:p>
        </w:tc>
        <w:tc>
          <w:tcPr>
            <w:tcW w:w="211" w:type="pct"/>
            <w:noWrap/>
          </w:tcPr>
          <w:p w14:paraId="69BFA21A"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8.1</w:t>
            </w:r>
          </w:p>
        </w:tc>
        <w:tc>
          <w:tcPr>
            <w:tcW w:w="329" w:type="pct"/>
            <w:noWrap/>
          </w:tcPr>
          <w:p w14:paraId="77BAB0F5" w14:textId="2ED4D32A"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46.0</w:t>
            </w:r>
            <w:r w:rsidR="00605047" w:rsidRPr="00395241">
              <w:rPr>
                <w:b w:val="0"/>
                <w:color w:val="auto"/>
                <w:sz w:val="16"/>
                <w:szCs w:val="16"/>
                <w:lang w:val="en-US"/>
              </w:rPr>
              <w:t xml:space="preserve"> </w:t>
            </w:r>
            <w:r w:rsidRPr="00395241">
              <w:rPr>
                <w:b w:val="0"/>
                <w:color w:val="auto"/>
                <w:sz w:val="16"/>
                <w:szCs w:val="16"/>
                <w:vertAlign w:val="superscript"/>
                <w:lang w:val="en-US"/>
              </w:rPr>
              <w:t>a</w:t>
            </w:r>
          </w:p>
        </w:tc>
        <w:tc>
          <w:tcPr>
            <w:tcW w:w="232" w:type="pct"/>
            <w:noWrap/>
          </w:tcPr>
          <w:p w14:paraId="5023AE53"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6.5</w:t>
            </w:r>
          </w:p>
        </w:tc>
        <w:tc>
          <w:tcPr>
            <w:tcW w:w="329" w:type="pct"/>
            <w:noWrap/>
          </w:tcPr>
          <w:p w14:paraId="03E381CB" w14:textId="339074BC"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52.1</w:t>
            </w:r>
            <w:r w:rsidR="00605047" w:rsidRPr="00395241">
              <w:rPr>
                <w:b w:val="0"/>
                <w:color w:val="auto"/>
                <w:sz w:val="16"/>
                <w:szCs w:val="16"/>
                <w:lang w:val="en-US"/>
              </w:rPr>
              <w:t xml:space="preserve"> </w:t>
            </w:r>
            <w:r w:rsidRPr="00395241">
              <w:rPr>
                <w:b w:val="0"/>
                <w:color w:val="auto"/>
                <w:sz w:val="16"/>
                <w:szCs w:val="16"/>
                <w:vertAlign w:val="superscript"/>
                <w:lang w:val="en-US"/>
              </w:rPr>
              <w:t>b</w:t>
            </w:r>
          </w:p>
        </w:tc>
        <w:tc>
          <w:tcPr>
            <w:tcW w:w="233" w:type="pct"/>
            <w:noWrap/>
          </w:tcPr>
          <w:p w14:paraId="49F701D7" w14:textId="77777777" w:rsidR="00363BF6" w:rsidRPr="00395241" w:rsidRDefault="00363BF6" w:rsidP="00FE4DB7">
            <w:pPr>
              <w:pStyle w:val="MDPI42tablebody"/>
              <w:spacing w:line="240" w:lineRule="auto"/>
              <w:rPr>
                <w:b w:val="0"/>
                <w:color w:val="auto"/>
                <w:sz w:val="16"/>
                <w:szCs w:val="16"/>
                <w:lang w:val="en-US"/>
              </w:rPr>
            </w:pPr>
            <w:r w:rsidRPr="00395241">
              <w:rPr>
                <w:b w:val="0"/>
                <w:color w:val="auto"/>
                <w:sz w:val="16"/>
                <w:szCs w:val="16"/>
                <w:lang w:val="en-US"/>
              </w:rPr>
              <w:t>7.4</w:t>
            </w:r>
          </w:p>
        </w:tc>
        <w:tc>
          <w:tcPr>
            <w:tcW w:w="657" w:type="pct"/>
            <w:noWrap/>
          </w:tcPr>
          <w:p w14:paraId="240E7EAE" w14:textId="2B9DB388" w:rsidR="00363BF6" w:rsidRPr="00125DDE" w:rsidRDefault="00363BF6" w:rsidP="00FE4DB7">
            <w:pPr>
              <w:pStyle w:val="MDPI42tablebody"/>
              <w:spacing w:line="240" w:lineRule="auto"/>
              <w:rPr>
                <w:bCs/>
                <w:color w:val="auto"/>
                <w:sz w:val="16"/>
                <w:szCs w:val="16"/>
                <w:lang w:val="en-US"/>
              </w:rPr>
            </w:pPr>
            <w:r w:rsidRPr="00125DDE">
              <w:rPr>
                <w:bCs/>
                <w:color w:val="auto"/>
                <w:sz w:val="16"/>
                <w:szCs w:val="16"/>
                <w:lang w:val="en-US"/>
              </w:rPr>
              <w:t>&lt;0.001</w:t>
            </w:r>
          </w:p>
        </w:tc>
      </w:tr>
      <w:tr w:rsidR="008F5B5E" w:rsidRPr="00395241" w14:paraId="0D24365F" w14:textId="77777777" w:rsidTr="00ED0ECD">
        <w:tblPrEx>
          <w:tblBorders>
            <w:top w:val="single" w:sz="8" w:space="0" w:color="auto"/>
          </w:tblBorders>
        </w:tblPrEx>
        <w:tc>
          <w:tcPr>
            <w:tcW w:w="900" w:type="pct"/>
            <w:tcBorders>
              <w:top w:val="single" w:sz="4" w:space="0" w:color="auto"/>
            </w:tcBorders>
            <w:noWrap/>
          </w:tcPr>
          <w:p w14:paraId="3AF91DD8" w14:textId="03AAE4BE" w:rsidR="00ED0ECD" w:rsidRPr="00125DDE" w:rsidRDefault="00ED0ECD" w:rsidP="005A0405">
            <w:pPr>
              <w:pStyle w:val="MDPI42tablebody"/>
              <w:spacing w:line="240" w:lineRule="auto"/>
              <w:rPr>
                <w:color w:val="auto"/>
                <w:sz w:val="16"/>
                <w:szCs w:val="16"/>
                <w:lang w:val="en-US"/>
              </w:rPr>
            </w:pPr>
            <w:r w:rsidRPr="00125DDE">
              <w:rPr>
                <w:color w:val="auto"/>
                <w:sz w:val="16"/>
                <w:szCs w:val="16"/>
                <w:lang w:val="en-US"/>
              </w:rPr>
              <w:t>Dietary Fibre</w:t>
            </w:r>
            <w:r>
              <w:rPr>
                <w:color w:val="auto"/>
                <w:sz w:val="16"/>
                <w:szCs w:val="16"/>
                <w:lang w:val="en-US"/>
              </w:rPr>
              <w:t xml:space="preserve"> </w:t>
            </w:r>
            <w:r>
              <w:rPr>
                <w:color w:val="auto"/>
                <w:sz w:val="16"/>
                <w:szCs w:val="16"/>
                <w:lang w:val="en-US"/>
              </w:rPr>
              <w:br/>
            </w:r>
            <w:r w:rsidRPr="00125DDE">
              <w:rPr>
                <w:color w:val="auto"/>
                <w:sz w:val="16"/>
                <w:szCs w:val="16"/>
                <w:lang w:val="en-US"/>
              </w:rPr>
              <w:t>(g per 1000 kcal of En</w:t>
            </w:r>
            <w:r w:rsidR="002E22C3">
              <w:rPr>
                <w:color w:val="auto"/>
                <w:sz w:val="16"/>
                <w:szCs w:val="16"/>
                <w:lang w:val="en-US"/>
              </w:rPr>
              <w:t>ergy</w:t>
            </w:r>
            <w:r w:rsidRPr="00125DDE">
              <w:rPr>
                <w:color w:val="auto"/>
                <w:sz w:val="16"/>
                <w:szCs w:val="16"/>
                <w:lang w:val="en-US"/>
              </w:rPr>
              <w:t xml:space="preserve">) </w:t>
            </w:r>
            <w:r w:rsidRPr="00125DDE">
              <w:rPr>
                <w:rFonts w:cs="Helvetica"/>
                <w:color w:val="auto"/>
                <w:sz w:val="16"/>
                <w:szCs w:val="16"/>
                <w:shd w:val="clear" w:color="auto" w:fill="FFFFFF"/>
                <w:vertAlign w:val="superscript"/>
                <w:lang w:val="en-US"/>
              </w:rPr>
              <w:t>§</w:t>
            </w:r>
          </w:p>
        </w:tc>
        <w:tc>
          <w:tcPr>
            <w:tcW w:w="4100" w:type="pct"/>
            <w:gridSpan w:val="11"/>
            <w:tcBorders>
              <w:top w:val="single" w:sz="4" w:space="0" w:color="auto"/>
            </w:tcBorders>
          </w:tcPr>
          <w:p w14:paraId="01FACA01" w14:textId="77777777" w:rsidR="00ED0ECD" w:rsidRPr="00395241" w:rsidRDefault="00ED0ECD" w:rsidP="005A0405">
            <w:pPr>
              <w:pStyle w:val="MDPI42tablebody"/>
              <w:spacing w:line="240" w:lineRule="auto"/>
              <w:rPr>
                <w:b w:val="0"/>
                <w:color w:val="auto"/>
                <w:sz w:val="16"/>
                <w:szCs w:val="16"/>
                <w:lang w:val="en-US"/>
              </w:rPr>
            </w:pPr>
          </w:p>
        </w:tc>
      </w:tr>
      <w:tr w:rsidR="00A503A4" w:rsidRPr="00F85627" w14:paraId="3C2B78A9" w14:textId="77777777" w:rsidTr="00ED0ECD">
        <w:tblPrEx>
          <w:tblBorders>
            <w:top w:val="single" w:sz="8" w:space="0" w:color="auto"/>
          </w:tblBorders>
        </w:tblPrEx>
        <w:tc>
          <w:tcPr>
            <w:tcW w:w="900" w:type="pct"/>
            <w:noWrap/>
          </w:tcPr>
          <w:p w14:paraId="4146A238" w14:textId="77777777" w:rsidR="00ED0ECD" w:rsidRPr="00395241" w:rsidRDefault="00ED0ECD" w:rsidP="005A0405">
            <w:pPr>
              <w:pStyle w:val="MDPI42tablebody"/>
              <w:spacing w:line="240" w:lineRule="auto"/>
              <w:rPr>
                <w:b w:val="0"/>
                <w:color w:val="auto"/>
                <w:sz w:val="16"/>
                <w:szCs w:val="16"/>
                <w:lang w:val="en-US"/>
              </w:rPr>
            </w:pPr>
            <w:r w:rsidRPr="00395241">
              <w:rPr>
                <w:b w:val="0"/>
                <w:color w:val="auto"/>
                <w:sz w:val="16"/>
                <w:szCs w:val="16"/>
                <w:lang w:val="en-US"/>
              </w:rPr>
              <w:t>6 months</w:t>
            </w:r>
          </w:p>
        </w:tc>
        <w:tc>
          <w:tcPr>
            <w:tcW w:w="810" w:type="pct"/>
          </w:tcPr>
          <w:p w14:paraId="4DCA28A8" w14:textId="77777777" w:rsidR="00ED0ECD" w:rsidRPr="00395241" w:rsidRDefault="00ED0ECD" w:rsidP="005A0405">
            <w:pPr>
              <w:pStyle w:val="MDPI42tablebody"/>
              <w:spacing w:line="240" w:lineRule="auto"/>
              <w:rPr>
                <w:b w:val="0"/>
                <w:color w:val="auto"/>
                <w:sz w:val="16"/>
                <w:szCs w:val="16"/>
                <w:lang w:val="en-US"/>
              </w:rPr>
            </w:pPr>
            <w:r w:rsidRPr="00395241">
              <w:rPr>
                <w:b w:val="0"/>
                <w:color w:val="auto"/>
                <w:sz w:val="16"/>
                <w:szCs w:val="16"/>
                <w:lang w:val="en-US"/>
              </w:rPr>
              <w:t>-</w:t>
            </w:r>
          </w:p>
        </w:tc>
        <w:tc>
          <w:tcPr>
            <w:tcW w:w="257" w:type="pct"/>
            <w:gridSpan w:val="2"/>
          </w:tcPr>
          <w:p w14:paraId="5F869C48" w14:textId="77777777" w:rsidR="00ED0ECD" w:rsidRPr="00395241" w:rsidRDefault="00ED0ECD" w:rsidP="005A0405">
            <w:pPr>
              <w:pStyle w:val="MDPI42tablebody"/>
              <w:spacing w:line="240" w:lineRule="auto"/>
              <w:rPr>
                <w:b w:val="0"/>
                <w:color w:val="auto"/>
                <w:sz w:val="16"/>
                <w:szCs w:val="16"/>
                <w:lang w:val="en-US"/>
              </w:rPr>
            </w:pPr>
            <w:r w:rsidRPr="00395241">
              <w:rPr>
                <w:b w:val="0"/>
                <w:color w:val="auto"/>
                <w:sz w:val="16"/>
                <w:szCs w:val="16"/>
                <w:lang w:val="en-US"/>
              </w:rPr>
              <w:t>2.5</w:t>
            </w:r>
          </w:p>
        </w:tc>
        <w:tc>
          <w:tcPr>
            <w:tcW w:w="750" w:type="pct"/>
          </w:tcPr>
          <w:p w14:paraId="4A265B89" w14:textId="77777777" w:rsidR="00ED0ECD" w:rsidRPr="00395241" w:rsidRDefault="00ED0ECD" w:rsidP="005A0405">
            <w:pPr>
              <w:pStyle w:val="MDPI42tablebody"/>
              <w:spacing w:line="240" w:lineRule="auto"/>
              <w:rPr>
                <w:b w:val="0"/>
                <w:color w:val="auto"/>
                <w:sz w:val="16"/>
                <w:szCs w:val="16"/>
                <w:lang w:val="en-US"/>
              </w:rPr>
            </w:pPr>
            <w:r w:rsidRPr="00395241">
              <w:rPr>
                <w:b w:val="0"/>
                <w:color w:val="auto"/>
                <w:sz w:val="16"/>
                <w:szCs w:val="16"/>
                <w:lang w:val="en-US"/>
              </w:rPr>
              <w:t>2.7</w:t>
            </w:r>
          </w:p>
        </w:tc>
        <w:tc>
          <w:tcPr>
            <w:tcW w:w="292" w:type="pct"/>
            <w:noWrap/>
          </w:tcPr>
          <w:p w14:paraId="3C926765" w14:textId="77777777" w:rsidR="00ED0ECD" w:rsidRPr="00395241" w:rsidRDefault="00ED0ECD" w:rsidP="005A0405">
            <w:pPr>
              <w:pStyle w:val="MDPI42tablebody"/>
              <w:spacing w:line="240" w:lineRule="auto"/>
              <w:rPr>
                <w:b w:val="0"/>
                <w:color w:val="auto"/>
                <w:sz w:val="16"/>
                <w:szCs w:val="16"/>
                <w:lang w:val="en-US"/>
              </w:rPr>
            </w:pPr>
            <w:r w:rsidRPr="00395241">
              <w:rPr>
                <w:b w:val="0"/>
                <w:color w:val="auto"/>
                <w:sz w:val="16"/>
                <w:szCs w:val="16"/>
                <w:lang w:val="en-US"/>
              </w:rPr>
              <w:t>1.1</w:t>
            </w:r>
            <w:r>
              <w:rPr>
                <w:b w:val="0"/>
                <w:color w:val="auto"/>
                <w:sz w:val="16"/>
                <w:szCs w:val="16"/>
                <w:lang w:val="en-US"/>
              </w:rPr>
              <w:t xml:space="preserve"> </w:t>
            </w:r>
            <w:r w:rsidRPr="00395241">
              <w:rPr>
                <w:b w:val="0"/>
                <w:color w:val="auto"/>
                <w:sz w:val="16"/>
                <w:szCs w:val="16"/>
                <w:vertAlign w:val="superscript"/>
                <w:lang w:val="en-US"/>
              </w:rPr>
              <w:t>a</w:t>
            </w:r>
          </w:p>
        </w:tc>
        <w:tc>
          <w:tcPr>
            <w:tcW w:w="211" w:type="pct"/>
            <w:noWrap/>
          </w:tcPr>
          <w:p w14:paraId="57955240" w14:textId="77777777" w:rsidR="00ED0ECD" w:rsidRPr="00395241" w:rsidRDefault="00ED0ECD" w:rsidP="005A0405">
            <w:pPr>
              <w:pStyle w:val="MDPI42tablebody"/>
              <w:spacing w:line="240" w:lineRule="auto"/>
              <w:rPr>
                <w:b w:val="0"/>
                <w:color w:val="auto"/>
                <w:sz w:val="16"/>
                <w:szCs w:val="16"/>
                <w:lang w:val="en-US"/>
              </w:rPr>
            </w:pPr>
            <w:r w:rsidRPr="00395241">
              <w:rPr>
                <w:b w:val="0"/>
                <w:color w:val="auto"/>
                <w:sz w:val="16"/>
                <w:szCs w:val="16"/>
                <w:lang w:val="en-US"/>
              </w:rPr>
              <w:t>1.6</w:t>
            </w:r>
          </w:p>
        </w:tc>
        <w:tc>
          <w:tcPr>
            <w:tcW w:w="329" w:type="pct"/>
            <w:noWrap/>
          </w:tcPr>
          <w:p w14:paraId="168142CF" w14:textId="77777777" w:rsidR="00ED0ECD" w:rsidRPr="00395241" w:rsidRDefault="00ED0ECD" w:rsidP="005A0405">
            <w:pPr>
              <w:pStyle w:val="MDPI42tablebody"/>
              <w:spacing w:line="240" w:lineRule="auto"/>
              <w:rPr>
                <w:b w:val="0"/>
                <w:color w:val="auto"/>
                <w:sz w:val="16"/>
                <w:szCs w:val="16"/>
                <w:lang w:val="en-US"/>
              </w:rPr>
            </w:pPr>
            <w:r w:rsidRPr="00395241">
              <w:rPr>
                <w:b w:val="0"/>
                <w:color w:val="auto"/>
                <w:sz w:val="16"/>
                <w:szCs w:val="16"/>
                <w:lang w:val="en-US"/>
              </w:rPr>
              <w:t>1.9</w:t>
            </w:r>
            <w:r>
              <w:rPr>
                <w:b w:val="0"/>
                <w:color w:val="auto"/>
                <w:sz w:val="16"/>
                <w:szCs w:val="16"/>
                <w:lang w:val="en-US"/>
              </w:rPr>
              <w:t xml:space="preserve"> </w:t>
            </w:r>
            <w:r w:rsidRPr="00395241">
              <w:rPr>
                <w:b w:val="0"/>
                <w:color w:val="auto"/>
                <w:sz w:val="16"/>
                <w:szCs w:val="16"/>
                <w:vertAlign w:val="superscript"/>
                <w:lang w:val="en-US"/>
              </w:rPr>
              <w:t>a</w:t>
            </w:r>
          </w:p>
        </w:tc>
        <w:tc>
          <w:tcPr>
            <w:tcW w:w="232" w:type="pct"/>
            <w:noWrap/>
          </w:tcPr>
          <w:p w14:paraId="77ECC5B4" w14:textId="77777777" w:rsidR="00ED0ECD" w:rsidRPr="00395241" w:rsidRDefault="00ED0ECD" w:rsidP="005A0405">
            <w:pPr>
              <w:pStyle w:val="MDPI42tablebody"/>
              <w:spacing w:line="240" w:lineRule="auto"/>
              <w:rPr>
                <w:b w:val="0"/>
                <w:color w:val="auto"/>
                <w:sz w:val="16"/>
                <w:szCs w:val="16"/>
                <w:lang w:val="en-US"/>
              </w:rPr>
            </w:pPr>
            <w:r w:rsidRPr="00395241">
              <w:rPr>
                <w:b w:val="0"/>
                <w:color w:val="auto"/>
                <w:sz w:val="16"/>
                <w:szCs w:val="16"/>
                <w:lang w:val="en-US"/>
              </w:rPr>
              <w:t>2.2</w:t>
            </w:r>
          </w:p>
        </w:tc>
        <w:tc>
          <w:tcPr>
            <w:tcW w:w="329" w:type="pct"/>
            <w:noWrap/>
          </w:tcPr>
          <w:p w14:paraId="516987AC" w14:textId="77777777" w:rsidR="00ED0ECD" w:rsidRPr="00395241" w:rsidRDefault="00ED0ECD" w:rsidP="005A0405">
            <w:pPr>
              <w:pStyle w:val="MDPI42tablebody"/>
              <w:spacing w:line="240" w:lineRule="auto"/>
              <w:rPr>
                <w:b w:val="0"/>
                <w:color w:val="auto"/>
                <w:sz w:val="16"/>
                <w:szCs w:val="16"/>
                <w:lang w:val="en-US"/>
              </w:rPr>
            </w:pPr>
            <w:r w:rsidRPr="00395241">
              <w:rPr>
                <w:b w:val="0"/>
                <w:color w:val="auto"/>
                <w:sz w:val="16"/>
                <w:szCs w:val="16"/>
                <w:lang w:val="en-US"/>
              </w:rPr>
              <w:t>3.0</w:t>
            </w:r>
            <w:r>
              <w:rPr>
                <w:b w:val="0"/>
                <w:color w:val="auto"/>
                <w:sz w:val="16"/>
                <w:szCs w:val="16"/>
                <w:lang w:val="en-US"/>
              </w:rPr>
              <w:t xml:space="preserve"> </w:t>
            </w:r>
            <w:r w:rsidRPr="00395241">
              <w:rPr>
                <w:b w:val="0"/>
                <w:color w:val="auto"/>
                <w:sz w:val="16"/>
                <w:szCs w:val="16"/>
                <w:vertAlign w:val="superscript"/>
                <w:lang w:val="en-US"/>
              </w:rPr>
              <w:t>b</w:t>
            </w:r>
          </w:p>
        </w:tc>
        <w:tc>
          <w:tcPr>
            <w:tcW w:w="233" w:type="pct"/>
            <w:noWrap/>
          </w:tcPr>
          <w:p w14:paraId="58869FEF" w14:textId="77777777" w:rsidR="00ED0ECD" w:rsidRPr="00395241" w:rsidRDefault="00ED0ECD" w:rsidP="005A0405">
            <w:pPr>
              <w:pStyle w:val="MDPI42tablebody"/>
              <w:spacing w:line="240" w:lineRule="auto"/>
              <w:rPr>
                <w:b w:val="0"/>
                <w:color w:val="auto"/>
                <w:sz w:val="16"/>
                <w:szCs w:val="16"/>
                <w:lang w:val="en-US"/>
              </w:rPr>
            </w:pPr>
            <w:r w:rsidRPr="00395241">
              <w:rPr>
                <w:b w:val="0"/>
                <w:color w:val="auto"/>
                <w:sz w:val="16"/>
                <w:szCs w:val="16"/>
                <w:lang w:val="en-US"/>
              </w:rPr>
              <w:t>2.9</w:t>
            </w:r>
          </w:p>
        </w:tc>
        <w:tc>
          <w:tcPr>
            <w:tcW w:w="657" w:type="pct"/>
            <w:noWrap/>
          </w:tcPr>
          <w:p w14:paraId="3FB2747B" w14:textId="77777777" w:rsidR="00ED0ECD" w:rsidRPr="00F85627" w:rsidRDefault="00ED0ECD" w:rsidP="005A0405">
            <w:pPr>
              <w:pStyle w:val="MDPI42tablebody"/>
              <w:spacing w:line="240" w:lineRule="auto"/>
              <w:rPr>
                <w:color w:val="auto"/>
                <w:sz w:val="16"/>
                <w:szCs w:val="16"/>
                <w:lang w:val="en-US"/>
              </w:rPr>
            </w:pPr>
            <w:r w:rsidRPr="00F85627">
              <w:rPr>
                <w:color w:val="auto"/>
                <w:sz w:val="16"/>
                <w:szCs w:val="16"/>
                <w:lang w:val="en-US"/>
              </w:rPr>
              <w:t>&lt;0.001</w:t>
            </w:r>
          </w:p>
        </w:tc>
      </w:tr>
      <w:tr w:rsidR="00A503A4" w:rsidRPr="00395241" w14:paraId="221441D7" w14:textId="77777777" w:rsidTr="00ED0ECD">
        <w:tblPrEx>
          <w:tblBorders>
            <w:top w:val="single" w:sz="8" w:space="0" w:color="auto"/>
          </w:tblBorders>
        </w:tblPrEx>
        <w:tc>
          <w:tcPr>
            <w:tcW w:w="900" w:type="pct"/>
            <w:noWrap/>
          </w:tcPr>
          <w:p w14:paraId="6AC0CD66" w14:textId="77777777" w:rsidR="00ED0ECD" w:rsidRPr="00395241" w:rsidRDefault="00ED0ECD" w:rsidP="005A0405">
            <w:pPr>
              <w:pStyle w:val="MDPI42tablebody"/>
              <w:spacing w:line="240" w:lineRule="auto"/>
              <w:rPr>
                <w:b w:val="0"/>
                <w:color w:val="auto"/>
                <w:sz w:val="16"/>
                <w:szCs w:val="16"/>
                <w:lang w:val="en-US"/>
              </w:rPr>
            </w:pPr>
            <w:r w:rsidRPr="00395241">
              <w:rPr>
                <w:b w:val="0"/>
                <w:color w:val="auto"/>
                <w:sz w:val="16"/>
                <w:szCs w:val="16"/>
                <w:lang w:val="en-US"/>
              </w:rPr>
              <w:t>9 months</w:t>
            </w:r>
          </w:p>
        </w:tc>
        <w:tc>
          <w:tcPr>
            <w:tcW w:w="810" w:type="pct"/>
          </w:tcPr>
          <w:p w14:paraId="0194B260" w14:textId="77777777" w:rsidR="00ED0ECD" w:rsidRPr="00395241" w:rsidRDefault="00ED0ECD" w:rsidP="005A0405">
            <w:pPr>
              <w:pStyle w:val="MDPI42tablebody"/>
              <w:spacing w:line="240" w:lineRule="auto"/>
              <w:rPr>
                <w:b w:val="0"/>
                <w:color w:val="auto"/>
                <w:sz w:val="16"/>
                <w:szCs w:val="16"/>
                <w:lang w:val="en-US"/>
              </w:rPr>
            </w:pPr>
            <w:r w:rsidRPr="00395241">
              <w:rPr>
                <w:b w:val="0"/>
                <w:color w:val="auto"/>
                <w:sz w:val="16"/>
                <w:szCs w:val="16"/>
                <w:lang w:val="en-US"/>
              </w:rPr>
              <w:t>-</w:t>
            </w:r>
          </w:p>
        </w:tc>
        <w:tc>
          <w:tcPr>
            <w:tcW w:w="257" w:type="pct"/>
            <w:gridSpan w:val="2"/>
          </w:tcPr>
          <w:p w14:paraId="408BCB11" w14:textId="77777777" w:rsidR="00ED0ECD" w:rsidRPr="00395241" w:rsidRDefault="00ED0ECD" w:rsidP="005A0405">
            <w:pPr>
              <w:pStyle w:val="MDPI42tablebody"/>
              <w:spacing w:line="240" w:lineRule="auto"/>
              <w:rPr>
                <w:b w:val="0"/>
                <w:color w:val="auto"/>
                <w:sz w:val="16"/>
                <w:szCs w:val="16"/>
                <w:lang w:val="en-US"/>
              </w:rPr>
            </w:pPr>
            <w:r w:rsidRPr="00395241">
              <w:rPr>
                <w:b w:val="0"/>
                <w:color w:val="auto"/>
                <w:sz w:val="16"/>
                <w:szCs w:val="16"/>
                <w:lang w:val="en-US"/>
              </w:rPr>
              <w:t>4.0</w:t>
            </w:r>
          </w:p>
        </w:tc>
        <w:tc>
          <w:tcPr>
            <w:tcW w:w="750" w:type="pct"/>
          </w:tcPr>
          <w:p w14:paraId="4DFA1BE0" w14:textId="77777777" w:rsidR="00ED0ECD" w:rsidRPr="00395241" w:rsidRDefault="00ED0ECD" w:rsidP="005A0405">
            <w:pPr>
              <w:pStyle w:val="MDPI42tablebody"/>
              <w:spacing w:line="240" w:lineRule="auto"/>
              <w:rPr>
                <w:b w:val="0"/>
                <w:color w:val="auto"/>
                <w:sz w:val="16"/>
                <w:szCs w:val="16"/>
                <w:lang w:val="en-US"/>
              </w:rPr>
            </w:pPr>
            <w:r w:rsidRPr="00395241">
              <w:rPr>
                <w:b w:val="0"/>
                <w:color w:val="auto"/>
                <w:sz w:val="16"/>
                <w:szCs w:val="16"/>
                <w:lang w:val="en-US"/>
              </w:rPr>
              <w:t>3.1</w:t>
            </w:r>
          </w:p>
        </w:tc>
        <w:tc>
          <w:tcPr>
            <w:tcW w:w="292" w:type="pct"/>
            <w:noWrap/>
          </w:tcPr>
          <w:p w14:paraId="0F0C375F" w14:textId="77777777" w:rsidR="00ED0ECD" w:rsidRPr="00395241" w:rsidRDefault="00ED0ECD" w:rsidP="005A0405">
            <w:pPr>
              <w:pStyle w:val="MDPI42tablebody"/>
              <w:spacing w:line="240" w:lineRule="auto"/>
              <w:rPr>
                <w:b w:val="0"/>
                <w:color w:val="auto"/>
                <w:sz w:val="16"/>
                <w:szCs w:val="16"/>
                <w:lang w:val="en-US"/>
              </w:rPr>
            </w:pPr>
            <w:r w:rsidRPr="00395241">
              <w:rPr>
                <w:b w:val="0"/>
                <w:color w:val="auto"/>
                <w:sz w:val="16"/>
                <w:szCs w:val="16"/>
                <w:lang w:val="en-US"/>
              </w:rPr>
              <w:t>3.9</w:t>
            </w:r>
          </w:p>
        </w:tc>
        <w:tc>
          <w:tcPr>
            <w:tcW w:w="211" w:type="pct"/>
            <w:noWrap/>
          </w:tcPr>
          <w:p w14:paraId="62B4E691" w14:textId="77777777" w:rsidR="00ED0ECD" w:rsidRPr="00395241" w:rsidRDefault="00ED0ECD" w:rsidP="005A0405">
            <w:pPr>
              <w:pStyle w:val="MDPI42tablebody"/>
              <w:spacing w:line="240" w:lineRule="auto"/>
              <w:rPr>
                <w:b w:val="0"/>
                <w:color w:val="auto"/>
                <w:sz w:val="16"/>
                <w:szCs w:val="16"/>
                <w:lang w:val="en-US"/>
              </w:rPr>
            </w:pPr>
            <w:r w:rsidRPr="00395241">
              <w:rPr>
                <w:b w:val="0"/>
                <w:color w:val="auto"/>
                <w:sz w:val="16"/>
                <w:szCs w:val="16"/>
                <w:lang w:val="en-US"/>
              </w:rPr>
              <w:t>3.5</w:t>
            </w:r>
          </w:p>
        </w:tc>
        <w:tc>
          <w:tcPr>
            <w:tcW w:w="329" w:type="pct"/>
            <w:noWrap/>
          </w:tcPr>
          <w:p w14:paraId="50FE2536" w14:textId="77777777" w:rsidR="00ED0ECD" w:rsidRPr="00395241" w:rsidRDefault="00ED0ECD" w:rsidP="005A0405">
            <w:pPr>
              <w:pStyle w:val="MDPI42tablebody"/>
              <w:spacing w:line="240" w:lineRule="auto"/>
              <w:rPr>
                <w:b w:val="0"/>
                <w:color w:val="auto"/>
                <w:sz w:val="16"/>
                <w:szCs w:val="16"/>
                <w:lang w:val="en-US"/>
              </w:rPr>
            </w:pPr>
            <w:r w:rsidRPr="00395241">
              <w:rPr>
                <w:b w:val="0"/>
                <w:color w:val="auto"/>
                <w:sz w:val="16"/>
                <w:szCs w:val="16"/>
                <w:lang w:val="en-US"/>
              </w:rPr>
              <w:t>4.0</w:t>
            </w:r>
          </w:p>
        </w:tc>
        <w:tc>
          <w:tcPr>
            <w:tcW w:w="232" w:type="pct"/>
            <w:noWrap/>
          </w:tcPr>
          <w:p w14:paraId="40E66EF8" w14:textId="77777777" w:rsidR="00ED0ECD" w:rsidRPr="00395241" w:rsidRDefault="00ED0ECD" w:rsidP="005A0405">
            <w:pPr>
              <w:pStyle w:val="MDPI42tablebody"/>
              <w:spacing w:line="240" w:lineRule="auto"/>
              <w:rPr>
                <w:b w:val="0"/>
                <w:color w:val="auto"/>
                <w:sz w:val="16"/>
                <w:szCs w:val="16"/>
                <w:lang w:val="en-US"/>
              </w:rPr>
            </w:pPr>
            <w:r w:rsidRPr="00395241">
              <w:rPr>
                <w:b w:val="0"/>
                <w:color w:val="auto"/>
                <w:sz w:val="16"/>
                <w:szCs w:val="16"/>
                <w:lang w:val="en-US"/>
              </w:rPr>
              <w:t>2.9</w:t>
            </w:r>
          </w:p>
        </w:tc>
        <w:tc>
          <w:tcPr>
            <w:tcW w:w="329" w:type="pct"/>
            <w:noWrap/>
          </w:tcPr>
          <w:p w14:paraId="633BFE94" w14:textId="77777777" w:rsidR="00ED0ECD" w:rsidRPr="00395241" w:rsidRDefault="00ED0ECD" w:rsidP="005A0405">
            <w:pPr>
              <w:pStyle w:val="MDPI42tablebody"/>
              <w:spacing w:line="240" w:lineRule="auto"/>
              <w:rPr>
                <w:b w:val="0"/>
                <w:color w:val="auto"/>
                <w:sz w:val="16"/>
                <w:szCs w:val="16"/>
                <w:lang w:val="en-US"/>
              </w:rPr>
            </w:pPr>
            <w:r w:rsidRPr="00395241">
              <w:rPr>
                <w:b w:val="0"/>
                <w:color w:val="auto"/>
                <w:sz w:val="16"/>
                <w:szCs w:val="16"/>
                <w:lang w:val="en-US"/>
              </w:rPr>
              <w:t>4.0</w:t>
            </w:r>
          </w:p>
        </w:tc>
        <w:tc>
          <w:tcPr>
            <w:tcW w:w="233" w:type="pct"/>
            <w:noWrap/>
          </w:tcPr>
          <w:p w14:paraId="0FA24F7B" w14:textId="77777777" w:rsidR="00ED0ECD" w:rsidRPr="00395241" w:rsidRDefault="00ED0ECD" w:rsidP="005A0405">
            <w:pPr>
              <w:pStyle w:val="MDPI42tablebody"/>
              <w:spacing w:line="240" w:lineRule="auto"/>
              <w:rPr>
                <w:b w:val="0"/>
                <w:color w:val="auto"/>
                <w:sz w:val="16"/>
                <w:szCs w:val="16"/>
                <w:lang w:val="en-US"/>
              </w:rPr>
            </w:pPr>
            <w:r w:rsidRPr="00395241">
              <w:rPr>
                <w:b w:val="0"/>
                <w:color w:val="auto"/>
                <w:sz w:val="16"/>
                <w:szCs w:val="16"/>
                <w:lang w:val="en-US"/>
              </w:rPr>
              <w:t>3.1</w:t>
            </w:r>
          </w:p>
        </w:tc>
        <w:tc>
          <w:tcPr>
            <w:tcW w:w="657" w:type="pct"/>
            <w:noWrap/>
          </w:tcPr>
          <w:p w14:paraId="60CFE1BF" w14:textId="77777777" w:rsidR="00ED0ECD" w:rsidRPr="00395241" w:rsidRDefault="00ED0ECD" w:rsidP="005A0405">
            <w:pPr>
              <w:pStyle w:val="MDPI42tablebody"/>
              <w:spacing w:line="240" w:lineRule="auto"/>
              <w:rPr>
                <w:b w:val="0"/>
                <w:color w:val="auto"/>
                <w:sz w:val="16"/>
                <w:szCs w:val="16"/>
                <w:lang w:val="en-US"/>
              </w:rPr>
            </w:pPr>
            <w:r w:rsidRPr="00395241">
              <w:rPr>
                <w:b w:val="0"/>
                <w:color w:val="auto"/>
                <w:sz w:val="16"/>
                <w:szCs w:val="16"/>
                <w:lang w:val="en-US"/>
              </w:rPr>
              <w:t>0.981</w:t>
            </w:r>
          </w:p>
        </w:tc>
      </w:tr>
      <w:tr w:rsidR="00A503A4" w:rsidRPr="00395241" w14:paraId="4E385EB1" w14:textId="77777777" w:rsidTr="00ED0ECD">
        <w:tblPrEx>
          <w:tblBorders>
            <w:top w:val="single" w:sz="8" w:space="0" w:color="auto"/>
          </w:tblBorders>
        </w:tblPrEx>
        <w:tc>
          <w:tcPr>
            <w:tcW w:w="900" w:type="pct"/>
            <w:noWrap/>
          </w:tcPr>
          <w:p w14:paraId="7E2EACB1" w14:textId="77777777" w:rsidR="00ED0ECD" w:rsidRPr="00395241" w:rsidRDefault="00ED0ECD" w:rsidP="005A0405">
            <w:pPr>
              <w:pStyle w:val="MDPI42tablebody"/>
              <w:spacing w:line="240" w:lineRule="auto"/>
              <w:rPr>
                <w:b w:val="0"/>
                <w:color w:val="auto"/>
                <w:sz w:val="16"/>
                <w:szCs w:val="16"/>
                <w:lang w:val="en-US"/>
              </w:rPr>
            </w:pPr>
            <w:r w:rsidRPr="00395241">
              <w:rPr>
                <w:b w:val="0"/>
                <w:color w:val="auto"/>
                <w:sz w:val="16"/>
                <w:szCs w:val="16"/>
                <w:lang w:val="en-US"/>
              </w:rPr>
              <w:t>12 months</w:t>
            </w:r>
          </w:p>
        </w:tc>
        <w:tc>
          <w:tcPr>
            <w:tcW w:w="810" w:type="pct"/>
          </w:tcPr>
          <w:p w14:paraId="5FA40F77" w14:textId="77777777" w:rsidR="00ED0ECD" w:rsidRPr="00395241" w:rsidRDefault="00ED0ECD" w:rsidP="005A0405">
            <w:pPr>
              <w:pStyle w:val="MDPI42tablebody"/>
              <w:spacing w:line="240" w:lineRule="auto"/>
              <w:rPr>
                <w:b w:val="0"/>
                <w:color w:val="auto"/>
                <w:sz w:val="16"/>
                <w:szCs w:val="16"/>
                <w:lang w:val="en-US"/>
              </w:rPr>
            </w:pPr>
            <w:r w:rsidRPr="00395241">
              <w:rPr>
                <w:b w:val="0"/>
                <w:color w:val="auto"/>
                <w:sz w:val="16"/>
                <w:szCs w:val="16"/>
                <w:lang w:val="en-US"/>
              </w:rPr>
              <w:t>-</w:t>
            </w:r>
          </w:p>
        </w:tc>
        <w:tc>
          <w:tcPr>
            <w:tcW w:w="257" w:type="pct"/>
            <w:gridSpan w:val="2"/>
          </w:tcPr>
          <w:p w14:paraId="33F22A2A" w14:textId="77777777" w:rsidR="00ED0ECD" w:rsidRPr="00395241" w:rsidRDefault="00ED0ECD" w:rsidP="005A0405">
            <w:pPr>
              <w:pStyle w:val="MDPI42tablebody"/>
              <w:spacing w:line="240" w:lineRule="auto"/>
              <w:rPr>
                <w:b w:val="0"/>
                <w:color w:val="auto"/>
                <w:sz w:val="16"/>
                <w:szCs w:val="16"/>
                <w:lang w:val="en-US"/>
              </w:rPr>
            </w:pPr>
            <w:r w:rsidRPr="00395241">
              <w:rPr>
                <w:b w:val="0"/>
                <w:color w:val="auto"/>
                <w:sz w:val="16"/>
                <w:szCs w:val="16"/>
                <w:lang w:val="en-US"/>
              </w:rPr>
              <w:t>4.4</w:t>
            </w:r>
          </w:p>
        </w:tc>
        <w:tc>
          <w:tcPr>
            <w:tcW w:w="750" w:type="pct"/>
          </w:tcPr>
          <w:p w14:paraId="6C48503E" w14:textId="77777777" w:rsidR="00ED0ECD" w:rsidRPr="00395241" w:rsidRDefault="00ED0ECD" w:rsidP="005A0405">
            <w:pPr>
              <w:pStyle w:val="MDPI42tablebody"/>
              <w:spacing w:line="240" w:lineRule="auto"/>
              <w:rPr>
                <w:b w:val="0"/>
                <w:color w:val="auto"/>
                <w:sz w:val="16"/>
                <w:szCs w:val="16"/>
                <w:lang w:val="en-US"/>
              </w:rPr>
            </w:pPr>
            <w:r w:rsidRPr="00395241">
              <w:rPr>
                <w:b w:val="0"/>
                <w:color w:val="auto"/>
                <w:sz w:val="16"/>
                <w:szCs w:val="16"/>
                <w:lang w:val="en-US"/>
              </w:rPr>
              <w:t>3.3</w:t>
            </w:r>
          </w:p>
        </w:tc>
        <w:tc>
          <w:tcPr>
            <w:tcW w:w="292" w:type="pct"/>
            <w:noWrap/>
          </w:tcPr>
          <w:p w14:paraId="2D3B4333" w14:textId="77777777" w:rsidR="00ED0ECD" w:rsidRPr="00395241" w:rsidRDefault="00ED0ECD" w:rsidP="005A0405">
            <w:pPr>
              <w:pStyle w:val="MDPI42tablebody"/>
              <w:spacing w:line="240" w:lineRule="auto"/>
              <w:rPr>
                <w:b w:val="0"/>
                <w:color w:val="auto"/>
                <w:sz w:val="16"/>
                <w:szCs w:val="16"/>
                <w:lang w:val="en-US"/>
              </w:rPr>
            </w:pPr>
            <w:r w:rsidRPr="00395241">
              <w:rPr>
                <w:b w:val="0"/>
                <w:color w:val="auto"/>
                <w:sz w:val="16"/>
                <w:szCs w:val="16"/>
                <w:lang w:val="en-US"/>
              </w:rPr>
              <w:t>4.7</w:t>
            </w:r>
          </w:p>
        </w:tc>
        <w:tc>
          <w:tcPr>
            <w:tcW w:w="211" w:type="pct"/>
            <w:noWrap/>
          </w:tcPr>
          <w:p w14:paraId="558DCBED" w14:textId="77777777" w:rsidR="00ED0ECD" w:rsidRPr="00395241" w:rsidRDefault="00ED0ECD" w:rsidP="005A0405">
            <w:pPr>
              <w:pStyle w:val="MDPI42tablebody"/>
              <w:spacing w:line="240" w:lineRule="auto"/>
              <w:rPr>
                <w:b w:val="0"/>
                <w:color w:val="auto"/>
                <w:sz w:val="16"/>
                <w:szCs w:val="16"/>
                <w:lang w:val="en-US"/>
              </w:rPr>
            </w:pPr>
            <w:r w:rsidRPr="00395241">
              <w:rPr>
                <w:b w:val="0"/>
                <w:color w:val="auto"/>
                <w:sz w:val="16"/>
                <w:szCs w:val="16"/>
                <w:lang w:val="en-US"/>
              </w:rPr>
              <w:t>2.7</w:t>
            </w:r>
          </w:p>
        </w:tc>
        <w:tc>
          <w:tcPr>
            <w:tcW w:w="329" w:type="pct"/>
            <w:noWrap/>
          </w:tcPr>
          <w:p w14:paraId="3BD5191E" w14:textId="77777777" w:rsidR="00ED0ECD" w:rsidRPr="00395241" w:rsidRDefault="00ED0ECD" w:rsidP="005A0405">
            <w:pPr>
              <w:pStyle w:val="MDPI42tablebody"/>
              <w:spacing w:line="240" w:lineRule="auto"/>
              <w:rPr>
                <w:b w:val="0"/>
                <w:color w:val="auto"/>
                <w:sz w:val="16"/>
                <w:szCs w:val="16"/>
                <w:lang w:val="en-US"/>
              </w:rPr>
            </w:pPr>
            <w:r w:rsidRPr="00395241">
              <w:rPr>
                <w:b w:val="0"/>
                <w:color w:val="auto"/>
                <w:sz w:val="16"/>
                <w:szCs w:val="16"/>
                <w:lang w:val="en-US"/>
              </w:rPr>
              <w:t>4.3</w:t>
            </w:r>
          </w:p>
        </w:tc>
        <w:tc>
          <w:tcPr>
            <w:tcW w:w="232" w:type="pct"/>
            <w:noWrap/>
          </w:tcPr>
          <w:p w14:paraId="79315B74" w14:textId="77777777" w:rsidR="00ED0ECD" w:rsidRPr="00395241" w:rsidRDefault="00ED0ECD" w:rsidP="005A0405">
            <w:pPr>
              <w:pStyle w:val="MDPI42tablebody"/>
              <w:spacing w:line="240" w:lineRule="auto"/>
              <w:rPr>
                <w:b w:val="0"/>
                <w:color w:val="auto"/>
                <w:sz w:val="16"/>
                <w:szCs w:val="16"/>
                <w:lang w:val="en-US"/>
              </w:rPr>
            </w:pPr>
            <w:r w:rsidRPr="00395241">
              <w:rPr>
                <w:b w:val="0"/>
                <w:color w:val="auto"/>
                <w:sz w:val="16"/>
                <w:szCs w:val="16"/>
                <w:lang w:val="en-US"/>
              </w:rPr>
              <w:t>3.8</w:t>
            </w:r>
          </w:p>
        </w:tc>
        <w:tc>
          <w:tcPr>
            <w:tcW w:w="329" w:type="pct"/>
            <w:noWrap/>
          </w:tcPr>
          <w:p w14:paraId="758E5CE2" w14:textId="77777777" w:rsidR="00ED0ECD" w:rsidRPr="00395241" w:rsidRDefault="00ED0ECD" w:rsidP="005A0405">
            <w:pPr>
              <w:pStyle w:val="MDPI42tablebody"/>
              <w:spacing w:line="240" w:lineRule="auto"/>
              <w:rPr>
                <w:b w:val="0"/>
                <w:color w:val="auto"/>
                <w:sz w:val="16"/>
                <w:szCs w:val="16"/>
                <w:lang w:val="en-US"/>
              </w:rPr>
            </w:pPr>
            <w:r w:rsidRPr="00395241">
              <w:rPr>
                <w:b w:val="0"/>
                <w:color w:val="auto"/>
                <w:sz w:val="16"/>
                <w:szCs w:val="16"/>
                <w:lang w:val="en-US"/>
              </w:rPr>
              <w:t>4.4</w:t>
            </w:r>
          </w:p>
        </w:tc>
        <w:tc>
          <w:tcPr>
            <w:tcW w:w="233" w:type="pct"/>
            <w:noWrap/>
          </w:tcPr>
          <w:p w14:paraId="718E5218" w14:textId="77777777" w:rsidR="00ED0ECD" w:rsidRPr="00395241" w:rsidRDefault="00ED0ECD" w:rsidP="005A0405">
            <w:pPr>
              <w:pStyle w:val="MDPI42tablebody"/>
              <w:spacing w:line="240" w:lineRule="auto"/>
              <w:rPr>
                <w:b w:val="0"/>
                <w:color w:val="auto"/>
                <w:sz w:val="16"/>
                <w:szCs w:val="16"/>
                <w:lang w:val="en-US"/>
              </w:rPr>
            </w:pPr>
            <w:r w:rsidRPr="00395241">
              <w:rPr>
                <w:b w:val="0"/>
                <w:color w:val="auto"/>
                <w:sz w:val="16"/>
                <w:szCs w:val="16"/>
                <w:lang w:val="en-US"/>
              </w:rPr>
              <w:t>3.2</w:t>
            </w:r>
          </w:p>
        </w:tc>
        <w:tc>
          <w:tcPr>
            <w:tcW w:w="657" w:type="pct"/>
            <w:noWrap/>
          </w:tcPr>
          <w:p w14:paraId="7BF056A1" w14:textId="77777777" w:rsidR="00ED0ECD" w:rsidRPr="00395241" w:rsidRDefault="00ED0ECD" w:rsidP="005A0405">
            <w:pPr>
              <w:pStyle w:val="MDPI42tablebody"/>
              <w:spacing w:line="240" w:lineRule="auto"/>
              <w:rPr>
                <w:b w:val="0"/>
                <w:color w:val="auto"/>
                <w:sz w:val="16"/>
                <w:szCs w:val="16"/>
                <w:lang w:val="en-US"/>
              </w:rPr>
            </w:pPr>
            <w:r w:rsidRPr="00395241">
              <w:rPr>
                <w:b w:val="0"/>
                <w:color w:val="auto"/>
                <w:sz w:val="16"/>
                <w:szCs w:val="16"/>
                <w:lang w:val="en-US"/>
              </w:rPr>
              <w:t>0.743</w:t>
            </w:r>
          </w:p>
        </w:tc>
      </w:tr>
    </w:tbl>
    <w:p w14:paraId="2A5D3FFA" w14:textId="6235E40B" w:rsidR="00ED0ECD" w:rsidRDefault="0080510A" w:rsidP="0080510A">
      <w:pPr>
        <w:adjustRightInd w:val="0"/>
        <w:snapToGrid w:val="0"/>
        <w:spacing w:after="240" w:line="260" w:lineRule="atLeast"/>
        <w:ind w:left="425" w:right="425"/>
        <w:rPr>
          <w:rFonts w:ascii="Palatino Linotype" w:hAnsi="Palatino Linotype"/>
          <w:color w:val="auto"/>
          <w:sz w:val="18"/>
        </w:rPr>
      </w:pPr>
      <w:r w:rsidRPr="001619FE">
        <w:rPr>
          <w:rFonts w:ascii="Palatino Linotype" w:hAnsi="Palatino Linotype" w:cs="Helvetica"/>
          <w:color w:val="auto"/>
          <w:sz w:val="18"/>
          <w:shd w:val="clear" w:color="auto" w:fill="FFFFFF"/>
          <w:vertAlign w:val="superscript"/>
        </w:rPr>
        <w:t>†</w:t>
      </w:r>
      <w:r w:rsidRPr="001619FE">
        <w:rPr>
          <w:rFonts w:ascii="Palatino Linotype" w:hAnsi="Palatino Linotype"/>
          <w:color w:val="auto"/>
          <w:sz w:val="18"/>
        </w:rPr>
        <w:t xml:space="preserve"> EAR (HPB) refers to the estimated average requirement for boys and girls respectively in kcal/day recommended by the Singapore Health Promotion Board (HPB), AMDR (IOM) refers to the acceptable macronutrient distribution range (AMDR) recommended by the Institute of Medicine (IOM) for children aged 1 to 3 years, ‘-’ refers to unavailable data. </w:t>
      </w:r>
      <w:r w:rsidRPr="001619FE">
        <w:rPr>
          <w:rFonts w:ascii="Palatino Linotype" w:hAnsi="Palatino Linotype" w:cs="Helvetica"/>
          <w:color w:val="auto"/>
          <w:sz w:val="18"/>
          <w:shd w:val="clear" w:color="auto" w:fill="FFFFFF"/>
          <w:vertAlign w:val="superscript"/>
        </w:rPr>
        <w:t>‡</w:t>
      </w:r>
      <w:r w:rsidRPr="001619FE">
        <w:rPr>
          <w:rFonts w:ascii="Palatino Linotype" w:hAnsi="Palatino Linotype"/>
          <w:color w:val="auto"/>
          <w:sz w:val="18"/>
        </w:rPr>
        <w:t xml:space="preserve"> Refers to number of infants at 6, 9 and 12 months respectively. </w:t>
      </w:r>
      <w:r w:rsidRPr="001619FE">
        <w:rPr>
          <w:rFonts w:ascii="Palatino Linotype" w:hAnsi="Palatino Linotype"/>
          <w:color w:val="auto"/>
          <w:sz w:val="18"/>
          <w:vertAlign w:val="superscript"/>
        </w:rPr>
        <w:t>abc</w:t>
      </w:r>
      <w:r w:rsidRPr="001619FE">
        <w:rPr>
          <w:rFonts w:ascii="Palatino Linotype" w:hAnsi="Palatino Linotype"/>
          <w:color w:val="auto"/>
          <w:sz w:val="18"/>
        </w:rPr>
        <w:t xml:space="preserve"> All mean values within each row with unlike alphabets were significantly different (</w:t>
      </w:r>
      <w:r w:rsidRPr="001619FE">
        <w:rPr>
          <w:rFonts w:ascii="Palatino Linotype" w:hAnsi="Palatino Linotype"/>
          <w:i/>
          <w:color w:val="auto"/>
          <w:sz w:val="18"/>
        </w:rPr>
        <w:t>p</w:t>
      </w:r>
      <w:r w:rsidRPr="001619FE">
        <w:rPr>
          <w:rFonts w:ascii="Palatino Linotype" w:hAnsi="Palatino Linotype"/>
          <w:color w:val="auto"/>
          <w:sz w:val="18"/>
        </w:rPr>
        <w:t xml:space="preserve"> &lt; 0.05) based on Bonferroni corrected values. Statistically significant </w:t>
      </w:r>
      <w:r w:rsidRPr="001619FE">
        <w:rPr>
          <w:rFonts w:ascii="Palatino Linotype" w:hAnsi="Palatino Linotype"/>
          <w:i/>
          <w:iCs/>
          <w:color w:val="auto"/>
          <w:sz w:val="18"/>
        </w:rPr>
        <w:t xml:space="preserve">p </w:t>
      </w:r>
      <w:r w:rsidRPr="001619FE">
        <w:rPr>
          <w:rFonts w:ascii="Palatino Linotype" w:hAnsi="Palatino Linotype"/>
          <w:color w:val="auto"/>
          <w:sz w:val="18"/>
        </w:rPr>
        <w:t xml:space="preserve">values &lt; 0.05 were in bold. </w:t>
      </w:r>
      <w:r w:rsidRPr="001619FE">
        <w:rPr>
          <w:rFonts w:ascii="Palatino Linotype" w:hAnsi="Palatino Linotype" w:cs="Helvetica"/>
          <w:color w:val="auto"/>
          <w:sz w:val="18"/>
          <w:shd w:val="clear" w:color="auto" w:fill="FFFFFF"/>
          <w:vertAlign w:val="superscript"/>
        </w:rPr>
        <w:t>§</w:t>
      </w:r>
      <w:r w:rsidRPr="001619FE">
        <w:rPr>
          <w:rFonts w:ascii="Palatino Linotype" w:hAnsi="Palatino Linotype"/>
          <w:color w:val="auto"/>
          <w:sz w:val="18"/>
        </w:rPr>
        <w:t xml:space="preserve"> n numbers for fibre are all (n = 681, 884, 901), breast-fed (n = 97, 94, 57), formula-fed (n = 444, 643, 719), mixed-fed (n = 140, 147, 125) at 6, 9 and 12 months respectively. Smaller n numbers for dietary fibre were recorded as some infants consuming only formula milk, with no other foods during the three time points. The formula milk consumed by these infants </w:t>
      </w:r>
      <w:r w:rsidR="00DE5100">
        <w:rPr>
          <w:rFonts w:ascii="Palatino Linotype" w:hAnsi="Palatino Linotype"/>
          <w:color w:val="auto"/>
          <w:sz w:val="18"/>
        </w:rPr>
        <w:t xml:space="preserve">does </w:t>
      </w:r>
      <w:r w:rsidRPr="001619FE">
        <w:rPr>
          <w:rFonts w:ascii="Palatino Linotype" w:hAnsi="Palatino Linotype"/>
          <w:color w:val="auto"/>
          <w:sz w:val="18"/>
        </w:rPr>
        <w:t>not have the value of dietary fibre stated on the nutritional information panel. Certain brands of infant formula consumed contains dietary fibre in the form of fructo-oligosaccharides (FOS) or galacto-oligosacchraides (GOS).</w:t>
      </w:r>
      <w:r w:rsidR="00ED0ECD">
        <w:rPr>
          <w:rFonts w:ascii="Palatino Linotype" w:hAnsi="Palatino Linotype"/>
          <w:color w:val="auto"/>
          <w:sz w:val="18"/>
        </w:rPr>
        <w:t xml:space="preserve"> </w:t>
      </w:r>
    </w:p>
    <w:p w14:paraId="541CB755" w14:textId="66CB10B1" w:rsidR="0080510A" w:rsidRPr="001619FE" w:rsidRDefault="0080510A" w:rsidP="0080510A">
      <w:pPr>
        <w:adjustRightInd w:val="0"/>
        <w:snapToGrid w:val="0"/>
        <w:spacing w:after="240" w:line="260" w:lineRule="atLeast"/>
        <w:ind w:left="425" w:right="425"/>
        <w:rPr>
          <w:rFonts w:ascii="Palatino Linotype" w:hAnsi="Palatino Linotype"/>
          <w:color w:val="auto"/>
          <w:sz w:val="18"/>
          <w:szCs w:val="18"/>
        </w:rPr>
        <w:sectPr w:rsidR="0080510A" w:rsidRPr="001619FE" w:rsidSect="00C51805">
          <w:headerReference w:type="default" r:id="rId16"/>
          <w:pgSz w:w="16838" w:h="11906" w:orient="landscape" w:code="9"/>
          <w:pgMar w:top="1417" w:right="1531" w:bottom="1077" w:left="1531" w:header="1020" w:footer="850" w:gutter="0"/>
          <w:pgNumType w:start="8"/>
          <w:cols w:space="425"/>
          <w:docGrid w:type="linesAndChars" w:linePitch="326"/>
        </w:sectPr>
      </w:pPr>
    </w:p>
    <w:p w14:paraId="674BC145" w14:textId="3FA4C78F" w:rsidR="00824EAD" w:rsidRDefault="00CA7D89" w:rsidP="00C11F84">
      <w:pPr>
        <w:pStyle w:val="MDPI41tablecaption"/>
        <w:jc w:val="center"/>
        <w:rPr>
          <w:lang w:eastAsia="zh-CN"/>
        </w:rPr>
      </w:pPr>
      <w:r w:rsidRPr="00C11F84">
        <w:rPr>
          <w:b/>
          <w:lang w:eastAsia="zh-CN"/>
        </w:rPr>
        <w:lastRenderedPageBreak/>
        <w:t xml:space="preserve">Table </w:t>
      </w:r>
      <w:r w:rsidR="004B4C59">
        <w:rPr>
          <w:b/>
          <w:lang w:eastAsia="zh-CN"/>
        </w:rPr>
        <w:t>3</w:t>
      </w:r>
      <w:r w:rsidRPr="00C11F84">
        <w:rPr>
          <w:b/>
          <w:lang w:eastAsia="zh-CN"/>
        </w:rPr>
        <w:t>.</w:t>
      </w:r>
      <w:r w:rsidRPr="00662262">
        <w:rPr>
          <w:lang w:eastAsia="zh-CN"/>
        </w:rPr>
        <w:t xml:space="preserve"> Cross sectional analyses of energy, by gender, of all infants and stratified by type of milk feed.</w:t>
      </w:r>
    </w:p>
    <w:tbl>
      <w:tblPr>
        <w:tblW w:w="5000" w:type="pct"/>
        <w:jc w:val="center"/>
        <w:tblLook w:val="04A0" w:firstRow="1" w:lastRow="0" w:firstColumn="1" w:lastColumn="0" w:noHBand="0" w:noVBand="1"/>
      </w:tblPr>
      <w:tblGrid>
        <w:gridCol w:w="2613"/>
        <w:gridCol w:w="1520"/>
        <w:gridCol w:w="1107"/>
        <w:gridCol w:w="1139"/>
        <w:gridCol w:w="1139"/>
        <w:gridCol w:w="1139"/>
        <w:gridCol w:w="1139"/>
        <w:gridCol w:w="1139"/>
        <w:gridCol w:w="1139"/>
        <w:gridCol w:w="1139"/>
        <w:gridCol w:w="1130"/>
      </w:tblGrid>
      <w:tr w:rsidR="00A503A4" w:rsidRPr="00662262" w14:paraId="00F48DEA" w14:textId="77777777" w:rsidTr="004B4C59">
        <w:trPr>
          <w:jc w:val="center"/>
        </w:trPr>
        <w:tc>
          <w:tcPr>
            <w:tcW w:w="911" w:type="pct"/>
            <w:vMerge w:val="restart"/>
            <w:tcBorders>
              <w:top w:val="single" w:sz="8" w:space="0" w:color="auto"/>
              <w:left w:val="nil"/>
              <w:right w:val="nil"/>
            </w:tcBorders>
            <w:shd w:val="clear" w:color="000000" w:fill="FFFFFF"/>
            <w:noWrap/>
            <w:vAlign w:val="center"/>
            <w:hideMark/>
          </w:tcPr>
          <w:p w14:paraId="71738833" w14:textId="77777777" w:rsidR="00A503A4" w:rsidRDefault="00A503A4" w:rsidP="00FE4DB7">
            <w:pPr>
              <w:adjustRightInd w:val="0"/>
              <w:snapToGrid w:val="0"/>
              <w:spacing w:line="240" w:lineRule="auto"/>
              <w:jc w:val="center"/>
              <w:rPr>
                <w:rFonts w:ascii="Palatino Linotype" w:hAnsi="Palatino Linotype" w:cs="Arial"/>
                <w:b/>
                <w:bCs/>
                <w:color w:val="auto"/>
                <w:sz w:val="20"/>
                <w:lang w:eastAsia="zh-CN"/>
              </w:rPr>
            </w:pPr>
            <w:r>
              <w:rPr>
                <w:rFonts w:ascii="Palatino Linotype" w:hAnsi="Palatino Linotype" w:cs="Arial"/>
                <w:b/>
                <w:bCs/>
                <w:color w:val="auto"/>
                <w:sz w:val="20"/>
                <w:lang w:eastAsia="zh-CN"/>
              </w:rPr>
              <w:t xml:space="preserve">Dietary intake of </w:t>
            </w:r>
          </w:p>
          <w:p w14:paraId="7CBAACAB" w14:textId="1A02D27E" w:rsidR="00AB5085" w:rsidRPr="00662262" w:rsidRDefault="00A503A4" w:rsidP="00FE4DB7">
            <w:pPr>
              <w:adjustRightInd w:val="0"/>
              <w:snapToGrid w:val="0"/>
              <w:spacing w:line="240" w:lineRule="auto"/>
              <w:jc w:val="center"/>
              <w:rPr>
                <w:rFonts w:ascii="Palatino Linotype" w:hAnsi="Palatino Linotype" w:cs="Arial"/>
                <w:color w:val="auto"/>
                <w:sz w:val="20"/>
                <w:lang w:eastAsia="zh-CN"/>
              </w:rPr>
            </w:pPr>
            <w:r>
              <w:rPr>
                <w:rFonts w:ascii="Palatino Linotype" w:hAnsi="Palatino Linotype" w:cs="Arial"/>
                <w:b/>
                <w:bCs/>
                <w:color w:val="auto"/>
                <w:sz w:val="20"/>
                <w:lang w:eastAsia="zh-CN"/>
              </w:rPr>
              <w:t>e</w:t>
            </w:r>
            <w:r w:rsidR="002E22C3" w:rsidRPr="00662262">
              <w:rPr>
                <w:rFonts w:ascii="Palatino Linotype" w:hAnsi="Palatino Linotype" w:cs="Arial"/>
                <w:b/>
                <w:bCs/>
                <w:color w:val="auto"/>
                <w:sz w:val="20"/>
                <w:lang w:eastAsia="zh-CN"/>
              </w:rPr>
              <w:t>nergy (kcal)</w:t>
            </w:r>
          </w:p>
        </w:tc>
        <w:tc>
          <w:tcPr>
            <w:tcW w:w="916" w:type="pct"/>
            <w:gridSpan w:val="2"/>
            <w:vMerge w:val="restart"/>
            <w:tcBorders>
              <w:top w:val="single" w:sz="8" w:space="0" w:color="auto"/>
              <w:left w:val="nil"/>
              <w:bottom w:val="nil"/>
              <w:right w:val="nil"/>
            </w:tcBorders>
            <w:shd w:val="clear" w:color="auto" w:fill="auto"/>
            <w:vAlign w:val="center"/>
            <w:hideMark/>
          </w:tcPr>
          <w:p w14:paraId="207F15A8" w14:textId="77777777" w:rsidR="00AB5085" w:rsidRPr="00662262" w:rsidRDefault="00AB5085" w:rsidP="00FE4DB7">
            <w:pPr>
              <w:adjustRightInd w:val="0"/>
              <w:snapToGrid w:val="0"/>
              <w:spacing w:line="240" w:lineRule="auto"/>
              <w:jc w:val="center"/>
              <w:rPr>
                <w:rFonts w:ascii="Palatino Linotype" w:hAnsi="Palatino Linotype" w:cs="Arial"/>
                <w:b/>
                <w:bCs/>
                <w:color w:val="auto"/>
                <w:sz w:val="20"/>
                <w:lang w:eastAsia="zh-CN"/>
              </w:rPr>
            </w:pPr>
            <w:r w:rsidRPr="00662262">
              <w:rPr>
                <w:rFonts w:ascii="Palatino Linotype" w:hAnsi="Palatino Linotype" w:cs="Arial"/>
                <w:b/>
                <w:bCs/>
                <w:color w:val="auto"/>
                <w:sz w:val="20"/>
                <w:lang w:eastAsia="zh-CN"/>
              </w:rPr>
              <w:t>Recommended Intakes</w:t>
            </w:r>
          </w:p>
        </w:tc>
        <w:tc>
          <w:tcPr>
            <w:tcW w:w="793" w:type="pct"/>
            <w:gridSpan w:val="2"/>
            <w:tcBorders>
              <w:top w:val="single" w:sz="8" w:space="0" w:color="auto"/>
              <w:left w:val="nil"/>
              <w:bottom w:val="nil"/>
              <w:right w:val="nil"/>
            </w:tcBorders>
            <w:shd w:val="clear" w:color="000000" w:fill="FFFFFF"/>
            <w:noWrap/>
            <w:vAlign w:val="center"/>
            <w:hideMark/>
          </w:tcPr>
          <w:p w14:paraId="466E997C" w14:textId="77777777" w:rsidR="00AB5085" w:rsidRPr="00662262" w:rsidRDefault="00AB5085" w:rsidP="00FE4DB7">
            <w:pPr>
              <w:adjustRightInd w:val="0"/>
              <w:snapToGrid w:val="0"/>
              <w:spacing w:line="240" w:lineRule="auto"/>
              <w:jc w:val="center"/>
              <w:rPr>
                <w:rFonts w:ascii="Palatino Linotype" w:hAnsi="Palatino Linotype" w:cs="Arial"/>
                <w:b/>
                <w:bCs/>
                <w:color w:val="auto"/>
                <w:sz w:val="20"/>
                <w:lang w:eastAsia="zh-CN"/>
              </w:rPr>
            </w:pPr>
            <w:r w:rsidRPr="00662262">
              <w:rPr>
                <w:rFonts w:ascii="Palatino Linotype" w:hAnsi="Palatino Linotype" w:cs="Arial"/>
                <w:b/>
                <w:bCs/>
                <w:color w:val="auto"/>
                <w:sz w:val="20"/>
                <w:lang w:eastAsia="zh-CN"/>
              </w:rPr>
              <w:t>All</w:t>
            </w:r>
          </w:p>
        </w:tc>
        <w:tc>
          <w:tcPr>
            <w:tcW w:w="793" w:type="pct"/>
            <w:gridSpan w:val="2"/>
            <w:tcBorders>
              <w:top w:val="single" w:sz="8" w:space="0" w:color="auto"/>
              <w:left w:val="nil"/>
              <w:bottom w:val="nil"/>
              <w:right w:val="nil"/>
            </w:tcBorders>
            <w:shd w:val="clear" w:color="000000" w:fill="FFFFFF"/>
            <w:noWrap/>
            <w:vAlign w:val="center"/>
            <w:hideMark/>
          </w:tcPr>
          <w:p w14:paraId="1C030084" w14:textId="77777777" w:rsidR="00AB5085" w:rsidRPr="00662262" w:rsidRDefault="00AB5085" w:rsidP="00FE4DB7">
            <w:pPr>
              <w:adjustRightInd w:val="0"/>
              <w:snapToGrid w:val="0"/>
              <w:spacing w:line="240" w:lineRule="auto"/>
              <w:jc w:val="center"/>
              <w:rPr>
                <w:rFonts w:ascii="Palatino Linotype" w:hAnsi="Palatino Linotype" w:cs="Arial"/>
                <w:b/>
                <w:bCs/>
                <w:color w:val="auto"/>
                <w:sz w:val="20"/>
                <w:lang w:eastAsia="zh-CN"/>
              </w:rPr>
            </w:pPr>
            <w:r w:rsidRPr="00662262">
              <w:rPr>
                <w:rFonts w:ascii="Palatino Linotype" w:hAnsi="Palatino Linotype" w:cs="Arial"/>
                <w:b/>
                <w:bCs/>
                <w:color w:val="auto"/>
                <w:sz w:val="20"/>
                <w:lang w:eastAsia="zh-CN"/>
              </w:rPr>
              <w:t>Breast-Fed</w:t>
            </w:r>
          </w:p>
        </w:tc>
        <w:tc>
          <w:tcPr>
            <w:tcW w:w="793" w:type="pct"/>
            <w:gridSpan w:val="2"/>
            <w:tcBorders>
              <w:top w:val="single" w:sz="8" w:space="0" w:color="auto"/>
              <w:left w:val="nil"/>
              <w:bottom w:val="nil"/>
              <w:right w:val="nil"/>
            </w:tcBorders>
            <w:shd w:val="clear" w:color="000000" w:fill="FFFFFF"/>
            <w:noWrap/>
            <w:vAlign w:val="center"/>
            <w:hideMark/>
          </w:tcPr>
          <w:p w14:paraId="3A3792F5" w14:textId="77777777" w:rsidR="00AB5085" w:rsidRPr="00662262" w:rsidRDefault="00AB5085" w:rsidP="00FE4DB7">
            <w:pPr>
              <w:adjustRightInd w:val="0"/>
              <w:snapToGrid w:val="0"/>
              <w:spacing w:line="240" w:lineRule="auto"/>
              <w:jc w:val="center"/>
              <w:rPr>
                <w:rFonts w:ascii="Palatino Linotype" w:hAnsi="Palatino Linotype" w:cs="Arial"/>
                <w:b/>
                <w:bCs/>
                <w:color w:val="auto"/>
                <w:sz w:val="20"/>
                <w:lang w:eastAsia="zh-CN"/>
              </w:rPr>
            </w:pPr>
            <w:r w:rsidRPr="00662262">
              <w:rPr>
                <w:rFonts w:ascii="Palatino Linotype" w:hAnsi="Palatino Linotype" w:cs="Arial"/>
                <w:b/>
                <w:bCs/>
                <w:color w:val="auto"/>
                <w:sz w:val="20"/>
                <w:lang w:eastAsia="zh-CN"/>
              </w:rPr>
              <w:t>Mixed-Fed</w:t>
            </w:r>
          </w:p>
        </w:tc>
        <w:tc>
          <w:tcPr>
            <w:tcW w:w="793" w:type="pct"/>
            <w:gridSpan w:val="2"/>
            <w:tcBorders>
              <w:top w:val="single" w:sz="8" w:space="0" w:color="auto"/>
              <w:left w:val="nil"/>
              <w:bottom w:val="nil"/>
              <w:right w:val="nil"/>
            </w:tcBorders>
            <w:shd w:val="clear" w:color="000000" w:fill="FFFFFF"/>
            <w:noWrap/>
            <w:vAlign w:val="center"/>
            <w:hideMark/>
          </w:tcPr>
          <w:p w14:paraId="010D9407" w14:textId="77777777" w:rsidR="00AB5085" w:rsidRPr="00662262" w:rsidRDefault="00AB5085" w:rsidP="00FE4DB7">
            <w:pPr>
              <w:adjustRightInd w:val="0"/>
              <w:snapToGrid w:val="0"/>
              <w:spacing w:line="240" w:lineRule="auto"/>
              <w:jc w:val="center"/>
              <w:rPr>
                <w:rFonts w:ascii="Palatino Linotype" w:hAnsi="Palatino Linotype" w:cs="Arial"/>
                <w:b/>
                <w:bCs/>
                <w:color w:val="auto"/>
                <w:sz w:val="20"/>
                <w:lang w:eastAsia="zh-CN"/>
              </w:rPr>
            </w:pPr>
            <w:r w:rsidRPr="00662262">
              <w:rPr>
                <w:rFonts w:ascii="Palatino Linotype" w:hAnsi="Palatino Linotype" w:cs="Arial"/>
                <w:b/>
                <w:bCs/>
                <w:color w:val="auto"/>
                <w:sz w:val="20"/>
                <w:lang w:eastAsia="zh-CN"/>
              </w:rPr>
              <w:t>Formula-Fed</w:t>
            </w:r>
          </w:p>
        </w:tc>
      </w:tr>
      <w:tr w:rsidR="00A503A4" w:rsidRPr="00662262" w14:paraId="6010FA35" w14:textId="77777777" w:rsidTr="004B4C59">
        <w:trPr>
          <w:jc w:val="center"/>
        </w:trPr>
        <w:tc>
          <w:tcPr>
            <w:tcW w:w="911" w:type="pct"/>
            <w:vMerge/>
            <w:tcBorders>
              <w:left w:val="nil"/>
              <w:bottom w:val="single" w:sz="4" w:space="0" w:color="auto"/>
              <w:right w:val="nil"/>
            </w:tcBorders>
            <w:shd w:val="clear" w:color="000000" w:fill="FFFFFF"/>
            <w:noWrap/>
            <w:vAlign w:val="center"/>
            <w:hideMark/>
          </w:tcPr>
          <w:p w14:paraId="40F4F46B" w14:textId="77777777" w:rsidR="00AB5085" w:rsidRPr="00662262" w:rsidRDefault="00AB5085" w:rsidP="00FE4DB7">
            <w:pPr>
              <w:adjustRightInd w:val="0"/>
              <w:snapToGrid w:val="0"/>
              <w:spacing w:line="240" w:lineRule="auto"/>
              <w:jc w:val="center"/>
              <w:rPr>
                <w:rFonts w:ascii="Palatino Linotype" w:hAnsi="Palatino Linotype" w:cs="Arial"/>
                <w:color w:val="auto"/>
                <w:sz w:val="20"/>
                <w:lang w:eastAsia="zh-CN"/>
              </w:rPr>
            </w:pPr>
          </w:p>
        </w:tc>
        <w:tc>
          <w:tcPr>
            <w:tcW w:w="916" w:type="pct"/>
            <w:gridSpan w:val="2"/>
            <w:vMerge/>
            <w:tcBorders>
              <w:top w:val="nil"/>
              <w:left w:val="nil"/>
              <w:bottom w:val="single" w:sz="4" w:space="0" w:color="auto"/>
              <w:right w:val="nil"/>
            </w:tcBorders>
            <w:vAlign w:val="center"/>
            <w:hideMark/>
          </w:tcPr>
          <w:p w14:paraId="10518ADF" w14:textId="77777777" w:rsidR="00AB5085" w:rsidRPr="00662262" w:rsidRDefault="00AB5085" w:rsidP="00FE4DB7">
            <w:pPr>
              <w:adjustRightInd w:val="0"/>
              <w:snapToGrid w:val="0"/>
              <w:spacing w:line="240" w:lineRule="auto"/>
              <w:jc w:val="center"/>
              <w:rPr>
                <w:rFonts w:ascii="Palatino Linotype" w:hAnsi="Palatino Linotype" w:cs="Arial"/>
                <w:b/>
                <w:bCs/>
                <w:color w:val="auto"/>
                <w:sz w:val="20"/>
                <w:lang w:eastAsia="zh-CN"/>
              </w:rPr>
            </w:pPr>
          </w:p>
        </w:tc>
        <w:tc>
          <w:tcPr>
            <w:tcW w:w="793" w:type="pct"/>
            <w:gridSpan w:val="2"/>
            <w:tcBorders>
              <w:top w:val="nil"/>
              <w:left w:val="nil"/>
              <w:bottom w:val="single" w:sz="4" w:space="0" w:color="auto"/>
              <w:right w:val="nil"/>
            </w:tcBorders>
            <w:shd w:val="clear" w:color="000000" w:fill="FFFFFF"/>
            <w:vAlign w:val="center"/>
            <w:hideMark/>
          </w:tcPr>
          <w:p w14:paraId="234937A6" w14:textId="77777777" w:rsidR="00AB5085" w:rsidRPr="00662262" w:rsidRDefault="00AB5085" w:rsidP="00FE4DB7">
            <w:pPr>
              <w:adjustRightInd w:val="0"/>
              <w:snapToGrid w:val="0"/>
              <w:spacing w:line="240" w:lineRule="auto"/>
              <w:jc w:val="center"/>
              <w:rPr>
                <w:rFonts w:ascii="Palatino Linotype" w:hAnsi="Palatino Linotype" w:cs="Arial"/>
                <w:b/>
                <w:bCs/>
                <w:color w:val="auto"/>
                <w:sz w:val="20"/>
                <w:lang w:eastAsia="zh-CN"/>
              </w:rPr>
            </w:pPr>
            <w:r w:rsidRPr="00662262">
              <w:rPr>
                <w:rFonts w:ascii="Palatino Linotype" w:hAnsi="Palatino Linotype" w:cs="Arial"/>
                <w:b/>
                <w:bCs/>
                <w:color w:val="auto"/>
                <w:sz w:val="20"/>
                <w:lang w:eastAsia="zh-CN"/>
              </w:rPr>
              <w:t>(n</w:t>
            </w:r>
            <w:r>
              <w:rPr>
                <w:rFonts w:ascii="Palatino Linotype" w:hAnsi="Palatino Linotype" w:cs="Arial"/>
                <w:b/>
                <w:bCs/>
                <w:color w:val="auto"/>
                <w:sz w:val="20"/>
                <w:lang w:eastAsia="zh-CN"/>
              </w:rPr>
              <w:t xml:space="preserve"> </w:t>
            </w:r>
            <w:r w:rsidRPr="00662262">
              <w:rPr>
                <w:rFonts w:ascii="Palatino Linotype" w:hAnsi="Palatino Linotype" w:cs="Arial"/>
                <w:b/>
                <w:bCs/>
                <w:color w:val="auto"/>
                <w:sz w:val="20"/>
                <w:lang w:eastAsia="zh-CN"/>
              </w:rPr>
              <w:t>=</w:t>
            </w:r>
            <w:r>
              <w:rPr>
                <w:rFonts w:ascii="Palatino Linotype" w:hAnsi="Palatino Linotype" w:cs="Arial"/>
                <w:b/>
                <w:bCs/>
                <w:color w:val="auto"/>
                <w:sz w:val="20"/>
                <w:lang w:eastAsia="zh-CN"/>
              </w:rPr>
              <w:t xml:space="preserve"> </w:t>
            </w:r>
            <w:r w:rsidRPr="00662262">
              <w:rPr>
                <w:rFonts w:ascii="Palatino Linotype" w:hAnsi="Palatino Linotype" w:cs="Arial"/>
                <w:b/>
                <w:bCs/>
                <w:color w:val="auto"/>
                <w:sz w:val="20"/>
                <w:lang w:eastAsia="zh-CN"/>
              </w:rPr>
              <w:t>760,893,907)</w:t>
            </w:r>
            <w:r>
              <w:rPr>
                <w:rFonts w:ascii="Palatino Linotype" w:hAnsi="Palatino Linotype" w:cs="Arial"/>
                <w:b/>
                <w:bCs/>
                <w:color w:val="auto"/>
                <w:sz w:val="20"/>
                <w:lang w:eastAsia="zh-CN"/>
              </w:rPr>
              <w:t xml:space="preserve"> </w:t>
            </w:r>
            <w:r w:rsidRPr="00662262">
              <w:rPr>
                <w:rFonts w:ascii="Palatino Linotype" w:hAnsi="Palatino Linotype" w:cs="Arial"/>
                <w:b/>
                <w:bCs/>
                <w:color w:val="auto"/>
                <w:sz w:val="20"/>
                <w:lang w:eastAsia="zh-CN"/>
              </w:rPr>
              <w:t>*</w:t>
            </w:r>
          </w:p>
        </w:tc>
        <w:tc>
          <w:tcPr>
            <w:tcW w:w="793" w:type="pct"/>
            <w:gridSpan w:val="2"/>
            <w:tcBorders>
              <w:top w:val="nil"/>
              <w:left w:val="nil"/>
              <w:bottom w:val="single" w:sz="4" w:space="0" w:color="auto"/>
              <w:right w:val="nil"/>
            </w:tcBorders>
            <w:shd w:val="clear" w:color="000000" w:fill="FFFFFF"/>
            <w:noWrap/>
            <w:vAlign w:val="center"/>
            <w:hideMark/>
          </w:tcPr>
          <w:p w14:paraId="4AE89C58" w14:textId="77777777" w:rsidR="00AB5085" w:rsidRPr="00662262" w:rsidRDefault="00AB5085" w:rsidP="00FE4DB7">
            <w:pPr>
              <w:adjustRightInd w:val="0"/>
              <w:snapToGrid w:val="0"/>
              <w:spacing w:line="240" w:lineRule="auto"/>
              <w:jc w:val="center"/>
              <w:rPr>
                <w:rFonts w:ascii="Palatino Linotype" w:hAnsi="Palatino Linotype" w:cs="Arial"/>
                <w:b/>
                <w:bCs/>
                <w:color w:val="auto"/>
                <w:sz w:val="20"/>
                <w:lang w:eastAsia="zh-CN"/>
              </w:rPr>
            </w:pPr>
            <w:r w:rsidRPr="00662262">
              <w:rPr>
                <w:rFonts w:ascii="Palatino Linotype" w:hAnsi="Palatino Linotype" w:cs="Arial"/>
                <w:b/>
                <w:bCs/>
                <w:color w:val="auto"/>
                <w:sz w:val="20"/>
                <w:lang w:eastAsia="zh-CN"/>
              </w:rPr>
              <w:t>(n</w:t>
            </w:r>
            <w:r>
              <w:rPr>
                <w:rFonts w:ascii="Palatino Linotype" w:hAnsi="Palatino Linotype" w:cs="Arial"/>
                <w:b/>
                <w:bCs/>
                <w:color w:val="auto"/>
                <w:sz w:val="20"/>
                <w:lang w:eastAsia="zh-CN"/>
              </w:rPr>
              <w:t xml:space="preserve"> </w:t>
            </w:r>
            <w:r w:rsidRPr="00662262">
              <w:rPr>
                <w:rFonts w:ascii="Palatino Linotype" w:hAnsi="Palatino Linotype" w:cs="Arial"/>
                <w:b/>
                <w:bCs/>
                <w:color w:val="auto"/>
                <w:sz w:val="20"/>
                <w:lang w:eastAsia="zh-CN"/>
              </w:rPr>
              <w:t>=</w:t>
            </w:r>
            <w:r>
              <w:rPr>
                <w:rFonts w:ascii="Palatino Linotype" w:hAnsi="Palatino Linotype" w:cs="Arial"/>
                <w:b/>
                <w:bCs/>
                <w:color w:val="auto"/>
                <w:sz w:val="20"/>
                <w:lang w:eastAsia="zh-CN"/>
              </w:rPr>
              <w:t xml:space="preserve"> </w:t>
            </w:r>
            <w:r w:rsidRPr="00662262">
              <w:rPr>
                <w:rFonts w:ascii="Palatino Linotype" w:hAnsi="Palatino Linotype" w:cs="Arial"/>
                <w:b/>
                <w:bCs/>
                <w:color w:val="auto"/>
                <w:sz w:val="20"/>
                <w:lang w:eastAsia="zh-CN"/>
              </w:rPr>
              <w:t>120, 94, 57)</w:t>
            </w:r>
            <w:r>
              <w:rPr>
                <w:rFonts w:ascii="Palatino Linotype" w:hAnsi="Palatino Linotype" w:cs="Arial"/>
                <w:b/>
                <w:bCs/>
                <w:color w:val="auto"/>
                <w:sz w:val="20"/>
                <w:lang w:eastAsia="zh-CN"/>
              </w:rPr>
              <w:t xml:space="preserve"> </w:t>
            </w:r>
            <w:r w:rsidRPr="00662262">
              <w:rPr>
                <w:rFonts w:ascii="Palatino Linotype" w:hAnsi="Palatino Linotype" w:cs="Arial"/>
                <w:b/>
                <w:bCs/>
                <w:color w:val="auto"/>
                <w:sz w:val="20"/>
                <w:lang w:eastAsia="zh-CN"/>
              </w:rPr>
              <w:t>*</w:t>
            </w:r>
          </w:p>
        </w:tc>
        <w:tc>
          <w:tcPr>
            <w:tcW w:w="793" w:type="pct"/>
            <w:gridSpan w:val="2"/>
            <w:tcBorders>
              <w:top w:val="nil"/>
              <w:left w:val="nil"/>
              <w:bottom w:val="single" w:sz="4" w:space="0" w:color="auto"/>
              <w:right w:val="nil"/>
            </w:tcBorders>
            <w:shd w:val="clear" w:color="000000" w:fill="FFFFFF"/>
            <w:noWrap/>
            <w:vAlign w:val="center"/>
            <w:hideMark/>
          </w:tcPr>
          <w:p w14:paraId="58C2A8EB" w14:textId="77777777" w:rsidR="00AB5085" w:rsidRPr="00662262" w:rsidRDefault="00AB5085" w:rsidP="00FE4DB7">
            <w:pPr>
              <w:adjustRightInd w:val="0"/>
              <w:snapToGrid w:val="0"/>
              <w:spacing w:line="240" w:lineRule="auto"/>
              <w:jc w:val="center"/>
              <w:rPr>
                <w:rFonts w:ascii="Palatino Linotype" w:hAnsi="Palatino Linotype" w:cs="Arial"/>
                <w:b/>
                <w:bCs/>
                <w:color w:val="auto"/>
                <w:sz w:val="20"/>
                <w:lang w:eastAsia="zh-CN"/>
              </w:rPr>
            </w:pPr>
            <w:r w:rsidRPr="00662262">
              <w:rPr>
                <w:rFonts w:ascii="Palatino Linotype" w:hAnsi="Palatino Linotype" w:cs="Arial"/>
                <w:b/>
                <w:bCs/>
                <w:color w:val="auto"/>
                <w:sz w:val="20"/>
                <w:lang w:eastAsia="zh-CN"/>
              </w:rPr>
              <w:t>(n</w:t>
            </w:r>
            <w:r>
              <w:rPr>
                <w:rFonts w:ascii="Palatino Linotype" w:hAnsi="Palatino Linotype" w:cs="Arial"/>
                <w:b/>
                <w:bCs/>
                <w:color w:val="auto"/>
                <w:sz w:val="20"/>
                <w:lang w:eastAsia="zh-CN"/>
              </w:rPr>
              <w:t xml:space="preserve"> </w:t>
            </w:r>
            <w:r w:rsidRPr="00662262">
              <w:rPr>
                <w:rFonts w:ascii="Palatino Linotype" w:hAnsi="Palatino Linotype" w:cs="Arial"/>
                <w:b/>
                <w:bCs/>
                <w:color w:val="auto"/>
                <w:sz w:val="20"/>
                <w:lang w:eastAsia="zh-CN"/>
              </w:rPr>
              <w:t>= 160, 149, 125)</w:t>
            </w:r>
            <w:r>
              <w:rPr>
                <w:rFonts w:ascii="Palatino Linotype" w:hAnsi="Palatino Linotype" w:cs="Arial"/>
                <w:b/>
                <w:bCs/>
                <w:color w:val="auto"/>
                <w:sz w:val="20"/>
                <w:lang w:eastAsia="zh-CN"/>
              </w:rPr>
              <w:t xml:space="preserve"> </w:t>
            </w:r>
            <w:r w:rsidRPr="00662262">
              <w:rPr>
                <w:rFonts w:ascii="Palatino Linotype" w:hAnsi="Palatino Linotype" w:cs="Arial"/>
                <w:b/>
                <w:bCs/>
                <w:color w:val="auto"/>
                <w:sz w:val="20"/>
                <w:lang w:eastAsia="zh-CN"/>
              </w:rPr>
              <w:t>*</w:t>
            </w:r>
          </w:p>
        </w:tc>
        <w:tc>
          <w:tcPr>
            <w:tcW w:w="793" w:type="pct"/>
            <w:gridSpan w:val="2"/>
            <w:tcBorders>
              <w:top w:val="nil"/>
              <w:left w:val="nil"/>
              <w:bottom w:val="single" w:sz="4" w:space="0" w:color="auto"/>
              <w:right w:val="nil"/>
            </w:tcBorders>
            <w:shd w:val="clear" w:color="000000" w:fill="FFFFFF"/>
            <w:noWrap/>
            <w:vAlign w:val="center"/>
            <w:hideMark/>
          </w:tcPr>
          <w:p w14:paraId="3ED72E1E" w14:textId="77777777" w:rsidR="00AB5085" w:rsidRPr="00662262" w:rsidRDefault="00AB5085" w:rsidP="00FE4DB7">
            <w:pPr>
              <w:adjustRightInd w:val="0"/>
              <w:snapToGrid w:val="0"/>
              <w:spacing w:line="240" w:lineRule="auto"/>
              <w:jc w:val="center"/>
              <w:rPr>
                <w:rFonts w:ascii="Palatino Linotype" w:hAnsi="Palatino Linotype" w:cs="Arial"/>
                <w:b/>
                <w:bCs/>
                <w:color w:val="auto"/>
                <w:sz w:val="20"/>
                <w:lang w:eastAsia="zh-CN"/>
              </w:rPr>
            </w:pPr>
            <w:r w:rsidRPr="00662262">
              <w:rPr>
                <w:rFonts w:ascii="Palatino Linotype" w:hAnsi="Palatino Linotype" w:cs="Arial"/>
                <w:b/>
                <w:bCs/>
                <w:color w:val="auto"/>
                <w:sz w:val="20"/>
                <w:lang w:eastAsia="zh-CN"/>
              </w:rPr>
              <w:t>(n</w:t>
            </w:r>
            <w:r>
              <w:rPr>
                <w:rFonts w:ascii="Palatino Linotype" w:hAnsi="Palatino Linotype" w:cs="Arial"/>
                <w:b/>
                <w:bCs/>
                <w:color w:val="auto"/>
                <w:sz w:val="20"/>
                <w:lang w:eastAsia="zh-CN"/>
              </w:rPr>
              <w:t xml:space="preserve"> </w:t>
            </w:r>
            <w:r w:rsidRPr="00662262">
              <w:rPr>
                <w:rFonts w:ascii="Palatino Linotype" w:hAnsi="Palatino Linotype" w:cs="Arial"/>
                <w:b/>
                <w:bCs/>
                <w:color w:val="auto"/>
                <w:sz w:val="20"/>
                <w:lang w:eastAsia="zh-CN"/>
              </w:rPr>
              <w:t>= 480, 650, 725)*</w:t>
            </w:r>
          </w:p>
        </w:tc>
      </w:tr>
      <w:tr w:rsidR="00AB5085" w:rsidRPr="00662262" w14:paraId="4128DEE5" w14:textId="77777777" w:rsidTr="004B4C59">
        <w:trPr>
          <w:jc w:val="center"/>
        </w:trPr>
        <w:tc>
          <w:tcPr>
            <w:tcW w:w="911" w:type="pct"/>
            <w:tcBorders>
              <w:top w:val="single" w:sz="4" w:space="0" w:color="auto"/>
              <w:left w:val="nil"/>
              <w:bottom w:val="nil"/>
              <w:right w:val="nil"/>
            </w:tcBorders>
            <w:shd w:val="clear" w:color="000000" w:fill="FFFFFF"/>
            <w:noWrap/>
            <w:vAlign w:val="center"/>
            <w:hideMark/>
          </w:tcPr>
          <w:p w14:paraId="065B9DC5" w14:textId="7951E3AB" w:rsidR="00AB5085" w:rsidRPr="00662262" w:rsidRDefault="00AB5085" w:rsidP="00FE4DB7">
            <w:pPr>
              <w:adjustRightInd w:val="0"/>
              <w:snapToGrid w:val="0"/>
              <w:spacing w:line="240" w:lineRule="auto"/>
              <w:jc w:val="center"/>
              <w:rPr>
                <w:rFonts w:ascii="Palatino Linotype" w:hAnsi="Palatino Linotype" w:cs="Arial"/>
                <w:b/>
                <w:bCs/>
                <w:color w:val="auto"/>
                <w:sz w:val="20"/>
                <w:lang w:eastAsia="zh-CN"/>
              </w:rPr>
            </w:pPr>
          </w:p>
        </w:tc>
        <w:tc>
          <w:tcPr>
            <w:tcW w:w="916" w:type="pct"/>
            <w:gridSpan w:val="2"/>
            <w:tcBorders>
              <w:top w:val="single" w:sz="4" w:space="0" w:color="auto"/>
              <w:left w:val="nil"/>
              <w:bottom w:val="single" w:sz="4" w:space="0" w:color="auto"/>
              <w:right w:val="nil"/>
            </w:tcBorders>
            <w:shd w:val="clear" w:color="auto" w:fill="auto"/>
            <w:vAlign w:val="center"/>
            <w:hideMark/>
          </w:tcPr>
          <w:p w14:paraId="03C0523B" w14:textId="77777777" w:rsidR="00AB5085" w:rsidRPr="00662262" w:rsidRDefault="00AB5085" w:rsidP="00FE4DB7">
            <w:pPr>
              <w:adjustRightInd w:val="0"/>
              <w:snapToGrid w:val="0"/>
              <w:spacing w:line="240" w:lineRule="auto"/>
              <w:jc w:val="center"/>
              <w:rPr>
                <w:rFonts w:ascii="Palatino Linotype" w:hAnsi="Palatino Linotype" w:cs="Arial"/>
                <w:b/>
                <w:bCs/>
                <w:color w:val="auto"/>
                <w:sz w:val="20"/>
                <w:lang w:eastAsia="zh-CN"/>
              </w:rPr>
            </w:pPr>
            <w:r w:rsidRPr="00662262">
              <w:rPr>
                <w:rFonts w:ascii="Palatino Linotype" w:hAnsi="Palatino Linotype" w:cs="Arial"/>
                <w:b/>
                <w:bCs/>
                <w:color w:val="auto"/>
                <w:sz w:val="20"/>
                <w:lang w:eastAsia="zh-CN"/>
              </w:rPr>
              <w:t xml:space="preserve">EAR (HPB) </w:t>
            </w:r>
            <w:r w:rsidRPr="00824EAD">
              <w:rPr>
                <w:rFonts w:ascii="Palatino Linotype" w:hAnsi="Palatino Linotype" w:cs="Arial"/>
                <w:b/>
                <w:bCs/>
                <w:color w:val="auto"/>
                <w:sz w:val="20"/>
                <w:vertAlign w:val="superscript"/>
                <w:lang w:eastAsia="zh-CN"/>
              </w:rPr>
              <w:t>†</w:t>
            </w:r>
          </w:p>
        </w:tc>
        <w:tc>
          <w:tcPr>
            <w:tcW w:w="3173" w:type="pct"/>
            <w:gridSpan w:val="8"/>
            <w:tcBorders>
              <w:top w:val="single" w:sz="4" w:space="0" w:color="auto"/>
              <w:left w:val="nil"/>
              <w:bottom w:val="single" w:sz="4" w:space="0" w:color="auto"/>
              <w:right w:val="nil"/>
            </w:tcBorders>
            <w:shd w:val="clear" w:color="000000" w:fill="FFFFFF"/>
            <w:noWrap/>
            <w:vAlign w:val="center"/>
            <w:hideMark/>
          </w:tcPr>
          <w:p w14:paraId="041F55BD" w14:textId="77777777" w:rsidR="00AB5085" w:rsidRPr="00662262" w:rsidRDefault="00AB5085" w:rsidP="00FE4DB7">
            <w:pPr>
              <w:adjustRightInd w:val="0"/>
              <w:snapToGrid w:val="0"/>
              <w:spacing w:line="240" w:lineRule="auto"/>
              <w:jc w:val="center"/>
              <w:rPr>
                <w:rFonts w:ascii="Palatino Linotype" w:hAnsi="Palatino Linotype" w:cs="Arial"/>
                <w:b/>
                <w:bCs/>
                <w:color w:val="auto"/>
                <w:sz w:val="20"/>
                <w:lang w:eastAsia="zh-CN"/>
              </w:rPr>
            </w:pPr>
            <w:r w:rsidRPr="00662262">
              <w:rPr>
                <w:rFonts w:ascii="Palatino Linotype" w:hAnsi="Palatino Linotype" w:cs="Arial"/>
                <w:b/>
                <w:bCs/>
                <w:color w:val="auto"/>
                <w:sz w:val="20"/>
                <w:lang w:eastAsia="zh-CN"/>
              </w:rPr>
              <w:t>Mean (SD)</w:t>
            </w:r>
          </w:p>
        </w:tc>
      </w:tr>
      <w:tr w:rsidR="00A503A4" w:rsidRPr="00662262" w14:paraId="78EDBAB1" w14:textId="77777777" w:rsidTr="002E22C3">
        <w:trPr>
          <w:jc w:val="center"/>
        </w:trPr>
        <w:tc>
          <w:tcPr>
            <w:tcW w:w="911" w:type="pct"/>
            <w:tcBorders>
              <w:top w:val="nil"/>
              <w:left w:val="nil"/>
              <w:bottom w:val="single" w:sz="4" w:space="0" w:color="auto"/>
              <w:right w:val="nil"/>
            </w:tcBorders>
            <w:shd w:val="clear" w:color="auto" w:fill="auto"/>
            <w:noWrap/>
            <w:vAlign w:val="center"/>
            <w:hideMark/>
          </w:tcPr>
          <w:p w14:paraId="57FBC99D" w14:textId="77777777" w:rsidR="00AB5085" w:rsidRPr="00662262" w:rsidRDefault="00AB5085" w:rsidP="00FE4DB7">
            <w:pPr>
              <w:adjustRightInd w:val="0"/>
              <w:snapToGrid w:val="0"/>
              <w:spacing w:line="240" w:lineRule="auto"/>
              <w:jc w:val="center"/>
              <w:rPr>
                <w:rFonts w:ascii="Palatino Linotype" w:hAnsi="Palatino Linotype" w:cs="Arial"/>
                <w:color w:val="auto"/>
                <w:sz w:val="20"/>
                <w:lang w:eastAsia="zh-CN"/>
              </w:rPr>
            </w:pPr>
          </w:p>
        </w:tc>
        <w:tc>
          <w:tcPr>
            <w:tcW w:w="530" w:type="pct"/>
            <w:tcBorders>
              <w:top w:val="nil"/>
              <w:left w:val="nil"/>
              <w:bottom w:val="single" w:sz="4" w:space="0" w:color="auto"/>
              <w:right w:val="nil"/>
            </w:tcBorders>
            <w:shd w:val="clear" w:color="auto" w:fill="auto"/>
            <w:noWrap/>
            <w:vAlign w:val="center"/>
            <w:hideMark/>
          </w:tcPr>
          <w:p w14:paraId="71725E61" w14:textId="77777777" w:rsidR="00AB5085" w:rsidRPr="008C197E" w:rsidRDefault="00AB5085" w:rsidP="00FE4DB7">
            <w:pPr>
              <w:adjustRightInd w:val="0"/>
              <w:snapToGrid w:val="0"/>
              <w:spacing w:line="240" w:lineRule="auto"/>
              <w:jc w:val="center"/>
              <w:rPr>
                <w:rFonts w:ascii="Palatino Linotype" w:hAnsi="Palatino Linotype" w:cs="Arial"/>
                <w:color w:val="auto"/>
                <w:sz w:val="20"/>
                <w:lang w:eastAsia="zh-CN"/>
              </w:rPr>
            </w:pPr>
            <w:r w:rsidRPr="008C197E">
              <w:rPr>
                <w:rFonts w:ascii="Palatino Linotype" w:hAnsi="Palatino Linotype" w:cs="Arial"/>
                <w:color w:val="auto"/>
                <w:sz w:val="20"/>
                <w:lang w:eastAsia="zh-CN"/>
              </w:rPr>
              <w:t>Male</w:t>
            </w:r>
          </w:p>
        </w:tc>
        <w:tc>
          <w:tcPr>
            <w:tcW w:w="386" w:type="pct"/>
            <w:tcBorders>
              <w:top w:val="nil"/>
              <w:left w:val="nil"/>
              <w:bottom w:val="single" w:sz="4" w:space="0" w:color="auto"/>
            </w:tcBorders>
            <w:shd w:val="clear" w:color="auto" w:fill="auto"/>
            <w:noWrap/>
            <w:vAlign w:val="center"/>
            <w:hideMark/>
          </w:tcPr>
          <w:p w14:paraId="4B9BA0FB" w14:textId="77777777" w:rsidR="00AB5085" w:rsidRPr="008C197E" w:rsidRDefault="00AB5085" w:rsidP="00FE4DB7">
            <w:pPr>
              <w:adjustRightInd w:val="0"/>
              <w:snapToGrid w:val="0"/>
              <w:spacing w:line="240" w:lineRule="auto"/>
              <w:jc w:val="center"/>
              <w:rPr>
                <w:rFonts w:ascii="Palatino Linotype" w:hAnsi="Palatino Linotype" w:cs="Arial"/>
                <w:color w:val="auto"/>
                <w:sz w:val="20"/>
                <w:lang w:eastAsia="zh-CN"/>
              </w:rPr>
            </w:pPr>
            <w:r w:rsidRPr="008C197E">
              <w:rPr>
                <w:rFonts w:ascii="Palatino Linotype" w:hAnsi="Palatino Linotype" w:cs="Arial"/>
                <w:color w:val="auto"/>
                <w:sz w:val="20"/>
                <w:lang w:eastAsia="zh-CN"/>
              </w:rPr>
              <w:t>Female</w:t>
            </w:r>
          </w:p>
        </w:tc>
        <w:tc>
          <w:tcPr>
            <w:tcW w:w="397" w:type="pct"/>
            <w:tcBorders>
              <w:top w:val="nil"/>
              <w:bottom w:val="single" w:sz="4" w:space="0" w:color="auto"/>
              <w:right w:val="nil"/>
            </w:tcBorders>
            <w:shd w:val="clear" w:color="auto" w:fill="auto"/>
            <w:noWrap/>
            <w:vAlign w:val="center"/>
            <w:hideMark/>
          </w:tcPr>
          <w:p w14:paraId="2C7B8CD5" w14:textId="77777777" w:rsidR="00AB5085" w:rsidRPr="008C197E" w:rsidRDefault="00AB5085" w:rsidP="00FE4DB7">
            <w:pPr>
              <w:adjustRightInd w:val="0"/>
              <w:snapToGrid w:val="0"/>
              <w:spacing w:line="240" w:lineRule="auto"/>
              <w:jc w:val="center"/>
              <w:rPr>
                <w:rFonts w:ascii="Palatino Linotype" w:hAnsi="Palatino Linotype" w:cs="Arial"/>
                <w:color w:val="auto"/>
                <w:sz w:val="20"/>
                <w:lang w:eastAsia="zh-CN"/>
              </w:rPr>
            </w:pPr>
            <w:r w:rsidRPr="008C197E">
              <w:rPr>
                <w:rFonts w:ascii="Palatino Linotype" w:hAnsi="Palatino Linotype" w:cs="Arial"/>
                <w:color w:val="auto"/>
                <w:sz w:val="20"/>
                <w:lang w:eastAsia="zh-CN"/>
              </w:rPr>
              <w:t>Male</w:t>
            </w:r>
          </w:p>
        </w:tc>
        <w:tc>
          <w:tcPr>
            <w:tcW w:w="397" w:type="pct"/>
            <w:tcBorders>
              <w:top w:val="nil"/>
              <w:left w:val="nil"/>
              <w:bottom w:val="single" w:sz="4" w:space="0" w:color="auto"/>
              <w:right w:val="nil"/>
            </w:tcBorders>
            <w:shd w:val="clear" w:color="auto" w:fill="auto"/>
            <w:noWrap/>
            <w:vAlign w:val="center"/>
            <w:hideMark/>
          </w:tcPr>
          <w:p w14:paraId="1AD6A471" w14:textId="77777777" w:rsidR="00AB5085" w:rsidRPr="008C197E" w:rsidRDefault="00AB5085" w:rsidP="00FE4DB7">
            <w:pPr>
              <w:adjustRightInd w:val="0"/>
              <w:snapToGrid w:val="0"/>
              <w:spacing w:line="240" w:lineRule="auto"/>
              <w:jc w:val="center"/>
              <w:rPr>
                <w:rFonts w:ascii="Palatino Linotype" w:hAnsi="Palatino Linotype" w:cs="Arial"/>
                <w:color w:val="auto"/>
                <w:sz w:val="20"/>
                <w:lang w:eastAsia="zh-CN"/>
              </w:rPr>
            </w:pPr>
            <w:r w:rsidRPr="008C197E">
              <w:rPr>
                <w:rFonts w:ascii="Palatino Linotype" w:hAnsi="Palatino Linotype" w:cs="Arial"/>
                <w:color w:val="auto"/>
                <w:sz w:val="20"/>
                <w:lang w:eastAsia="zh-CN"/>
              </w:rPr>
              <w:t>Female</w:t>
            </w:r>
          </w:p>
        </w:tc>
        <w:tc>
          <w:tcPr>
            <w:tcW w:w="397" w:type="pct"/>
            <w:tcBorders>
              <w:top w:val="nil"/>
              <w:left w:val="nil"/>
              <w:bottom w:val="single" w:sz="4" w:space="0" w:color="auto"/>
              <w:right w:val="nil"/>
            </w:tcBorders>
            <w:shd w:val="clear" w:color="auto" w:fill="auto"/>
            <w:noWrap/>
            <w:vAlign w:val="center"/>
            <w:hideMark/>
          </w:tcPr>
          <w:p w14:paraId="376F4D75" w14:textId="77777777" w:rsidR="00AB5085" w:rsidRPr="008C197E" w:rsidRDefault="00AB5085" w:rsidP="00FE4DB7">
            <w:pPr>
              <w:adjustRightInd w:val="0"/>
              <w:snapToGrid w:val="0"/>
              <w:spacing w:line="240" w:lineRule="auto"/>
              <w:jc w:val="center"/>
              <w:rPr>
                <w:rFonts w:ascii="Palatino Linotype" w:hAnsi="Palatino Linotype" w:cs="Arial"/>
                <w:color w:val="auto"/>
                <w:sz w:val="20"/>
                <w:lang w:eastAsia="zh-CN"/>
              </w:rPr>
            </w:pPr>
            <w:r w:rsidRPr="008C197E">
              <w:rPr>
                <w:rFonts w:ascii="Palatino Linotype" w:hAnsi="Palatino Linotype" w:cs="Arial"/>
                <w:color w:val="auto"/>
                <w:sz w:val="20"/>
                <w:lang w:eastAsia="zh-CN"/>
              </w:rPr>
              <w:t>Male</w:t>
            </w:r>
          </w:p>
        </w:tc>
        <w:tc>
          <w:tcPr>
            <w:tcW w:w="397" w:type="pct"/>
            <w:tcBorders>
              <w:top w:val="nil"/>
              <w:left w:val="nil"/>
              <w:bottom w:val="single" w:sz="4" w:space="0" w:color="auto"/>
              <w:right w:val="nil"/>
            </w:tcBorders>
            <w:shd w:val="clear" w:color="auto" w:fill="auto"/>
            <w:noWrap/>
            <w:vAlign w:val="center"/>
            <w:hideMark/>
          </w:tcPr>
          <w:p w14:paraId="43FB4324" w14:textId="77777777" w:rsidR="00AB5085" w:rsidRPr="008C197E" w:rsidRDefault="00AB5085" w:rsidP="00FE4DB7">
            <w:pPr>
              <w:adjustRightInd w:val="0"/>
              <w:snapToGrid w:val="0"/>
              <w:spacing w:line="240" w:lineRule="auto"/>
              <w:jc w:val="center"/>
              <w:rPr>
                <w:rFonts w:ascii="Palatino Linotype" w:hAnsi="Palatino Linotype" w:cs="Arial"/>
                <w:color w:val="auto"/>
                <w:sz w:val="20"/>
                <w:lang w:eastAsia="zh-CN"/>
              </w:rPr>
            </w:pPr>
            <w:r w:rsidRPr="008C197E">
              <w:rPr>
                <w:rFonts w:ascii="Palatino Linotype" w:hAnsi="Palatino Linotype" w:cs="Arial"/>
                <w:color w:val="auto"/>
                <w:sz w:val="20"/>
                <w:lang w:eastAsia="zh-CN"/>
              </w:rPr>
              <w:t>Female</w:t>
            </w:r>
          </w:p>
        </w:tc>
        <w:tc>
          <w:tcPr>
            <w:tcW w:w="397" w:type="pct"/>
            <w:tcBorders>
              <w:top w:val="nil"/>
              <w:left w:val="nil"/>
              <w:bottom w:val="single" w:sz="4" w:space="0" w:color="auto"/>
              <w:right w:val="nil"/>
            </w:tcBorders>
            <w:shd w:val="clear" w:color="auto" w:fill="auto"/>
            <w:noWrap/>
            <w:vAlign w:val="center"/>
            <w:hideMark/>
          </w:tcPr>
          <w:p w14:paraId="194B9A6A" w14:textId="77777777" w:rsidR="00AB5085" w:rsidRPr="008C197E" w:rsidRDefault="00AB5085" w:rsidP="00FE4DB7">
            <w:pPr>
              <w:adjustRightInd w:val="0"/>
              <w:snapToGrid w:val="0"/>
              <w:spacing w:line="240" w:lineRule="auto"/>
              <w:jc w:val="center"/>
              <w:rPr>
                <w:rFonts w:ascii="Palatino Linotype" w:hAnsi="Palatino Linotype" w:cs="Arial"/>
                <w:color w:val="auto"/>
                <w:sz w:val="20"/>
                <w:lang w:eastAsia="zh-CN"/>
              </w:rPr>
            </w:pPr>
            <w:r w:rsidRPr="008C197E">
              <w:rPr>
                <w:rFonts w:ascii="Palatino Linotype" w:hAnsi="Palatino Linotype" w:cs="Arial"/>
                <w:color w:val="auto"/>
                <w:sz w:val="20"/>
                <w:lang w:eastAsia="zh-CN"/>
              </w:rPr>
              <w:t>Male</w:t>
            </w:r>
          </w:p>
        </w:tc>
        <w:tc>
          <w:tcPr>
            <w:tcW w:w="397" w:type="pct"/>
            <w:tcBorders>
              <w:top w:val="nil"/>
              <w:left w:val="nil"/>
              <w:bottom w:val="single" w:sz="4" w:space="0" w:color="auto"/>
              <w:right w:val="nil"/>
            </w:tcBorders>
            <w:shd w:val="clear" w:color="auto" w:fill="auto"/>
            <w:noWrap/>
            <w:vAlign w:val="center"/>
            <w:hideMark/>
          </w:tcPr>
          <w:p w14:paraId="046FA24A" w14:textId="77777777" w:rsidR="00AB5085" w:rsidRPr="008C197E" w:rsidRDefault="00AB5085" w:rsidP="00FE4DB7">
            <w:pPr>
              <w:adjustRightInd w:val="0"/>
              <w:snapToGrid w:val="0"/>
              <w:spacing w:line="240" w:lineRule="auto"/>
              <w:jc w:val="center"/>
              <w:rPr>
                <w:rFonts w:ascii="Palatino Linotype" w:hAnsi="Palatino Linotype" w:cs="Arial"/>
                <w:color w:val="auto"/>
                <w:sz w:val="20"/>
                <w:lang w:eastAsia="zh-CN"/>
              </w:rPr>
            </w:pPr>
            <w:r w:rsidRPr="008C197E">
              <w:rPr>
                <w:rFonts w:ascii="Palatino Linotype" w:hAnsi="Palatino Linotype" w:cs="Arial"/>
                <w:color w:val="auto"/>
                <w:sz w:val="20"/>
                <w:lang w:eastAsia="zh-CN"/>
              </w:rPr>
              <w:t>Female</w:t>
            </w:r>
          </w:p>
        </w:tc>
        <w:tc>
          <w:tcPr>
            <w:tcW w:w="397" w:type="pct"/>
            <w:tcBorders>
              <w:top w:val="nil"/>
              <w:left w:val="nil"/>
              <w:bottom w:val="single" w:sz="4" w:space="0" w:color="auto"/>
              <w:right w:val="nil"/>
            </w:tcBorders>
            <w:shd w:val="clear" w:color="auto" w:fill="auto"/>
            <w:noWrap/>
            <w:vAlign w:val="center"/>
            <w:hideMark/>
          </w:tcPr>
          <w:p w14:paraId="49B192D3" w14:textId="77777777" w:rsidR="00AB5085" w:rsidRPr="008C197E" w:rsidRDefault="00AB5085" w:rsidP="00FE4DB7">
            <w:pPr>
              <w:adjustRightInd w:val="0"/>
              <w:snapToGrid w:val="0"/>
              <w:spacing w:line="240" w:lineRule="auto"/>
              <w:jc w:val="center"/>
              <w:rPr>
                <w:rFonts w:ascii="Palatino Linotype" w:hAnsi="Palatino Linotype" w:cs="Arial"/>
                <w:color w:val="auto"/>
                <w:sz w:val="20"/>
                <w:lang w:eastAsia="zh-CN"/>
              </w:rPr>
            </w:pPr>
            <w:r w:rsidRPr="008C197E">
              <w:rPr>
                <w:rFonts w:ascii="Palatino Linotype" w:hAnsi="Palatino Linotype" w:cs="Arial"/>
                <w:color w:val="auto"/>
                <w:sz w:val="20"/>
                <w:lang w:eastAsia="zh-CN"/>
              </w:rPr>
              <w:t>Male</w:t>
            </w:r>
          </w:p>
        </w:tc>
        <w:tc>
          <w:tcPr>
            <w:tcW w:w="397" w:type="pct"/>
            <w:tcBorders>
              <w:top w:val="nil"/>
              <w:left w:val="nil"/>
              <w:bottom w:val="single" w:sz="4" w:space="0" w:color="auto"/>
              <w:right w:val="nil"/>
            </w:tcBorders>
            <w:shd w:val="clear" w:color="auto" w:fill="auto"/>
            <w:noWrap/>
            <w:vAlign w:val="center"/>
            <w:hideMark/>
          </w:tcPr>
          <w:p w14:paraId="3C5A8D5B" w14:textId="77777777" w:rsidR="00AB5085" w:rsidRPr="008C197E" w:rsidRDefault="00AB5085" w:rsidP="00FE4DB7">
            <w:pPr>
              <w:adjustRightInd w:val="0"/>
              <w:snapToGrid w:val="0"/>
              <w:spacing w:line="240" w:lineRule="auto"/>
              <w:jc w:val="center"/>
              <w:rPr>
                <w:rFonts w:ascii="Palatino Linotype" w:hAnsi="Palatino Linotype" w:cs="Arial"/>
                <w:color w:val="auto"/>
                <w:sz w:val="20"/>
                <w:lang w:eastAsia="zh-CN"/>
              </w:rPr>
            </w:pPr>
            <w:r w:rsidRPr="008C197E">
              <w:rPr>
                <w:rFonts w:ascii="Palatino Linotype" w:hAnsi="Palatino Linotype" w:cs="Arial"/>
                <w:color w:val="auto"/>
                <w:sz w:val="20"/>
                <w:lang w:eastAsia="zh-CN"/>
              </w:rPr>
              <w:t>Female</w:t>
            </w:r>
          </w:p>
        </w:tc>
      </w:tr>
      <w:tr w:rsidR="00A503A4" w:rsidRPr="00662262" w14:paraId="3C0C636F" w14:textId="77777777" w:rsidTr="002E22C3">
        <w:trPr>
          <w:jc w:val="center"/>
        </w:trPr>
        <w:tc>
          <w:tcPr>
            <w:tcW w:w="911" w:type="pct"/>
            <w:tcBorders>
              <w:top w:val="nil"/>
              <w:left w:val="nil"/>
              <w:bottom w:val="nil"/>
              <w:right w:val="nil"/>
            </w:tcBorders>
            <w:shd w:val="clear" w:color="000000" w:fill="FFFFFF"/>
            <w:noWrap/>
            <w:vAlign w:val="center"/>
            <w:hideMark/>
          </w:tcPr>
          <w:p w14:paraId="532001F3" w14:textId="77777777" w:rsidR="00AB5085" w:rsidRPr="00662262" w:rsidRDefault="00AB5085" w:rsidP="00FE4DB7">
            <w:pPr>
              <w:adjustRightInd w:val="0"/>
              <w:snapToGrid w:val="0"/>
              <w:spacing w:line="240" w:lineRule="auto"/>
              <w:jc w:val="center"/>
              <w:rPr>
                <w:rFonts w:ascii="Palatino Linotype" w:hAnsi="Palatino Linotype" w:cs="Arial"/>
                <w:color w:val="auto"/>
                <w:sz w:val="20"/>
                <w:lang w:eastAsia="zh-CN"/>
              </w:rPr>
            </w:pPr>
            <w:r w:rsidRPr="00662262">
              <w:rPr>
                <w:rFonts w:ascii="Palatino Linotype" w:hAnsi="Palatino Linotype" w:cs="Arial"/>
                <w:color w:val="auto"/>
                <w:sz w:val="20"/>
                <w:lang w:eastAsia="zh-CN"/>
              </w:rPr>
              <w:t>6 months</w:t>
            </w:r>
          </w:p>
        </w:tc>
        <w:tc>
          <w:tcPr>
            <w:tcW w:w="530" w:type="pct"/>
            <w:tcBorders>
              <w:top w:val="nil"/>
              <w:left w:val="nil"/>
              <w:bottom w:val="nil"/>
              <w:right w:val="nil"/>
            </w:tcBorders>
            <w:shd w:val="clear" w:color="auto" w:fill="auto"/>
            <w:noWrap/>
            <w:vAlign w:val="center"/>
            <w:hideMark/>
          </w:tcPr>
          <w:p w14:paraId="0DF7A59E" w14:textId="77777777" w:rsidR="00AB5085" w:rsidRPr="008C197E" w:rsidRDefault="00AB5085" w:rsidP="00FE4DB7">
            <w:pPr>
              <w:adjustRightInd w:val="0"/>
              <w:snapToGrid w:val="0"/>
              <w:spacing w:line="240" w:lineRule="auto"/>
              <w:jc w:val="center"/>
              <w:rPr>
                <w:rFonts w:ascii="Palatino Linotype" w:hAnsi="Palatino Linotype" w:cs="Arial"/>
                <w:i/>
                <w:iCs/>
                <w:color w:val="auto"/>
                <w:sz w:val="20"/>
                <w:lang w:eastAsia="zh-CN"/>
              </w:rPr>
            </w:pPr>
            <w:r w:rsidRPr="008C197E">
              <w:rPr>
                <w:rFonts w:ascii="Palatino Linotype" w:hAnsi="Palatino Linotype" w:cs="Arial"/>
                <w:i/>
                <w:iCs/>
                <w:color w:val="auto"/>
                <w:sz w:val="20"/>
                <w:lang w:eastAsia="zh-CN"/>
              </w:rPr>
              <w:t>600</w:t>
            </w:r>
          </w:p>
        </w:tc>
        <w:tc>
          <w:tcPr>
            <w:tcW w:w="386" w:type="pct"/>
            <w:tcBorders>
              <w:top w:val="nil"/>
              <w:left w:val="nil"/>
              <w:bottom w:val="nil"/>
            </w:tcBorders>
            <w:shd w:val="clear" w:color="auto" w:fill="auto"/>
            <w:noWrap/>
            <w:vAlign w:val="center"/>
            <w:hideMark/>
          </w:tcPr>
          <w:p w14:paraId="709945CF" w14:textId="77777777" w:rsidR="00AB5085" w:rsidRPr="008C197E" w:rsidRDefault="00AB5085" w:rsidP="00FE4DB7">
            <w:pPr>
              <w:adjustRightInd w:val="0"/>
              <w:snapToGrid w:val="0"/>
              <w:spacing w:line="240" w:lineRule="auto"/>
              <w:jc w:val="center"/>
              <w:rPr>
                <w:rFonts w:ascii="Palatino Linotype" w:hAnsi="Palatino Linotype" w:cs="Arial"/>
                <w:i/>
                <w:iCs/>
                <w:color w:val="auto"/>
                <w:sz w:val="20"/>
                <w:lang w:eastAsia="zh-CN"/>
              </w:rPr>
            </w:pPr>
            <w:r w:rsidRPr="008C197E">
              <w:rPr>
                <w:rFonts w:ascii="Palatino Linotype" w:hAnsi="Palatino Linotype" w:cs="Arial"/>
                <w:i/>
                <w:iCs/>
                <w:color w:val="auto"/>
                <w:sz w:val="20"/>
                <w:lang w:eastAsia="zh-CN"/>
              </w:rPr>
              <w:t>560</w:t>
            </w:r>
          </w:p>
        </w:tc>
        <w:tc>
          <w:tcPr>
            <w:tcW w:w="397" w:type="pct"/>
            <w:tcBorders>
              <w:top w:val="nil"/>
              <w:bottom w:val="nil"/>
              <w:right w:val="nil"/>
            </w:tcBorders>
            <w:shd w:val="clear" w:color="auto" w:fill="auto"/>
            <w:noWrap/>
            <w:vAlign w:val="center"/>
            <w:hideMark/>
          </w:tcPr>
          <w:p w14:paraId="431804DE" w14:textId="77777777" w:rsidR="00AB5085" w:rsidRPr="008C197E" w:rsidRDefault="00AB5085" w:rsidP="00FE4DB7">
            <w:pPr>
              <w:adjustRightInd w:val="0"/>
              <w:snapToGrid w:val="0"/>
              <w:spacing w:line="240" w:lineRule="auto"/>
              <w:jc w:val="center"/>
              <w:rPr>
                <w:rFonts w:ascii="Palatino Linotype" w:hAnsi="Palatino Linotype" w:cs="Arial"/>
                <w:color w:val="auto"/>
                <w:sz w:val="20"/>
                <w:lang w:eastAsia="zh-CN"/>
              </w:rPr>
            </w:pPr>
            <w:r w:rsidRPr="008C197E">
              <w:rPr>
                <w:rFonts w:ascii="Palatino Linotype" w:hAnsi="Palatino Linotype" w:cs="Arial"/>
                <w:color w:val="auto"/>
                <w:sz w:val="20"/>
                <w:lang w:eastAsia="zh-CN"/>
              </w:rPr>
              <w:t>655 (164)</w:t>
            </w:r>
          </w:p>
        </w:tc>
        <w:tc>
          <w:tcPr>
            <w:tcW w:w="397" w:type="pct"/>
            <w:tcBorders>
              <w:top w:val="nil"/>
              <w:left w:val="nil"/>
              <w:bottom w:val="nil"/>
              <w:right w:val="nil"/>
            </w:tcBorders>
            <w:shd w:val="clear" w:color="auto" w:fill="auto"/>
            <w:noWrap/>
            <w:vAlign w:val="center"/>
            <w:hideMark/>
          </w:tcPr>
          <w:p w14:paraId="0B7F9D6E" w14:textId="77777777" w:rsidR="00AB5085" w:rsidRPr="008C197E" w:rsidRDefault="00AB5085" w:rsidP="00FE4DB7">
            <w:pPr>
              <w:adjustRightInd w:val="0"/>
              <w:snapToGrid w:val="0"/>
              <w:spacing w:line="240" w:lineRule="auto"/>
              <w:jc w:val="center"/>
              <w:rPr>
                <w:rFonts w:ascii="Palatino Linotype" w:hAnsi="Palatino Linotype" w:cs="Arial"/>
                <w:color w:val="auto"/>
                <w:sz w:val="20"/>
                <w:lang w:eastAsia="zh-CN"/>
              </w:rPr>
            </w:pPr>
            <w:r w:rsidRPr="008C197E">
              <w:rPr>
                <w:rFonts w:ascii="Palatino Linotype" w:hAnsi="Palatino Linotype" w:cs="Arial"/>
                <w:color w:val="auto"/>
                <w:sz w:val="20"/>
                <w:lang w:eastAsia="zh-CN"/>
              </w:rPr>
              <w:t>623 (151)</w:t>
            </w:r>
          </w:p>
        </w:tc>
        <w:tc>
          <w:tcPr>
            <w:tcW w:w="397" w:type="pct"/>
            <w:tcBorders>
              <w:top w:val="nil"/>
              <w:left w:val="nil"/>
              <w:bottom w:val="nil"/>
              <w:right w:val="nil"/>
            </w:tcBorders>
            <w:shd w:val="clear" w:color="auto" w:fill="auto"/>
            <w:noWrap/>
            <w:vAlign w:val="center"/>
            <w:hideMark/>
          </w:tcPr>
          <w:p w14:paraId="39C74433" w14:textId="77777777" w:rsidR="00AB5085" w:rsidRPr="008C197E" w:rsidRDefault="00AB5085" w:rsidP="00FE4DB7">
            <w:pPr>
              <w:adjustRightInd w:val="0"/>
              <w:snapToGrid w:val="0"/>
              <w:spacing w:line="240" w:lineRule="auto"/>
              <w:jc w:val="center"/>
              <w:rPr>
                <w:rFonts w:ascii="Palatino Linotype" w:hAnsi="Palatino Linotype" w:cs="Arial"/>
                <w:color w:val="auto"/>
                <w:sz w:val="20"/>
                <w:lang w:eastAsia="zh-CN"/>
              </w:rPr>
            </w:pPr>
            <w:r w:rsidRPr="008C197E">
              <w:rPr>
                <w:rFonts w:ascii="Palatino Linotype" w:hAnsi="Palatino Linotype" w:cs="Arial"/>
                <w:color w:val="auto"/>
                <w:sz w:val="20"/>
                <w:lang w:eastAsia="zh-CN"/>
              </w:rPr>
              <w:t>662 (129)</w:t>
            </w:r>
          </w:p>
        </w:tc>
        <w:tc>
          <w:tcPr>
            <w:tcW w:w="397" w:type="pct"/>
            <w:tcBorders>
              <w:top w:val="nil"/>
              <w:left w:val="nil"/>
              <w:bottom w:val="nil"/>
              <w:right w:val="nil"/>
            </w:tcBorders>
            <w:shd w:val="clear" w:color="auto" w:fill="auto"/>
            <w:noWrap/>
            <w:vAlign w:val="center"/>
            <w:hideMark/>
          </w:tcPr>
          <w:p w14:paraId="2C903E0F" w14:textId="77777777" w:rsidR="00AB5085" w:rsidRPr="008C197E" w:rsidRDefault="00AB5085" w:rsidP="00FE4DB7">
            <w:pPr>
              <w:adjustRightInd w:val="0"/>
              <w:snapToGrid w:val="0"/>
              <w:spacing w:line="240" w:lineRule="auto"/>
              <w:jc w:val="center"/>
              <w:rPr>
                <w:rFonts w:ascii="Palatino Linotype" w:hAnsi="Palatino Linotype" w:cs="Arial"/>
                <w:color w:val="auto"/>
                <w:sz w:val="20"/>
                <w:lang w:eastAsia="zh-CN"/>
              </w:rPr>
            </w:pPr>
            <w:r w:rsidRPr="008C197E">
              <w:rPr>
                <w:rFonts w:ascii="Palatino Linotype" w:hAnsi="Palatino Linotype" w:cs="Arial"/>
                <w:color w:val="auto"/>
                <w:sz w:val="20"/>
                <w:lang w:eastAsia="zh-CN"/>
              </w:rPr>
              <w:t>642 (94)</w:t>
            </w:r>
          </w:p>
        </w:tc>
        <w:tc>
          <w:tcPr>
            <w:tcW w:w="397" w:type="pct"/>
            <w:tcBorders>
              <w:top w:val="nil"/>
              <w:left w:val="nil"/>
              <w:bottom w:val="nil"/>
              <w:right w:val="nil"/>
            </w:tcBorders>
            <w:shd w:val="clear" w:color="auto" w:fill="auto"/>
            <w:noWrap/>
            <w:vAlign w:val="center"/>
            <w:hideMark/>
          </w:tcPr>
          <w:p w14:paraId="34A97DA5" w14:textId="77777777" w:rsidR="00AB5085" w:rsidRPr="008C197E" w:rsidRDefault="00AB5085" w:rsidP="00FE4DB7">
            <w:pPr>
              <w:adjustRightInd w:val="0"/>
              <w:snapToGrid w:val="0"/>
              <w:spacing w:line="240" w:lineRule="auto"/>
              <w:jc w:val="center"/>
              <w:rPr>
                <w:rFonts w:ascii="Palatino Linotype" w:hAnsi="Palatino Linotype" w:cs="Arial"/>
                <w:color w:val="auto"/>
                <w:sz w:val="20"/>
                <w:lang w:eastAsia="zh-CN"/>
              </w:rPr>
            </w:pPr>
            <w:r w:rsidRPr="008C197E">
              <w:rPr>
                <w:rFonts w:ascii="Palatino Linotype" w:hAnsi="Palatino Linotype" w:cs="Arial"/>
                <w:color w:val="auto"/>
                <w:sz w:val="20"/>
                <w:lang w:eastAsia="zh-CN"/>
              </w:rPr>
              <w:t>649 (103)</w:t>
            </w:r>
          </w:p>
        </w:tc>
        <w:tc>
          <w:tcPr>
            <w:tcW w:w="397" w:type="pct"/>
            <w:tcBorders>
              <w:top w:val="nil"/>
              <w:left w:val="nil"/>
              <w:bottom w:val="nil"/>
              <w:right w:val="nil"/>
            </w:tcBorders>
            <w:shd w:val="clear" w:color="auto" w:fill="auto"/>
            <w:noWrap/>
            <w:vAlign w:val="center"/>
            <w:hideMark/>
          </w:tcPr>
          <w:p w14:paraId="6546059F" w14:textId="77777777" w:rsidR="00AB5085" w:rsidRPr="008C197E" w:rsidRDefault="00AB5085" w:rsidP="00FE4DB7">
            <w:pPr>
              <w:adjustRightInd w:val="0"/>
              <w:snapToGrid w:val="0"/>
              <w:spacing w:line="240" w:lineRule="auto"/>
              <w:jc w:val="center"/>
              <w:rPr>
                <w:rFonts w:ascii="Palatino Linotype" w:hAnsi="Palatino Linotype" w:cs="Arial"/>
                <w:color w:val="auto"/>
                <w:sz w:val="20"/>
                <w:lang w:eastAsia="zh-CN"/>
              </w:rPr>
            </w:pPr>
            <w:r w:rsidRPr="008C197E">
              <w:rPr>
                <w:rFonts w:ascii="Palatino Linotype" w:hAnsi="Palatino Linotype" w:cs="Arial"/>
                <w:color w:val="auto"/>
                <w:sz w:val="20"/>
                <w:lang w:eastAsia="zh-CN"/>
              </w:rPr>
              <w:t>644 (94)</w:t>
            </w:r>
          </w:p>
        </w:tc>
        <w:tc>
          <w:tcPr>
            <w:tcW w:w="397" w:type="pct"/>
            <w:tcBorders>
              <w:top w:val="nil"/>
              <w:left w:val="nil"/>
              <w:bottom w:val="nil"/>
              <w:right w:val="nil"/>
            </w:tcBorders>
            <w:shd w:val="clear" w:color="auto" w:fill="auto"/>
            <w:noWrap/>
            <w:vAlign w:val="center"/>
            <w:hideMark/>
          </w:tcPr>
          <w:p w14:paraId="4A528711" w14:textId="77777777" w:rsidR="00AB5085" w:rsidRPr="008C197E" w:rsidRDefault="00AB5085" w:rsidP="00FE4DB7">
            <w:pPr>
              <w:adjustRightInd w:val="0"/>
              <w:snapToGrid w:val="0"/>
              <w:spacing w:line="240" w:lineRule="auto"/>
              <w:jc w:val="center"/>
              <w:rPr>
                <w:rFonts w:ascii="Palatino Linotype" w:hAnsi="Palatino Linotype" w:cs="Arial"/>
                <w:color w:val="auto"/>
                <w:sz w:val="20"/>
                <w:lang w:eastAsia="zh-CN"/>
              </w:rPr>
            </w:pPr>
            <w:r w:rsidRPr="008C197E">
              <w:rPr>
                <w:rFonts w:ascii="Palatino Linotype" w:hAnsi="Palatino Linotype" w:cs="Arial"/>
                <w:color w:val="auto"/>
                <w:sz w:val="20"/>
                <w:lang w:eastAsia="zh-CN"/>
              </w:rPr>
              <w:t>655 (186)</w:t>
            </w:r>
          </w:p>
        </w:tc>
        <w:tc>
          <w:tcPr>
            <w:tcW w:w="397" w:type="pct"/>
            <w:tcBorders>
              <w:top w:val="nil"/>
              <w:left w:val="nil"/>
              <w:bottom w:val="nil"/>
              <w:right w:val="nil"/>
            </w:tcBorders>
            <w:shd w:val="clear" w:color="auto" w:fill="auto"/>
            <w:noWrap/>
            <w:vAlign w:val="center"/>
            <w:hideMark/>
          </w:tcPr>
          <w:p w14:paraId="5B147D01" w14:textId="77777777" w:rsidR="00AB5085" w:rsidRPr="008C197E" w:rsidRDefault="00AB5085" w:rsidP="00FE4DB7">
            <w:pPr>
              <w:adjustRightInd w:val="0"/>
              <w:snapToGrid w:val="0"/>
              <w:spacing w:line="240" w:lineRule="auto"/>
              <w:jc w:val="center"/>
              <w:rPr>
                <w:rFonts w:ascii="Palatino Linotype" w:hAnsi="Palatino Linotype" w:cs="Arial"/>
                <w:color w:val="auto"/>
                <w:sz w:val="20"/>
                <w:lang w:eastAsia="zh-CN"/>
              </w:rPr>
            </w:pPr>
            <w:r w:rsidRPr="008C197E">
              <w:rPr>
                <w:rFonts w:ascii="Palatino Linotype" w:hAnsi="Palatino Linotype" w:cs="Arial"/>
                <w:color w:val="auto"/>
                <w:sz w:val="20"/>
                <w:lang w:eastAsia="zh-CN"/>
              </w:rPr>
              <w:t>611 (178)</w:t>
            </w:r>
          </w:p>
        </w:tc>
      </w:tr>
      <w:tr w:rsidR="00A503A4" w:rsidRPr="00662262" w14:paraId="28FC914E" w14:textId="77777777" w:rsidTr="002E22C3">
        <w:trPr>
          <w:jc w:val="center"/>
        </w:trPr>
        <w:tc>
          <w:tcPr>
            <w:tcW w:w="911" w:type="pct"/>
            <w:tcBorders>
              <w:top w:val="nil"/>
              <w:left w:val="nil"/>
              <w:bottom w:val="nil"/>
              <w:right w:val="nil"/>
            </w:tcBorders>
            <w:shd w:val="clear" w:color="000000" w:fill="FFFFFF"/>
            <w:noWrap/>
            <w:vAlign w:val="center"/>
            <w:hideMark/>
          </w:tcPr>
          <w:p w14:paraId="424F6B85" w14:textId="77777777" w:rsidR="00AB5085" w:rsidRPr="00662262" w:rsidRDefault="00AB5085" w:rsidP="00FE4DB7">
            <w:pPr>
              <w:adjustRightInd w:val="0"/>
              <w:snapToGrid w:val="0"/>
              <w:spacing w:line="240" w:lineRule="auto"/>
              <w:jc w:val="center"/>
              <w:rPr>
                <w:rFonts w:ascii="Palatino Linotype" w:hAnsi="Palatino Linotype" w:cs="Arial"/>
                <w:color w:val="auto"/>
                <w:sz w:val="20"/>
                <w:lang w:eastAsia="zh-CN"/>
              </w:rPr>
            </w:pPr>
            <w:r w:rsidRPr="00662262">
              <w:rPr>
                <w:rFonts w:ascii="Palatino Linotype" w:hAnsi="Palatino Linotype" w:cs="Arial"/>
                <w:color w:val="auto"/>
                <w:sz w:val="20"/>
                <w:lang w:eastAsia="zh-CN"/>
              </w:rPr>
              <w:t>9 months</w:t>
            </w:r>
          </w:p>
        </w:tc>
        <w:tc>
          <w:tcPr>
            <w:tcW w:w="530" w:type="pct"/>
            <w:tcBorders>
              <w:top w:val="nil"/>
              <w:left w:val="nil"/>
              <w:bottom w:val="nil"/>
              <w:right w:val="nil"/>
            </w:tcBorders>
            <w:shd w:val="clear" w:color="auto" w:fill="auto"/>
            <w:noWrap/>
            <w:vAlign w:val="center"/>
            <w:hideMark/>
          </w:tcPr>
          <w:p w14:paraId="7BDCB11E" w14:textId="77777777" w:rsidR="00AB5085" w:rsidRPr="008C197E" w:rsidRDefault="00AB5085" w:rsidP="00FE4DB7">
            <w:pPr>
              <w:adjustRightInd w:val="0"/>
              <w:snapToGrid w:val="0"/>
              <w:spacing w:line="240" w:lineRule="auto"/>
              <w:jc w:val="center"/>
              <w:rPr>
                <w:rFonts w:ascii="Palatino Linotype" w:hAnsi="Palatino Linotype" w:cs="Arial"/>
                <w:i/>
                <w:iCs/>
                <w:color w:val="auto"/>
                <w:sz w:val="20"/>
                <w:lang w:eastAsia="zh-CN"/>
              </w:rPr>
            </w:pPr>
            <w:r w:rsidRPr="008C197E">
              <w:rPr>
                <w:rFonts w:ascii="Palatino Linotype" w:hAnsi="Palatino Linotype" w:cs="Arial"/>
                <w:i/>
                <w:iCs/>
                <w:color w:val="auto"/>
                <w:sz w:val="20"/>
                <w:lang w:eastAsia="zh-CN"/>
              </w:rPr>
              <w:t>670</w:t>
            </w:r>
          </w:p>
        </w:tc>
        <w:tc>
          <w:tcPr>
            <w:tcW w:w="386" w:type="pct"/>
            <w:tcBorders>
              <w:top w:val="nil"/>
              <w:left w:val="nil"/>
              <w:bottom w:val="nil"/>
            </w:tcBorders>
            <w:shd w:val="clear" w:color="auto" w:fill="auto"/>
            <w:noWrap/>
            <w:vAlign w:val="center"/>
            <w:hideMark/>
          </w:tcPr>
          <w:p w14:paraId="5C83CA00" w14:textId="77777777" w:rsidR="00AB5085" w:rsidRPr="008C197E" w:rsidRDefault="00AB5085" w:rsidP="00FE4DB7">
            <w:pPr>
              <w:adjustRightInd w:val="0"/>
              <w:snapToGrid w:val="0"/>
              <w:spacing w:line="240" w:lineRule="auto"/>
              <w:jc w:val="center"/>
              <w:rPr>
                <w:rFonts w:ascii="Palatino Linotype" w:hAnsi="Palatino Linotype" w:cs="Arial"/>
                <w:i/>
                <w:iCs/>
                <w:color w:val="auto"/>
                <w:sz w:val="20"/>
                <w:lang w:eastAsia="zh-CN"/>
              </w:rPr>
            </w:pPr>
            <w:r w:rsidRPr="008C197E">
              <w:rPr>
                <w:rFonts w:ascii="Palatino Linotype" w:hAnsi="Palatino Linotype" w:cs="Arial"/>
                <w:i/>
                <w:iCs/>
                <w:color w:val="auto"/>
                <w:sz w:val="20"/>
                <w:lang w:eastAsia="zh-CN"/>
              </w:rPr>
              <w:t>620</w:t>
            </w:r>
          </w:p>
        </w:tc>
        <w:tc>
          <w:tcPr>
            <w:tcW w:w="397" w:type="pct"/>
            <w:tcBorders>
              <w:top w:val="nil"/>
              <w:bottom w:val="nil"/>
              <w:right w:val="nil"/>
            </w:tcBorders>
            <w:shd w:val="clear" w:color="auto" w:fill="auto"/>
            <w:noWrap/>
            <w:vAlign w:val="center"/>
            <w:hideMark/>
          </w:tcPr>
          <w:p w14:paraId="46E956D0" w14:textId="77777777" w:rsidR="00AB5085" w:rsidRPr="008C197E" w:rsidRDefault="00AB5085" w:rsidP="00FE4DB7">
            <w:pPr>
              <w:adjustRightInd w:val="0"/>
              <w:snapToGrid w:val="0"/>
              <w:spacing w:line="240" w:lineRule="auto"/>
              <w:jc w:val="center"/>
              <w:rPr>
                <w:rFonts w:ascii="Palatino Linotype" w:hAnsi="Palatino Linotype" w:cs="Arial"/>
                <w:color w:val="auto"/>
                <w:sz w:val="20"/>
                <w:lang w:eastAsia="zh-CN"/>
              </w:rPr>
            </w:pPr>
            <w:r w:rsidRPr="008C197E">
              <w:rPr>
                <w:rFonts w:ascii="Palatino Linotype" w:hAnsi="Palatino Linotype" w:cs="Arial"/>
                <w:color w:val="auto"/>
                <w:sz w:val="20"/>
                <w:lang w:eastAsia="zh-CN"/>
              </w:rPr>
              <w:t>692 (171)</w:t>
            </w:r>
          </w:p>
        </w:tc>
        <w:tc>
          <w:tcPr>
            <w:tcW w:w="397" w:type="pct"/>
            <w:tcBorders>
              <w:top w:val="nil"/>
              <w:left w:val="nil"/>
              <w:bottom w:val="nil"/>
              <w:right w:val="nil"/>
            </w:tcBorders>
            <w:shd w:val="clear" w:color="auto" w:fill="auto"/>
            <w:noWrap/>
            <w:vAlign w:val="center"/>
            <w:hideMark/>
          </w:tcPr>
          <w:p w14:paraId="00B44A39" w14:textId="77777777" w:rsidR="00AB5085" w:rsidRPr="008C197E" w:rsidRDefault="00AB5085" w:rsidP="00FE4DB7">
            <w:pPr>
              <w:adjustRightInd w:val="0"/>
              <w:snapToGrid w:val="0"/>
              <w:spacing w:line="240" w:lineRule="auto"/>
              <w:jc w:val="center"/>
              <w:rPr>
                <w:rFonts w:ascii="Palatino Linotype" w:hAnsi="Palatino Linotype" w:cs="Arial"/>
                <w:color w:val="auto"/>
                <w:sz w:val="20"/>
                <w:lang w:eastAsia="zh-CN"/>
              </w:rPr>
            </w:pPr>
            <w:r w:rsidRPr="008C197E">
              <w:rPr>
                <w:rFonts w:ascii="Palatino Linotype" w:hAnsi="Palatino Linotype" w:cs="Arial"/>
                <w:color w:val="auto"/>
                <w:sz w:val="20"/>
                <w:lang w:eastAsia="zh-CN"/>
              </w:rPr>
              <w:t>658 (175)</w:t>
            </w:r>
          </w:p>
        </w:tc>
        <w:tc>
          <w:tcPr>
            <w:tcW w:w="397" w:type="pct"/>
            <w:tcBorders>
              <w:top w:val="nil"/>
              <w:left w:val="nil"/>
              <w:bottom w:val="nil"/>
              <w:right w:val="nil"/>
            </w:tcBorders>
            <w:shd w:val="clear" w:color="auto" w:fill="auto"/>
            <w:noWrap/>
            <w:vAlign w:val="center"/>
            <w:hideMark/>
          </w:tcPr>
          <w:p w14:paraId="1F902C53" w14:textId="77777777" w:rsidR="00AB5085" w:rsidRPr="008C197E" w:rsidRDefault="00AB5085" w:rsidP="00FE4DB7">
            <w:pPr>
              <w:adjustRightInd w:val="0"/>
              <w:snapToGrid w:val="0"/>
              <w:spacing w:line="240" w:lineRule="auto"/>
              <w:jc w:val="center"/>
              <w:rPr>
                <w:rFonts w:ascii="Palatino Linotype" w:hAnsi="Palatino Linotype" w:cs="Arial"/>
                <w:color w:val="auto"/>
                <w:sz w:val="20"/>
                <w:lang w:eastAsia="zh-CN"/>
              </w:rPr>
            </w:pPr>
            <w:r w:rsidRPr="008C197E">
              <w:rPr>
                <w:rFonts w:ascii="Palatino Linotype" w:hAnsi="Palatino Linotype" w:cs="Arial"/>
                <w:color w:val="auto"/>
                <w:sz w:val="20"/>
                <w:lang w:eastAsia="zh-CN"/>
              </w:rPr>
              <w:t>592 (111)</w:t>
            </w:r>
          </w:p>
        </w:tc>
        <w:tc>
          <w:tcPr>
            <w:tcW w:w="397" w:type="pct"/>
            <w:tcBorders>
              <w:top w:val="nil"/>
              <w:left w:val="nil"/>
              <w:bottom w:val="nil"/>
              <w:right w:val="nil"/>
            </w:tcBorders>
            <w:shd w:val="clear" w:color="auto" w:fill="auto"/>
            <w:noWrap/>
            <w:vAlign w:val="center"/>
            <w:hideMark/>
          </w:tcPr>
          <w:p w14:paraId="790127CB" w14:textId="77777777" w:rsidR="00AB5085" w:rsidRPr="008C197E" w:rsidRDefault="00AB5085" w:rsidP="00FE4DB7">
            <w:pPr>
              <w:adjustRightInd w:val="0"/>
              <w:snapToGrid w:val="0"/>
              <w:spacing w:line="240" w:lineRule="auto"/>
              <w:jc w:val="center"/>
              <w:rPr>
                <w:rFonts w:ascii="Palatino Linotype" w:hAnsi="Palatino Linotype" w:cs="Arial"/>
                <w:color w:val="auto"/>
                <w:sz w:val="20"/>
                <w:lang w:eastAsia="zh-CN"/>
              </w:rPr>
            </w:pPr>
            <w:r w:rsidRPr="008C197E">
              <w:rPr>
                <w:rFonts w:ascii="Palatino Linotype" w:hAnsi="Palatino Linotype" w:cs="Arial"/>
                <w:color w:val="auto"/>
                <w:sz w:val="20"/>
                <w:lang w:eastAsia="zh-CN"/>
              </w:rPr>
              <w:t>567 (134)</w:t>
            </w:r>
          </w:p>
        </w:tc>
        <w:tc>
          <w:tcPr>
            <w:tcW w:w="397" w:type="pct"/>
            <w:tcBorders>
              <w:top w:val="nil"/>
              <w:left w:val="nil"/>
              <w:bottom w:val="nil"/>
              <w:right w:val="nil"/>
            </w:tcBorders>
            <w:shd w:val="clear" w:color="auto" w:fill="auto"/>
            <w:noWrap/>
            <w:vAlign w:val="center"/>
            <w:hideMark/>
          </w:tcPr>
          <w:p w14:paraId="3C609291" w14:textId="77777777" w:rsidR="00AB5085" w:rsidRPr="008C197E" w:rsidRDefault="00AB5085" w:rsidP="00FE4DB7">
            <w:pPr>
              <w:adjustRightInd w:val="0"/>
              <w:snapToGrid w:val="0"/>
              <w:spacing w:line="240" w:lineRule="auto"/>
              <w:jc w:val="center"/>
              <w:rPr>
                <w:rFonts w:ascii="Palatino Linotype" w:hAnsi="Palatino Linotype" w:cs="Arial"/>
                <w:color w:val="auto"/>
                <w:sz w:val="20"/>
                <w:lang w:eastAsia="zh-CN"/>
              </w:rPr>
            </w:pPr>
            <w:r w:rsidRPr="008C197E">
              <w:rPr>
                <w:rFonts w:ascii="Palatino Linotype" w:hAnsi="Palatino Linotype" w:cs="Arial"/>
                <w:color w:val="auto"/>
                <w:sz w:val="20"/>
                <w:lang w:eastAsia="zh-CN"/>
              </w:rPr>
              <w:t>682 (127)</w:t>
            </w:r>
          </w:p>
        </w:tc>
        <w:tc>
          <w:tcPr>
            <w:tcW w:w="397" w:type="pct"/>
            <w:tcBorders>
              <w:top w:val="nil"/>
              <w:left w:val="nil"/>
              <w:bottom w:val="nil"/>
              <w:right w:val="nil"/>
            </w:tcBorders>
            <w:shd w:val="clear" w:color="auto" w:fill="auto"/>
            <w:noWrap/>
            <w:vAlign w:val="center"/>
            <w:hideMark/>
          </w:tcPr>
          <w:p w14:paraId="5FE391A0" w14:textId="77777777" w:rsidR="00AB5085" w:rsidRPr="008C197E" w:rsidRDefault="00AB5085" w:rsidP="00FE4DB7">
            <w:pPr>
              <w:adjustRightInd w:val="0"/>
              <w:snapToGrid w:val="0"/>
              <w:spacing w:line="240" w:lineRule="auto"/>
              <w:jc w:val="center"/>
              <w:rPr>
                <w:rFonts w:ascii="Palatino Linotype" w:hAnsi="Palatino Linotype" w:cs="Arial"/>
                <w:color w:val="auto"/>
                <w:sz w:val="20"/>
                <w:lang w:eastAsia="zh-CN"/>
              </w:rPr>
            </w:pPr>
            <w:r w:rsidRPr="008C197E">
              <w:rPr>
                <w:rFonts w:ascii="Palatino Linotype" w:hAnsi="Palatino Linotype" w:cs="Arial"/>
                <w:color w:val="auto"/>
                <w:sz w:val="20"/>
                <w:lang w:eastAsia="zh-CN"/>
              </w:rPr>
              <w:t>685 (148)</w:t>
            </w:r>
          </w:p>
        </w:tc>
        <w:tc>
          <w:tcPr>
            <w:tcW w:w="397" w:type="pct"/>
            <w:tcBorders>
              <w:top w:val="nil"/>
              <w:left w:val="nil"/>
              <w:bottom w:val="nil"/>
              <w:right w:val="nil"/>
            </w:tcBorders>
            <w:shd w:val="clear" w:color="auto" w:fill="auto"/>
            <w:noWrap/>
            <w:vAlign w:val="center"/>
            <w:hideMark/>
          </w:tcPr>
          <w:p w14:paraId="385695DF" w14:textId="77777777" w:rsidR="00AB5085" w:rsidRPr="008C197E" w:rsidRDefault="00AB5085" w:rsidP="00FE4DB7">
            <w:pPr>
              <w:adjustRightInd w:val="0"/>
              <w:snapToGrid w:val="0"/>
              <w:spacing w:line="240" w:lineRule="auto"/>
              <w:jc w:val="center"/>
              <w:rPr>
                <w:rFonts w:ascii="Palatino Linotype" w:hAnsi="Palatino Linotype" w:cs="Arial"/>
                <w:color w:val="auto"/>
                <w:sz w:val="20"/>
                <w:lang w:eastAsia="zh-CN"/>
              </w:rPr>
            </w:pPr>
            <w:r w:rsidRPr="008C197E">
              <w:rPr>
                <w:rFonts w:ascii="Palatino Linotype" w:hAnsi="Palatino Linotype" w:cs="Arial"/>
                <w:color w:val="auto"/>
                <w:sz w:val="20"/>
                <w:lang w:eastAsia="zh-CN"/>
              </w:rPr>
              <w:t>709 (182)</w:t>
            </w:r>
          </w:p>
        </w:tc>
        <w:tc>
          <w:tcPr>
            <w:tcW w:w="397" w:type="pct"/>
            <w:tcBorders>
              <w:top w:val="nil"/>
              <w:left w:val="nil"/>
              <w:bottom w:val="nil"/>
              <w:right w:val="nil"/>
            </w:tcBorders>
            <w:shd w:val="clear" w:color="auto" w:fill="auto"/>
            <w:noWrap/>
            <w:vAlign w:val="center"/>
            <w:hideMark/>
          </w:tcPr>
          <w:p w14:paraId="6CC05151" w14:textId="77777777" w:rsidR="00AB5085" w:rsidRPr="008C197E" w:rsidRDefault="00AB5085" w:rsidP="00FE4DB7">
            <w:pPr>
              <w:adjustRightInd w:val="0"/>
              <w:snapToGrid w:val="0"/>
              <w:spacing w:line="240" w:lineRule="auto"/>
              <w:jc w:val="center"/>
              <w:rPr>
                <w:rFonts w:ascii="Palatino Linotype" w:hAnsi="Palatino Linotype" w:cs="Arial"/>
                <w:color w:val="auto"/>
                <w:sz w:val="20"/>
                <w:lang w:eastAsia="zh-CN"/>
              </w:rPr>
            </w:pPr>
            <w:r w:rsidRPr="008C197E">
              <w:rPr>
                <w:rFonts w:ascii="Palatino Linotype" w:hAnsi="Palatino Linotype" w:cs="Arial"/>
                <w:color w:val="auto"/>
                <w:sz w:val="20"/>
                <w:lang w:eastAsia="zh-CN"/>
              </w:rPr>
              <w:t>665 (182)</w:t>
            </w:r>
          </w:p>
        </w:tc>
      </w:tr>
      <w:tr w:rsidR="00A503A4" w:rsidRPr="00662262" w14:paraId="365F4103" w14:textId="77777777" w:rsidTr="002E22C3">
        <w:trPr>
          <w:jc w:val="center"/>
        </w:trPr>
        <w:tc>
          <w:tcPr>
            <w:tcW w:w="911" w:type="pct"/>
            <w:tcBorders>
              <w:top w:val="nil"/>
              <w:left w:val="nil"/>
              <w:bottom w:val="single" w:sz="4" w:space="0" w:color="auto"/>
              <w:right w:val="nil"/>
            </w:tcBorders>
            <w:shd w:val="clear" w:color="000000" w:fill="FFFFFF"/>
            <w:noWrap/>
            <w:vAlign w:val="center"/>
            <w:hideMark/>
          </w:tcPr>
          <w:p w14:paraId="7C5F20FE" w14:textId="77777777" w:rsidR="00AB5085" w:rsidRPr="00662262" w:rsidRDefault="00AB5085" w:rsidP="00FE4DB7">
            <w:pPr>
              <w:adjustRightInd w:val="0"/>
              <w:snapToGrid w:val="0"/>
              <w:spacing w:line="240" w:lineRule="auto"/>
              <w:jc w:val="center"/>
              <w:rPr>
                <w:rFonts w:ascii="Palatino Linotype" w:hAnsi="Palatino Linotype" w:cs="Arial"/>
                <w:color w:val="auto"/>
                <w:sz w:val="20"/>
                <w:lang w:eastAsia="zh-CN"/>
              </w:rPr>
            </w:pPr>
            <w:r w:rsidRPr="00662262">
              <w:rPr>
                <w:rFonts w:ascii="Palatino Linotype" w:hAnsi="Palatino Linotype" w:cs="Arial"/>
                <w:color w:val="auto"/>
                <w:sz w:val="20"/>
                <w:lang w:eastAsia="zh-CN"/>
              </w:rPr>
              <w:t>12 months</w:t>
            </w:r>
          </w:p>
        </w:tc>
        <w:tc>
          <w:tcPr>
            <w:tcW w:w="530" w:type="pct"/>
            <w:tcBorders>
              <w:top w:val="nil"/>
              <w:left w:val="nil"/>
              <w:bottom w:val="single" w:sz="4" w:space="0" w:color="auto"/>
              <w:right w:val="nil"/>
            </w:tcBorders>
            <w:shd w:val="clear" w:color="auto" w:fill="auto"/>
            <w:noWrap/>
            <w:vAlign w:val="center"/>
            <w:hideMark/>
          </w:tcPr>
          <w:p w14:paraId="6881B14C" w14:textId="77777777" w:rsidR="00AB5085" w:rsidRPr="008C197E" w:rsidRDefault="00AB5085" w:rsidP="00FE4DB7">
            <w:pPr>
              <w:adjustRightInd w:val="0"/>
              <w:snapToGrid w:val="0"/>
              <w:spacing w:line="240" w:lineRule="auto"/>
              <w:jc w:val="center"/>
              <w:rPr>
                <w:rFonts w:ascii="Palatino Linotype" w:hAnsi="Palatino Linotype" w:cs="Arial"/>
                <w:i/>
                <w:iCs/>
                <w:color w:val="auto"/>
                <w:sz w:val="20"/>
                <w:lang w:eastAsia="zh-CN"/>
              </w:rPr>
            </w:pPr>
            <w:r w:rsidRPr="008C197E">
              <w:rPr>
                <w:rFonts w:ascii="Palatino Linotype" w:hAnsi="Palatino Linotype" w:cs="Arial"/>
                <w:i/>
                <w:iCs/>
                <w:color w:val="auto"/>
                <w:sz w:val="20"/>
                <w:lang w:eastAsia="zh-CN"/>
              </w:rPr>
              <w:t>740</w:t>
            </w:r>
          </w:p>
        </w:tc>
        <w:tc>
          <w:tcPr>
            <w:tcW w:w="386" w:type="pct"/>
            <w:tcBorders>
              <w:top w:val="nil"/>
              <w:left w:val="nil"/>
              <w:bottom w:val="single" w:sz="4" w:space="0" w:color="auto"/>
            </w:tcBorders>
            <w:shd w:val="clear" w:color="auto" w:fill="auto"/>
            <w:noWrap/>
            <w:vAlign w:val="center"/>
            <w:hideMark/>
          </w:tcPr>
          <w:p w14:paraId="527BA8B8" w14:textId="77777777" w:rsidR="00AB5085" w:rsidRPr="008C197E" w:rsidRDefault="00AB5085" w:rsidP="00FE4DB7">
            <w:pPr>
              <w:adjustRightInd w:val="0"/>
              <w:snapToGrid w:val="0"/>
              <w:spacing w:line="240" w:lineRule="auto"/>
              <w:jc w:val="center"/>
              <w:rPr>
                <w:rFonts w:ascii="Palatino Linotype" w:hAnsi="Palatino Linotype" w:cs="Arial"/>
                <w:i/>
                <w:iCs/>
                <w:color w:val="auto"/>
                <w:sz w:val="20"/>
                <w:lang w:eastAsia="zh-CN"/>
              </w:rPr>
            </w:pPr>
            <w:r w:rsidRPr="008C197E">
              <w:rPr>
                <w:rFonts w:ascii="Palatino Linotype" w:hAnsi="Palatino Linotype" w:cs="Arial"/>
                <w:i/>
                <w:iCs/>
                <w:color w:val="auto"/>
                <w:sz w:val="20"/>
                <w:lang w:eastAsia="zh-CN"/>
              </w:rPr>
              <w:t>640</w:t>
            </w:r>
          </w:p>
        </w:tc>
        <w:tc>
          <w:tcPr>
            <w:tcW w:w="397" w:type="pct"/>
            <w:tcBorders>
              <w:top w:val="nil"/>
              <w:bottom w:val="single" w:sz="4" w:space="0" w:color="auto"/>
              <w:right w:val="nil"/>
            </w:tcBorders>
            <w:shd w:val="clear" w:color="auto" w:fill="auto"/>
            <w:noWrap/>
            <w:vAlign w:val="center"/>
            <w:hideMark/>
          </w:tcPr>
          <w:p w14:paraId="6D047B33" w14:textId="77777777" w:rsidR="00AB5085" w:rsidRPr="008C197E" w:rsidRDefault="00AB5085" w:rsidP="00FE4DB7">
            <w:pPr>
              <w:adjustRightInd w:val="0"/>
              <w:snapToGrid w:val="0"/>
              <w:spacing w:line="240" w:lineRule="auto"/>
              <w:jc w:val="center"/>
              <w:rPr>
                <w:rFonts w:ascii="Palatino Linotype" w:hAnsi="Palatino Linotype" w:cs="Arial"/>
                <w:color w:val="auto"/>
                <w:sz w:val="20"/>
                <w:lang w:eastAsia="zh-CN"/>
              </w:rPr>
            </w:pPr>
            <w:r w:rsidRPr="008C197E">
              <w:rPr>
                <w:rFonts w:ascii="Palatino Linotype" w:hAnsi="Palatino Linotype" w:cs="Arial"/>
                <w:color w:val="auto"/>
                <w:sz w:val="20"/>
                <w:lang w:eastAsia="zh-CN"/>
              </w:rPr>
              <w:t>781 (219)</w:t>
            </w:r>
          </w:p>
        </w:tc>
        <w:tc>
          <w:tcPr>
            <w:tcW w:w="397" w:type="pct"/>
            <w:tcBorders>
              <w:top w:val="nil"/>
              <w:left w:val="nil"/>
              <w:bottom w:val="single" w:sz="4" w:space="0" w:color="auto"/>
              <w:right w:val="nil"/>
            </w:tcBorders>
            <w:shd w:val="clear" w:color="auto" w:fill="auto"/>
            <w:noWrap/>
            <w:vAlign w:val="center"/>
            <w:hideMark/>
          </w:tcPr>
          <w:p w14:paraId="5FF743FE" w14:textId="77777777" w:rsidR="00AB5085" w:rsidRPr="008C197E" w:rsidRDefault="00AB5085" w:rsidP="00FE4DB7">
            <w:pPr>
              <w:adjustRightInd w:val="0"/>
              <w:snapToGrid w:val="0"/>
              <w:spacing w:line="240" w:lineRule="auto"/>
              <w:jc w:val="center"/>
              <w:rPr>
                <w:rFonts w:ascii="Palatino Linotype" w:hAnsi="Palatino Linotype" w:cs="Arial"/>
                <w:color w:val="auto"/>
                <w:sz w:val="20"/>
                <w:lang w:eastAsia="zh-CN"/>
              </w:rPr>
            </w:pPr>
            <w:r w:rsidRPr="008C197E">
              <w:rPr>
                <w:rFonts w:ascii="Palatino Linotype" w:hAnsi="Palatino Linotype" w:cs="Arial"/>
                <w:color w:val="auto"/>
                <w:sz w:val="20"/>
                <w:lang w:eastAsia="zh-CN"/>
              </w:rPr>
              <w:t>741 (195)</w:t>
            </w:r>
          </w:p>
        </w:tc>
        <w:tc>
          <w:tcPr>
            <w:tcW w:w="397" w:type="pct"/>
            <w:tcBorders>
              <w:top w:val="nil"/>
              <w:left w:val="nil"/>
              <w:bottom w:val="single" w:sz="4" w:space="0" w:color="auto"/>
              <w:right w:val="nil"/>
            </w:tcBorders>
            <w:shd w:val="clear" w:color="auto" w:fill="auto"/>
            <w:noWrap/>
            <w:vAlign w:val="center"/>
            <w:hideMark/>
          </w:tcPr>
          <w:p w14:paraId="2BF859D7" w14:textId="77777777" w:rsidR="00AB5085" w:rsidRPr="008C197E" w:rsidRDefault="00AB5085" w:rsidP="00FE4DB7">
            <w:pPr>
              <w:adjustRightInd w:val="0"/>
              <w:snapToGrid w:val="0"/>
              <w:spacing w:line="240" w:lineRule="auto"/>
              <w:jc w:val="center"/>
              <w:rPr>
                <w:rFonts w:ascii="Palatino Linotype" w:hAnsi="Palatino Linotype" w:cs="Arial"/>
                <w:color w:val="auto"/>
                <w:sz w:val="20"/>
                <w:lang w:eastAsia="zh-CN"/>
              </w:rPr>
            </w:pPr>
            <w:r w:rsidRPr="008C197E">
              <w:rPr>
                <w:rFonts w:ascii="Palatino Linotype" w:hAnsi="Palatino Linotype" w:cs="Arial"/>
                <w:color w:val="auto"/>
                <w:sz w:val="20"/>
                <w:lang w:eastAsia="zh-CN"/>
              </w:rPr>
              <w:t>720 (129)</w:t>
            </w:r>
          </w:p>
        </w:tc>
        <w:tc>
          <w:tcPr>
            <w:tcW w:w="397" w:type="pct"/>
            <w:tcBorders>
              <w:top w:val="nil"/>
              <w:left w:val="nil"/>
              <w:bottom w:val="single" w:sz="4" w:space="0" w:color="auto"/>
              <w:right w:val="nil"/>
            </w:tcBorders>
            <w:shd w:val="clear" w:color="auto" w:fill="auto"/>
            <w:noWrap/>
            <w:vAlign w:val="center"/>
            <w:hideMark/>
          </w:tcPr>
          <w:p w14:paraId="719B5C87" w14:textId="77777777" w:rsidR="00AB5085" w:rsidRPr="008C197E" w:rsidRDefault="00AB5085" w:rsidP="00FE4DB7">
            <w:pPr>
              <w:adjustRightInd w:val="0"/>
              <w:snapToGrid w:val="0"/>
              <w:spacing w:line="240" w:lineRule="auto"/>
              <w:jc w:val="center"/>
              <w:rPr>
                <w:rFonts w:ascii="Palatino Linotype" w:hAnsi="Palatino Linotype" w:cs="Arial"/>
                <w:color w:val="auto"/>
                <w:sz w:val="20"/>
                <w:lang w:eastAsia="zh-CN"/>
              </w:rPr>
            </w:pPr>
            <w:r w:rsidRPr="008C197E">
              <w:rPr>
                <w:rFonts w:ascii="Palatino Linotype" w:hAnsi="Palatino Linotype" w:cs="Arial"/>
                <w:color w:val="auto"/>
                <w:sz w:val="20"/>
                <w:lang w:eastAsia="zh-CN"/>
              </w:rPr>
              <w:t>711 (245)</w:t>
            </w:r>
          </w:p>
        </w:tc>
        <w:tc>
          <w:tcPr>
            <w:tcW w:w="397" w:type="pct"/>
            <w:tcBorders>
              <w:top w:val="nil"/>
              <w:left w:val="nil"/>
              <w:bottom w:val="single" w:sz="4" w:space="0" w:color="auto"/>
              <w:right w:val="nil"/>
            </w:tcBorders>
            <w:shd w:val="clear" w:color="auto" w:fill="auto"/>
            <w:noWrap/>
            <w:vAlign w:val="center"/>
            <w:hideMark/>
          </w:tcPr>
          <w:p w14:paraId="7039958F" w14:textId="77777777" w:rsidR="00AB5085" w:rsidRPr="008C197E" w:rsidRDefault="00AB5085" w:rsidP="00FE4DB7">
            <w:pPr>
              <w:adjustRightInd w:val="0"/>
              <w:snapToGrid w:val="0"/>
              <w:spacing w:line="240" w:lineRule="auto"/>
              <w:jc w:val="center"/>
              <w:rPr>
                <w:rFonts w:ascii="Palatino Linotype" w:hAnsi="Palatino Linotype" w:cs="Arial"/>
                <w:color w:val="auto"/>
                <w:sz w:val="20"/>
                <w:lang w:eastAsia="zh-CN"/>
              </w:rPr>
            </w:pPr>
            <w:r w:rsidRPr="008C197E">
              <w:rPr>
                <w:rFonts w:ascii="Palatino Linotype" w:hAnsi="Palatino Linotype" w:cs="Arial"/>
                <w:color w:val="auto"/>
                <w:sz w:val="20"/>
                <w:lang w:eastAsia="zh-CN"/>
              </w:rPr>
              <w:t>829 (187)</w:t>
            </w:r>
          </w:p>
        </w:tc>
        <w:tc>
          <w:tcPr>
            <w:tcW w:w="397" w:type="pct"/>
            <w:tcBorders>
              <w:top w:val="nil"/>
              <w:left w:val="nil"/>
              <w:bottom w:val="single" w:sz="4" w:space="0" w:color="auto"/>
              <w:right w:val="nil"/>
            </w:tcBorders>
            <w:shd w:val="clear" w:color="auto" w:fill="auto"/>
            <w:noWrap/>
            <w:vAlign w:val="center"/>
            <w:hideMark/>
          </w:tcPr>
          <w:p w14:paraId="6C2B8C27" w14:textId="77777777" w:rsidR="00AB5085" w:rsidRPr="008C197E" w:rsidRDefault="00AB5085" w:rsidP="00FE4DB7">
            <w:pPr>
              <w:adjustRightInd w:val="0"/>
              <w:snapToGrid w:val="0"/>
              <w:spacing w:line="240" w:lineRule="auto"/>
              <w:jc w:val="center"/>
              <w:rPr>
                <w:rFonts w:ascii="Palatino Linotype" w:hAnsi="Palatino Linotype" w:cs="Arial"/>
                <w:color w:val="auto"/>
                <w:sz w:val="20"/>
                <w:lang w:eastAsia="zh-CN"/>
              </w:rPr>
            </w:pPr>
            <w:r w:rsidRPr="008C197E">
              <w:rPr>
                <w:rFonts w:ascii="Palatino Linotype" w:hAnsi="Palatino Linotype" w:cs="Arial"/>
                <w:color w:val="auto"/>
                <w:sz w:val="20"/>
                <w:lang w:eastAsia="zh-CN"/>
              </w:rPr>
              <w:t>757 (127)</w:t>
            </w:r>
          </w:p>
        </w:tc>
        <w:tc>
          <w:tcPr>
            <w:tcW w:w="397" w:type="pct"/>
            <w:tcBorders>
              <w:top w:val="nil"/>
              <w:left w:val="nil"/>
              <w:bottom w:val="single" w:sz="4" w:space="0" w:color="auto"/>
              <w:right w:val="nil"/>
            </w:tcBorders>
            <w:shd w:val="clear" w:color="auto" w:fill="auto"/>
            <w:noWrap/>
            <w:vAlign w:val="center"/>
            <w:hideMark/>
          </w:tcPr>
          <w:p w14:paraId="5DACA216" w14:textId="77777777" w:rsidR="00AB5085" w:rsidRPr="008C197E" w:rsidRDefault="00AB5085" w:rsidP="00FE4DB7">
            <w:pPr>
              <w:adjustRightInd w:val="0"/>
              <w:snapToGrid w:val="0"/>
              <w:spacing w:line="240" w:lineRule="auto"/>
              <w:jc w:val="center"/>
              <w:rPr>
                <w:rFonts w:ascii="Palatino Linotype" w:hAnsi="Palatino Linotype" w:cs="Arial"/>
                <w:color w:val="auto"/>
                <w:sz w:val="20"/>
                <w:lang w:eastAsia="zh-CN"/>
              </w:rPr>
            </w:pPr>
            <w:r w:rsidRPr="008C197E">
              <w:rPr>
                <w:rFonts w:ascii="Palatino Linotype" w:hAnsi="Palatino Linotype" w:cs="Arial"/>
                <w:color w:val="auto"/>
                <w:sz w:val="20"/>
                <w:lang w:eastAsia="zh-CN"/>
              </w:rPr>
              <w:t>778 (229)</w:t>
            </w:r>
          </w:p>
        </w:tc>
        <w:tc>
          <w:tcPr>
            <w:tcW w:w="397" w:type="pct"/>
            <w:tcBorders>
              <w:top w:val="nil"/>
              <w:left w:val="nil"/>
              <w:bottom w:val="single" w:sz="4" w:space="0" w:color="auto"/>
              <w:right w:val="nil"/>
            </w:tcBorders>
            <w:shd w:val="clear" w:color="auto" w:fill="auto"/>
            <w:noWrap/>
            <w:vAlign w:val="center"/>
            <w:hideMark/>
          </w:tcPr>
          <w:p w14:paraId="42D311D0" w14:textId="77777777" w:rsidR="00AB5085" w:rsidRPr="008C197E" w:rsidRDefault="00AB5085" w:rsidP="00FE4DB7">
            <w:pPr>
              <w:adjustRightInd w:val="0"/>
              <w:snapToGrid w:val="0"/>
              <w:spacing w:line="240" w:lineRule="auto"/>
              <w:jc w:val="center"/>
              <w:rPr>
                <w:rFonts w:ascii="Palatino Linotype" w:hAnsi="Palatino Linotype" w:cs="Arial"/>
                <w:color w:val="auto"/>
                <w:sz w:val="20"/>
                <w:lang w:eastAsia="zh-CN"/>
              </w:rPr>
            </w:pPr>
            <w:r w:rsidRPr="008C197E">
              <w:rPr>
                <w:rFonts w:ascii="Palatino Linotype" w:hAnsi="Palatino Linotype" w:cs="Arial"/>
                <w:color w:val="auto"/>
                <w:sz w:val="20"/>
                <w:lang w:eastAsia="zh-CN"/>
              </w:rPr>
              <w:t>741 (201)</w:t>
            </w:r>
          </w:p>
        </w:tc>
      </w:tr>
      <w:tr w:rsidR="00AB5085" w:rsidRPr="00662262" w14:paraId="0637F2D2" w14:textId="77777777" w:rsidTr="008C197E">
        <w:trPr>
          <w:jc w:val="center"/>
        </w:trPr>
        <w:tc>
          <w:tcPr>
            <w:tcW w:w="911" w:type="pct"/>
            <w:vMerge w:val="restart"/>
            <w:tcBorders>
              <w:top w:val="nil"/>
              <w:left w:val="nil"/>
              <w:right w:val="nil"/>
            </w:tcBorders>
            <w:shd w:val="clear" w:color="000000" w:fill="FFFFFF"/>
            <w:noWrap/>
            <w:vAlign w:val="center"/>
            <w:hideMark/>
          </w:tcPr>
          <w:p w14:paraId="64286522" w14:textId="77777777" w:rsidR="00A503A4" w:rsidRDefault="00A503A4" w:rsidP="00A503A4">
            <w:pPr>
              <w:adjustRightInd w:val="0"/>
              <w:snapToGrid w:val="0"/>
              <w:spacing w:line="240" w:lineRule="auto"/>
              <w:jc w:val="center"/>
              <w:rPr>
                <w:rFonts w:ascii="Palatino Linotype" w:hAnsi="Palatino Linotype" w:cs="Arial"/>
                <w:b/>
                <w:bCs/>
                <w:color w:val="auto"/>
                <w:sz w:val="20"/>
                <w:lang w:eastAsia="zh-CN"/>
              </w:rPr>
            </w:pPr>
            <w:r>
              <w:rPr>
                <w:rFonts w:ascii="Palatino Linotype" w:hAnsi="Palatino Linotype" w:cs="Arial"/>
                <w:b/>
                <w:bCs/>
                <w:color w:val="auto"/>
                <w:sz w:val="20"/>
                <w:lang w:eastAsia="zh-CN"/>
              </w:rPr>
              <w:t xml:space="preserve">Dietary intake of </w:t>
            </w:r>
          </w:p>
          <w:p w14:paraId="7F4DF1DE" w14:textId="43E97DBF" w:rsidR="00AB5085" w:rsidRPr="00662262" w:rsidRDefault="00A503A4" w:rsidP="00A503A4">
            <w:pPr>
              <w:adjustRightInd w:val="0"/>
              <w:snapToGrid w:val="0"/>
              <w:spacing w:line="240" w:lineRule="auto"/>
              <w:jc w:val="center"/>
              <w:rPr>
                <w:rFonts w:ascii="Palatino Linotype" w:hAnsi="Palatino Linotype" w:cs="Arial"/>
                <w:b/>
                <w:bCs/>
                <w:color w:val="auto"/>
                <w:sz w:val="20"/>
                <w:lang w:eastAsia="zh-CN"/>
              </w:rPr>
            </w:pPr>
            <w:r>
              <w:rPr>
                <w:rFonts w:ascii="Palatino Linotype" w:hAnsi="Palatino Linotype" w:cs="Arial"/>
                <w:b/>
                <w:bCs/>
                <w:color w:val="auto"/>
                <w:sz w:val="20"/>
                <w:lang w:eastAsia="zh-CN"/>
              </w:rPr>
              <w:t>e</w:t>
            </w:r>
            <w:r w:rsidRPr="00662262">
              <w:rPr>
                <w:rFonts w:ascii="Palatino Linotype" w:hAnsi="Palatino Linotype" w:cs="Arial"/>
                <w:b/>
                <w:bCs/>
                <w:color w:val="auto"/>
                <w:sz w:val="20"/>
                <w:lang w:eastAsia="zh-CN"/>
              </w:rPr>
              <w:t>nergy (kcal)</w:t>
            </w:r>
          </w:p>
        </w:tc>
        <w:tc>
          <w:tcPr>
            <w:tcW w:w="916" w:type="pct"/>
            <w:gridSpan w:val="2"/>
            <w:tcBorders>
              <w:top w:val="nil"/>
              <w:left w:val="nil"/>
              <w:bottom w:val="single" w:sz="4" w:space="0" w:color="auto"/>
              <w:right w:val="nil"/>
            </w:tcBorders>
            <w:shd w:val="clear" w:color="auto" w:fill="auto"/>
            <w:vAlign w:val="center"/>
            <w:hideMark/>
          </w:tcPr>
          <w:p w14:paraId="6C44D36C" w14:textId="77777777" w:rsidR="00AB5085" w:rsidRPr="008C197E" w:rsidRDefault="00AB5085" w:rsidP="00FE4DB7">
            <w:pPr>
              <w:adjustRightInd w:val="0"/>
              <w:snapToGrid w:val="0"/>
              <w:spacing w:line="240" w:lineRule="auto"/>
              <w:jc w:val="center"/>
              <w:rPr>
                <w:rFonts w:ascii="Palatino Linotype" w:hAnsi="Palatino Linotype" w:cs="Arial"/>
                <w:b/>
                <w:bCs/>
                <w:color w:val="auto"/>
                <w:sz w:val="20"/>
                <w:lang w:eastAsia="zh-CN"/>
              </w:rPr>
            </w:pPr>
            <w:r w:rsidRPr="008C197E">
              <w:rPr>
                <w:rFonts w:ascii="Palatino Linotype" w:hAnsi="Palatino Linotype" w:cs="Arial"/>
                <w:b/>
                <w:bCs/>
                <w:color w:val="auto"/>
                <w:sz w:val="20"/>
                <w:lang w:eastAsia="zh-CN"/>
              </w:rPr>
              <w:t xml:space="preserve">EAR (HPB) </w:t>
            </w:r>
            <w:r w:rsidRPr="008C197E">
              <w:rPr>
                <w:rFonts w:ascii="Palatino Linotype" w:hAnsi="Palatino Linotype" w:cs="Arial"/>
                <w:b/>
                <w:bCs/>
                <w:color w:val="auto"/>
                <w:sz w:val="20"/>
                <w:vertAlign w:val="superscript"/>
                <w:lang w:eastAsia="zh-CN"/>
              </w:rPr>
              <w:t>†</w:t>
            </w:r>
          </w:p>
        </w:tc>
        <w:tc>
          <w:tcPr>
            <w:tcW w:w="3173" w:type="pct"/>
            <w:gridSpan w:val="8"/>
            <w:tcBorders>
              <w:top w:val="single" w:sz="4" w:space="0" w:color="auto"/>
              <w:left w:val="nil"/>
              <w:bottom w:val="single" w:sz="4" w:space="0" w:color="auto"/>
              <w:right w:val="nil"/>
            </w:tcBorders>
            <w:shd w:val="clear" w:color="auto" w:fill="auto"/>
            <w:noWrap/>
            <w:vAlign w:val="center"/>
            <w:hideMark/>
          </w:tcPr>
          <w:p w14:paraId="276FC727" w14:textId="77777777" w:rsidR="00AB5085" w:rsidRPr="008C197E" w:rsidRDefault="00AB5085" w:rsidP="00FE4DB7">
            <w:pPr>
              <w:adjustRightInd w:val="0"/>
              <w:snapToGrid w:val="0"/>
              <w:spacing w:line="240" w:lineRule="auto"/>
              <w:jc w:val="center"/>
              <w:rPr>
                <w:rFonts w:ascii="Palatino Linotype" w:hAnsi="Palatino Linotype" w:cs="Arial"/>
                <w:b/>
                <w:bCs/>
                <w:color w:val="auto"/>
                <w:sz w:val="20"/>
                <w:lang w:eastAsia="zh-CN"/>
              </w:rPr>
            </w:pPr>
            <w:r w:rsidRPr="008C197E">
              <w:rPr>
                <w:rFonts w:ascii="Palatino Linotype" w:hAnsi="Palatino Linotype" w:cs="Arial"/>
                <w:b/>
                <w:bCs/>
                <w:color w:val="auto"/>
                <w:sz w:val="20"/>
                <w:lang w:eastAsia="zh-CN"/>
              </w:rPr>
              <w:t xml:space="preserve">Percentage of infants meeting the EAR (HPB) (%) </w:t>
            </w:r>
            <w:r w:rsidRPr="008C197E">
              <w:rPr>
                <w:rFonts w:ascii="Palatino Linotype" w:hAnsi="Palatino Linotype" w:cs="Arial"/>
                <w:b/>
                <w:bCs/>
                <w:color w:val="auto"/>
                <w:sz w:val="20"/>
                <w:vertAlign w:val="superscript"/>
                <w:lang w:eastAsia="zh-CN"/>
              </w:rPr>
              <w:t>#</w:t>
            </w:r>
          </w:p>
        </w:tc>
      </w:tr>
      <w:tr w:rsidR="00A503A4" w:rsidRPr="00662262" w14:paraId="5AB88D31" w14:textId="77777777" w:rsidTr="002E22C3">
        <w:trPr>
          <w:jc w:val="center"/>
        </w:trPr>
        <w:tc>
          <w:tcPr>
            <w:tcW w:w="911" w:type="pct"/>
            <w:vMerge/>
            <w:tcBorders>
              <w:left w:val="nil"/>
              <w:bottom w:val="single" w:sz="4" w:space="0" w:color="auto"/>
              <w:right w:val="nil"/>
            </w:tcBorders>
            <w:shd w:val="clear" w:color="auto" w:fill="auto"/>
            <w:noWrap/>
            <w:vAlign w:val="center"/>
            <w:hideMark/>
          </w:tcPr>
          <w:p w14:paraId="2B6B18FD" w14:textId="77777777" w:rsidR="00AB5085" w:rsidRPr="00662262" w:rsidRDefault="00AB5085" w:rsidP="00FE4DB7">
            <w:pPr>
              <w:adjustRightInd w:val="0"/>
              <w:snapToGrid w:val="0"/>
              <w:spacing w:line="240" w:lineRule="auto"/>
              <w:jc w:val="center"/>
              <w:rPr>
                <w:rFonts w:ascii="Palatino Linotype" w:hAnsi="Palatino Linotype" w:cs="Arial"/>
                <w:color w:val="auto"/>
                <w:sz w:val="20"/>
                <w:lang w:eastAsia="zh-CN"/>
              </w:rPr>
            </w:pPr>
          </w:p>
        </w:tc>
        <w:tc>
          <w:tcPr>
            <w:tcW w:w="530" w:type="pct"/>
            <w:tcBorders>
              <w:top w:val="nil"/>
              <w:left w:val="nil"/>
              <w:bottom w:val="single" w:sz="4" w:space="0" w:color="auto"/>
              <w:right w:val="nil"/>
            </w:tcBorders>
            <w:shd w:val="clear" w:color="auto" w:fill="auto"/>
            <w:noWrap/>
            <w:vAlign w:val="center"/>
            <w:hideMark/>
          </w:tcPr>
          <w:p w14:paraId="46AA6C50" w14:textId="77777777" w:rsidR="00AB5085" w:rsidRPr="00662262" w:rsidRDefault="00AB5085" w:rsidP="00FE4DB7">
            <w:pPr>
              <w:adjustRightInd w:val="0"/>
              <w:snapToGrid w:val="0"/>
              <w:spacing w:line="240" w:lineRule="auto"/>
              <w:jc w:val="center"/>
              <w:rPr>
                <w:rFonts w:ascii="Palatino Linotype" w:hAnsi="Palatino Linotype" w:cs="Arial"/>
                <w:color w:val="auto"/>
                <w:sz w:val="20"/>
                <w:lang w:eastAsia="zh-CN"/>
              </w:rPr>
            </w:pPr>
            <w:r w:rsidRPr="00662262">
              <w:rPr>
                <w:rFonts w:ascii="Palatino Linotype" w:hAnsi="Palatino Linotype" w:cs="Arial"/>
                <w:color w:val="auto"/>
                <w:sz w:val="20"/>
                <w:lang w:eastAsia="zh-CN"/>
              </w:rPr>
              <w:t>Male</w:t>
            </w:r>
          </w:p>
        </w:tc>
        <w:tc>
          <w:tcPr>
            <w:tcW w:w="386" w:type="pct"/>
            <w:tcBorders>
              <w:top w:val="nil"/>
              <w:left w:val="nil"/>
              <w:bottom w:val="single" w:sz="4" w:space="0" w:color="auto"/>
            </w:tcBorders>
            <w:shd w:val="clear" w:color="auto" w:fill="auto"/>
            <w:noWrap/>
            <w:vAlign w:val="center"/>
            <w:hideMark/>
          </w:tcPr>
          <w:p w14:paraId="130A2111" w14:textId="77777777" w:rsidR="00AB5085" w:rsidRPr="00662262" w:rsidRDefault="00AB5085" w:rsidP="00FE4DB7">
            <w:pPr>
              <w:adjustRightInd w:val="0"/>
              <w:snapToGrid w:val="0"/>
              <w:spacing w:line="240" w:lineRule="auto"/>
              <w:jc w:val="center"/>
              <w:rPr>
                <w:rFonts w:ascii="Palatino Linotype" w:hAnsi="Palatino Linotype" w:cs="Arial"/>
                <w:color w:val="auto"/>
                <w:sz w:val="20"/>
                <w:lang w:eastAsia="zh-CN"/>
              </w:rPr>
            </w:pPr>
            <w:r w:rsidRPr="00662262">
              <w:rPr>
                <w:rFonts w:ascii="Palatino Linotype" w:hAnsi="Palatino Linotype" w:cs="Arial"/>
                <w:color w:val="auto"/>
                <w:sz w:val="20"/>
                <w:lang w:eastAsia="zh-CN"/>
              </w:rPr>
              <w:t>Female</w:t>
            </w:r>
          </w:p>
        </w:tc>
        <w:tc>
          <w:tcPr>
            <w:tcW w:w="397" w:type="pct"/>
            <w:tcBorders>
              <w:top w:val="nil"/>
              <w:bottom w:val="single" w:sz="4" w:space="0" w:color="auto"/>
              <w:right w:val="nil"/>
            </w:tcBorders>
            <w:shd w:val="clear" w:color="auto" w:fill="auto"/>
            <w:noWrap/>
            <w:vAlign w:val="center"/>
            <w:hideMark/>
          </w:tcPr>
          <w:p w14:paraId="06A34127" w14:textId="77777777" w:rsidR="00AB5085" w:rsidRPr="003D4BA7" w:rsidRDefault="00AB5085" w:rsidP="00FE4DB7">
            <w:pPr>
              <w:adjustRightInd w:val="0"/>
              <w:snapToGrid w:val="0"/>
              <w:spacing w:line="240" w:lineRule="auto"/>
              <w:jc w:val="center"/>
              <w:rPr>
                <w:rFonts w:ascii="Palatino Linotype" w:hAnsi="Palatino Linotype" w:cs="Arial"/>
                <w:color w:val="auto"/>
                <w:sz w:val="20"/>
                <w:lang w:eastAsia="zh-CN"/>
              </w:rPr>
            </w:pPr>
            <w:r w:rsidRPr="003D4BA7">
              <w:rPr>
                <w:rFonts w:ascii="Palatino Linotype" w:hAnsi="Palatino Linotype" w:cs="Arial"/>
                <w:color w:val="auto"/>
                <w:sz w:val="20"/>
                <w:lang w:eastAsia="zh-CN"/>
              </w:rPr>
              <w:t>Male</w:t>
            </w:r>
          </w:p>
        </w:tc>
        <w:tc>
          <w:tcPr>
            <w:tcW w:w="397" w:type="pct"/>
            <w:tcBorders>
              <w:top w:val="nil"/>
              <w:left w:val="nil"/>
              <w:bottom w:val="single" w:sz="4" w:space="0" w:color="auto"/>
              <w:right w:val="nil"/>
            </w:tcBorders>
            <w:shd w:val="clear" w:color="auto" w:fill="auto"/>
            <w:noWrap/>
            <w:vAlign w:val="center"/>
            <w:hideMark/>
          </w:tcPr>
          <w:p w14:paraId="40071C95" w14:textId="77777777" w:rsidR="00AB5085" w:rsidRPr="003D4BA7" w:rsidRDefault="00AB5085" w:rsidP="00FE4DB7">
            <w:pPr>
              <w:adjustRightInd w:val="0"/>
              <w:snapToGrid w:val="0"/>
              <w:spacing w:line="240" w:lineRule="auto"/>
              <w:jc w:val="center"/>
              <w:rPr>
                <w:rFonts w:ascii="Palatino Linotype" w:hAnsi="Palatino Linotype" w:cs="Arial"/>
                <w:color w:val="auto"/>
                <w:sz w:val="20"/>
                <w:lang w:eastAsia="zh-CN"/>
              </w:rPr>
            </w:pPr>
            <w:r w:rsidRPr="003D4BA7">
              <w:rPr>
                <w:rFonts w:ascii="Palatino Linotype" w:hAnsi="Palatino Linotype" w:cs="Arial"/>
                <w:color w:val="auto"/>
                <w:sz w:val="20"/>
                <w:lang w:eastAsia="zh-CN"/>
              </w:rPr>
              <w:t>Female</w:t>
            </w:r>
          </w:p>
        </w:tc>
        <w:tc>
          <w:tcPr>
            <w:tcW w:w="397" w:type="pct"/>
            <w:tcBorders>
              <w:top w:val="nil"/>
              <w:left w:val="nil"/>
              <w:bottom w:val="single" w:sz="4" w:space="0" w:color="auto"/>
              <w:right w:val="nil"/>
            </w:tcBorders>
            <w:shd w:val="clear" w:color="auto" w:fill="auto"/>
            <w:noWrap/>
            <w:vAlign w:val="center"/>
            <w:hideMark/>
          </w:tcPr>
          <w:p w14:paraId="6BE0486F" w14:textId="77777777" w:rsidR="00AB5085" w:rsidRPr="003D4BA7" w:rsidRDefault="00AB5085" w:rsidP="00FE4DB7">
            <w:pPr>
              <w:adjustRightInd w:val="0"/>
              <w:snapToGrid w:val="0"/>
              <w:spacing w:line="240" w:lineRule="auto"/>
              <w:jc w:val="center"/>
              <w:rPr>
                <w:rFonts w:ascii="Palatino Linotype" w:hAnsi="Palatino Linotype" w:cs="Arial"/>
                <w:color w:val="auto"/>
                <w:sz w:val="20"/>
                <w:lang w:eastAsia="zh-CN"/>
              </w:rPr>
            </w:pPr>
            <w:r w:rsidRPr="003D4BA7">
              <w:rPr>
                <w:rFonts w:ascii="Palatino Linotype" w:hAnsi="Palatino Linotype" w:cs="Arial"/>
                <w:color w:val="auto"/>
                <w:sz w:val="20"/>
                <w:lang w:eastAsia="zh-CN"/>
              </w:rPr>
              <w:t>Male</w:t>
            </w:r>
          </w:p>
        </w:tc>
        <w:tc>
          <w:tcPr>
            <w:tcW w:w="397" w:type="pct"/>
            <w:tcBorders>
              <w:top w:val="nil"/>
              <w:left w:val="nil"/>
              <w:bottom w:val="single" w:sz="4" w:space="0" w:color="auto"/>
              <w:right w:val="nil"/>
            </w:tcBorders>
            <w:shd w:val="clear" w:color="auto" w:fill="auto"/>
            <w:noWrap/>
            <w:vAlign w:val="center"/>
            <w:hideMark/>
          </w:tcPr>
          <w:p w14:paraId="1647AF08" w14:textId="77777777" w:rsidR="00AB5085" w:rsidRPr="003D4BA7" w:rsidRDefault="00AB5085" w:rsidP="00FE4DB7">
            <w:pPr>
              <w:adjustRightInd w:val="0"/>
              <w:snapToGrid w:val="0"/>
              <w:spacing w:line="240" w:lineRule="auto"/>
              <w:jc w:val="center"/>
              <w:rPr>
                <w:rFonts w:ascii="Palatino Linotype" w:hAnsi="Palatino Linotype" w:cs="Arial"/>
                <w:color w:val="auto"/>
                <w:sz w:val="20"/>
                <w:lang w:eastAsia="zh-CN"/>
              </w:rPr>
            </w:pPr>
            <w:r w:rsidRPr="003D4BA7">
              <w:rPr>
                <w:rFonts w:ascii="Palatino Linotype" w:hAnsi="Palatino Linotype" w:cs="Arial"/>
                <w:color w:val="auto"/>
                <w:sz w:val="20"/>
                <w:lang w:eastAsia="zh-CN"/>
              </w:rPr>
              <w:t>Female</w:t>
            </w:r>
          </w:p>
        </w:tc>
        <w:tc>
          <w:tcPr>
            <w:tcW w:w="397" w:type="pct"/>
            <w:tcBorders>
              <w:top w:val="nil"/>
              <w:left w:val="nil"/>
              <w:bottom w:val="single" w:sz="4" w:space="0" w:color="auto"/>
              <w:right w:val="nil"/>
            </w:tcBorders>
            <w:shd w:val="clear" w:color="auto" w:fill="auto"/>
            <w:noWrap/>
            <w:vAlign w:val="center"/>
            <w:hideMark/>
          </w:tcPr>
          <w:p w14:paraId="57127E2D" w14:textId="77777777" w:rsidR="00AB5085" w:rsidRPr="003D4BA7" w:rsidRDefault="00AB5085" w:rsidP="00FE4DB7">
            <w:pPr>
              <w:adjustRightInd w:val="0"/>
              <w:snapToGrid w:val="0"/>
              <w:spacing w:line="240" w:lineRule="auto"/>
              <w:jc w:val="center"/>
              <w:rPr>
                <w:rFonts w:ascii="Palatino Linotype" w:hAnsi="Palatino Linotype" w:cs="Arial"/>
                <w:color w:val="auto"/>
                <w:sz w:val="20"/>
                <w:lang w:eastAsia="zh-CN"/>
              </w:rPr>
            </w:pPr>
            <w:r w:rsidRPr="003D4BA7">
              <w:rPr>
                <w:rFonts w:ascii="Palatino Linotype" w:hAnsi="Palatino Linotype" w:cs="Arial"/>
                <w:color w:val="auto"/>
                <w:sz w:val="20"/>
                <w:lang w:eastAsia="zh-CN"/>
              </w:rPr>
              <w:t>Male</w:t>
            </w:r>
          </w:p>
        </w:tc>
        <w:tc>
          <w:tcPr>
            <w:tcW w:w="397" w:type="pct"/>
            <w:tcBorders>
              <w:top w:val="nil"/>
              <w:left w:val="nil"/>
              <w:bottom w:val="single" w:sz="4" w:space="0" w:color="auto"/>
              <w:right w:val="nil"/>
            </w:tcBorders>
            <w:shd w:val="clear" w:color="auto" w:fill="auto"/>
            <w:noWrap/>
            <w:vAlign w:val="center"/>
            <w:hideMark/>
          </w:tcPr>
          <w:p w14:paraId="7B7F6DFE" w14:textId="77777777" w:rsidR="00AB5085" w:rsidRPr="00662262" w:rsidRDefault="00AB5085" w:rsidP="00FE4DB7">
            <w:pPr>
              <w:adjustRightInd w:val="0"/>
              <w:snapToGrid w:val="0"/>
              <w:spacing w:line="240" w:lineRule="auto"/>
              <w:jc w:val="center"/>
              <w:rPr>
                <w:rFonts w:ascii="Palatino Linotype" w:hAnsi="Palatino Linotype" w:cs="Arial"/>
                <w:color w:val="auto"/>
                <w:sz w:val="20"/>
                <w:lang w:eastAsia="zh-CN"/>
              </w:rPr>
            </w:pPr>
            <w:r w:rsidRPr="00662262">
              <w:rPr>
                <w:rFonts w:ascii="Palatino Linotype" w:hAnsi="Palatino Linotype" w:cs="Arial"/>
                <w:color w:val="auto"/>
                <w:sz w:val="20"/>
                <w:lang w:eastAsia="zh-CN"/>
              </w:rPr>
              <w:t>Female</w:t>
            </w:r>
          </w:p>
        </w:tc>
        <w:tc>
          <w:tcPr>
            <w:tcW w:w="397" w:type="pct"/>
            <w:tcBorders>
              <w:top w:val="nil"/>
              <w:left w:val="nil"/>
              <w:bottom w:val="single" w:sz="4" w:space="0" w:color="auto"/>
              <w:right w:val="nil"/>
            </w:tcBorders>
            <w:shd w:val="clear" w:color="auto" w:fill="auto"/>
            <w:noWrap/>
            <w:vAlign w:val="center"/>
            <w:hideMark/>
          </w:tcPr>
          <w:p w14:paraId="62ABADD2" w14:textId="77777777" w:rsidR="00AB5085" w:rsidRPr="003D4BA7" w:rsidRDefault="00AB5085" w:rsidP="00FE4DB7">
            <w:pPr>
              <w:adjustRightInd w:val="0"/>
              <w:snapToGrid w:val="0"/>
              <w:spacing w:line="240" w:lineRule="auto"/>
              <w:jc w:val="center"/>
              <w:rPr>
                <w:rFonts w:ascii="Palatino Linotype" w:hAnsi="Palatino Linotype" w:cs="Arial"/>
                <w:color w:val="auto"/>
                <w:sz w:val="20"/>
                <w:lang w:eastAsia="zh-CN"/>
              </w:rPr>
            </w:pPr>
            <w:r w:rsidRPr="003D4BA7">
              <w:rPr>
                <w:rFonts w:ascii="Palatino Linotype" w:hAnsi="Palatino Linotype" w:cs="Arial"/>
                <w:color w:val="auto"/>
                <w:sz w:val="20"/>
                <w:lang w:eastAsia="zh-CN"/>
              </w:rPr>
              <w:t>Male</w:t>
            </w:r>
          </w:p>
        </w:tc>
        <w:tc>
          <w:tcPr>
            <w:tcW w:w="397" w:type="pct"/>
            <w:tcBorders>
              <w:top w:val="nil"/>
              <w:left w:val="nil"/>
              <w:bottom w:val="single" w:sz="4" w:space="0" w:color="auto"/>
              <w:right w:val="nil"/>
            </w:tcBorders>
            <w:shd w:val="clear" w:color="auto" w:fill="auto"/>
            <w:noWrap/>
            <w:vAlign w:val="center"/>
            <w:hideMark/>
          </w:tcPr>
          <w:p w14:paraId="6F383790" w14:textId="77777777" w:rsidR="00AB5085" w:rsidRPr="00662262" w:rsidRDefault="00AB5085" w:rsidP="00FE4DB7">
            <w:pPr>
              <w:adjustRightInd w:val="0"/>
              <w:snapToGrid w:val="0"/>
              <w:spacing w:line="240" w:lineRule="auto"/>
              <w:jc w:val="center"/>
              <w:rPr>
                <w:rFonts w:ascii="Palatino Linotype" w:hAnsi="Palatino Linotype" w:cs="Arial"/>
                <w:color w:val="auto"/>
                <w:sz w:val="20"/>
                <w:lang w:eastAsia="zh-CN"/>
              </w:rPr>
            </w:pPr>
            <w:r w:rsidRPr="00662262">
              <w:rPr>
                <w:rFonts w:ascii="Palatino Linotype" w:hAnsi="Palatino Linotype" w:cs="Arial"/>
                <w:color w:val="auto"/>
                <w:sz w:val="20"/>
                <w:lang w:eastAsia="zh-CN"/>
              </w:rPr>
              <w:t>Female</w:t>
            </w:r>
          </w:p>
        </w:tc>
      </w:tr>
      <w:tr w:rsidR="00A503A4" w:rsidRPr="00662262" w14:paraId="5DA82B62" w14:textId="77777777" w:rsidTr="002E22C3">
        <w:trPr>
          <w:jc w:val="center"/>
        </w:trPr>
        <w:tc>
          <w:tcPr>
            <w:tcW w:w="911" w:type="pct"/>
            <w:tcBorders>
              <w:top w:val="nil"/>
              <w:left w:val="nil"/>
              <w:bottom w:val="nil"/>
              <w:right w:val="nil"/>
            </w:tcBorders>
            <w:shd w:val="clear" w:color="000000" w:fill="FFFFFF"/>
            <w:noWrap/>
            <w:vAlign w:val="center"/>
            <w:hideMark/>
          </w:tcPr>
          <w:p w14:paraId="750D70A2" w14:textId="77777777" w:rsidR="00AB5085" w:rsidRPr="00662262" w:rsidRDefault="00AB5085" w:rsidP="00FE4DB7">
            <w:pPr>
              <w:adjustRightInd w:val="0"/>
              <w:snapToGrid w:val="0"/>
              <w:spacing w:line="240" w:lineRule="auto"/>
              <w:jc w:val="center"/>
              <w:rPr>
                <w:rFonts w:ascii="Palatino Linotype" w:hAnsi="Palatino Linotype" w:cs="Arial"/>
                <w:color w:val="auto"/>
                <w:sz w:val="20"/>
                <w:lang w:eastAsia="zh-CN"/>
              </w:rPr>
            </w:pPr>
            <w:r w:rsidRPr="00662262">
              <w:rPr>
                <w:rFonts w:ascii="Palatino Linotype" w:hAnsi="Palatino Linotype" w:cs="Arial"/>
                <w:color w:val="auto"/>
                <w:sz w:val="20"/>
                <w:lang w:eastAsia="zh-CN"/>
              </w:rPr>
              <w:t>6 months</w:t>
            </w:r>
          </w:p>
        </w:tc>
        <w:tc>
          <w:tcPr>
            <w:tcW w:w="530" w:type="pct"/>
            <w:tcBorders>
              <w:top w:val="nil"/>
              <w:left w:val="nil"/>
              <w:bottom w:val="nil"/>
              <w:right w:val="nil"/>
            </w:tcBorders>
            <w:shd w:val="clear" w:color="auto" w:fill="auto"/>
            <w:noWrap/>
            <w:vAlign w:val="center"/>
            <w:hideMark/>
          </w:tcPr>
          <w:p w14:paraId="1FA6DCE8" w14:textId="77777777" w:rsidR="00AB5085" w:rsidRPr="008C197E" w:rsidRDefault="00AB5085" w:rsidP="00FE4DB7">
            <w:pPr>
              <w:adjustRightInd w:val="0"/>
              <w:snapToGrid w:val="0"/>
              <w:spacing w:line="240" w:lineRule="auto"/>
              <w:jc w:val="center"/>
              <w:rPr>
                <w:rFonts w:ascii="Palatino Linotype" w:hAnsi="Palatino Linotype" w:cs="Arial"/>
                <w:i/>
                <w:iCs/>
                <w:color w:val="auto"/>
                <w:sz w:val="20"/>
                <w:lang w:eastAsia="zh-CN"/>
              </w:rPr>
            </w:pPr>
            <w:r w:rsidRPr="008C197E">
              <w:rPr>
                <w:rFonts w:ascii="Palatino Linotype" w:hAnsi="Palatino Linotype" w:cs="Arial"/>
                <w:i/>
                <w:iCs/>
                <w:color w:val="auto"/>
                <w:sz w:val="20"/>
                <w:lang w:eastAsia="zh-CN"/>
              </w:rPr>
              <w:t>600</w:t>
            </w:r>
          </w:p>
        </w:tc>
        <w:tc>
          <w:tcPr>
            <w:tcW w:w="386" w:type="pct"/>
            <w:tcBorders>
              <w:top w:val="nil"/>
              <w:left w:val="nil"/>
              <w:bottom w:val="nil"/>
            </w:tcBorders>
            <w:shd w:val="clear" w:color="auto" w:fill="auto"/>
            <w:noWrap/>
            <w:vAlign w:val="center"/>
            <w:hideMark/>
          </w:tcPr>
          <w:p w14:paraId="5F75730A" w14:textId="77777777" w:rsidR="00AB5085" w:rsidRPr="008C197E" w:rsidRDefault="00AB5085" w:rsidP="00FE4DB7">
            <w:pPr>
              <w:adjustRightInd w:val="0"/>
              <w:snapToGrid w:val="0"/>
              <w:spacing w:line="240" w:lineRule="auto"/>
              <w:jc w:val="center"/>
              <w:rPr>
                <w:rFonts w:ascii="Palatino Linotype" w:hAnsi="Palatino Linotype" w:cs="Arial"/>
                <w:i/>
                <w:iCs/>
                <w:color w:val="auto"/>
                <w:sz w:val="20"/>
                <w:lang w:eastAsia="zh-CN"/>
              </w:rPr>
            </w:pPr>
            <w:r w:rsidRPr="008C197E">
              <w:rPr>
                <w:rFonts w:ascii="Palatino Linotype" w:hAnsi="Palatino Linotype" w:cs="Arial"/>
                <w:i/>
                <w:iCs/>
                <w:color w:val="auto"/>
                <w:sz w:val="20"/>
                <w:lang w:eastAsia="zh-CN"/>
              </w:rPr>
              <w:t>560</w:t>
            </w:r>
          </w:p>
        </w:tc>
        <w:tc>
          <w:tcPr>
            <w:tcW w:w="397" w:type="pct"/>
            <w:tcBorders>
              <w:top w:val="nil"/>
              <w:bottom w:val="nil"/>
              <w:right w:val="nil"/>
            </w:tcBorders>
            <w:shd w:val="clear" w:color="auto" w:fill="auto"/>
            <w:noWrap/>
            <w:vAlign w:val="center"/>
            <w:hideMark/>
          </w:tcPr>
          <w:p w14:paraId="37CB40C4" w14:textId="77777777" w:rsidR="00AB5085" w:rsidRPr="003D4BA7" w:rsidRDefault="00AB5085" w:rsidP="00FE4DB7">
            <w:pPr>
              <w:adjustRightInd w:val="0"/>
              <w:snapToGrid w:val="0"/>
              <w:spacing w:line="240" w:lineRule="auto"/>
              <w:jc w:val="center"/>
              <w:rPr>
                <w:rFonts w:ascii="Palatino Linotype" w:hAnsi="Palatino Linotype" w:cs="Arial"/>
                <w:color w:val="auto"/>
                <w:sz w:val="20"/>
                <w:lang w:eastAsia="zh-CN"/>
              </w:rPr>
            </w:pPr>
            <w:r w:rsidRPr="003D4BA7">
              <w:rPr>
                <w:rFonts w:ascii="Palatino Linotype" w:hAnsi="Palatino Linotype" w:cs="Arial"/>
                <w:color w:val="auto"/>
                <w:sz w:val="20"/>
                <w:lang w:eastAsia="zh-CN"/>
              </w:rPr>
              <w:t>62.6</w:t>
            </w:r>
          </w:p>
        </w:tc>
        <w:tc>
          <w:tcPr>
            <w:tcW w:w="397" w:type="pct"/>
            <w:tcBorders>
              <w:top w:val="nil"/>
              <w:left w:val="nil"/>
              <w:bottom w:val="nil"/>
              <w:right w:val="nil"/>
            </w:tcBorders>
            <w:shd w:val="clear" w:color="auto" w:fill="auto"/>
            <w:noWrap/>
            <w:vAlign w:val="center"/>
            <w:hideMark/>
          </w:tcPr>
          <w:p w14:paraId="0B807BE5" w14:textId="77777777" w:rsidR="00AB5085" w:rsidRPr="003D4BA7" w:rsidRDefault="00AB5085" w:rsidP="00FE4DB7">
            <w:pPr>
              <w:adjustRightInd w:val="0"/>
              <w:snapToGrid w:val="0"/>
              <w:spacing w:line="240" w:lineRule="auto"/>
              <w:jc w:val="center"/>
              <w:rPr>
                <w:rFonts w:ascii="Palatino Linotype" w:hAnsi="Palatino Linotype" w:cs="Arial"/>
                <w:color w:val="auto"/>
                <w:sz w:val="20"/>
                <w:lang w:eastAsia="zh-CN"/>
              </w:rPr>
            </w:pPr>
            <w:r w:rsidRPr="003D4BA7">
              <w:rPr>
                <w:rFonts w:ascii="Palatino Linotype" w:hAnsi="Palatino Linotype" w:cs="Arial"/>
                <w:color w:val="auto"/>
                <w:sz w:val="20"/>
                <w:lang w:eastAsia="zh-CN"/>
              </w:rPr>
              <w:t>69.5</w:t>
            </w:r>
          </w:p>
        </w:tc>
        <w:tc>
          <w:tcPr>
            <w:tcW w:w="397" w:type="pct"/>
            <w:tcBorders>
              <w:top w:val="nil"/>
              <w:left w:val="nil"/>
              <w:bottom w:val="nil"/>
              <w:right w:val="nil"/>
            </w:tcBorders>
            <w:shd w:val="clear" w:color="auto" w:fill="auto"/>
            <w:noWrap/>
            <w:vAlign w:val="center"/>
            <w:hideMark/>
          </w:tcPr>
          <w:p w14:paraId="5B1DA7C1" w14:textId="77777777" w:rsidR="00AB5085" w:rsidRPr="003D4BA7" w:rsidRDefault="00AB5085" w:rsidP="00FE4DB7">
            <w:pPr>
              <w:adjustRightInd w:val="0"/>
              <w:snapToGrid w:val="0"/>
              <w:spacing w:line="240" w:lineRule="auto"/>
              <w:jc w:val="center"/>
              <w:rPr>
                <w:rFonts w:ascii="Palatino Linotype" w:hAnsi="Palatino Linotype" w:cs="Arial"/>
                <w:color w:val="auto"/>
                <w:sz w:val="20"/>
                <w:lang w:eastAsia="zh-CN"/>
              </w:rPr>
            </w:pPr>
            <w:r w:rsidRPr="003D4BA7">
              <w:rPr>
                <w:rFonts w:ascii="Palatino Linotype" w:hAnsi="Palatino Linotype" w:cs="Arial"/>
                <w:color w:val="auto"/>
                <w:sz w:val="20"/>
                <w:lang w:eastAsia="zh-CN"/>
              </w:rPr>
              <w:t>70.2</w:t>
            </w:r>
          </w:p>
        </w:tc>
        <w:tc>
          <w:tcPr>
            <w:tcW w:w="397" w:type="pct"/>
            <w:tcBorders>
              <w:top w:val="nil"/>
              <w:left w:val="nil"/>
              <w:bottom w:val="nil"/>
              <w:right w:val="nil"/>
            </w:tcBorders>
            <w:shd w:val="clear" w:color="auto" w:fill="auto"/>
            <w:noWrap/>
            <w:vAlign w:val="center"/>
            <w:hideMark/>
          </w:tcPr>
          <w:p w14:paraId="1BB96D5C" w14:textId="77777777" w:rsidR="00AB5085" w:rsidRPr="003D4BA7" w:rsidRDefault="00AB5085" w:rsidP="00FE4DB7">
            <w:pPr>
              <w:adjustRightInd w:val="0"/>
              <w:snapToGrid w:val="0"/>
              <w:spacing w:line="240" w:lineRule="auto"/>
              <w:jc w:val="center"/>
              <w:rPr>
                <w:rFonts w:ascii="Palatino Linotype" w:hAnsi="Palatino Linotype" w:cs="Arial"/>
                <w:color w:val="auto"/>
                <w:sz w:val="20"/>
                <w:lang w:eastAsia="zh-CN"/>
              </w:rPr>
            </w:pPr>
            <w:r w:rsidRPr="003D4BA7">
              <w:rPr>
                <w:rFonts w:ascii="Palatino Linotype" w:hAnsi="Palatino Linotype" w:cs="Arial"/>
                <w:color w:val="auto"/>
                <w:sz w:val="20"/>
                <w:lang w:eastAsia="zh-CN"/>
              </w:rPr>
              <w:t>90.5</w:t>
            </w:r>
          </w:p>
        </w:tc>
        <w:tc>
          <w:tcPr>
            <w:tcW w:w="397" w:type="pct"/>
            <w:tcBorders>
              <w:top w:val="nil"/>
              <w:left w:val="nil"/>
              <w:bottom w:val="nil"/>
              <w:right w:val="nil"/>
            </w:tcBorders>
            <w:shd w:val="clear" w:color="auto" w:fill="auto"/>
            <w:noWrap/>
            <w:vAlign w:val="center"/>
            <w:hideMark/>
          </w:tcPr>
          <w:p w14:paraId="33A51885" w14:textId="77777777" w:rsidR="00AB5085" w:rsidRPr="003D4BA7" w:rsidRDefault="00AB5085" w:rsidP="00FE4DB7">
            <w:pPr>
              <w:adjustRightInd w:val="0"/>
              <w:snapToGrid w:val="0"/>
              <w:spacing w:line="240" w:lineRule="auto"/>
              <w:jc w:val="center"/>
              <w:rPr>
                <w:rFonts w:ascii="Palatino Linotype" w:hAnsi="Palatino Linotype" w:cs="Arial"/>
                <w:color w:val="auto"/>
                <w:sz w:val="20"/>
                <w:lang w:eastAsia="zh-CN"/>
              </w:rPr>
            </w:pPr>
            <w:r w:rsidRPr="003D4BA7">
              <w:rPr>
                <w:rFonts w:ascii="Palatino Linotype" w:hAnsi="Palatino Linotype" w:cs="Arial"/>
                <w:color w:val="auto"/>
                <w:sz w:val="20"/>
                <w:lang w:eastAsia="zh-CN"/>
              </w:rPr>
              <w:t>72.1</w:t>
            </w:r>
          </w:p>
        </w:tc>
        <w:tc>
          <w:tcPr>
            <w:tcW w:w="397" w:type="pct"/>
            <w:tcBorders>
              <w:top w:val="nil"/>
              <w:left w:val="nil"/>
              <w:bottom w:val="nil"/>
              <w:right w:val="nil"/>
            </w:tcBorders>
            <w:shd w:val="clear" w:color="auto" w:fill="auto"/>
            <w:noWrap/>
            <w:vAlign w:val="center"/>
            <w:hideMark/>
          </w:tcPr>
          <w:p w14:paraId="5FAA85B3" w14:textId="77777777" w:rsidR="00AB5085" w:rsidRPr="00662262" w:rsidRDefault="00AB5085" w:rsidP="00FE4DB7">
            <w:pPr>
              <w:adjustRightInd w:val="0"/>
              <w:snapToGrid w:val="0"/>
              <w:spacing w:line="240" w:lineRule="auto"/>
              <w:jc w:val="center"/>
              <w:rPr>
                <w:rFonts w:ascii="Palatino Linotype" w:hAnsi="Palatino Linotype" w:cs="Arial"/>
                <w:color w:val="auto"/>
                <w:sz w:val="20"/>
                <w:lang w:eastAsia="zh-CN"/>
              </w:rPr>
            </w:pPr>
            <w:r w:rsidRPr="00662262">
              <w:rPr>
                <w:rFonts w:ascii="Palatino Linotype" w:hAnsi="Palatino Linotype" w:cs="Arial"/>
                <w:color w:val="auto"/>
                <w:sz w:val="20"/>
                <w:lang w:eastAsia="zh-CN"/>
              </w:rPr>
              <w:t>90.3</w:t>
            </w:r>
          </w:p>
        </w:tc>
        <w:tc>
          <w:tcPr>
            <w:tcW w:w="397" w:type="pct"/>
            <w:tcBorders>
              <w:top w:val="nil"/>
              <w:left w:val="nil"/>
              <w:bottom w:val="nil"/>
              <w:right w:val="nil"/>
            </w:tcBorders>
            <w:shd w:val="clear" w:color="auto" w:fill="auto"/>
            <w:noWrap/>
            <w:vAlign w:val="center"/>
            <w:hideMark/>
          </w:tcPr>
          <w:p w14:paraId="2BD806A2" w14:textId="77777777" w:rsidR="00AB5085" w:rsidRPr="003D4BA7" w:rsidRDefault="00AB5085" w:rsidP="00FE4DB7">
            <w:pPr>
              <w:adjustRightInd w:val="0"/>
              <w:snapToGrid w:val="0"/>
              <w:spacing w:line="240" w:lineRule="auto"/>
              <w:jc w:val="center"/>
              <w:rPr>
                <w:rFonts w:ascii="Palatino Linotype" w:hAnsi="Palatino Linotype" w:cs="Arial"/>
                <w:color w:val="auto"/>
                <w:sz w:val="20"/>
                <w:lang w:eastAsia="zh-CN"/>
              </w:rPr>
            </w:pPr>
            <w:r w:rsidRPr="003D4BA7">
              <w:rPr>
                <w:rFonts w:ascii="Palatino Linotype" w:hAnsi="Palatino Linotype" w:cs="Arial"/>
                <w:color w:val="auto"/>
                <w:sz w:val="20"/>
                <w:lang w:eastAsia="zh-CN"/>
              </w:rPr>
              <w:t>57.8</w:t>
            </w:r>
          </w:p>
        </w:tc>
        <w:tc>
          <w:tcPr>
            <w:tcW w:w="397" w:type="pct"/>
            <w:tcBorders>
              <w:top w:val="nil"/>
              <w:left w:val="nil"/>
              <w:bottom w:val="nil"/>
              <w:right w:val="nil"/>
            </w:tcBorders>
            <w:shd w:val="clear" w:color="auto" w:fill="auto"/>
            <w:noWrap/>
            <w:vAlign w:val="center"/>
            <w:hideMark/>
          </w:tcPr>
          <w:p w14:paraId="19835031" w14:textId="77777777" w:rsidR="00AB5085" w:rsidRPr="00662262" w:rsidRDefault="00AB5085" w:rsidP="00FE4DB7">
            <w:pPr>
              <w:adjustRightInd w:val="0"/>
              <w:snapToGrid w:val="0"/>
              <w:spacing w:line="240" w:lineRule="auto"/>
              <w:jc w:val="center"/>
              <w:rPr>
                <w:rFonts w:ascii="Palatino Linotype" w:hAnsi="Palatino Linotype" w:cs="Arial"/>
                <w:color w:val="auto"/>
                <w:sz w:val="20"/>
                <w:lang w:eastAsia="zh-CN"/>
              </w:rPr>
            </w:pPr>
            <w:r w:rsidRPr="00662262">
              <w:rPr>
                <w:rFonts w:ascii="Palatino Linotype" w:hAnsi="Palatino Linotype" w:cs="Arial"/>
                <w:color w:val="auto"/>
                <w:sz w:val="20"/>
                <w:lang w:eastAsia="zh-CN"/>
              </w:rPr>
              <w:t>56.1</w:t>
            </w:r>
          </w:p>
        </w:tc>
      </w:tr>
      <w:tr w:rsidR="00A503A4" w:rsidRPr="00662262" w14:paraId="46A02577" w14:textId="77777777" w:rsidTr="002E22C3">
        <w:trPr>
          <w:jc w:val="center"/>
        </w:trPr>
        <w:tc>
          <w:tcPr>
            <w:tcW w:w="911" w:type="pct"/>
            <w:tcBorders>
              <w:top w:val="nil"/>
              <w:left w:val="nil"/>
              <w:bottom w:val="nil"/>
              <w:right w:val="nil"/>
            </w:tcBorders>
            <w:shd w:val="clear" w:color="000000" w:fill="FFFFFF"/>
            <w:noWrap/>
            <w:vAlign w:val="center"/>
            <w:hideMark/>
          </w:tcPr>
          <w:p w14:paraId="179548AA" w14:textId="77777777" w:rsidR="00AB5085" w:rsidRPr="00662262" w:rsidRDefault="00AB5085" w:rsidP="00FE4DB7">
            <w:pPr>
              <w:adjustRightInd w:val="0"/>
              <w:snapToGrid w:val="0"/>
              <w:spacing w:line="240" w:lineRule="auto"/>
              <w:jc w:val="center"/>
              <w:rPr>
                <w:rFonts w:ascii="Palatino Linotype" w:hAnsi="Palatino Linotype" w:cs="Arial"/>
                <w:color w:val="auto"/>
                <w:sz w:val="20"/>
                <w:lang w:eastAsia="zh-CN"/>
              </w:rPr>
            </w:pPr>
            <w:r w:rsidRPr="00662262">
              <w:rPr>
                <w:rFonts w:ascii="Palatino Linotype" w:hAnsi="Palatino Linotype" w:cs="Arial"/>
                <w:color w:val="auto"/>
                <w:sz w:val="20"/>
                <w:lang w:eastAsia="zh-CN"/>
              </w:rPr>
              <w:t>9 months</w:t>
            </w:r>
          </w:p>
        </w:tc>
        <w:tc>
          <w:tcPr>
            <w:tcW w:w="530" w:type="pct"/>
            <w:tcBorders>
              <w:top w:val="nil"/>
              <w:left w:val="nil"/>
              <w:bottom w:val="nil"/>
              <w:right w:val="nil"/>
            </w:tcBorders>
            <w:shd w:val="clear" w:color="auto" w:fill="auto"/>
            <w:noWrap/>
            <w:vAlign w:val="center"/>
            <w:hideMark/>
          </w:tcPr>
          <w:p w14:paraId="5511511D" w14:textId="77777777" w:rsidR="00AB5085" w:rsidRPr="008C197E" w:rsidRDefault="00AB5085" w:rsidP="00FE4DB7">
            <w:pPr>
              <w:adjustRightInd w:val="0"/>
              <w:snapToGrid w:val="0"/>
              <w:spacing w:line="240" w:lineRule="auto"/>
              <w:jc w:val="center"/>
              <w:rPr>
                <w:rFonts w:ascii="Palatino Linotype" w:hAnsi="Palatino Linotype" w:cs="Arial"/>
                <w:i/>
                <w:iCs/>
                <w:color w:val="auto"/>
                <w:sz w:val="20"/>
                <w:lang w:eastAsia="zh-CN"/>
              </w:rPr>
            </w:pPr>
            <w:r w:rsidRPr="008C197E">
              <w:rPr>
                <w:rFonts w:ascii="Palatino Linotype" w:hAnsi="Palatino Linotype" w:cs="Arial"/>
                <w:i/>
                <w:iCs/>
                <w:color w:val="auto"/>
                <w:sz w:val="20"/>
                <w:lang w:eastAsia="zh-CN"/>
              </w:rPr>
              <w:t>670</w:t>
            </w:r>
          </w:p>
        </w:tc>
        <w:tc>
          <w:tcPr>
            <w:tcW w:w="386" w:type="pct"/>
            <w:tcBorders>
              <w:top w:val="nil"/>
              <w:left w:val="nil"/>
              <w:bottom w:val="nil"/>
            </w:tcBorders>
            <w:shd w:val="clear" w:color="auto" w:fill="auto"/>
            <w:noWrap/>
            <w:vAlign w:val="center"/>
            <w:hideMark/>
          </w:tcPr>
          <w:p w14:paraId="14619796" w14:textId="77777777" w:rsidR="00AB5085" w:rsidRPr="008C197E" w:rsidRDefault="00AB5085" w:rsidP="00FE4DB7">
            <w:pPr>
              <w:adjustRightInd w:val="0"/>
              <w:snapToGrid w:val="0"/>
              <w:spacing w:line="240" w:lineRule="auto"/>
              <w:jc w:val="center"/>
              <w:rPr>
                <w:rFonts w:ascii="Palatino Linotype" w:hAnsi="Palatino Linotype" w:cs="Arial"/>
                <w:i/>
                <w:iCs/>
                <w:color w:val="auto"/>
                <w:sz w:val="20"/>
                <w:lang w:eastAsia="zh-CN"/>
              </w:rPr>
            </w:pPr>
            <w:r w:rsidRPr="008C197E">
              <w:rPr>
                <w:rFonts w:ascii="Palatino Linotype" w:hAnsi="Palatino Linotype" w:cs="Arial"/>
                <w:i/>
                <w:iCs/>
                <w:color w:val="auto"/>
                <w:sz w:val="20"/>
                <w:lang w:eastAsia="zh-CN"/>
              </w:rPr>
              <w:t>620</w:t>
            </w:r>
          </w:p>
        </w:tc>
        <w:tc>
          <w:tcPr>
            <w:tcW w:w="397" w:type="pct"/>
            <w:tcBorders>
              <w:top w:val="nil"/>
              <w:bottom w:val="nil"/>
              <w:right w:val="nil"/>
            </w:tcBorders>
            <w:shd w:val="clear" w:color="auto" w:fill="auto"/>
            <w:noWrap/>
            <w:vAlign w:val="center"/>
            <w:hideMark/>
          </w:tcPr>
          <w:p w14:paraId="7F0104FE" w14:textId="77777777" w:rsidR="00AB5085" w:rsidRPr="003D4BA7" w:rsidRDefault="00AB5085" w:rsidP="00FE4DB7">
            <w:pPr>
              <w:adjustRightInd w:val="0"/>
              <w:snapToGrid w:val="0"/>
              <w:spacing w:line="240" w:lineRule="auto"/>
              <w:jc w:val="center"/>
              <w:rPr>
                <w:rFonts w:ascii="Palatino Linotype" w:hAnsi="Palatino Linotype" w:cs="Arial"/>
                <w:color w:val="auto"/>
                <w:sz w:val="20"/>
                <w:lang w:eastAsia="zh-CN"/>
              </w:rPr>
            </w:pPr>
            <w:r w:rsidRPr="003D4BA7">
              <w:rPr>
                <w:rFonts w:ascii="Palatino Linotype" w:hAnsi="Palatino Linotype" w:cs="Arial"/>
                <w:color w:val="auto"/>
                <w:sz w:val="20"/>
                <w:lang w:eastAsia="zh-CN"/>
              </w:rPr>
              <w:t>50.2</w:t>
            </w:r>
          </w:p>
        </w:tc>
        <w:tc>
          <w:tcPr>
            <w:tcW w:w="397" w:type="pct"/>
            <w:tcBorders>
              <w:top w:val="nil"/>
              <w:left w:val="nil"/>
              <w:bottom w:val="nil"/>
              <w:right w:val="nil"/>
            </w:tcBorders>
            <w:shd w:val="clear" w:color="auto" w:fill="auto"/>
            <w:noWrap/>
            <w:vAlign w:val="center"/>
            <w:hideMark/>
          </w:tcPr>
          <w:p w14:paraId="65298A9E" w14:textId="77777777" w:rsidR="00AB5085" w:rsidRPr="003D4BA7" w:rsidRDefault="00AB5085" w:rsidP="00FE4DB7">
            <w:pPr>
              <w:adjustRightInd w:val="0"/>
              <w:snapToGrid w:val="0"/>
              <w:spacing w:line="240" w:lineRule="auto"/>
              <w:jc w:val="center"/>
              <w:rPr>
                <w:rFonts w:ascii="Palatino Linotype" w:hAnsi="Palatino Linotype" w:cs="Arial"/>
                <w:color w:val="auto"/>
                <w:sz w:val="20"/>
                <w:lang w:eastAsia="zh-CN"/>
              </w:rPr>
            </w:pPr>
            <w:r w:rsidRPr="003D4BA7">
              <w:rPr>
                <w:rFonts w:ascii="Palatino Linotype" w:hAnsi="Palatino Linotype" w:cs="Arial"/>
                <w:color w:val="auto"/>
                <w:sz w:val="20"/>
                <w:lang w:eastAsia="zh-CN"/>
              </w:rPr>
              <w:t>56.2</w:t>
            </w:r>
          </w:p>
        </w:tc>
        <w:tc>
          <w:tcPr>
            <w:tcW w:w="397" w:type="pct"/>
            <w:tcBorders>
              <w:top w:val="nil"/>
              <w:left w:val="nil"/>
              <w:bottom w:val="nil"/>
              <w:right w:val="nil"/>
            </w:tcBorders>
            <w:shd w:val="clear" w:color="auto" w:fill="auto"/>
            <w:noWrap/>
            <w:vAlign w:val="center"/>
            <w:hideMark/>
          </w:tcPr>
          <w:p w14:paraId="05B7C377" w14:textId="77777777" w:rsidR="00AB5085" w:rsidRPr="003D4BA7" w:rsidRDefault="00AB5085" w:rsidP="00FE4DB7">
            <w:pPr>
              <w:adjustRightInd w:val="0"/>
              <w:snapToGrid w:val="0"/>
              <w:spacing w:line="240" w:lineRule="auto"/>
              <w:jc w:val="center"/>
              <w:rPr>
                <w:rFonts w:ascii="Palatino Linotype" w:hAnsi="Palatino Linotype" w:cs="Arial"/>
                <w:color w:val="auto"/>
                <w:sz w:val="20"/>
                <w:lang w:eastAsia="zh-CN"/>
              </w:rPr>
            </w:pPr>
            <w:r w:rsidRPr="003D4BA7">
              <w:rPr>
                <w:rFonts w:ascii="Palatino Linotype" w:hAnsi="Palatino Linotype" w:cs="Arial"/>
                <w:color w:val="auto"/>
                <w:sz w:val="20"/>
                <w:lang w:eastAsia="zh-CN"/>
              </w:rPr>
              <w:t>18.4</w:t>
            </w:r>
          </w:p>
        </w:tc>
        <w:tc>
          <w:tcPr>
            <w:tcW w:w="397" w:type="pct"/>
            <w:tcBorders>
              <w:top w:val="nil"/>
              <w:left w:val="nil"/>
              <w:bottom w:val="nil"/>
              <w:right w:val="nil"/>
            </w:tcBorders>
            <w:shd w:val="clear" w:color="auto" w:fill="auto"/>
            <w:noWrap/>
            <w:vAlign w:val="center"/>
            <w:hideMark/>
          </w:tcPr>
          <w:p w14:paraId="75D26D91" w14:textId="77777777" w:rsidR="00AB5085" w:rsidRPr="003D4BA7" w:rsidRDefault="00AB5085" w:rsidP="00FE4DB7">
            <w:pPr>
              <w:adjustRightInd w:val="0"/>
              <w:snapToGrid w:val="0"/>
              <w:spacing w:line="240" w:lineRule="auto"/>
              <w:jc w:val="center"/>
              <w:rPr>
                <w:rFonts w:ascii="Palatino Linotype" w:hAnsi="Palatino Linotype" w:cs="Arial"/>
                <w:color w:val="auto"/>
                <w:sz w:val="20"/>
                <w:lang w:eastAsia="zh-CN"/>
              </w:rPr>
            </w:pPr>
            <w:r w:rsidRPr="003D4BA7">
              <w:rPr>
                <w:rFonts w:ascii="Palatino Linotype" w:hAnsi="Palatino Linotype" w:cs="Arial"/>
                <w:color w:val="auto"/>
                <w:sz w:val="20"/>
                <w:lang w:eastAsia="zh-CN"/>
              </w:rPr>
              <w:t>33.3</w:t>
            </w:r>
          </w:p>
        </w:tc>
        <w:tc>
          <w:tcPr>
            <w:tcW w:w="397" w:type="pct"/>
            <w:tcBorders>
              <w:top w:val="nil"/>
              <w:left w:val="nil"/>
              <w:bottom w:val="nil"/>
              <w:right w:val="nil"/>
            </w:tcBorders>
            <w:shd w:val="clear" w:color="auto" w:fill="auto"/>
            <w:noWrap/>
            <w:vAlign w:val="center"/>
            <w:hideMark/>
          </w:tcPr>
          <w:p w14:paraId="24C23C81" w14:textId="77777777" w:rsidR="00AB5085" w:rsidRPr="003D4BA7" w:rsidRDefault="00AB5085" w:rsidP="00FE4DB7">
            <w:pPr>
              <w:adjustRightInd w:val="0"/>
              <w:snapToGrid w:val="0"/>
              <w:spacing w:line="240" w:lineRule="auto"/>
              <w:jc w:val="center"/>
              <w:rPr>
                <w:rFonts w:ascii="Palatino Linotype" w:hAnsi="Palatino Linotype" w:cs="Arial"/>
                <w:color w:val="auto"/>
                <w:sz w:val="20"/>
                <w:lang w:eastAsia="zh-CN"/>
              </w:rPr>
            </w:pPr>
            <w:r w:rsidRPr="003D4BA7">
              <w:rPr>
                <w:rFonts w:ascii="Palatino Linotype" w:hAnsi="Palatino Linotype" w:cs="Arial"/>
                <w:color w:val="auto"/>
                <w:sz w:val="20"/>
                <w:lang w:eastAsia="zh-CN"/>
              </w:rPr>
              <w:t>44.9</w:t>
            </w:r>
          </w:p>
        </w:tc>
        <w:tc>
          <w:tcPr>
            <w:tcW w:w="397" w:type="pct"/>
            <w:tcBorders>
              <w:top w:val="nil"/>
              <w:left w:val="nil"/>
              <w:bottom w:val="nil"/>
              <w:right w:val="nil"/>
            </w:tcBorders>
            <w:shd w:val="clear" w:color="auto" w:fill="auto"/>
            <w:noWrap/>
            <w:vAlign w:val="center"/>
            <w:hideMark/>
          </w:tcPr>
          <w:p w14:paraId="4A97D8D6" w14:textId="77777777" w:rsidR="00AB5085" w:rsidRPr="00662262" w:rsidRDefault="00AB5085" w:rsidP="00FE4DB7">
            <w:pPr>
              <w:adjustRightInd w:val="0"/>
              <w:snapToGrid w:val="0"/>
              <w:spacing w:line="240" w:lineRule="auto"/>
              <w:jc w:val="center"/>
              <w:rPr>
                <w:rFonts w:ascii="Palatino Linotype" w:hAnsi="Palatino Linotype" w:cs="Arial"/>
                <w:color w:val="auto"/>
                <w:sz w:val="20"/>
                <w:lang w:eastAsia="zh-CN"/>
              </w:rPr>
            </w:pPr>
            <w:r w:rsidRPr="00662262">
              <w:rPr>
                <w:rFonts w:ascii="Palatino Linotype" w:hAnsi="Palatino Linotype" w:cs="Arial"/>
                <w:color w:val="auto"/>
                <w:sz w:val="20"/>
                <w:lang w:eastAsia="zh-CN"/>
              </w:rPr>
              <w:t>67.2</w:t>
            </w:r>
          </w:p>
        </w:tc>
        <w:tc>
          <w:tcPr>
            <w:tcW w:w="397" w:type="pct"/>
            <w:tcBorders>
              <w:top w:val="nil"/>
              <w:left w:val="nil"/>
              <w:bottom w:val="nil"/>
              <w:right w:val="nil"/>
            </w:tcBorders>
            <w:shd w:val="clear" w:color="auto" w:fill="auto"/>
            <w:noWrap/>
            <w:vAlign w:val="center"/>
            <w:hideMark/>
          </w:tcPr>
          <w:p w14:paraId="3E665785" w14:textId="77777777" w:rsidR="00AB5085" w:rsidRPr="003D4BA7" w:rsidRDefault="00AB5085" w:rsidP="00FE4DB7">
            <w:pPr>
              <w:adjustRightInd w:val="0"/>
              <w:snapToGrid w:val="0"/>
              <w:spacing w:line="240" w:lineRule="auto"/>
              <w:jc w:val="center"/>
              <w:rPr>
                <w:rFonts w:ascii="Palatino Linotype" w:hAnsi="Palatino Linotype" w:cs="Arial"/>
                <w:color w:val="auto"/>
                <w:sz w:val="20"/>
                <w:lang w:eastAsia="zh-CN"/>
              </w:rPr>
            </w:pPr>
            <w:r w:rsidRPr="003D4BA7">
              <w:rPr>
                <w:rFonts w:ascii="Palatino Linotype" w:hAnsi="Palatino Linotype" w:cs="Arial"/>
                <w:color w:val="auto"/>
                <w:sz w:val="20"/>
                <w:lang w:eastAsia="zh-CN"/>
              </w:rPr>
              <w:t>56.2</w:t>
            </w:r>
          </w:p>
        </w:tc>
        <w:tc>
          <w:tcPr>
            <w:tcW w:w="397" w:type="pct"/>
            <w:tcBorders>
              <w:top w:val="nil"/>
              <w:left w:val="nil"/>
              <w:bottom w:val="nil"/>
              <w:right w:val="nil"/>
            </w:tcBorders>
            <w:shd w:val="clear" w:color="auto" w:fill="auto"/>
            <w:noWrap/>
            <w:vAlign w:val="center"/>
            <w:hideMark/>
          </w:tcPr>
          <w:p w14:paraId="7738519F" w14:textId="77777777" w:rsidR="00AB5085" w:rsidRPr="00662262" w:rsidRDefault="00AB5085" w:rsidP="00FE4DB7">
            <w:pPr>
              <w:adjustRightInd w:val="0"/>
              <w:snapToGrid w:val="0"/>
              <w:spacing w:line="240" w:lineRule="auto"/>
              <w:jc w:val="center"/>
              <w:rPr>
                <w:rFonts w:ascii="Palatino Linotype" w:hAnsi="Palatino Linotype" w:cs="Arial"/>
                <w:color w:val="auto"/>
                <w:sz w:val="20"/>
                <w:lang w:eastAsia="zh-CN"/>
              </w:rPr>
            </w:pPr>
            <w:r w:rsidRPr="00662262">
              <w:rPr>
                <w:rFonts w:ascii="Palatino Linotype" w:hAnsi="Palatino Linotype" w:cs="Arial"/>
                <w:color w:val="auto"/>
                <w:sz w:val="20"/>
                <w:lang w:eastAsia="zh-CN"/>
              </w:rPr>
              <w:t>57.1</w:t>
            </w:r>
          </w:p>
        </w:tc>
      </w:tr>
      <w:tr w:rsidR="00A503A4" w:rsidRPr="00662262" w14:paraId="52FFBFFF" w14:textId="77777777" w:rsidTr="002E22C3">
        <w:trPr>
          <w:jc w:val="center"/>
        </w:trPr>
        <w:tc>
          <w:tcPr>
            <w:tcW w:w="911" w:type="pct"/>
            <w:tcBorders>
              <w:top w:val="nil"/>
              <w:left w:val="nil"/>
              <w:bottom w:val="single" w:sz="8" w:space="0" w:color="auto"/>
              <w:right w:val="nil"/>
            </w:tcBorders>
            <w:shd w:val="clear" w:color="000000" w:fill="FFFFFF"/>
            <w:noWrap/>
            <w:vAlign w:val="center"/>
            <w:hideMark/>
          </w:tcPr>
          <w:p w14:paraId="08CA24DE" w14:textId="77777777" w:rsidR="00AB5085" w:rsidRPr="00662262" w:rsidRDefault="00AB5085" w:rsidP="00FE4DB7">
            <w:pPr>
              <w:adjustRightInd w:val="0"/>
              <w:snapToGrid w:val="0"/>
              <w:spacing w:line="240" w:lineRule="auto"/>
              <w:jc w:val="center"/>
              <w:rPr>
                <w:rFonts w:ascii="Palatino Linotype" w:hAnsi="Palatino Linotype" w:cs="Arial"/>
                <w:color w:val="auto"/>
                <w:sz w:val="20"/>
                <w:lang w:eastAsia="zh-CN"/>
              </w:rPr>
            </w:pPr>
            <w:r w:rsidRPr="00662262">
              <w:rPr>
                <w:rFonts w:ascii="Palatino Linotype" w:hAnsi="Palatino Linotype" w:cs="Arial"/>
                <w:color w:val="auto"/>
                <w:sz w:val="20"/>
                <w:lang w:eastAsia="zh-CN"/>
              </w:rPr>
              <w:t>12 months</w:t>
            </w:r>
          </w:p>
        </w:tc>
        <w:tc>
          <w:tcPr>
            <w:tcW w:w="530" w:type="pct"/>
            <w:tcBorders>
              <w:top w:val="nil"/>
              <w:left w:val="nil"/>
              <w:bottom w:val="single" w:sz="8" w:space="0" w:color="auto"/>
              <w:right w:val="nil"/>
            </w:tcBorders>
            <w:shd w:val="clear" w:color="auto" w:fill="auto"/>
            <w:noWrap/>
            <w:vAlign w:val="center"/>
            <w:hideMark/>
          </w:tcPr>
          <w:p w14:paraId="4DF51BEF" w14:textId="77777777" w:rsidR="00AB5085" w:rsidRPr="008C197E" w:rsidRDefault="00AB5085" w:rsidP="00FE4DB7">
            <w:pPr>
              <w:adjustRightInd w:val="0"/>
              <w:snapToGrid w:val="0"/>
              <w:spacing w:line="240" w:lineRule="auto"/>
              <w:jc w:val="center"/>
              <w:rPr>
                <w:rFonts w:ascii="Palatino Linotype" w:hAnsi="Palatino Linotype" w:cs="Arial"/>
                <w:i/>
                <w:iCs/>
                <w:color w:val="auto"/>
                <w:sz w:val="20"/>
                <w:lang w:eastAsia="zh-CN"/>
              </w:rPr>
            </w:pPr>
            <w:r w:rsidRPr="008C197E">
              <w:rPr>
                <w:rFonts w:ascii="Palatino Linotype" w:hAnsi="Palatino Linotype" w:cs="Arial"/>
                <w:i/>
                <w:iCs/>
                <w:color w:val="auto"/>
                <w:sz w:val="20"/>
                <w:lang w:eastAsia="zh-CN"/>
              </w:rPr>
              <w:t>740</w:t>
            </w:r>
          </w:p>
        </w:tc>
        <w:tc>
          <w:tcPr>
            <w:tcW w:w="386" w:type="pct"/>
            <w:tcBorders>
              <w:top w:val="nil"/>
              <w:left w:val="nil"/>
              <w:bottom w:val="single" w:sz="8" w:space="0" w:color="auto"/>
            </w:tcBorders>
            <w:shd w:val="clear" w:color="auto" w:fill="auto"/>
            <w:noWrap/>
            <w:vAlign w:val="center"/>
            <w:hideMark/>
          </w:tcPr>
          <w:p w14:paraId="4F3D7E02" w14:textId="77777777" w:rsidR="00AB5085" w:rsidRPr="008C197E" w:rsidRDefault="00AB5085" w:rsidP="00FE4DB7">
            <w:pPr>
              <w:adjustRightInd w:val="0"/>
              <w:snapToGrid w:val="0"/>
              <w:spacing w:line="240" w:lineRule="auto"/>
              <w:jc w:val="center"/>
              <w:rPr>
                <w:rFonts w:ascii="Palatino Linotype" w:hAnsi="Palatino Linotype" w:cs="Arial"/>
                <w:i/>
                <w:iCs/>
                <w:color w:val="auto"/>
                <w:sz w:val="20"/>
                <w:lang w:eastAsia="zh-CN"/>
              </w:rPr>
            </w:pPr>
            <w:r w:rsidRPr="008C197E">
              <w:rPr>
                <w:rFonts w:ascii="Palatino Linotype" w:hAnsi="Palatino Linotype" w:cs="Arial"/>
                <w:i/>
                <w:iCs/>
                <w:color w:val="auto"/>
                <w:sz w:val="20"/>
                <w:lang w:eastAsia="zh-CN"/>
              </w:rPr>
              <w:t>640</w:t>
            </w:r>
          </w:p>
        </w:tc>
        <w:tc>
          <w:tcPr>
            <w:tcW w:w="397" w:type="pct"/>
            <w:tcBorders>
              <w:top w:val="nil"/>
              <w:bottom w:val="single" w:sz="8" w:space="0" w:color="auto"/>
              <w:right w:val="nil"/>
            </w:tcBorders>
            <w:shd w:val="clear" w:color="auto" w:fill="auto"/>
            <w:noWrap/>
            <w:vAlign w:val="center"/>
            <w:hideMark/>
          </w:tcPr>
          <w:p w14:paraId="0517F8EF" w14:textId="77777777" w:rsidR="00AB5085" w:rsidRPr="003D4BA7" w:rsidRDefault="00AB5085" w:rsidP="00FE4DB7">
            <w:pPr>
              <w:adjustRightInd w:val="0"/>
              <w:snapToGrid w:val="0"/>
              <w:spacing w:line="240" w:lineRule="auto"/>
              <w:jc w:val="center"/>
              <w:rPr>
                <w:rFonts w:ascii="Palatino Linotype" w:hAnsi="Palatino Linotype" w:cs="Arial"/>
                <w:color w:val="auto"/>
                <w:sz w:val="20"/>
                <w:lang w:eastAsia="zh-CN"/>
              </w:rPr>
            </w:pPr>
            <w:r w:rsidRPr="003D4BA7">
              <w:rPr>
                <w:rFonts w:ascii="Palatino Linotype" w:hAnsi="Palatino Linotype" w:cs="Arial"/>
                <w:color w:val="auto"/>
                <w:sz w:val="20"/>
                <w:lang w:eastAsia="zh-CN"/>
              </w:rPr>
              <w:t>54.3</w:t>
            </w:r>
          </w:p>
        </w:tc>
        <w:tc>
          <w:tcPr>
            <w:tcW w:w="397" w:type="pct"/>
            <w:tcBorders>
              <w:top w:val="nil"/>
              <w:left w:val="nil"/>
              <w:bottom w:val="single" w:sz="8" w:space="0" w:color="auto"/>
              <w:right w:val="nil"/>
            </w:tcBorders>
            <w:shd w:val="clear" w:color="auto" w:fill="auto"/>
            <w:noWrap/>
            <w:vAlign w:val="center"/>
            <w:hideMark/>
          </w:tcPr>
          <w:p w14:paraId="03B59303" w14:textId="77777777" w:rsidR="00AB5085" w:rsidRPr="003D4BA7" w:rsidRDefault="00AB5085" w:rsidP="00FE4DB7">
            <w:pPr>
              <w:adjustRightInd w:val="0"/>
              <w:snapToGrid w:val="0"/>
              <w:spacing w:line="240" w:lineRule="auto"/>
              <w:jc w:val="center"/>
              <w:rPr>
                <w:rFonts w:ascii="Palatino Linotype" w:hAnsi="Palatino Linotype" w:cs="Arial"/>
                <w:color w:val="auto"/>
                <w:sz w:val="20"/>
                <w:lang w:eastAsia="zh-CN"/>
              </w:rPr>
            </w:pPr>
            <w:r w:rsidRPr="003D4BA7">
              <w:rPr>
                <w:rFonts w:ascii="Palatino Linotype" w:hAnsi="Palatino Linotype" w:cs="Arial"/>
                <w:color w:val="auto"/>
                <w:sz w:val="20"/>
                <w:lang w:eastAsia="zh-CN"/>
              </w:rPr>
              <w:t>67.3</w:t>
            </w:r>
          </w:p>
        </w:tc>
        <w:tc>
          <w:tcPr>
            <w:tcW w:w="397" w:type="pct"/>
            <w:tcBorders>
              <w:top w:val="nil"/>
              <w:left w:val="nil"/>
              <w:bottom w:val="single" w:sz="8" w:space="0" w:color="auto"/>
              <w:right w:val="nil"/>
            </w:tcBorders>
            <w:shd w:val="clear" w:color="auto" w:fill="auto"/>
            <w:noWrap/>
            <w:vAlign w:val="center"/>
            <w:hideMark/>
          </w:tcPr>
          <w:p w14:paraId="67D597AE" w14:textId="77777777" w:rsidR="00AB5085" w:rsidRPr="003D4BA7" w:rsidRDefault="00AB5085" w:rsidP="00FE4DB7">
            <w:pPr>
              <w:adjustRightInd w:val="0"/>
              <w:snapToGrid w:val="0"/>
              <w:spacing w:line="240" w:lineRule="auto"/>
              <w:jc w:val="center"/>
              <w:rPr>
                <w:rFonts w:ascii="Palatino Linotype" w:hAnsi="Palatino Linotype" w:cs="Arial"/>
                <w:color w:val="auto"/>
                <w:sz w:val="20"/>
                <w:lang w:eastAsia="zh-CN"/>
              </w:rPr>
            </w:pPr>
            <w:r w:rsidRPr="003D4BA7">
              <w:rPr>
                <w:rFonts w:ascii="Palatino Linotype" w:hAnsi="Palatino Linotype" w:cs="Arial"/>
                <w:color w:val="auto"/>
                <w:sz w:val="20"/>
                <w:lang w:eastAsia="zh-CN"/>
              </w:rPr>
              <w:t>46.9</w:t>
            </w:r>
          </w:p>
        </w:tc>
        <w:tc>
          <w:tcPr>
            <w:tcW w:w="397" w:type="pct"/>
            <w:tcBorders>
              <w:top w:val="nil"/>
              <w:left w:val="nil"/>
              <w:bottom w:val="single" w:sz="8" w:space="0" w:color="auto"/>
              <w:right w:val="nil"/>
            </w:tcBorders>
            <w:shd w:val="clear" w:color="auto" w:fill="auto"/>
            <w:noWrap/>
            <w:vAlign w:val="center"/>
            <w:hideMark/>
          </w:tcPr>
          <w:p w14:paraId="0828D3E4" w14:textId="77777777" w:rsidR="00AB5085" w:rsidRPr="003D4BA7" w:rsidRDefault="00AB5085" w:rsidP="00FE4DB7">
            <w:pPr>
              <w:adjustRightInd w:val="0"/>
              <w:snapToGrid w:val="0"/>
              <w:spacing w:line="240" w:lineRule="auto"/>
              <w:jc w:val="center"/>
              <w:rPr>
                <w:rFonts w:ascii="Palatino Linotype" w:hAnsi="Palatino Linotype" w:cs="Arial"/>
                <w:color w:val="auto"/>
                <w:sz w:val="20"/>
                <w:lang w:eastAsia="zh-CN"/>
              </w:rPr>
            </w:pPr>
            <w:r w:rsidRPr="003D4BA7">
              <w:rPr>
                <w:rFonts w:ascii="Palatino Linotype" w:hAnsi="Palatino Linotype" w:cs="Arial"/>
                <w:color w:val="auto"/>
                <w:sz w:val="20"/>
                <w:lang w:eastAsia="zh-CN"/>
              </w:rPr>
              <w:t>52.0</w:t>
            </w:r>
          </w:p>
        </w:tc>
        <w:tc>
          <w:tcPr>
            <w:tcW w:w="397" w:type="pct"/>
            <w:tcBorders>
              <w:top w:val="nil"/>
              <w:left w:val="nil"/>
              <w:bottom w:val="single" w:sz="8" w:space="0" w:color="auto"/>
              <w:right w:val="nil"/>
            </w:tcBorders>
            <w:shd w:val="clear" w:color="auto" w:fill="auto"/>
            <w:noWrap/>
            <w:vAlign w:val="center"/>
            <w:hideMark/>
          </w:tcPr>
          <w:p w14:paraId="215597F7" w14:textId="77777777" w:rsidR="00AB5085" w:rsidRPr="003D4BA7" w:rsidRDefault="00AB5085" w:rsidP="00FE4DB7">
            <w:pPr>
              <w:adjustRightInd w:val="0"/>
              <w:snapToGrid w:val="0"/>
              <w:spacing w:line="240" w:lineRule="auto"/>
              <w:jc w:val="center"/>
              <w:rPr>
                <w:rFonts w:ascii="Palatino Linotype" w:hAnsi="Palatino Linotype" w:cs="Arial"/>
                <w:color w:val="auto"/>
                <w:sz w:val="20"/>
                <w:lang w:eastAsia="zh-CN"/>
              </w:rPr>
            </w:pPr>
            <w:r w:rsidRPr="003D4BA7">
              <w:rPr>
                <w:rFonts w:ascii="Palatino Linotype" w:hAnsi="Palatino Linotype" w:cs="Arial"/>
                <w:color w:val="auto"/>
                <w:sz w:val="20"/>
                <w:lang w:eastAsia="zh-CN"/>
              </w:rPr>
              <w:t>71.2</w:t>
            </w:r>
          </w:p>
        </w:tc>
        <w:tc>
          <w:tcPr>
            <w:tcW w:w="397" w:type="pct"/>
            <w:tcBorders>
              <w:top w:val="nil"/>
              <w:left w:val="nil"/>
              <w:bottom w:val="single" w:sz="8" w:space="0" w:color="auto"/>
              <w:right w:val="nil"/>
            </w:tcBorders>
            <w:shd w:val="clear" w:color="auto" w:fill="auto"/>
            <w:noWrap/>
            <w:vAlign w:val="center"/>
            <w:hideMark/>
          </w:tcPr>
          <w:p w14:paraId="6BB392CE" w14:textId="77777777" w:rsidR="00AB5085" w:rsidRPr="00662262" w:rsidRDefault="00AB5085" w:rsidP="00FE4DB7">
            <w:pPr>
              <w:adjustRightInd w:val="0"/>
              <w:snapToGrid w:val="0"/>
              <w:spacing w:line="240" w:lineRule="auto"/>
              <w:jc w:val="center"/>
              <w:rPr>
                <w:rFonts w:ascii="Palatino Linotype" w:hAnsi="Palatino Linotype" w:cs="Arial"/>
                <w:color w:val="auto"/>
                <w:sz w:val="20"/>
                <w:lang w:eastAsia="zh-CN"/>
              </w:rPr>
            </w:pPr>
            <w:r w:rsidRPr="00662262">
              <w:rPr>
                <w:rFonts w:ascii="Palatino Linotype" w:hAnsi="Palatino Linotype" w:cs="Arial"/>
                <w:color w:val="auto"/>
                <w:sz w:val="20"/>
                <w:lang w:eastAsia="zh-CN"/>
              </w:rPr>
              <w:t>84.2</w:t>
            </w:r>
          </w:p>
        </w:tc>
        <w:tc>
          <w:tcPr>
            <w:tcW w:w="397" w:type="pct"/>
            <w:tcBorders>
              <w:top w:val="nil"/>
              <w:left w:val="nil"/>
              <w:bottom w:val="single" w:sz="8" w:space="0" w:color="auto"/>
              <w:right w:val="nil"/>
            </w:tcBorders>
            <w:shd w:val="clear" w:color="auto" w:fill="auto"/>
            <w:noWrap/>
            <w:vAlign w:val="center"/>
            <w:hideMark/>
          </w:tcPr>
          <w:p w14:paraId="6313CBE4" w14:textId="77777777" w:rsidR="00AB5085" w:rsidRPr="003D4BA7" w:rsidRDefault="00AB5085" w:rsidP="00FE4DB7">
            <w:pPr>
              <w:adjustRightInd w:val="0"/>
              <w:snapToGrid w:val="0"/>
              <w:spacing w:line="240" w:lineRule="auto"/>
              <w:jc w:val="center"/>
              <w:rPr>
                <w:rFonts w:ascii="Palatino Linotype" w:hAnsi="Palatino Linotype" w:cs="Arial"/>
                <w:color w:val="auto"/>
                <w:sz w:val="20"/>
                <w:lang w:eastAsia="zh-CN"/>
              </w:rPr>
            </w:pPr>
            <w:r w:rsidRPr="003D4BA7">
              <w:rPr>
                <w:rFonts w:ascii="Palatino Linotype" w:hAnsi="Palatino Linotype" w:cs="Arial"/>
                <w:color w:val="auto"/>
                <w:sz w:val="20"/>
                <w:lang w:eastAsia="zh-CN"/>
              </w:rPr>
              <w:t>51.9</w:t>
            </w:r>
          </w:p>
        </w:tc>
        <w:tc>
          <w:tcPr>
            <w:tcW w:w="397" w:type="pct"/>
            <w:tcBorders>
              <w:top w:val="nil"/>
              <w:left w:val="nil"/>
              <w:bottom w:val="single" w:sz="8" w:space="0" w:color="auto"/>
              <w:right w:val="nil"/>
            </w:tcBorders>
            <w:shd w:val="clear" w:color="auto" w:fill="auto"/>
            <w:noWrap/>
            <w:vAlign w:val="center"/>
            <w:hideMark/>
          </w:tcPr>
          <w:p w14:paraId="0981C8C4" w14:textId="77777777" w:rsidR="00AB5085" w:rsidRPr="00662262" w:rsidRDefault="00AB5085" w:rsidP="00FE4DB7">
            <w:pPr>
              <w:adjustRightInd w:val="0"/>
              <w:snapToGrid w:val="0"/>
              <w:spacing w:line="240" w:lineRule="auto"/>
              <w:jc w:val="center"/>
              <w:rPr>
                <w:rFonts w:ascii="Palatino Linotype" w:hAnsi="Palatino Linotype" w:cs="Arial"/>
                <w:color w:val="auto"/>
                <w:sz w:val="20"/>
                <w:lang w:eastAsia="zh-CN"/>
              </w:rPr>
            </w:pPr>
            <w:r w:rsidRPr="00662262">
              <w:rPr>
                <w:rFonts w:ascii="Palatino Linotype" w:hAnsi="Palatino Linotype" w:cs="Arial"/>
                <w:color w:val="auto"/>
                <w:sz w:val="20"/>
                <w:lang w:eastAsia="zh-CN"/>
              </w:rPr>
              <w:t>65.6</w:t>
            </w:r>
          </w:p>
        </w:tc>
      </w:tr>
    </w:tbl>
    <w:p w14:paraId="10C9F3BB" w14:textId="6F89F3AE" w:rsidR="00AB5085" w:rsidRPr="0080510A" w:rsidRDefault="00AB5085" w:rsidP="0080510A">
      <w:pPr>
        <w:adjustRightInd w:val="0"/>
        <w:snapToGrid w:val="0"/>
        <w:spacing w:after="240" w:line="260" w:lineRule="atLeast"/>
        <w:ind w:left="425" w:right="425"/>
        <w:rPr>
          <w:rFonts w:ascii="Palatino Linotype" w:hAnsi="Palatino Linotype"/>
          <w:sz w:val="18"/>
        </w:rPr>
      </w:pPr>
      <w:r w:rsidRPr="0080510A">
        <w:rPr>
          <w:rFonts w:ascii="Palatino Linotype" w:hAnsi="Palatino Linotype"/>
          <w:sz w:val="18"/>
        </w:rPr>
        <w:t xml:space="preserve">* Refers to number of infants at 6, 9 and 12 months respectively. </w:t>
      </w:r>
      <w:r w:rsidRPr="0080510A">
        <w:rPr>
          <w:rFonts w:ascii="Palatino Linotype" w:hAnsi="Palatino Linotype"/>
          <w:sz w:val="18"/>
          <w:vertAlign w:val="superscript"/>
        </w:rPr>
        <w:t>†</w:t>
      </w:r>
      <w:r w:rsidRPr="0080510A">
        <w:rPr>
          <w:rFonts w:ascii="Palatino Linotype" w:hAnsi="Palatino Linotype"/>
          <w:sz w:val="18"/>
        </w:rPr>
        <w:t xml:space="preserve"> Estimated energy requirement (EAR) of the local Health Promotion Board (HPB). All mean energy intakes are above the EAR for 6, 9 and 12 months, except for 9-month</w:t>
      </w:r>
      <w:r w:rsidR="00DE5100">
        <w:rPr>
          <w:rFonts w:ascii="Palatino Linotype" w:hAnsi="Palatino Linotype"/>
          <w:sz w:val="18"/>
        </w:rPr>
        <w:t>-</w:t>
      </w:r>
      <w:r w:rsidRPr="0080510A">
        <w:rPr>
          <w:rFonts w:ascii="Palatino Linotype" w:hAnsi="Palatino Linotype"/>
          <w:sz w:val="18"/>
        </w:rPr>
        <w:t xml:space="preserve">old breast-fed infants and 12-month-old male breast-fed infants (in red). Similarly, a much lower percentage of the same group of infants were observed to meet the EAR (in red). </w:t>
      </w:r>
      <w:r w:rsidRPr="0080510A">
        <w:rPr>
          <w:rFonts w:ascii="Palatino Linotype" w:hAnsi="Palatino Linotype"/>
          <w:sz w:val="18"/>
          <w:vertAlign w:val="superscript"/>
        </w:rPr>
        <w:t>#</w:t>
      </w:r>
      <w:r w:rsidRPr="0080510A">
        <w:rPr>
          <w:rFonts w:ascii="Palatino Linotype" w:hAnsi="Palatino Linotype"/>
          <w:sz w:val="18"/>
        </w:rPr>
        <w:t xml:space="preserve"> Percentage of infants not meeting the EAR can be calculated by subtracting the reported number from 100%. For instance, the percentage of male breast-fed infants not meeting the EAR, at 6 months = 100% − 70.2% = 29.8%.</w:t>
      </w:r>
      <w:r w:rsidR="004B4C59">
        <w:rPr>
          <w:rFonts w:ascii="Palatino Linotype" w:hAnsi="Palatino Linotype"/>
          <w:sz w:val="18"/>
        </w:rPr>
        <w:t xml:space="preserve"> </w:t>
      </w:r>
    </w:p>
    <w:p w14:paraId="086E9D92" w14:textId="77777777" w:rsidR="00AB5085" w:rsidRPr="00662262" w:rsidRDefault="00AB5085" w:rsidP="00AB5085">
      <w:pPr>
        <w:pStyle w:val="MDPI41tablecaption"/>
        <w:ind w:left="0"/>
        <w:rPr>
          <w:lang w:eastAsia="zh-CN"/>
        </w:rPr>
        <w:sectPr w:rsidR="00AB5085" w:rsidRPr="00662262" w:rsidSect="00C51805">
          <w:pgSz w:w="16838" w:h="11906" w:orient="landscape" w:code="9"/>
          <w:pgMar w:top="1531" w:right="1077" w:bottom="1531" w:left="1418" w:header="1021" w:footer="851" w:gutter="0"/>
          <w:pgNumType w:start="10"/>
          <w:cols w:space="425"/>
          <w:titlePg/>
          <w:docGrid w:type="linesAndChars" w:linePitch="326"/>
        </w:sectPr>
      </w:pPr>
    </w:p>
    <w:p w14:paraId="3136885F" w14:textId="1A565E9D" w:rsidR="00837740" w:rsidRPr="00662262" w:rsidRDefault="00837740" w:rsidP="00662262">
      <w:pPr>
        <w:pStyle w:val="MDPI22heading2"/>
      </w:pPr>
      <w:r w:rsidRPr="00662262">
        <w:lastRenderedPageBreak/>
        <w:t>3.</w:t>
      </w:r>
      <w:r w:rsidR="00FA3E28" w:rsidRPr="00662262">
        <w:t>3</w:t>
      </w:r>
      <w:r w:rsidR="006342E0" w:rsidRPr="00662262">
        <w:t>.</w:t>
      </w:r>
      <w:r w:rsidRPr="00662262">
        <w:t xml:space="preserve"> </w:t>
      </w:r>
      <w:r w:rsidR="00590DF2" w:rsidRPr="00662262">
        <w:t>Main</w:t>
      </w:r>
      <w:r w:rsidRPr="00662262">
        <w:t xml:space="preserve"> </w:t>
      </w:r>
      <w:r w:rsidR="00912B82" w:rsidRPr="00662262">
        <w:t xml:space="preserve">Food Sources </w:t>
      </w:r>
      <w:r w:rsidRPr="00662262">
        <w:t xml:space="preserve">of </w:t>
      </w:r>
      <w:r w:rsidR="00912B82" w:rsidRPr="00662262">
        <w:t xml:space="preserve">Energy </w:t>
      </w:r>
      <w:r w:rsidRPr="00662262">
        <w:t xml:space="preserve">and </w:t>
      </w:r>
      <w:r w:rsidR="00912B82" w:rsidRPr="00662262">
        <w:t xml:space="preserve">Macronutrient </w:t>
      </w:r>
      <w:r w:rsidRPr="00662262">
        <w:t xml:space="preserve">of </w:t>
      </w:r>
      <w:r w:rsidR="00912B82" w:rsidRPr="00662262">
        <w:t>Infants</w:t>
      </w:r>
    </w:p>
    <w:p w14:paraId="141A6DF2" w14:textId="7E785F02" w:rsidR="00837740" w:rsidRPr="00662262" w:rsidRDefault="00837740" w:rsidP="00662262">
      <w:pPr>
        <w:pStyle w:val="MDPI31text"/>
      </w:pPr>
      <w:r w:rsidRPr="00662262">
        <w:t xml:space="preserve">The </w:t>
      </w:r>
      <w:r w:rsidR="00590DF2" w:rsidRPr="00662262">
        <w:t>main</w:t>
      </w:r>
      <w:r w:rsidRPr="00662262">
        <w:t xml:space="preserve"> food sources of energy and each of the macronutrient at 6, 9 and 12 months of age are shown in </w:t>
      </w:r>
      <w:r w:rsidRPr="00912B82">
        <w:t>Figure 1</w:t>
      </w:r>
      <w:r w:rsidRPr="00662262">
        <w:t xml:space="preserve"> and further details can be found in </w:t>
      </w:r>
      <w:r w:rsidR="009C33BD" w:rsidRPr="00912B82">
        <w:t>online Supplementary Table S2</w:t>
      </w:r>
      <w:r w:rsidRPr="00662262">
        <w:t>. In general, infants consumed an increasingly varied diet from 6 to 12 months of age, evident by the increase in number of food sources from 6 to 12 months: 3 to 13 food sources for energy, 3 to 8 food sources for total fat, 4 to 11 food sources for protein and 6 to 11 food sources for carbohydrates. Infant formula, breastmilk and infant cereals were consistently ranked as the top three food sources of energy throughout the period 6 to 12 months.</w:t>
      </w:r>
    </w:p>
    <w:p w14:paraId="3D954796" w14:textId="6AE1D5D9" w:rsidR="006B5672" w:rsidRPr="00662262" w:rsidRDefault="00837740" w:rsidP="00662262">
      <w:pPr>
        <w:pStyle w:val="MDPI31text"/>
      </w:pPr>
      <w:r w:rsidRPr="00662262">
        <w:t xml:space="preserve">The total contribution of the top three food sources (infant formula, breastmilk and infant cereals) to energy intakes were 94.3%, 81.6% and 72.0%, at 6, 9 and 12 months, respectively. The three same foods are also the major contributors of total fat, protein and carbohydrate intakes at the three time points </w:t>
      </w:r>
      <w:r w:rsidRPr="00912B82">
        <w:t>(Figure 1a</w:t>
      </w:r>
      <w:r w:rsidR="00723F4F">
        <w:t>–</w:t>
      </w:r>
      <w:r w:rsidRPr="00912B82">
        <w:t>d)</w:t>
      </w:r>
      <w:r w:rsidRPr="00662262">
        <w:t>. Rice porridge was the next key source of energy after the top three sources aforementioned, contributing to 3.1% and 4.0% of total energy at 9 and 12 months</w:t>
      </w:r>
      <w:r w:rsidR="00DE5100">
        <w:t>,</w:t>
      </w:r>
      <w:r w:rsidRPr="00662262">
        <w:t xml:space="preserve"> respectively </w:t>
      </w:r>
      <w:r w:rsidRPr="00912B82">
        <w:t>(Figure 1a)</w:t>
      </w:r>
      <w:r w:rsidRPr="00662262">
        <w:t>. For 9-month</w:t>
      </w:r>
      <w:r w:rsidR="00DE5100">
        <w:t>-</w:t>
      </w:r>
      <w:r w:rsidRPr="00662262">
        <w:t>old infants, the other key food sources contributing to a total of 6.7% of energy included fish, red meat, infant biscuits, snacks (cakes, biscuits, local snacks) and fresh fruits</w:t>
      </w:r>
      <w:r w:rsidR="00C94307" w:rsidRPr="00662262">
        <w:t xml:space="preserve"> </w:t>
      </w:r>
      <w:r w:rsidR="009C7E35" w:rsidRPr="00662262">
        <w:t>(fruits that were mashed or cooked to achieve the correct texture, excluding fresh or commercial fruit juices)</w:t>
      </w:r>
      <w:r w:rsidRPr="00662262">
        <w:t>. For 12-month-old infants, the other key food sources included eggs, poultry, red meat, white rice and white bread, contributing in total to 14.3% of energy.</w:t>
      </w:r>
    </w:p>
    <w:p w14:paraId="19B56124" w14:textId="4E485E07" w:rsidR="006B5672" w:rsidRPr="00662262" w:rsidRDefault="006B5672" w:rsidP="00662262">
      <w:pPr>
        <w:pStyle w:val="MDPI31text"/>
      </w:pPr>
      <w:r w:rsidRPr="00662262">
        <w:t xml:space="preserve">A relatively small number of other food sources contributed to infants’ total fat intakes </w:t>
      </w:r>
      <w:r w:rsidRPr="00912B82">
        <w:t>(Figure 1b)</w:t>
      </w:r>
      <w:r w:rsidRPr="00662262">
        <w:t>. Eggs, red meat and fish provided a total of 4.7% and 7.3</w:t>
      </w:r>
      <w:r w:rsidR="00912B82">
        <w:t>%</w:t>
      </w:r>
      <w:r w:rsidRPr="00662262">
        <w:t xml:space="preserve"> total fat at 9 and 12 months</w:t>
      </w:r>
      <w:r w:rsidR="00DE5100">
        <w:t>,</w:t>
      </w:r>
      <w:r w:rsidRPr="00662262">
        <w:t xml:space="preserve"> respectively. At 12 months, snack items (cakes, biscuits, local snacks) and poultry made up 3.2% of total fat intakes. Cooking oil and deep-fried food items accounted for &lt;1% of energy and macronutrient intakes, reflecting the common cooking methods of steaming and boiling in these age groups.</w:t>
      </w:r>
    </w:p>
    <w:p w14:paraId="5E5C6789" w14:textId="494C1F0A" w:rsidR="006B5672" w:rsidRPr="00662262" w:rsidRDefault="006B5672" w:rsidP="00662262">
      <w:pPr>
        <w:pStyle w:val="MDPI31text"/>
      </w:pPr>
      <w:r w:rsidRPr="00662262">
        <w:t xml:space="preserve">For protein intakes, fish was ranked next after the top three food sources at 6, 9 and 12 months respectively (1.6%, 7.9% and 9.6% of total protein respectively) </w:t>
      </w:r>
      <w:r w:rsidRPr="00912B82">
        <w:t>(Figure 1c)</w:t>
      </w:r>
      <w:r w:rsidRPr="00662262">
        <w:t>. Red meat and poultry emerged next (contributing 5.3% and 8.7% protein at 9 and 12 months</w:t>
      </w:r>
      <w:r w:rsidR="00DE5100">
        <w:t>,</w:t>
      </w:r>
      <w:r w:rsidRPr="00662262">
        <w:t xml:space="preserve"> respectively), followed by rice porridge (3.0% and 3.5% total protein respectively) </w:t>
      </w:r>
      <w:r w:rsidR="009C33BD" w:rsidRPr="00912B82">
        <w:t>(online Supplementary Table S2</w:t>
      </w:r>
      <w:r w:rsidRPr="00912B82">
        <w:t>)</w:t>
      </w:r>
      <w:r w:rsidRPr="00662262">
        <w:t>.</w:t>
      </w:r>
    </w:p>
    <w:p w14:paraId="19FCDB39" w14:textId="5DA4385C" w:rsidR="006B5672" w:rsidRPr="00662262" w:rsidRDefault="006B5672" w:rsidP="00662262">
      <w:pPr>
        <w:pStyle w:val="MDPI31text"/>
      </w:pPr>
      <w:r w:rsidRPr="00662262">
        <w:t xml:space="preserve">For total carbohydrate intakes, rice porridge was ranked next after the top three food sources at 9 and 12 months of age (5.1% and 6.4% total carbohydrates respectively) </w:t>
      </w:r>
      <w:r w:rsidRPr="00912B82">
        <w:t>(Figure 1d)</w:t>
      </w:r>
      <w:r w:rsidRPr="00662262">
        <w:t xml:space="preserve">. At these two time points, fresh fruits and starchy vegetables/gourds totalled up to 3.8% and 4.3% of total carbohydrates in infants. At 6 months of age, the other foods introduced were infant biscuits, fresh fruits and rice porridge </w:t>
      </w:r>
      <w:r w:rsidR="009C33BD" w:rsidRPr="00912B82">
        <w:t>(online Supplementary Table S2</w:t>
      </w:r>
      <w:r w:rsidRPr="00912B82">
        <w:t>)</w:t>
      </w:r>
      <w:r w:rsidRPr="00662262">
        <w:t>.</w:t>
      </w:r>
    </w:p>
    <w:p w14:paraId="1472D521" w14:textId="71499E97" w:rsidR="006B5672" w:rsidRPr="00662262" w:rsidRDefault="006B5672" w:rsidP="00662262">
      <w:pPr>
        <w:pStyle w:val="MDPI31text"/>
      </w:pPr>
      <w:r w:rsidRPr="00662262">
        <w:t xml:space="preserve">For ease of interpretation, dietary fibre intakes were classified using the main food groups </w:t>
      </w:r>
      <w:r w:rsidR="00716921" w:rsidRPr="00912B82">
        <w:t>(online Supplementary Figure S3</w:t>
      </w:r>
      <w:r w:rsidRPr="00912B82">
        <w:t>)</w:t>
      </w:r>
      <w:r w:rsidRPr="00662262">
        <w:t>. The top three food sources of dietary fibre were, in descending order: infant products, vegetables, fruits and juices</w:t>
      </w:r>
      <w:r w:rsidR="000868B8" w:rsidRPr="00662262">
        <w:t xml:space="preserve"> (inclusive of fresh fruits, fruit juices and dried fruits)</w:t>
      </w:r>
      <w:r w:rsidRPr="00662262">
        <w:t xml:space="preserve"> at 6, 9 and 12 months of age (contributing 87.1%, 70.9% and 58.7% dietary fibre at the respective time points). Other sources of dietary fibre, at 6, 9 and 12 months, were rice and grain alternatives and legumes and pulses, which together contributed to 7.1%, 17.0% and 24.3</w:t>
      </w:r>
      <w:r w:rsidR="00912B82">
        <w:t>%</w:t>
      </w:r>
      <w:r w:rsidRPr="00662262">
        <w:t xml:space="preserve"> dietary fibre</w:t>
      </w:r>
      <w:r w:rsidR="00DE5100">
        <w:t>,</w:t>
      </w:r>
      <w:r w:rsidRPr="00662262">
        <w:t xml:space="preserve"> respectively.</w:t>
      </w:r>
    </w:p>
    <w:p w14:paraId="5ED39D7B" w14:textId="77777777" w:rsidR="008D2855" w:rsidRPr="00662262" w:rsidRDefault="004B0A12" w:rsidP="00C6737B">
      <w:pPr>
        <w:pStyle w:val="MDPI22heading2"/>
        <w:kinsoku/>
        <w:overflowPunct/>
        <w:autoSpaceDE/>
        <w:autoSpaceDN/>
        <w:spacing w:after="0" w:line="240" w:lineRule="auto"/>
        <w:jc w:val="center"/>
        <w:outlineLvl w:val="9"/>
        <w:rPr>
          <w:i w:val="0"/>
          <w:noProof w:val="0"/>
          <w:color w:val="auto"/>
        </w:rPr>
      </w:pPr>
      <w:r w:rsidRPr="00662262">
        <w:rPr>
          <w:i w:val="0"/>
          <w:snapToGrid/>
          <w:color w:val="auto"/>
          <w:lang w:val="en-GB" w:eastAsia="en-GB" w:bidi="ar-SA"/>
        </w:rPr>
        <w:lastRenderedPageBreak/>
        <w:drawing>
          <wp:inline distT="0" distB="0" distL="0" distR="0" wp14:anchorId="5DB7BF4A" wp14:editId="06355166">
            <wp:extent cx="5548398" cy="7786254"/>
            <wp:effectExtent l="0" t="0" r="0" b="571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all4.july.png"/>
                    <pic:cNvPicPr/>
                  </pic:nvPicPr>
                  <pic:blipFill rotWithShape="1">
                    <a:blip r:embed="rId17">
                      <a:extLst>
                        <a:ext uri="{28A0092B-C50C-407E-A947-70E740481C1C}">
                          <a14:useLocalDpi xmlns:a14="http://schemas.microsoft.com/office/drawing/2010/main" val="0"/>
                        </a:ext>
                      </a:extLst>
                    </a:blip>
                    <a:srcRect r="2011"/>
                    <a:stretch/>
                  </pic:blipFill>
                  <pic:spPr bwMode="auto">
                    <a:xfrm>
                      <a:off x="0" y="0"/>
                      <a:ext cx="5569435" cy="7815775"/>
                    </a:xfrm>
                    <a:prstGeom prst="rect">
                      <a:avLst/>
                    </a:prstGeom>
                    <a:ln>
                      <a:noFill/>
                    </a:ln>
                    <a:extLst>
                      <a:ext uri="{53640926-AAD7-44D8-BBD7-CCE9431645EC}">
                        <a14:shadowObscured xmlns:a14="http://schemas.microsoft.com/office/drawing/2010/main"/>
                      </a:ext>
                    </a:extLst>
                  </pic:spPr>
                </pic:pic>
              </a:graphicData>
            </a:graphic>
          </wp:inline>
        </w:drawing>
      </w:r>
    </w:p>
    <w:p w14:paraId="774D66F3" w14:textId="74D5C510" w:rsidR="002D746E" w:rsidRDefault="002D746E" w:rsidP="00662262">
      <w:pPr>
        <w:pStyle w:val="MDPI51figurecaption"/>
      </w:pPr>
      <w:r w:rsidRPr="00662262">
        <w:rPr>
          <w:b/>
        </w:rPr>
        <w:lastRenderedPageBreak/>
        <w:t>Figure 1.</w:t>
      </w:r>
      <w:r w:rsidRPr="00662262">
        <w:t xml:space="preserve"> Cross</w:t>
      </w:r>
      <w:r w:rsidR="00DE5100">
        <w:t>-</w:t>
      </w:r>
      <w:r w:rsidRPr="00662262">
        <w:t xml:space="preserve">sectional analyses of top food sources of </w:t>
      </w:r>
      <w:r w:rsidRPr="00912B82">
        <w:t>(</w:t>
      </w:r>
      <w:r w:rsidRPr="00662262">
        <w:rPr>
          <w:b/>
        </w:rPr>
        <w:t>a</w:t>
      </w:r>
      <w:r w:rsidRPr="00912B82">
        <w:t>)</w:t>
      </w:r>
      <w:r w:rsidRPr="00662262">
        <w:t xml:space="preserve"> energy, </w:t>
      </w:r>
      <w:r w:rsidRPr="00912B82">
        <w:t>(</w:t>
      </w:r>
      <w:r w:rsidRPr="00662262">
        <w:rPr>
          <w:b/>
        </w:rPr>
        <w:t>b</w:t>
      </w:r>
      <w:r w:rsidRPr="00912B82">
        <w:t>)</w:t>
      </w:r>
      <w:r w:rsidRPr="00662262">
        <w:t xml:space="preserve"> total fat, </w:t>
      </w:r>
      <w:r w:rsidRPr="00912B82">
        <w:t>(</w:t>
      </w:r>
      <w:r w:rsidRPr="00662262">
        <w:rPr>
          <w:b/>
        </w:rPr>
        <w:t>c</w:t>
      </w:r>
      <w:r w:rsidRPr="00912B82">
        <w:t>)</w:t>
      </w:r>
      <w:r w:rsidRPr="00662262">
        <w:t xml:space="preserve"> protein and </w:t>
      </w:r>
      <w:r w:rsidRPr="00912B82">
        <w:t>(</w:t>
      </w:r>
      <w:r w:rsidRPr="00662262">
        <w:rPr>
          <w:b/>
        </w:rPr>
        <w:t>d</w:t>
      </w:r>
      <w:r w:rsidRPr="00912B82">
        <w:t>)</w:t>
      </w:r>
      <w:r w:rsidRPr="00662262">
        <w:t xml:space="preserve"> carbohydrates of </w:t>
      </w:r>
      <w:r w:rsidR="00DE5100" w:rsidRPr="00DE5100">
        <w:t xml:space="preserve">Growing Up in Singapore Towards </w:t>
      </w:r>
      <w:r w:rsidR="00B015FC">
        <w:t>h</w:t>
      </w:r>
      <w:r w:rsidR="00DE5100" w:rsidRPr="00DE5100">
        <w:t xml:space="preserve">ealthy Outcomes </w:t>
      </w:r>
      <w:r w:rsidR="00A54079">
        <w:t>(</w:t>
      </w:r>
      <w:r w:rsidRPr="00662262">
        <w:t>GUSTO</w:t>
      </w:r>
      <w:r w:rsidR="00A54079">
        <w:t>)</w:t>
      </w:r>
      <w:r w:rsidRPr="00662262">
        <w:t xml:space="preserve"> infants at 6, 9 and 12 months of age.</w:t>
      </w:r>
    </w:p>
    <w:p w14:paraId="5D7F6C07" w14:textId="2B69A592" w:rsidR="004B4C59" w:rsidRDefault="004B4C59" w:rsidP="00662262">
      <w:pPr>
        <w:pStyle w:val="MDPI51figurecaption"/>
      </w:pPr>
    </w:p>
    <w:p w14:paraId="0F01A882" w14:textId="77777777" w:rsidR="004B4C59" w:rsidRPr="00662262" w:rsidRDefault="004B4C59" w:rsidP="00662262">
      <w:pPr>
        <w:pStyle w:val="MDPI51figurecaption"/>
      </w:pPr>
    </w:p>
    <w:p w14:paraId="5767FF31" w14:textId="47F5F1EB" w:rsidR="00837740" w:rsidRPr="00662262" w:rsidRDefault="00AC34B2" w:rsidP="00662262">
      <w:pPr>
        <w:pStyle w:val="MDPI22heading2"/>
      </w:pPr>
      <w:r w:rsidRPr="00662262">
        <w:t>3.</w:t>
      </w:r>
      <w:r w:rsidR="00FA3E28" w:rsidRPr="00662262">
        <w:t>4</w:t>
      </w:r>
      <w:r w:rsidR="006342E0" w:rsidRPr="00662262">
        <w:t>.</w:t>
      </w:r>
      <w:r w:rsidRPr="00662262">
        <w:t xml:space="preserve"> </w:t>
      </w:r>
      <w:r w:rsidR="00837740" w:rsidRPr="00662262">
        <w:t xml:space="preserve">Key </w:t>
      </w:r>
      <w:r w:rsidR="00912B82" w:rsidRPr="00662262">
        <w:t xml:space="preserve">Food Sources </w:t>
      </w:r>
      <w:r w:rsidR="00837740" w:rsidRPr="00662262">
        <w:t xml:space="preserve">of </w:t>
      </w:r>
      <w:r w:rsidR="00912B82" w:rsidRPr="00662262">
        <w:t xml:space="preserve">Energy </w:t>
      </w:r>
      <w:r w:rsidR="00837740" w:rsidRPr="00662262">
        <w:t xml:space="preserve">and </w:t>
      </w:r>
      <w:r w:rsidR="00912B82" w:rsidRPr="00662262">
        <w:t xml:space="preserve">Macronutrient </w:t>
      </w:r>
      <w:r w:rsidR="00837740" w:rsidRPr="00662262">
        <w:t xml:space="preserve">of </w:t>
      </w:r>
      <w:r w:rsidR="00912B82" w:rsidRPr="00662262">
        <w:t xml:space="preserve">Infants </w:t>
      </w:r>
      <w:r w:rsidR="00837740" w:rsidRPr="00662262">
        <w:t xml:space="preserve">by </w:t>
      </w:r>
      <w:r w:rsidR="00912B82" w:rsidRPr="00662262">
        <w:t>Milk</w:t>
      </w:r>
      <w:r w:rsidR="00A54079">
        <w:t>-</w:t>
      </w:r>
      <w:r w:rsidR="00912B82" w:rsidRPr="00662262">
        <w:t>Feed Type</w:t>
      </w:r>
    </w:p>
    <w:p w14:paraId="443916C9" w14:textId="029C3253" w:rsidR="000B0C41" w:rsidRPr="00662262" w:rsidRDefault="00837740" w:rsidP="00662262">
      <w:pPr>
        <w:pStyle w:val="MDPI31text"/>
      </w:pPr>
      <w:r w:rsidRPr="00662262">
        <w:t xml:space="preserve">While the variety of weaning foods among BF, FF and MF infants were largely similar at 6 months, BF and MF infants had slightly more varied diets as compared to FF infants at 9 and 12 months of age </w:t>
      </w:r>
      <w:r w:rsidR="009C33BD" w:rsidRPr="00912B82">
        <w:t>(online Supplementary Tables S3</w:t>
      </w:r>
      <w:r w:rsidR="00723F4F">
        <w:t>–</w:t>
      </w:r>
      <w:r w:rsidR="009C33BD" w:rsidRPr="00912B82">
        <w:t>S5</w:t>
      </w:r>
      <w:r w:rsidRPr="00912B82">
        <w:t xml:space="preserve"> and </w:t>
      </w:r>
      <w:r w:rsidR="008D4B0F" w:rsidRPr="00912B82">
        <w:t>Figure 2</w:t>
      </w:r>
      <w:r w:rsidRPr="00912B82">
        <w:t>)</w:t>
      </w:r>
      <w:r w:rsidRPr="00662262">
        <w:t>. At 6 months, the only non-infant</w:t>
      </w:r>
      <w:r w:rsidR="00A54079">
        <w:t xml:space="preserve"> </w:t>
      </w:r>
      <w:r w:rsidRPr="00662262">
        <w:t>specific source of carbohydrate in BF and MF infants was fresh fruits, while it was rice porridge for the FF infants’ diets. For key dietary fibre sources, infant formula was the main contributor to MF and FF infants’ diets</w:t>
      </w:r>
      <w:r w:rsidR="00A54079">
        <w:t>,</w:t>
      </w:r>
      <w:r w:rsidRPr="00662262">
        <w:t xml:space="preserve"> while fresh fruits emerged as the top dietary fibre source in BF infants’ intakes at 6 months </w:t>
      </w:r>
      <w:r w:rsidR="009C33BD" w:rsidRPr="00912B82">
        <w:t>(online Supplementary Table S3</w:t>
      </w:r>
      <w:r w:rsidRPr="00912B82">
        <w:t>)</w:t>
      </w:r>
      <w:r w:rsidRPr="00662262">
        <w:t xml:space="preserve">. Patterns observed for key food sources of energy and macronutrients were fairly similar between 9 and 12 months of age, other than the increased number of food sources at 12 months. For instance, there were 9, 8 and 7 key food sources contributing to 9-month-old BF, MF and FF infants’ energy intakes respectively </w:t>
      </w:r>
      <w:r w:rsidR="009C33BD" w:rsidRPr="00912B82">
        <w:t>(online Supplementary Table S4</w:t>
      </w:r>
      <w:r w:rsidRPr="00912B82">
        <w:t>)</w:t>
      </w:r>
      <w:r w:rsidRPr="00662262">
        <w:t xml:space="preserve">. At 12 months, these numbers increased to 13, 14 and 12 for BF, MF and FF infants respectively </w:t>
      </w:r>
      <w:r w:rsidRPr="00912B82">
        <w:t>(</w:t>
      </w:r>
      <w:r w:rsidR="008D4B0F" w:rsidRPr="00912B82">
        <w:t xml:space="preserve">online Supplementary Table </w:t>
      </w:r>
      <w:r w:rsidR="009C33BD" w:rsidRPr="00912B82">
        <w:t>S5</w:t>
      </w:r>
      <w:r w:rsidR="008D4B0F" w:rsidRPr="00912B82">
        <w:t xml:space="preserve"> and Figure 2</w:t>
      </w:r>
      <w:r w:rsidRPr="00912B82">
        <w:t>)</w:t>
      </w:r>
      <w:r w:rsidRPr="00662262">
        <w:t>. Subsequent paragraphs are focused on the comparison of key food sources among BF, MF and FF infants at 12 months of age.</w:t>
      </w:r>
    </w:p>
    <w:p w14:paraId="57CCE07B" w14:textId="53D9C201" w:rsidR="006B5672" w:rsidRPr="00662262" w:rsidRDefault="006B5672" w:rsidP="00662262">
      <w:pPr>
        <w:pStyle w:val="MDPI31text"/>
      </w:pPr>
      <w:r w:rsidRPr="00662262">
        <w:t>In terms of energy intakes, fresh fruits contributed to 3.1% and 2.1</w:t>
      </w:r>
      <w:r w:rsidR="00912B82">
        <w:t>%</w:t>
      </w:r>
      <w:r w:rsidRPr="00662262">
        <w:t xml:space="preserve"> energy of 12-month old BF and MF infants’ diet</w:t>
      </w:r>
      <w:r w:rsidR="00A54079">
        <w:t>s,</w:t>
      </w:r>
      <w:r w:rsidRPr="00662262">
        <w:t xml:space="preserve"> respectively, but only 1.3</w:t>
      </w:r>
      <w:r w:rsidR="00912B82">
        <w:t>%</w:t>
      </w:r>
      <w:r w:rsidRPr="00662262">
        <w:t xml:space="preserve"> energy for FF infants at 12 months. BF infants, at 12 months old, had at least 1% of energy contributed from starchy vegetables and gourds. This was, however, not observed in MF and FF infants. For MF and FF infants, rice porridge remains to be a major contributor to energy intakes, at 12 months of age, amongst the non-infant food products.</w:t>
      </w:r>
    </w:p>
    <w:p w14:paraId="3918DE7F" w14:textId="75A7C936" w:rsidR="00B33DF0" w:rsidRPr="00662262" w:rsidRDefault="006B5672" w:rsidP="00662262">
      <w:pPr>
        <w:pStyle w:val="MDPI31text"/>
        <w:rPr>
          <w:b/>
          <w:bCs/>
          <w:kern w:val="24"/>
          <w:szCs w:val="20"/>
          <w:lang w:bidi="ar-SA"/>
        </w:rPr>
      </w:pPr>
      <w:r w:rsidRPr="00662262">
        <w:t>Milk (from cow or goat sources) and cheese contributed to food sources of total fat in 12-month-old BF infants</w:t>
      </w:r>
      <w:r w:rsidR="00912B82" w:rsidRPr="00662262">
        <w:t>’</w:t>
      </w:r>
      <w:r w:rsidRPr="00662262">
        <w:t xml:space="preserve"> diet, but less than 1% in that of the 12-month-old FF and MF infants’ diets. Plant sources of legumes/lentils and bean curds made up at least 2% total protein of 12-month-old BF and MF infants’ diets, while FF infants consume less than 1% from these sources.</w:t>
      </w:r>
    </w:p>
    <w:p w14:paraId="5568F568" w14:textId="706EEE48" w:rsidR="00C6737B" w:rsidRPr="00C6737B" w:rsidRDefault="00C6737B" w:rsidP="004B4C59">
      <w:pPr>
        <w:pStyle w:val="MDPI31text"/>
        <w:spacing w:before="240" w:line="240" w:lineRule="auto"/>
        <w:ind w:firstLine="0"/>
        <w:jc w:val="center"/>
        <w:rPr>
          <w:bCs/>
          <w:snapToGrid/>
          <w:color w:val="000000" w:themeColor="text1"/>
          <w:kern w:val="24"/>
          <w:szCs w:val="20"/>
          <w:lang w:bidi="ar-SA"/>
        </w:rPr>
      </w:pPr>
      <w:r>
        <w:rPr>
          <w:bCs/>
          <w:noProof/>
          <w:snapToGrid/>
          <w:color w:val="000000" w:themeColor="text1"/>
          <w:kern w:val="24"/>
          <w:szCs w:val="20"/>
          <w:lang w:val="en-GB" w:eastAsia="en-GB" w:bidi="ar-SA"/>
        </w:rPr>
        <w:lastRenderedPageBreak/>
        <w:drawing>
          <wp:inline distT="0" distB="0" distL="0" distR="0" wp14:anchorId="6AB8362B" wp14:editId="1758E9CE">
            <wp:extent cx="5597237" cy="8174974"/>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8"/>
                    <a:stretch>
                      <a:fillRect/>
                    </a:stretch>
                  </pic:blipFill>
                  <pic:spPr>
                    <a:xfrm>
                      <a:off x="0" y="0"/>
                      <a:ext cx="5600392" cy="8179581"/>
                    </a:xfrm>
                    <a:prstGeom prst="rect">
                      <a:avLst/>
                    </a:prstGeom>
                  </pic:spPr>
                </pic:pic>
              </a:graphicData>
            </a:graphic>
          </wp:inline>
        </w:drawing>
      </w:r>
    </w:p>
    <w:p w14:paraId="76B778A2" w14:textId="5998B013" w:rsidR="00B33DF0" w:rsidRDefault="00B33DF0" w:rsidP="00C6737B">
      <w:pPr>
        <w:pStyle w:val="MDPI51figurecaption"/>
        <w:rPr>
          <w:snapToGrid w:val="0"/>
        </w:rPr>
      </w:pPr>
      <w:r w:rsidRPr="00482F02">
        <w:rPr>
          <w:b/>
        </w:rPr>
        <w:lastRenderedPageBreak/>
        <w:t>Figure 2.</w:t>
      </w:r>
      <w:r w:rsidRPr="00662262">
        <w:t xml:space="preserve"> Cross</w:t>
      </w:r>
      <w:r w:rsidR="00A54079">
        <w:t>-</w:t>
      </w:r>
      <w:r w:rsidRPr="00662262">
        <w:t xml:space="preserve">sectional </w:t>
      </w:r>
      <w:r w:rsidRPr="00C6737B">
        <w:t>analyses</w:t>
      </w:r>
      <w:r w:rsidRPr="00C6737B">
        <w:rPr>
          <w:snapToGrid w:val="0"/>
        </w:rPr>
        <w:t xml:space="preserve"> of </w:t>
      </w:r>
      <w:r w:rsidRPr="00C6737B">
        <w:t>top</w:t>
      </w:r>
      <w:r w:rsidRPr="00662262">
        <w:t xml:space="preserve"> food sources of (</w:t>
      </w:r>
      <w:r w:rsidRPr="00C6737B">
        <w:rPr>
          <w:b/>
        </w:rPr>
        <w:t>a</w:t>
      </w:r>
      <w:r w:rsidRPr="00662262">
        <w:t xml:space="preserve">) </w:t>
      </w:r>
      <w:r w:rsidRPr="00C6737B">
        <w:rPr>
          <w:snapToGrid w:val="0"/>
        </w:rPr>
        <w:t>energy</w:t>
      </w:r>
      <w:r w:rsidRPr="00662262">
        <w:t>, (</w:t>
      </w:r>
      <w:r w:rsidRPr="00C6737B">
        <w:rPr>
          <w:b/>
        </w:rPr>
        <w:t>b</w:t>
      </w:r>
      <w:r w:rsidRPr="00662262">
        <w:t>) total fat, (</w:t>
      </w:r>
      <w:r w:rsidRPr="00C6737B">
        <w:rPr>
          <w:b/>
        </w:rPr>
        <w:t>c</w:t>
      </w:r>
      <w:r w:rsidRPr="00662262">
        <w:t>) protein</w:t>
      </w:r>
      <w:r w:rsidRPr="00C6737B">
        <w:rPr>
          <w:snapToGrid w:val="0"/>
        </w:rPr>
        <w:t xml:space="preserve"> and</w:t>
      </w:r>
      <w:r w:rsidRPr="00C6737B">
        <w:t xml:space="preserve"> </w:t>
      </w:r>
      <w:r w:rsidRPr="00662262">
        <w:t>(</w:t>
      </w:r>
      <w:r w:rsidRPr="00C6737B">
        <w:rPr>
          <w:b/>
        </w:rPr>
        <w:t>d</w:t>
      </w:r>
      <w:r w:rsidRPr="00662262">
        <w:t xml:space="preserve">) carbohydrate of BF, </w:t>
      </w:r>
      <w:r w:rsidRPr="00C6737B">
        <w:t>MF</w:t>
      </w:r>
      <w:r w:rsidRPr="00C6737B">
        <w:rPr>
          <w:snapToGrid w:val="0"/>
        </w:rPr>
        <w:t xml:space="preserve"> and </w:t>
      </w:r>
      <w:r w:rsidRPr="00C6737B">
        <w:t>FF</w:t>
      </w:r>
      <w:r w:rsidRPr="00C6737B">
        <w:rPr>
          <w:snapToGrid w:val="0"/>
        </w:rPr>
        <w:t xml:space="preserve"> </w:t>
      </w:r>
      <w:r w:rsidR="007840AB" w:rsidRPr="00DE5100">
        <w:t xml:space="preserve">Growing Up in Singapore Towards </w:t>
      </w:r>
      <w:r w:rsidR="007840AB">
        <w:t>h</w:t>
      </w:r>
      <w:r w:rsidR="007840AB" w:rsidRPr="00DE5100">
        <w:t xml:space="preserve">ealthy Outcomes </w:t>
      </w:r>
      <w:r w:rsidR="007840AB">
        <w:t>(</w:t>
      </w:r>
      <w:r w:rsidR="007840AB" w:rsidRPr="00662262">
        <w:t>GUSTO</w:t>
      </w:r>
      <w:r w:rsidR="007840AB">
        <w:t>)</w:t>
      </w:r>
      <w:r w:rsidR="007840AB" w:rsidRPr="00662262">
        <w:t xml:space="preserve"> </w:t>
      </w:r>
      <w:r w:rsidR="007840AB">
        <w:t xml:space="preserve">infants </w:t>
      </w:r>
      <w:r w:rsidRPr="00C6737B">
        <w:rPr>
          <w:snapToGrid w:val="0"/>
        </w:rPr>
        <w:t>at 12 months of age.</w:t>
      </w:r>
    </w:p>
    <w:p w14:paraId="3B9DD8E2" w14:textId="77777777" w:rsidR="004B4C59" w:rsidRPr="00C6737B" w:rsidRDefault="004B4C59" w:rsidP="00C6737B">
      <w:pPr>
        <w:pStyle w:val="MDPI51figurecaption"/>
        <w:rPr>
          <w:snapToGrid w:val="0"/>
        </w:rPr>
      </w:pPr>
    </w:p>
    <w:p w14:paraId="43EA8061" w14:textId="3F6A8BF5" w:rsidR="00004544" w:rsidRPr="00662262" w:rsidRDefault="00004544" w:rsidP="00662262">
      <w:pPr>
        <w:pStyle w:val="MDPI21heading1"/>
      </w:pPr>
      <w:r w:rsidRPr="00662262">
        <w:t>4. Discussion</w:t>
      </w:r>
    </w:p>
    <w:p w14:paraId="164BD212" w14:textId="7EBD54AD" w:rsidR="00AC34B2" w:rsidRPr="00662262" w:rsidRDefault="00AC34B2" w:rsidP="00662262">
      <w:pPr>
        <w:pStyle w:val="MDPI31text"/>
      </w:pPr>
      <w:r w:rsidRPr="00662262">
        <w:t xml:space="preserve">In this study, we presented </w:t>
      </w:r>
      <w:r w:rsidR="007534C1" w:rsidRPr="00662262">
        <w:t xml:space="preserve">the main </w:t>
      </w:r>
      <w:r w:rsidRPr="00662262">
        <w:t>food sources of energy and macronutrient intakes of 6</w:t>
      </w:r>
      <w:r w:rsidR="00A54079">
        <w:t>-</w:t>
      </w:r>
      <w:r w:rsidRPr="00662262">
        <w:t>, 9</w:t>
      </w:r>
      <w:r w:rsidR="00A54079">
        <w:t>-</w:t>
      </w:r>
      <w:r w:rsidRPr="00662262">
        <w:t xml:space="preserve"> and 12</w:t>
      </w:r>
      <w:r w:rsidR="00A54079">
        <w:t>-</w:t>
      </w:r>
      <w:r w:rsidRPr="00662262">
        <w:t xml:space="preserve">month-old </w:t>
      </w:r>
      <w:r w:rsidR="007534C1" w:rsidRPr="00662262">
        <w:t>GUSTO</w:t>
      </w:r>
      <w:r w:rsidRPr="00662262">
        <w:t xml:space="preserve"> infants. Our results showed that infant formula, breastmilk and infant cereals were the top three food sources of energy through the period 6 to 12 months. Breast-fed and mixed-fed infants had a more varied diet as compared to formula-fed infants. From 6 to 12 months of age, the majority of the GUSTO infants were formula-fed and had a higher protein and lower total fat consumption than the infants who </w:t>
      </w:r>
      <w:r w:rsidR="007534C1" w:rsidRPr="00662262">
        <w:t xml:space="preserve">had been </w:t>
      </w:r>
      <w:r w:rsidRPr="00662262">
        <w:t>breast-fed.</w:t>
      </w:r>
    </w:p>
    <w:p w14:paraId="3E957668" w14:textId="33B0010B" w:rsidR="00DA4197" w:rsidRPr="00662262" w:rsidRDefault="00DA4197" w:rsidP="00662262">
      <w:pPr>
        <w:pStyle w:val="MDPI22heading2"/>
      </w:pPr>
      <w:r w:rsidRPr="00662262">
        <w:t xml:space="preserve">4.1. Energy and </w:t>
      </w:r>
      <w:r w:rsidR="00912B82" w:rsidRPr="00662262">
        <w:t xml:space="preserve">Macronutrient Intakes </w:t>
      </w:r>
      <w:r w:rsidRPr="00662262">
        <w:t xml:space="preserve">of </w:t>
      </w:r>
      <w:r w:rsidR="00912B82" w:rsidRPr="00662262">
        <w:t xml:space="preserve">All Infants </w:t>
      </w:r>
      <w:r w:rsidRPr="00662262">
        <w:t xml:space="preserve">and by </w:t>
      </w:r>
      <w:r w:rsidR="00912B82" w:rsidRPr="00662262">
        <w:t>Milk</w:t>
      </w:r>
      <w:r w:rsidR="00A54079">
        <w:t>-</w:t>
      </w:r>
      <w:r w:rsidR="00912B82" w:rsidRPr="00662262">
        <w:t>Feed Type</w:t>
      </w:r>
    </w:p>
    <w:p w14:paraId="06EC58A3" w14:textId="59EB4F4B" w:rsidR="00DA4197" w:rsidRPr="00662262" w:rsidRDefault="00DA4197" w:rsidP="00662262">
      <w:pPr>
        <w:pStyle w:val="MDPI31text"/>
      </w:pPr>
      <w:r w:rsidRPr="00662262">
        <w:t>The prevalence of breast-fed infants in our study was low at 6 and 12 months (16% and 6</w:t>
      </w:r>
      <w:r w:rsidR="00912B82">
        <w:t>%</w:t>
      </w:r>
      <w:r w:rsidRPr="00662262">
        <w:t xml:space="preserve"> of infants</w:t>
      </w:r>
      <w:r w:rsidR="00A54079">
        <w:t>,</w:t>
      </w:r>
      <w:r w:rsidRPr="00662262">
        <w:t xml:space="preserve"> respectively). The general trend of macronutrient intakes (increasing protein and carbohydrates, decreasing total fat) in GUSTO infants as well as the range of intakes (TE</w:t>
      </w:r>
      <w:r w:rsidR="00912B82">
        <w:t>%</w:t>
      </w:r>
      <w:r w:rsidRPr="00662262">
        <w:t>) from 6 to 12 months of age was similar to observations in FITS infants [22]. The decrease in total fat intakes in GUSTO infants was mostly due to the decreasing consumption of breastmilk by all infants (32.1 to 16.0% of total fat at 6 and 12 months</w:t>
      </w:r>
      <w:r w:rsidR="00A54079">
        <w:t>,</w:t>
      </w:r>
      <w:r w:rsidRPr="00662262">
        <w:t xml:space="preserve"> respectively). The increase in protein and carbohydrates intakes in GUSTO infants, however, was likely to be due to the introduction of complementary foods such as red meat and rice</w:t>
      </w:r>
      <w:r w:rsidR="00A54079">
        <w:t>,</w:t>
      </w:r>
      <w:r w:rsidRPr="00662262">
        <w:t xml:space="preserve"> respectively. According to the World Health Organisation (WHO), for infants/toddlers between weaning and under 2 years of age, 30 to 40% of energy from total fat is recommended for immune defence and neural development [2</w:t>
      </w:r>
      <w:r w:rsidR="00E5505C" w:rsidRPr="00662262">
        <w:t>3</w:t>
      </w:r>
      <w:r w:rsidRPr="00662262">
        <w:t>]. In our study, mean intakes from total fat ranged from 34.6 to 42.0 TE</w:t>
      </w:r>
      <w:r w:rsidR="00912B82">
        <w:t>%</w:t>
      </w:r>
      <w:r w:rsidRPr="00662262">
        <w:t>, which were similar to WHO recommendations.</w:t>
      </w:r>
    </w:p>
    <w:p w14:paraId="36F9F5A9" w14:textId="22B8A15E" w:rsidR="008F311A" w:rsidRPr="00662262" w:rsidRDefault="00DA4197" w:rsidP="00662262">
      <w:pPr>
        <w:pStyle w:val="MDPI31text"/>
      </w:pPr>
      <w:r w:rsidRPr="00662262">
        <w:t>Akin to the Dortmund Nutritional and Anthropometric Longitudinal Designed (DONALD) study, FF infants in GUSTO consistently had higher carbohydrate and protein intakes, but lower total fat intake as compared to the BF infants [2</w:t>
      </w:r>
      <w:r w:rsidR="00E5505C" w:rsidRPr="00662262">
        <w:t>4</w:t>
      </w:r>
      <w:r w:rsidRPr="00662262">
        <w:t xml:space="preserve">]. From 6 to 12 months of age, the majority of the GUSTO infants, who were formula-fed, had a higher protein and lower total fat consumption. This is </w:t>
      </w:r>
      <w:r w:rsidR="00A54079">
        <w:t xml:space="preserve">in </w:t>
      </w:r>
      <w:r w:rsidRPr="00662262">
        <w:t xml:space="preserve">line with findings </w:t>
      </w:r>
      <w:r w:rsidR="00A54079">
        <w:t xml:space="preserve">on </w:t>
      </w:r>
      <w:r w:rsidRPr="00662262">
        <w:t>9-month</w:t>
      </w:r>
      <w:r w:rsidR="00A54079">
        <w:t>-</w:t>
      </w:r>
      <w:r w:rsidRPr="00662262">
        <w:t>old Danish and Australian infants who had consumed breastmilk having higher total fat and lower protein intakes as compared to those who consumed only formula milk [</w:t>
      </w:r>
      <w:r w:rsidR="000614B7" w:rsidRPr="00662262">
        <w:t>25</w:t>
      </w:r>
      <w:r w:rsidRPr="00662262">
        <w:t>,2</w:t>
      </w:r>
      <w:r w:rsidR="000614B7" w:rsidRPr="00662262">
        <w:t>6</w:t>
      </w:r>
      <w:r w:rsidRPr="00662262">
        <w:t>]</w:t>
      </w:r>
      <w:r w:rsidR="000614B7" w:rsidRPr="00662262">
        <w:t>.</w:t>
      </w:r>
    </w:p>
    <w:p w14:paraId="7E2E93BA" w14:textId="2AF51857" w:rsidR="00DA4197" w:rsidRPr="00662262" w:rsidRDefault="008F311A" w:rsidP="00662262">
      <w:pPr>
        <w:pStyle w:val="MDPI31text"/>
      </w:pPr>
      <w:r w:rsidRPr="00662262">
        <w:t>Comparing the average energy intakes of BF infants to the local recommendations, we observed that the average energy intake of 9</w:t>
      </w:r>
      <w:r w:rsidRPr="00662262">
        <w:rPr>
          <w:rFonts w:cs="Arial"/>
          <w:szCs w:val="20"/>
        </w:rPr>
        <w:t>-</w:t>
      </w:r>
      <w:r w:rsidRPr="00662262">
        <w:t>month</w:t>
      </w:r>
      <w:r w:rsidRPr="00662262">
        <w:rPr>
          <w:rFonts w:cs="Arial"/>
          <w:szCs w:val="20"/>
        </w:rPr>
        <w:t>-</w:t>
      </w:r>
      <w:r w:rsidRPr="00662262">
        <w:t>old BF infants</w:t>
      </w:r>
      <w:r w:rsidRPr="00662262">
        <w:rPr>
          <w:rFonts w:cs="Arial"/>
          <w:szCs w:val="20"/>
        </w:rPr>
        <w:t>, both males and females,</w:t>
      </w:r>
      <w:r w:rsidRPr="00662262">
        <w:t xml:space="preserve"> falls short of the </w:t>
      </w:r>
      <w:r w:rsidR="00A54079">
        <w:t>e</w:t>
      </w:r>
      <w:r w:rsidRPr="00662262">
        <w:t xml:space="preserve">stimated </w:t>
      </w:r>
      <w:r w:rsidR="00A54079">
        <w:t>average e</w:t>
      </w:r>
      <w:r w:rsidRPr="00662262">
        <w:t xml:space="preserve">nergy </w:t>
      </w:r>
      <w:r w:rsidR="00A54079">
        <w:t>r</w:t>
      </w:r>
      <w:r w:rsidRPr="00662262">
        <w:t xml:space="preserve">equirement (EAR) of </w:t>
      </w:r>
      <w:r w:rsidRPr="00662262">
        <w:rPr>
          <w:rFonts w:cs="Arial"/>
          <w:szCs w:val="20"/>
        </w:rPr>
        <w:t>670 kcal and 620</w:t>
      </w:r>
      <w:r w:rsidRPr="00662262">
        <w:t xml:space="preserve"> kcal</w:t>
      </w:r>
      <w:r w:rsidRPr="00662262">
        <w:rPr>
          <w:rFonts w:cs="Arial"/>
          <w:szCs w:val="20"/>
        </w:rPr>
        <w:t>, respectively. Additionally, at 9 months, less than half</w:t>
      </w:r>
      <w:r w:rsidRPr="00662262">
        <w:t xml:space="preserve"> of </w:t>
      </w:r>
      <w:r w:rsidRPr="00662262">
        <w:rPr>
          <w:rFonts w:cs="Arial"/>
          <w:szCs w:val="20"/>
        </w:rPr>
        <w:t>the BF infants met the</w:t>
      </w:r>
      <w:r w:rsidRPr="00662262">
        <w:t xml:space="preserve"> EAR</w:t>
      </w:r>
      <w:r w:rsidRPr="00662262">
        <w:rPr>
          <w:rFonts w:cs="Arial"/>
          <w:szCs w:val="20"/>
        </w:rPr>
        <w:t xml:space="preserve"> (18.4% of male BF infants and 33.3% of female BF infants met the EAR). </w:t>
      </w:r>
      <w:r w:rsidR="007D6665" w:rsidRPr="00662262">
        <w:rPr>
          <w:rFonts w:cs="Arial"/>
          <w:szCs w:val="20"/>
        </w:rPr>
        <w:t>This explains the significant difference</w:t>
      </w:r>
      <w:r w:rsidR="00EB3297" w:rsidRPr="00662262">
        <w:rPr>
          <w:rFonts w:cs="Arial"/>
          <w:szCs w:val="20"/>
        </w:rPr>
        <w:t xml:space="preserve"> </w:t>
      </w:r>
      <w:r w:rsidR="00A547E0" w:rsidRPr="00662262">
        <w:rPr>
          <w:rFonts w:cs="Arial"/>
          <w:szCs w:val="20"/>
        </w:rPr>
        <w:t xml:space="preserve">in mean </w:t>
      </w:r>
      <w:r w:rsidR="007D6665" w:rsidRPr="00662262">
        <w:rPr>
          <w:rFonts w:cs="Arial"/>
          <w:szCs w:val="20"/>
        </w:rPr>
        <w:t>energy intake</w:t>
      </w:r>
      <w:r w:rsidR="00D3276A" w:rsidRPr="00662262">
        <w:rPr>
          <w:rFonts w:cs="Arial"/>
          <w:szCs w:val="20"/>
        </w:rPr>
        <w:t>s</w:t>
      </w:r>
      <w:r w:rsidR="00EB3297" w:rsidRPr="00662262">
        <w:rPr>
          <w:rFonts w:cs="Arial"/>
          <w:szCs w:val="20"/>
        </w:rPr>
        <w:t xml:space="preserve"> </w:t>
      </w:r>
      <w:r w:rsidR="00A547E0" w:rsidRPr="00662262">
        <w:rPr>
          <w:rFonts w:cs="Arial"/>
          <w:szCs w:val="20"/>
        </w:rPr>
        <w:t>among milk</w:t>
      </w:r>
      <w:r w:rsidR="00A54079">
        <w:rPr>
          <w:rFonts w:cs="Arial"/>
          <w:szCs w:val="20"/>
        </w:rPr>
        <w:t>-</w:t>
      </w:r>
      <w:r w:rsidR="00A547E0" w:rsidRPr="00662262">
        <w:rPr>
          <w:rFonts w:cs="Arial"/>
          <w:szCs w:val="20"/>
        </w:rPr>
        <w:t>feed</w:t>
      </w:r>
      <w:r w:rsidR="007D6665" w:rsidRPr="00662262">
        <w:rPr>
          <w:rFonts w:cs="Arial"/>
          <w:szCs w:val="20"/>
        </w:rPr>
        <w:t xml:space="preserve"> </w:t>
      </w:r>
      <w:r w:rsidR="00EB3297" w:rsidRPr="00662262">
        <w:rPr>
          <w:rFonts w:cs="Arial"/>
          <w:szCs w:val="20"/>
        </w:rPr>
        <w:t xml:space="preserve">types </w:t>
      </w:r>
      <w:r w:rsidR="007D6665" w:rsidRPr="00662262">
        <w:rPr>
          <w:rFonts w:cs="Arial"/>
          <w:szCs w:val="20"/>
        </w:rPr>
        <w:t>observed a</w:t>
      </w:r>
      <w:r w:rsidR="00A547E0" w:rsidRPr="00662262">
        <w:rPr>
          <w:rFonts w:cs="Arial"/>
          <w:szCs w:val="20"/>
        </w:rPr>
        <w:t>t 9 months of age.</w:t>
      </w:r>
      <w:r w:rsidR="00A547E0" w:rsidRPr="00662262">
        <w:t xml:space="preserve"> </w:t>
      </w:r>
      <w:r w:rsidRPr="00662262">
        <w:t xml:space="preserve">At 12 months, </w:t>
      </w:r>
      <w:r w:rsidRPr="00662262">
        <w:rPr>
          <w:rFonts w:cs="Arial"/>
          <w:szCs w:val="20"/>
        </w:rPr>
        <w:t xml:space="preserve">male </w:t>
      </w:r>
      <w:r w:rsidRPr="00662262">
        <w:t xml:space="preserve">BF infants’ mean energy intake was </w:t>
      </w:r>
      <w:r w:rsidRPr="00662262">
        <w:rPr>
          <w:rFonts w:cs="Arial"/>
          <w:szCs w:val="20"/>
        </w:rPr>
        <w:t>720</w:t>
      </w:r>
      <w:r w:rsidRPr="00662262">
        <w:t xml:space="preserve"> kcal, which was lower than their MF and FF counterparts, and also below the EAR of 12</w:t>
      </w:r>
      <w:r w:rsidR="00A54079">
        <w:t>-</w:t>
      </w:r>
      <w:r w:rsidRPr="00662262">
        <w:t>month</w:t>
      </w:r>
      <w:r w:rsidR="00A54079">
        <w:t>-</w:t>
      </w:r>
      <w:r w:rsidRPr="00662262">
        <w:t>old male infants (740</w:t>
      </w:r>
      <w:r w:rsidR="00C6737B">
        <w:t xml:space="preserve"> </w:t>
      </w:r>
      <w:r w:rsidRPr="00662262">
        <w:t xml:space="preserve">kcal). This suggests </w:t>
      </w:r>
      <w:r w:rsidR="00575017" w:rsidRPr="00662262">
        <w:rPr>
          <w:rFonts w:cs="Arial"/>
          <w:szCs w:val="20"/>
        </w:rPr>
        <w:t xml:space="preserve">a possibility </w:t>
      </w:r>
      <w:r w:rsidR="00575017" w:rsidRPr="00662262">
        <w:t xml:space="preserve">that </w:t>
      </w:r>
      <w:r w:rsidR="00575017" w:rsidRPr="00662262">
        <w:rPr>
          <w:rFonts w:cs="Arial"/>
          <w:szCs w:val="20"/>
        </w:rPr>
        <w:t xml:space="preserve">breast-fed </w:t>
      </w:r>
      <w:r w:rsidR="00575017" w:rsidRPr="00662262">
        <w:t>infants</w:t>
      </w:r>
      <w:r w:rsidR="00575017" w:rsidRPr="00662262">
        <w:rPr>
          <w:rFonts w:cs="Arial"/>
          <w:szCs w:val="20"/>
        </w:rPr>
        <w:t xml:space="preserve"> at</w:t>
      </w:r>
      <w:r w:rsidR="00575017" w:rsidRPr="00662262">
        <w:t xml:space="preserve"> </w:t>
      </w:r>
      <w:r w:rsidR="00A54079">
        <w:t xml:space="preserve">the </w:t>
      </w:r>
      <w:r w:rsidRPr="00662262">
        <w:t>age</w:t>
      </w:r>
      <w:r w:rsidR="00A54079">
        <w:t>s</w:t>
      </w:r>
      <w:r w:rsidRPr="00662262">
        <w:t xml:space="preserve"> of 9 and 12 months may not be receiving adequate energy from complementary foods, although we recognize that the limited sample size of BF infants in our study does not allow us to be conclusive </w:t>
      </w:r>
      <w:r w:rsidR="00A54079">
        <w:t xml:space="preserve">on </w:t>
      </w:r>
      <w:r w:rsidRPr="00662262">
        <w:t>this.</w:t>
      </w:r>
      <w:r w:rsidR="001663C8">
        <w:t xml:space="preserve"> Addtionally, </w:t>
      </w:r>
      <w:r w:rsidR="00AB6CE5">
        <w:t>the local</w:t>
      </w:r>
      <w:r w:rsidR="001663C8">
        <w:t xml:space="preserve"> EAR</w:t>
      </w:r>
      <w:r w:rsidR="00A42DB6">
        <w:t xml:space="preserve">s are applicable to the general population of infants and not specifically to </w:t>
      </w:r>
      <w:r w:rsidR="001663C8">
        <w:t>BF infants</w:t>
      </w:r>
      <w:r w:rsidR="00A42DB6">
        <w:t>.</w:t>
      </w:r>
    </w:p>
    <w:p w14:paraId="75C6C54B" w14:textId="17B37A8E" w:rsidR="00AC34B2" w:rsidRPr="00662262" w:rsidRDefault="0062353F" w:rsidP="00662262">
      <w:pPr>
        <w:pStyle w:val="MDPI22heading2"/>
      </w:pPr>
      <w:r w:rsidRPr="00662262">
        <w:t>4.</w:t>
      </w:r>
      <w:r w:rsidR="00DA4197" w:rsidRPr="00662262">
        <w:t>2</w:t>
      </w:r>
      <w:r w:rsidR="006342E0" w:rsidRPr="00662262">
        <w:t>.</w:t>
      </w:r>
      <w:r w:rsidRPr="00662262">
        <w:t xml:space="preserve"> </w:t>
      </w:r>
      <w:r w:rsidR="00AC34B2" w:rsidRPr="00662262">
        <w:t xml:space="preserve">Top </w:t>
      </w:r>
      <w:r w:rsidR="00912B82" w:rsidRPr="00662262">
        <w:t xml:space="preserve">Food Sources </w:t>
      </w:r>
      <w:r w:rsidR="00AC34B2" w:rsidRPr="00662262">
        <w:t xml:space="preserve">of </w:t>
      </w:r>
      <w:r w:rsidR="00912B82" w:rsidRPr="00662262">
        <w:t xml:space="preserve">Energy </w:t>
      </w:r>
      <w:r w:rsidR="00AC34B2" w:rsidRPr="00662262">
        <w:t xml:space="preserve">and </w:t>
      </w:r>
      <w:r w:rsidR="00912B82" w:rsidRPr="00662262">
        <w:t xml:space="preserve">Macronutrient </w:t>
      </w:r>
      <w:r w:rsidR="00AC34B2" w:rsidRPr="00662262">
        <w:t xml:space="preserve">of </w:t>
      </w:r>
      <w:r w:rsidR="00912B82" w:rsidRPr="00662262">
        <w:t>Infants</w:t>
      </w:r>
    </w:p>
    <w:p w14:paraId="658BB665" w14:textId="0ECB0053" w:rsidR="00AC34B2" w:rsidRPr="00662262" w:rsidRDefault="00AC34B2" w:rsidP="00662262">
      <w:pPr>
        <w:pStyle w:val="MDPI31text"/>
      </w:pPr>
      <w:r w:rsidRPr="00662262">
        <w:lastRenderedPageBreak/>
        <w:t>In our study, where 6 to 12 month old infants were followed prospectively, the top three food sources of energy (infant formula, breastmilk and infant cereals) concurs with those previously reported in 6</w:t>
      </w:r>
      <w:r w:rsidR="007D5375">
        <w:t>-</w:t>
      </w:r>
      <w:r w:rsidRPr="00662262">
        <w:t xml:space="preserve"> to 11</w:t>
      </w:r>
      <w:r w:rsidR="007D5375">
        <w:t>-</w:t>
      </w:r>
      <w:r w:rsidRPr="00662262">
        <w:t>month</w:t>
      </w:r>
      <w:r w:rsidR="007D5375">
        <w:t>-</w:t>
      </w:r>
      <w:r w:rsidRPr="00662262">
        <w:t>old FITS infants</w:t>
      </w:r>
      <w:r w:rsidR="0023639A" w:rsidRPr="00662262">
        <w:t xml:space="preserve"> [3,2</w:t>
      </w:r>
      <w:r w:rsidR="00F56515" w:rsidRPr="00662262">
        <w:t>2</w:t>
      </w:r>
      <w:r w:rsidR="0023639A" w:rsidRPr="00662262">
        <w:t>]</w:t>
      </w:r>
      <w:r w:rsidRPr="00662262">
        <w:t>.</w:t>
      </w:r>
    </w:p>
    <w:p w14:paraId="3BE12D1D" w14:textId="5B714EDC" w:rsidR="00AC34B2" w:rsidRPr="00662262" w:rsidRDefault="00AC34B2" w:rsidP="00662262">
      <w:pPr>
        <w:pStyle w:val="MDPI31text"/>
      </w:pPr>
      <w:r w:rsidRPr="00662262">
        <w:t xml:space="preserve">Food sources of energy and macronutrient of GUSTO infants shared several similarities to infants from the FITS </w:t>
      </w:r>
      <w:r w:rsidR="005A6302" w:rsidRPr="00662262">
        <w:t>[3]</w:t>
      </w:r>
      <w:r w:rsidRPr="00662262">
        <w:t xml:space="preserve">, MING </w:t>
      </w:r>
      <w:r w:rsidR="005A6302" w:rsidRPr="00662262">
        <w:t>[4]</w:t>
      </w:r>
      <w:r w:rsidRPr="00662262">
        <w:t xml:space="preserve">, </w:t>
      </w:r>
      <w:r w:rsidR="003E3058">
        <w:t>National Health and Nutrition Examination Survey (</w:t>
      </w:r>
      <w:r w:rsidRPr="00662262">
        <w:t>NHANES</w:t>
      </w:r>
      <w:r w:rsidR="003E3058">
        <w:t>)</w:t>
      </w:r>
      <w:r w:rsidR="005A6302" w:rsidRPr="00662262">
        <w:t xml:space="preserve"> [2</w:t>
      </w:r>
      <w:r w:rsidR="00517001" w:rsidRPr="00662262">
        <w:t>7</w:t>
      </w:r>
      <w:r w:rsidR="005A6302" w:rsidRPr="00662262">
        <w:t>]</w:t>
      </w:r>
      <w:r w:rsidRPr="00662262">
        <w:t xml:space="preserve"> and Cambridge </w:t>
      </w:r>
      <w:r w:rsidR="005A6302" w:rsidRPr="00662262">
        <w:t>[2</w:t>
      </w:r>
      <w:r w:rsidR="00517001" w:rsidRPr="00662262">
        <w:t>8</w:t>
      </w:r>
      <w:r w:rsidR="005A6302" w:rsidRPr="00662262">
        <w:t>]</w:t>
      </w:r>
      <w:r w:rsidRPr="00662262">
        <w:t xml:space="preserve"> studies. Rice was the top table food contributor to energy intakes of both GUSTO and MING infants, </w:t>
      </w:r>
      <w:r w:rsidR="007D5375">
        <w:t>al</w:t>
      </w:r>
      <w:r w:rsidRPr="00662262">
        <w:t>though a lower contribution of rice porridge in 9</w:t>
      </w:r>
      <w:r w:rsidR="007D5375">
        <w:t>-</w:t>
      </w:r>
      <w:r w:rsidRPr="00662262">
        <w:t xml:space="preserve"> and 12</w:t>
      </w:r>
      <w:r w:rsidR="007D5375">
        <w:t>-</w:t>
      </w:r>
      <w:r w:rsidRPr="00662262">
        <w:t>month</w:t>
      </w:r>
      <w:r w:rsidR="007D5375">
        <w:t>-</w:t>
      </w:r>
      <w:r w:rsidRPr="00662262">
        <w:t>old GUSTO infants (3.1 and 4.0 TE</w:t>
      </w:r>
      <w:r w:rsidR="00912B82">
        <w:t>%</w:t>
      </w:r>
      <w:r w:rsidR="007D5375">
        <w:t>,</w:t>
      </w:r>
      <w:r w:rsidRPr="00662262">
        <w:t xml:space="preserve"> respectively) was observed as compared to </w:t>
      </w:r>
      <w:r w:rsidR="00780698" w:rsidRPr="00662262">
        <w:t>6</w:t>
      </w:r>
      <w:r w:rsidR="007D5375">
        <w:t xml:space="preserve">- to </w:t>
      </w:r>
      <w:r w:rsidR="00780698" w:rsidRPr="00662262">
        <w:t>1</w:t>
      </w:r>
      <w:r w:rsidRPr="00662262">
        <w:t>1</w:t>
      </w:r>
      <w:r w:rsidR="007D5375">
        <w:t>-</w:t>
      </w:r>
      <w:r w:rsidRPr="00662262">
        <w:t>month</w:t>
      </w:r>
      <w:r w:rsidR="007D5375">
        <w:t>-</w:t>
      </w:r>
      <w:r w:rsidRPr="00662262">
        <w:t>old MING infants (10.0 TE</w:t>
      </w:r>
      <w:r w:rsidR="00912B82">
        <w:t>%</w:t>
      </w:r>
      <w:r w:rsidRPr="00662262">
        <w:t xml:space="preserve"> from rice)</w:t>
      </w:r>
      <w:r w:rsidR="005A6302" w:rsidRPr="00662262">
        <w:t xml:space="preserve"> [4]. </w:t>
      </w:r>
      <w:r w:rsidRPr="00662262">
        <w:t xml:space="preserve">Rice and other flour-based products such as bread similarly made up a large proportion of the key food sources of carbohydrates in GUSTO, FITS and MING infants’ diets </w:t>
      </w:r>
      <w:r w:rsidR="005A6302" w:rsidRPr="00662262">
        <w:t>[3,4]</w:t>
      </w:r>
      <w:r w:rsidR="0062353F" w:rsidRPr="00662262">
        <w:t xml:space="preserve">. </w:t>
      </w:r>
      <w:r w:rsidRPr="00662262">
        <w:t>Protein from animal sources, such as poultry and red meat, contributed substantially to infants’ intakes in all three studies</w:t>
      </w:r>
      <w:r w:rsidR="005A6302" w:rsidRPr="00662262">
        <w:t xml:space="preserve"> [3,4]</w:t>
      </w:r>
      <w:r w:rsidRPr="00662262">
        <w:t>. While breastmilk was a common contributor of total fat intakes, GUSTO infants (</w:t>
      </w:r>
      <w:r w:rsidR="00556662" w:rsidRPr="00662262">
        <w:t xml:space="preserve">mean of </w:t>
      </w:r>
      <w:r w:rsidRPr="00662262">
        <w:t>22.5%</w:t>
      </w:r>
      <w:r w:rsidR="00556662" w:rsidRPr="00662262">
        <w:t xml:space="preserve"> across 3 time points</w:t>
      </w:r>
      <w:r w:rsidRPr="00662262">
        <w:t xml:space="preserve">) had the lowest contribution compared to Cambridge (38.0%), FITS (39.5%) and MING (28.0%) infants </w:t>
      </w:r>
      <w:r w:rsidR="005A6302" w:rsidRPr="00662262">
        <w:t>[3,4,2</w:t>
      </w:r>
      <w:r w:rsidR="008A4AD5" w:rsidRPr="00662262">
        <w:t>8</w:t>
      </w:r>
      <w:r w:rsidR="005A6302" w:rsidRPr="00662262">
        <w:t>]</w:t>
      </w:r>
      <w:r w:rsidRPr="00662262">
        <w:t xml:space="preserve">, likely due to GUSTO infants being predominantly formula-fed. Eggs were consistently observed to be a common food source of total fat in GUSTO, NHANES and Cambridge infants </w:t>
      </w:r>
      <w:r w:rsidR="00985953" w:rsidRPr="00662262">
        <w:t>[2</w:t>
      </w:r>
      <w:r w:rsidR="00517001" w:rsidRPr="00662262">
        <w:t>7</w:t>
      </w:r>
      <w:r w:rsidR="00985953" w:rsidRPr="00662262">
        <w:t>,2</w:t>
      </w:r>
      <w:r w:rsidR="00517001" w:rsidRPr="00662262">
        <w:t>8</w:t>
      </w:r>
      <w:r w:rsidR="00985953" w:rsidRPr="00662262">
        <w:t xml:space="preserve">]. </w:t>
      </w:r>
      <w:r w:rsidRPr="00662262">
        <w:t>Another similarity was the large percentage of dietary fibre intakes contributed from infant products, followed by various vegetables and fruits in the diets of GUSTO, FITS and MING infants</w:t>
      </w:r>
      <w:r w:rsidR="00985953" w:rsidRPr="00662262">
        <w:t xml:space="preserve"> [3,4]</w:t>
      </w:r>
      <w:r w:rsidRPr="00662262">
        <w:t>.</w:t>
      </w:r>
    </w:p>
    <w:p w14:paraId="488C8501" w14:textId="6D38CBCF" w:rsidR="00AC34B2" w:rsidRPr="00662262" w:rsidRDefault="00AC34B2" w:rsidP="00662262">
      <w:pPr>
        <w:pStyle w:val="MDPI31text"/>
      </w:pPr>
      <w:r w:rsidRPr="00662262">
        <w:t xml:space="preserve">However, differences in key food sources of energy and macronutrient amongst GUSTO infants and their </w:t>
      </w:r>
      <w:r w:rsidR="00780698" w:rsidRPr="00662262">
        <w:t>6</w:t>
      </w:r>
      <w:r w:rsidR="007D5375">
        <w:t xml:space="preserve">- to </w:t>
      </w:r>
      <w:r w:rsidR="00780698" w:rsidRPr="00662262">
        <w:t>1</w:t>
      </w:r>
      <w:r w:rsidRPr="00662262">
        <w:t>1</w:t>
      </w:r>
      <w:r w:rsidR="007D5375">
        <w:t>-</w:t>
      </w:r>
      <w:r w:rsidRPr="00662262">
        <w:t>month</w:t>
      </w:r>
      <w:r w:rsidR="007D5375">
        <w:t>-</w:t>
      </w:r>
      <w:r w:rsidRPr="00662262">
        <w:t xml:space="preserve">old FITS and MING counterparts were also noted. Whilst the top three food sources of energy </w:t>
      </w:r>
      <w:r w:rsidR="00B015FC">
        <w:t xml:space="preserve">and </w:t>
      </w:r>
      <w:r w:rsidRPr="00662262">
        <w:t xml:space="preserve">macronutrient of </w:t>
      </w:r>
      <w:r w:rsidR="00780698" w:rsidRPr="00662262">
        <w:t>6</w:t>
      </w:r>
      <w:r w:rsidR="007D5375">
        <w:t xml:space="preserve">- to </w:t>
      </w:r>
      <w:r w:rsidR="00780698" w:rsidRPr="00662262">
        <w:t>1</w:t>
      </w:r>
      <w:r w:rsidRPr="00662262">
        <w:t>2</w:t>
      </w:r>
      <w:r w:rsidR="007D5375">
        <w:t>-</w:t>
      </w:r>
      <w:r w:rsidRPr="00662262">
        <w:t>month</w:t>
      </w:r>
      <w:r w:rsidR="007D5375">
        <w:t>-</w:t>
      </w:r>
      <w:r w:rsidRPr="00662262">
        <w:t xml:space="preserve">old GUSTO infants were consistently infant-specific sources (infant formula, breastmilk and infant cereals), other table foods/beverages contributed to FITS and MING infants’ top three energy and macronutrient sources. Unlike the GUSTO and FITS infants who had infant cereals as the third key food source of energy, this was rice in the MING infants </w:t>
      </w:r>
      <w:r w:rsidR="00E61BE9" w:rsidRPr="00662262">
        <w:t>[4]</w:t>
      </w:r>
      <w:r w:rsidRPr="00662262">
        <w:t xml:space="preserve">. Correspondingly, rice was ranked as the second highest source of carbohydrates in MING infants’ diets </w:t>
      </w:r>
      <w:r w:rsidR="0062353F" w:rsidRPr="00662262">
        <w:t xml:space="preserve">(16%), whilst </w:t>
      </w:r>
      <w:r w:rsidRPr="00662262">
        <w:t xml:space="preserve">rice and rice porridge collectively contributed to less than 10% carbohydrates in GUSTO infants’ diets and less than 1% in FITS infants’ diets </w:t>
      </w:r>
      <w:r w:rsidR="00E61BE9" w:rsidRPr="00662262">
        <w:t>[3,4]</w:t>
      </w:r>
      <w:r w:rsidRPr="00662262">
        <w:t>. It was noteworthy that pure fruit juice, contributed a significant 7.8% to FITS infants’ diets</w:t>
      </w:r>
      <w:r w:rsidR="00E61BE9" w:rsidRPr="00662262">
        <w:t xml:space="preserve"> [3]</w:t>
      </w:r>
      <w:r w:rsidRPr="00662262">
        <w:t xml:space="preserve"> (third highest source of carbohydrate), but was not a main feature in the diets of both GUSTO and MING infants, who consume</w:t>
      </w:r>
      <w:r w:rsidR="007D5375">
        <w:t>d</w:t>
      </w:r>
      <w:r w:rsidRPr="00662262">
        <w:t xml:space="preserve"> at least 1% of carbohydrates from fresh fruits </w:t>
      </w:r>
      <w:r w:rsidR="00E61BE9" w:rsidRPr="00662262">
        <w:t>[4]</w:t>
      </w:r>
      <w:r w:rsidRPr="00662262">
        <w:t>. Table foods, such as non-formula milk (e.g.</w:t>
      </w:r>
      <w:r w:rsidR="00C51805" w:rsidRPr="00662262">
        <w:t>,</w:t>
      </w:r>
      <w:r w:rsidRPr="00662262">
        <w:t xml:space="preserve"> cow/goat/soy milk) and eggs were identified as one of the top three total fat and protein sources in the FITS and MING infants</w:t>
      </w:r>
      <w:r w:rsidR="007D5375">
        <w:t>,</w:t>
      </w:r>
      <w:r w:rsidRPr="00662262">
        <w:t xml:space="preserve"> respectively </w:t>
      </w:r>
      <w:r w:rsidR="00E61BE9" w:rsidRPr="00662262">
        <w:t>[3,4]</w:t>
      </w:r>
      <w:r w:rsidRPr="00662262">
        <w:t>. This is unlike the GUSTO infants, who had infant-specific food sources contributing to a large proportion of their total fat and protein intakes. Taken together, it appears that for the same age group, FITS and MING infants, as compared to GUSTO infants, have thus begun to consume significant</w:t>
      </w:r>
      <w:r w:rsidR="007D5375">
        <w:t>ly</w:t>
      </w:r>
      <w:r w:rsidRPr="00662262">
        <w:t xml:space="preserve"> larger proportions of table foods/beverages. These differences also highlight that GUSTO infants obtain their macronutrient needs from </w:t>
      </w:r>
      <w:r w:rsidR="007D5375">
        <w:t xml:space="preserve">a </w:t>
      </w:r>
      <w:r w:rsidRPr="00662262">
        <w:t xml:space="preserve">smaller number of food groups than their counterparts from the FITS and MING studies. Consuming a wide variety of food in early life would enable nutrient requirements to be satisfied and sets the foundation </w:t>
      </w:r>
      <w:r w:rsidR="007D5375">
        <w:t xml:space="preserve">for </w:t>
      </w:r>
      <w:r w:rsidRPr="00662262">
        <w:t xml:space="preserve">having a balanced diet later in life </w:t>
      </w:r>
      <w:r w:rsidR="00E61BE9" w:rsidRPr="00662262">
        <w:t>[3]</w:t>
      </w:r>
      <w:r w:rsidRPr="00662262">
        <w:t>.</w:t>
      </w:r>
    </w:p>
    <w:p w14:paraId="51D75E8A" w14:textId="7BC29283" w:rsidR="00AC34B2" w:rsidRPr="00662262" w:rsidRDefault="00AC34B2" w:rsidP="00662262">
      <w:pPr>
        <w:pStyle w:val="MDPI31text"/>
      </w:pPr>
      <w:r w:rsidRPr="00662262">
        <w:t xml:space="preserve">A comparison of the number of key food sources of macronutrient of 12-month-old GUSTO infants showed slightly fewer total fat food sources as compared to </w:t>
      </w:r>
      <w:r w:rsidR="007D5375">
        <w:t xml:space="preserve">those </w:t>
      </w:r>
      <w:r w:rsidRPr="00662262">
        <w:t>of protein and carbohydrate (8, 11, and 11 for total fat, protein and carbohydrate</w:t>
      </w:r>
      <w:r w:rsidR="007D5375">
        <w:t>,</w:t>
      </w:r>
      <w:r w:rsidRPr="00662262">
        <w:t xml:space="preserve"> respectively). Such a trend was similarly observed in </w:t>
      </w:r>
      <w:r w:rsidR="00780698" w:rsidRPr="00662262">
        <w:t>6</w:t>
      </w:r>
      <w:r w:rsidR="007D5375">
        <w:t xml:space="preserve">- to </w:t>
      </w:r>
      <w:r w:rsidR="00780698" w:rsidRPr="00662262">
        <w:t>1</w:t>
      </w:r>
      <w:r w:rsidRPr="00662262">
        <w:t>1</w:t>
      </w:r>
      <w:r w:rsidR="007D5375">
        <w:t>-</w:t>
      </w:r>
      <w:r w:rsidRPr="00662262">
        <w:t>month</w:t>
      </w:r>
      <w:r w:rsidR="007D5375">
        <w:t>-</w:t>
      </w:r>
      <w:r w:rsidRPr="00662262">
        <w:t xml:space="preserve">old FITS and MING infants </w:t>
      </w:r>
      <w:r w:rsidR="00E61BE9" w:rsidRPr="00662262">
        <w:t>[3,4]</w:t>
      </w:r>
      <w:r w:rsidRPr="00662262">
        <w:t>. This is likely due to a predominant milk-based diet in infants at this stage and that both infant formula and breastmilk are relatively rich sources of total fat. The contributions of other table foods to total fat, unlike food sources of protein and carbohydrate, were thus less prominent.</w:t>
      </w:r>
    </w:p>
    <w:p w14:paraId="4E52B28B" w14:textId="095A1826" w:rsidR="00AC34B2" w:rsidRPr="00662262" w:rsidRDefault="00AC34B2" w:rsidP="00662262">
      <w:pPr>
        <w:pStyle w:val="MDPI31text"/>
      </w:pPr>
      <w:r w:rsidRPr="00662262">
        <w:t>Our results, on key food sources by milk</w:t>
      </w:r>
      <w:r w:rsidR="007D5375">
        <w:t>-</w:t>
      </w:r>
      <w:r w:rsidRPr="00662262">
        <w:t xml:space="preserve">feed type concur with a previous study on Mexican infants </w:t>
      </w:r>
      <w:r w:rsidR="00E61BE9" w:rsidRPr="00662262">
        <w:t>[</w:t>
      </w:r>
      <w:r w:rsidR="00F21D37" w:rsidRPr="00662262">
        <w:t>2</w:t>
      </w:r>
      <w:r w:rsidR="00517001" w:rsidRPr="00662262">
        <w:t>9</w:t>
      </w:r>
      <w:r w:rsidR="00E61BE9" w:rsidRPr="00662262">
        <w:t>]</w:t>
      </w:r>
      <w:r w:rsidRPr="00662262">
        <w:t xml:space="preserve">, where infants who consumed breastmilk (BF or MF infants) had a slightly more varied diet in terms of </w:t>
      </w:r>
      <w:r w:rsidR="007D5375">
        <w:t xml:space="preserve">the </w:t>
      </w:r>
      <w:r w:rsidRPr="00662262">
        <w:t xml:space="preserve">number of food sources of energy as compared to FF infants. Looking at the specific food sources, another study showed that vegetables </w:t>
      </w:r>
      <w:r w:rsidR="007D5375">
        <w:t xml:space="preserve">made </w:t>
      </w:r>
      <w:r w:rsidRPr="00662262">
        <w:t>a higher contribution to 9-month-old breast-fed Danish infants’ diets as compared their non-breast</w:t>
      </w:r>
      <w:r w:rsidR="007D5375">
        <w:t xml:space="preserve"> </w:t>
      </w:r>
      <w:r w:rsidRPr="00662262">
        <w:t xml:space="preserve">fed counterparts </w:t>
      </w:r>
      <w:r w:rsidR="00E61BE9" w:rsidRPr="00662262">
        <w:t>[</w:t>
      </w:r>
      <w:r w:rsidR="00F21D37" w:rsidRPr="00662262">
        <w:t>2</w:t>
      </w:r>
      <w:r w:rsidR="00517001" w:rsidRPr="00662262">
        <w:t>5</w:t>
      </w:r>
      <w:r w:rsidR="00E61BE9" w:rsidRPr="00662262">
        <w:t>]</w:t>
      </w:r>
      <w:r w:rsidRPr="00662262">
        <w:t xml:space="preserve">. Similarly, GUSTO infants, where BF and MF infants had fresh fruits contributing to at least 1% of carbohydrate intakes, consumed more vegetables as well as plant-based protein in general than FF infants. Dietary fibre intakes of BF and MF infants were mainly </w:t>
      </w:r>
      <w:r w:rsidRPr="00662262">
        <w:lastRenderedPageBreak/>
        <w:t>contributed by fresh fruits and legumes/lentils at 12 months, while FF infants remained reliant on infant formula for dietary fibre at 6, 9 and 12 months of age.</w:t>
      </w:r>
    </w:p>
    <w:p w14:paraId="5045D1D1" w14:textId="69D862F5" w:rsidR="00AC34B2" w:rsidRPr="00662262" w:rsidRDefault="0062353F" w:rsidP="00662262">
      <w:pPr>
        <w:pStyle w:val="MDPI22heading2"/>
      </w:pPr>
      <w:r w:rsidRPr="00662262">
        <w:t>4.3</w:t>
      </w:r>
      <w:r w:rsidR="00C86E0D" w:rsidRPr="00662262">
        <w:t>.</w:t>
      </w:r>
      <w:r w:rsidRPr="00662262">
        <w:t xml:space="preserve"> </w:t>
      </w:r>
      <w:r w:rsidR="00AC34B2" w:rsidRPr="00662262">
        <w:t xml:space="preserve">Strengths and </w:t>
      </w:r>
      <w:r w:rsidR="00912B82" w:rsidRPr="00662262">
        <w:t>Limitations</w:t>
      </w:r>
    </w:p>
    <w:p w14:paraId="218F1F10" w14:textId="717E7586" w:rsidR="00AC34B2" w:rsidRPr="00662262" w:rsidRDefault="00AC34B2" w:rsidP="00662262">
      <w:pPr>
        <w:pStyle w:val="MDPI31text"/>
      </w:pPr>
      <w:r w:rsidRPr="00662262">
        <w:t xml:space="preserve">This study presents a detailed description of the </w:t>
      </w:r>
      <w:r w:rsidR="00B015FC">
        <w:t>macro</w:t>
      </w:r>
      <w:r w:rsidRPr="00662262">
        <w:t>nutrient intakes and their food sources in weaning diets from 6 to 12 months of age in Singapore. In addition, infants sampled in this study were followed prospectively through the period of 6 to 12 months of age. This would enable the close tracking of infants’ diets and could reduce the between-subject variation in food sources, observed in other similar studies which sampled different infants at a few time points concurrently.</w:t>
      </w:r>
    </w:p>
    <w:p w14:paraId="0AA75E04" w14:textId="727BA5F2" w:rsidR="00AC34B2" w:rsidRPr="00662262" w:rsidRDefault="00AC34B2" w:rsidP="00662262">
      <w:pPr>
        <w:pStyle w:val="MDPI31text"/>
      </w:pPr>
      <w:r w:rsidRPr="00662262">
        <w:t>The first limitation of our study is the use of a self-reported, single</w:t>
      </w:r>
      <w:r w:rsidR="007D5375">
        <w:t>-</w:t>
      </w:r>
      <w:r w:rsidRPr="00662262">
        <w:t>day dietary record or 24</w:t>
      </w:r>
      <w:r w:rsidR="00C6737B">
        <w:t xml:space="preserve"> </w:t>
      </w:r>
      <w:r w:rsidRPr="00662262">
        <w:t>h recall of infants’ diet</w:t>
      </w:r>
      <w:r w:rsidR="007D5375">
        <w:t>s</w:t>
      </w:r>
      <w:r w:rsidRPr="00662262">
        <w:t xml:space="preserve"> at 6, 9 and 12 months of age, which may not be representative of their usual intake during the weaning period. In addition, our dietary data was obtained from a mixture of 24h recall and one day of the three-day food diary. However</w:t>
      </w:r>
      <w:r w:rsidR="007D5375">
        <w:t>,</w:t>
      </w:r>
      <w:r w:rsidRPr="00662262">
        <w:t xml:space="preserve"> a </w:t>
      </w:r>
      <w:r w:rsidR="00BA1391" w:rsidRPr="00662262">
        <w:t xml:space="preserve">moderately </w:t>
      </w:r>
      <w:r w:rsidRPr="00662262">
        <w:t>strong correlation of a single</w:t>
      </w:r>
      <w:r w:rsidR="007D5375">
        <w:t>-</w:t>
      </w:r>
      <w:r w:rsidRPr="00662262">
        <w:t xml:space="preserve">day dietary intake with dietary intakes from two other days within the GUSTO cohort has been previously established </w:t>
      </w:r>
      <w:r w:rsidR="007276BF" w:rsidRPr="00662262">
        <w:t>[1</w:t>
      </w:r>
      <w:r w:rsidR="00517001" w:rsidRPr="00662262">
        <w:t>4</w:t>
      </w:r>
      <w:r w:rsidR="007276BF" w:rsidRPr="00662262">
        <w:t>]</w:t>
      </w:r>
      <w:r w:rsidRPr="00662262">
        <w:t>, suggesting small variations in day to day food group intakes of infants at this age group.</w:t>
      </w:r>
    </w:p>
    <w:p w14:paraId="51CE7194" w14:textId="190A6F8A" w:rsidR="00BA1391" w:rsidRPr="00662262" w:rsidRDefault="00BA1391" w:rsidP="00662262">
      <w:pPr>
        <w:pStyle w:val="MDPI31text"/>
      </w:pPr>
      <w:r w:rsidRPr="00662262">
        <w:t xml:space="preserve">Secondly, we acknowledge that the sample </w:t>
      </w:r>
      <w:r w:rsidR="00C358D3" w:rsidRPr="00662262">
        <w:t xml:space="preserve">used in our study </w:t>
      </w:r>
      <w:r w:rsidRPr="00662262">
        <w:t xml:space="preserve">is not representative of the </w:t>
      </w:r>
      <w:r w:rsidR="00C358D3" w:rsidRPr="00662262">
        <w:t>6</w:t>
      </w:r>
      <w:r w:rsidR="007D5375">
        <w:t>-</w:t>
      </w:r>
      <w:r w:rsidR="00C358D3" w:rsidRPr="00662262">
        <w:t xml:space="preserve"> to 12</w:t>
      </w:r>
      <w:r w:rsidR="007D5375">
        <w:t>-</w:t>
      </w:r>
      <w:r w:rsidR="00C358D3" w:rsidRPr="00662262">
        <w:t>month</w:t>
      </w:r>
      <w:r w:rsidR="007D5375">
        <w:t>-</w:t>
      </w:r>
      <w:r w:rsidR="00C358D3" w:rsidRPr="00662262">
        <w:t xml:space="preserve">old </w:t>
      </w:r>
      <w:r w:rsidRPr="00662262">
        <w:t>infants in Singapore</w:t>
      </w:r>
      <w:r w:rsidR="004015EB" w:rsidRPr="00662262">
        <w:t xml:space="preserve"> as mothers were recruited from only 2 major public maternity hospitals</w:t>
      </w:r>
      <w:r w:rsidRPr="00662262">
        <w:t>.</w:t>
      </w:r>
      <w:r w:rsidR="00C358D3" w:rsidRPr="00662262">
        <w:t xml:space="preserve"> </w:t>
      </w:r>
      <w:r w:rsidR="00760ECA" w:rsidRPr="00662262">
        <w:t xml:space="preserve">However, this is the only study, to date, that has been carried out to characterize the complementary foods of local infants. </w:t>
      </w:r>
      <w:r w:rsidR="001327A7" w:rsidRPr="00662262">
        <w:t>Additionally, based on official rec</w:t>
      </w:r>
      <w:r w:rsidR="00571713" w:rsidRPr="00662262">
        <w:t xml:space="preserve">ords, public hospitals (47.2%) </w:t>
      </w:r>
      <w:r w:rsidR="001327A7" w:rsidRPr="00662262">
        <w:t>account for slightly less deliveries</w:t>
      </w:r>
      <w:r w:rsidR="0010160D" w:rsidRPr="00662262">
        <w:t xml:space="preserve"> as compared to private ones (52</w:t>
      </w:r>
      <w:r w:rsidR="001327A7" w:rsidRPr="00662262">
        <w:t>.8%)</w:t>
      </w:r>
      <w:r w:rsidR="00FC320D" w:rsidRPr="00662262">
        <w:t xml:space="preserve"> </w:t>
      </w:r>
      <w:r w:rsidR="001327A7" w:rsidRPr="00662262">
        <w:t xml:space="preserve">[30]. </w:t>
      </w:r>
      <w:r w:rsidR="00760ECA" w:rsidRPr="00662262">
        <w:t>F</w:t>
      </w:r>
      <w:r w:rsidR="00C358D3" w:rsidRPr="00662262">
        <w:t>urther studies</w:t>
      </w:r>
      <w:r w:rsidR="0068732C" w:rsidRPr="00662262">
        <w:t xml:space="preserve"> examining the </w:t>
      </w:r>
      <w:r w:rsidR="00C358D3" w:rsidRPr="00662262">
        <w:t>dietary habits</w:t>
      </w:r>
      <w:r w:rsidR="00760ECA" w:rsidRPr="00662262">
        <w:t xml:space="preserve"> of a representative local population at infancy may be warranted to determine if similar findings can be obtained.</w:t>
      </w:r>
    </w:p>
    <w:p w14:paraId="77E82875" w14:textId="4065D0A2" w:rsidR="00C358D3" w:rsidRPr="00662262" w:rsidRDefault="00C358D3" w:rsidP="00662262">
      <w:pPr>
        <w:pStyle w:val="MDPI31text"/>
      </w:pPr>
      <w:r w:rsidRPr="00662262">
        <w:t xml:space="preserve">Thirdly, </w:t>
      </w:r>
      <w:r w:rsidR="009B7DDF" w:rsidRPr="00662262">
        <w:t>it was observed that the number of breast-fed infants at 12 months (n</w:t>
      </w:r>
      <w:r w:rsidR="00717B01" w:rsidRPr="00662262">
        <w:t xml:space="preserve"> </w:t>
      </w:r>
      <w:r w:rsidR="009B7DDF" w:rsidRPr="00662262">
        <w:t>=</w:t>
      </w:r>
      <w:r w:rsidR="00717B01" w:rsidRPr="00662262">
        <w:t xml:space="preserve"> </w:t>
      </w:r>
      <w:r w:rsidR="009B7DDF" w:rsidRPr="00662262">
        <w:t>57) was relatively low as compared to the other milk</w:t>
      </w:r>
      <w:r w:rsidR="007D5375">
        <w:t>-</w:t>
      </w:r>
      <w:r w:rsidR="009B7DDF" w:rsidRPr="00662262">
        <w:t>feed types at the same time point.</w:t>
      </w:r>
      <w:r w:rsidR="00816228" w:rsidRPr="00662262">
        <w:t xml:space="preserve"> Thus, the results may not be generalizable to all breast-fed infants.</w:t>
      </w:r>
    </w:p>
    <w:p w14:paraId="20650DB6" w14:textId="63493A77" w:rsidR="00AC34B2" w:rsidRPr="00662262" w:rsidRDefault="00F55F16" w:rsidP="00662262">
      <w:pPr>
        <w:pStyle w:val="MDPI31text"/>
      </w:pPr>
      <w:r w:rsidRPr="00662262">
        <w:t>Fourthly</w:t>
      </w:r>
      <w:r w:rsidR="00E029DF" w:rsidRPr="00662262">
        <w:t>, t</w:t>
      </w:r>
      <w:r w:rsidR="00AC34B2" w:rsidRPr="00662262">
        <w:t xml:space="preserve">he estimation of intakes and </w:t>
      </w:r>
      <w:r w:rsidR="00C97FFD" w:rsidRPr="00662262">
        <w:t>macro</w:t>
      </w:r>
      <w:r w:rsidR="00AC34B2" w:rsidRPr="00662262">
        <w:t xml:space="preserve">nutrient composition of breastmilk were based on available literature and may not represent actual intakes. Hence, there may be slight deviations in the actual nutrient intakes of infants who consumed breastmilk. Similar to other studies </w:t>
      </w:r>
      <w:r w:rsidR="007276BF" w:rsidRPr="00662262">
        <w:t>[3,4,</w:t>
      </w:r>
      <w:r w:rsidR="003613A9" w:rsidRPr="00662262">
        <w:t>2</w:t>
      </w:r>
      <w:r w:rsidR="00E61071" w:rsidRPr="00662262">
        <w:t>5</w:t>
      </w:r>
      <w:r w:rsidR="007276BF" w:rsidRPr="00662262">
        <w:t>]</w:t>
      </w:r>
      <w:r w:rsidR="00AC34B2" w:rsidRPr="00662262">
        <w:t>, this was the next best alternative when laboratory analys</w:t>
      </w:r>
      <w:r w:rsidR="007D5375">
        <w:t>i</w:t>
      </w:r>
      <w:r w:rsidR="00AC34B2" w:rsidRPr="00662262">
        <w:t>s of breastmilk was not feasible in the study.</w:t>
      </w:r>
    </w:p>
    <w:p w14:paraId="5FCBC6AC" w14:textId="0B54CE7C" w:rsidR="00CB1158" w:rsidRPr="00662262" w:rsidRDefault="00BC6252" w:rsidP="00662262">
      <w:pPr>
        <w:pStyle w:val="MDPI31text"/>
      </w:pPr>
      <w:r w:rsidRPr="00662262">
        <w:t>Lastly, as women</w:t>
      </w:r>
      <w:r w:rsidR="00354C85" w:rsidRPr="00662262">
        <w:t xml:space="preserve"> and</w:t>
      </w:r>
      <w:r w:rsidR="00CB1158" w:rsidRPr="00662262">
        <w:t xml:space="preserve"> their infants</w:t>
      </w:r>
      <w:r w:rsidR="00354C85" w:rsidRPr="00662262">
        <w:t xml:space="preserve"> </w:t>
      </w:r>
      <w:r w:rsidRPr="00662262">
        <w:t>with food allergies or intolerance</w:t>
      </w:r>
      <w:r w:rsidR="00CB1158" w:rsidRPr="00662262">
        <w:t xml:space="preserve">s were </w:t>
      </w:r>
      <w:r w:rsidRPr="00662262">
        <w:t xml:space="preserve">included in </w:t>
      </w:r>
      <w:r w:rsidR="00CB1158" w:rsidRPr="00662262">
        <w:t>this</w:t>
      </w:r>
      <w:r w:rsidRPr="00662262">
        <w:t xml:space="preserve"> study, </w:t>
      </w:r>
      <w:r w:rsidR="00CB1158" w:rsidRPr="00662262">
        <w:t xml:space="preserve">their macronutrient intakes and food sources may </w:t>
      </w:r>
      <w:r w:rsidR="005249BF" w:rsidRPr="00662262">
        <w:t xml:space="preserve">have </w:t>
      </w:r>
      <w:r w:rsidR="00CB1158" w:rsidRPr="00662262">
        <w:t>differ</w:t>
      </w:r>
      <w:r w:rsidR="005249BF" w:rsidRPr="00662262">
        <w:t>ed</w:t>
      </w:r>
      <w:r w:rsidR="00CB1158" w:rsidRPr="00662262">
        <w:t xml:space="preserve"> from the rest, due to </w:t>
      </w:r>
      <w:r w:rsidR="007D5375">
        <w:t xml:space="preserve">an </w:t>
      </w:r>
      <w:r w:rsidR="00CB1158" w:rsidRPr="00662262">
        <w:t>avoidance of certain foods. However, t</w:t>
      </w:r>
      <w:r w:rsidR="005249BF" w:rsidRPr="00662262">
        <w:t xml:space="preserve">his </w:t>
      </w:r>
      <w:r w:rsidR="00D63377" w:rsidRPr="00662262">
        <w:t xml:space="preserve">should </w:t>
      </w:r>
      <w:r w:rsidR="00832538" w:rsidRPr="00662262">
        <w:t xml:space="preserve">have a minimal </w:t>
      </w:r>
      <w:r w:rsidR="005249BF" w:rsidRPr="00662262">
        <w:t xml:space="preserve">impact </w:t>
      </w:r>
      <w:r w:rsidR="00832538" w:rsidRPr="00662262">
        <w:t xml:space="preserve">on </w:t>
      </w:r>
      <w:r w:rsidR="005249BF" w:rsidRPr="00662262">
        <w:t xml:space="preserve">our findings </w:t>
      </w:r>
      <w:r w:rsidR="00D63377" w:rsidRPr="00662262">
        <w:t xml:space="preserve">as only </w:t>
      </w:r>
      <w:r w:rsidR="00CB1158" w:rsidRPr="00662262">
        <w:t>a low food</w:t>
      </w:r>
      <w:r w:rsidR="007D5375">
        <w:t>-</w:t>
      </w:r>
      <w:r w:rsidR="00CB1158" w:rsidRPr="00662262">
        <w:t>allergy prevalence</w:t>
      </w:r>
      <w:r w:rsidR="005249BF" w:rsidRPr="00662262">
        <w:t xml:space="preserve"> </w:t>
      </w:r>
      <w:r w:rsidR="00354C85" w:rsidRPr="00662262">
        <w:t xml:space="preserve">(2.9% at 12 months) </w:t>
      </w:r>
      <w:r w:rsidR="005249BF" w:rsidRPr="00662262">
        <w:t xml:space="preserve">was observed in the </w:t>
      </w:r>
      <w:r w:rsidR="00CB1158" w:rsidRPr="00662262">
        <w:t>GUSTO cohort</w:t>
      </w:r>
      <w:r w:rsidR="001327A7" w:rsidRPr="00662262">
        <w:t xml:space="preserve"> [31</w:t>
      </w:r>
      <w:r w:rsidR="005249BF" w:rsidRPr="00662262">
        <w:t>]</w:t>
      </w:r>
      <w:r w:rsidR="00CB1158" w:rsidRPr="00662262">
        <w:t>.</w:t>
      </w:r>
    </w:p>
    <w:p w14:paraId="56ACBA03" w14:textId="4F822A10" w:rsidR="000D7970" w:rsidRPr="00662262" w:rsidRDefault="000D7970" w:rsidP="00662262">
      <w:pPr>
        <w:pStyle w:val="MDPI22heading2"/>
      </w:pPr>
      <w:r w:rsidRPr="00662262">
        <w:t>4.4. Impl</w:t>
      </w:r>
      <w:r w:rsidR="007B31CD" w:rsidRPr="00662262">
        <w:t xml:space="preserve">ications </w:t>
      </w:r>
      <w:r w:rsidR="007D5375">
        <w:t xml:space="preserve">for </w:t>
      </w:r>
      <w:r w:rsidR="00912B82" w:rsidRPr="00662262">
        <w:t xml:space="preserve">Local Recommendations </w:t>
      </w:r>
      <w:r w:rsidR="00DC298A" w:rsidRPr="00662262">
        <w:t xml:space="preserve">and </w:t>
      </w:r>
      <w:r w:rsidR="00912B82" w:rsidRPr="00662262">
        <w:t>Policies</w:t>
      </w:r>
    </w:p>
    <w:p w14:paraId="377AF3C7" w14:textId="0C9A2695" w:rsidR="00EC4124" w:rsidRPr="00662262" w:rsidRDefault="009213CF" w:rsidP="00662262">
      <w:pPr>
        <w:pStyle w:val="MDPI31text"/>
      </w:pPr>
      <w:r w:rsidRPr="00662262">
        <w:t>From our study</w:t>
      </w:r>
      <w:r w:rsidR="000D7970" w:rsidRPr="00662262">
        <w:t>,</w:t>
      </w:r>
      <w:r w:rsidRPr="00662262">
        <w:t xml:space="preserve"> we observed that</w:t>
      </w:r>
      <w:r w:rsidR="000D7970" w:rsidRPr="00662262">
        <w:t xml:space="preserve"> </w:t>
      </w:r>
      <w:r w:rsidR="00EC4124" w:rsidRPr="00662262">
        <w:t>energy and macronutrient intakes</w:t>
      </w:r>
      <w:r w:rsidR="005D3A48" w:rsidRPr="00662262">
        <w:t xml:space="preserve"> of GUSTO infants at 6, 9 and 12 months of age have </w:t>
      </w:r>
      <w:r w:rsidRPr="00662262">
        <w:t xml:space="preserve">generally </w:t>
      </w:r>
      <w:r w:rsidR="005D3A48" w:rsidRPr="00662262">
        <w:t xml:space="preserve">been met, except for BF infants who </w:t>
      </w:r>
      <w:r w:rsidR="00EC4124" w:rsidRPr="00662262">
        <w:t>were</w:t>
      </w:r>
      <w:r w:rsidR="005D3A48" w:rsidRPr="00662262">
        <w:t xml:space="preserve"> consuming less than their energy r</w:t>
      </w:r>
      <w:r w:rsidRPr="00662262">
        <w:t xml:space="preserve">equirements from </w:t>
      </w:r>
      <w:r w:rsidR="00EC4124" w:rsidRPr="00662262">
        <w:t>9</w:t>
      </w:r>
      <w:r w:rsidRPr="00662262">
        <w:t xml:space="preserve"> to 12</w:t>
      </w:r>
      <w:r w:rsidR="00EC4124" w:rsidRPr="00662262">
        <w:t xml:space="preserve"> months of age. </w:t>
      </w:r>
      <w:r w:rsidRPr="00662262">
        <w:t xml:space="preserve">Additionally, in line with </w:t>
      </w:r>
      <w:r w:rsidR="000D7970" w:rsidRPr="00662262">
        <w:t>recommendation</w:t>
      </w:r>
      <w:r w:rsidR="001A1825" w:rsidRPr="00662262">
        <w:t>s</w:t>
      </w:r>
      <w:r w:rsidR="000D7970" w:rsidRPr="00662262">
        <w:t xml:space="preserve"> </w:t>
      </w:r>
      <w:r w:rsidRPr="00662262">
        <w:t>to</w:t>
      </w:r>
      <w:r w:rsidR="000D7970" w:rsidRPr="00662262">
        <w:t xml:space="preserve"> </w:t>
      </w:r>
      <w:r w:rsidRPr="00662262">
        <w:t>introduce</w:t>
      </w:r>
      <w:r w:rsidR="00C4573D" w:rsidRPr="00662262">
        <w:t xml:space="preserve"> </w:t>
      </w:r>
      <w:r w:rsidR="00EC4124" w:rsidRPr="00662262">
        <w:t xml:space="preserve">iron-rich </w:t>
      </w:r>
      <w:r w:rsidR="00C4573D" w:rsidRPr="00662262">
        <w:t>c</w:t>
      </w:r>
      <w:r w:rsidR="00EC4124" w:rsidRPr="00662262">
        <w:t xml:space="preserve">omplementary foods to </w:t>
      </w:r>
      <w:r w:rsidR="000D7970" w:rsidRPr="00662262">
        <w:t>supplement breastmilk or form</w:t>
      </w:r>
      <w:r w:rsidR="000B412B" w:rsidRPr="00662262">
        <w:t>ula from 6 to 12 months of age</w:t>
      </w:r>
      <w:r w:rsidR="003613A9" w:rsidRPr="00662262">
        <w:t xml:space="preserve"> [11]</w:t>
      </w:r>
      <w:r w:rsidRPr="00662262">
        <w:t xml:space="preserve">, infant cereal was observed to be one of </w:t>
      </w:r>
      <w:r w:rsidR="00C4573D" w:rsidRPr="00662262">
        <w:t>the top three food sources of energy and macronutrient</w:t>
      </w:r>
      <w:r w:rsidRPr="00662262">
        <w:t xml:space="preserve">. Vegetables, fruits and meat/fish were also increasingly introduced as </w:t>
      </w:r>
      <w:r w:rsidR="00F82243" w:rsidRPr="00662262">
        <w:t xml:space="preserve">the </w:t>
      </w:r>
      <w:r w:rsidRPr="00662262">
        <w:t>infants grew older, reflecting an increasing variety</w:t>
      </w:r>
      <w:r w:rsidR="00F82243" w:rsidRPr="00662262">
        <w:t xml:space="preserve"> of complementary foods with </w:t>
      </w:r>
      <w:r w:rsidRPr="00662262">
        <w:t>age.</w:t>
      </w:r>
    </w:p>
    <w:p w14:paraId="5F11E9F8" w14:textId="0DDD2540" w:rsidR="001B1911" w:rsidRPr="00662262" w:rsidRDefault="00F82243" w:rsidP="00662262">
      <w:pPr>
        <w:pStyle w:val="MDPI31text"/>
      </w:pPr>
      <w:r w:rsidRPr="00662262">
        <w:t>O</w:t>
      </w:r>
      <w:r w:rsidR="001B1911" w:rsidRPr="00662262">
        <w:t>ur study raised several concerns</w:t>
      </w:r>
      <w:r w:rsidRPr="00662262">
        <w:t>, which could be further addressed in local recommendations</w:t>
      </w:r>
      <w:r w:rsidR="001B1911" w:rsidRPr="00662262">
        <w:t xml:space="preserve">. </w:t>
      </w:r>
      <w:r w:rsidRPr="00662262">
        <w:t xml:space="preserve">Firstly, </w:t>
      </w:r>
      <w:r w:rsidR="0049056C" w:rsidRPr="00662262">
        <w:t>FF infants, especially at 12 months</w:t>
      </w:r>
      <w:r w:rsidR="001B1911" w:rsidRPr="00662262">
        <w:t xml:space="preserve"> old</w:t>
      </w:r>
      <w:r w:rsidR="00C91FCB" w:rsidRPr="00662262">
        <w:t>,</w:t>
      </w:r>
      <w:r w:rsidR="001B1911" w:rsidRPr="00662262">
        <w:t xml:space="preserve"> were consuming </w:t>
      </w:r>
      <w:r w:rsidR="007D5375">
        <w:t xml:space="preserve">a smaller </w:t>
      </w:r>
      <w:r w:rsidRPr="00662262">
        <w:t xml:space="preserve">variety of foods </w:t>
      </w:r>
      <w:r w:rsidR="008C02CE" w:rsidRPr="00662262">
        <w:t xml:space="preserve">compared to MF and </w:t>
      </w:r>
      <w:r w:rsidR="000C0346" w:rsidRPr="00662262">
        <w:t>B</w:t>
      </w:r>
      <w:r w:rsidR="008C02CE" w:rsidRPr="00662262">
        <w:t>F infants</w:t>
      </w:r>
      <w:r w:rsidR="005D3A48" w:rsidRPr="00662262">
        <w:t>.</w:t>
      </w:r>
      <w:r w:rsidR="00A402A9" w:rsidRPr="00662262">
        <w:t xml:space="preserve"> </w:t>
      </w:r>
      <w:r w:rsidR="001B1911" w:rsidRPr="00662262">
        <w:t xml:space="preserve">We postulate that this could be due to a misconception that infant </w:t>
      </w:r>
      <w:r w:rsidR="001B1911" w:rsidRPr="00662262">
        <w:lastRenderedPageBreak/>
        <w:t xml:space="preserve">formula would </w:t>
      </w:r>
      <w:r w:rsidR="008C02CE" w:rsidRPr="00662262">
        <w:t>provide</w:t>
      </w:r>
      <w:r w:rsidR="001B1911" w:rsidRPr="00662262">
        <w:t xml:space="preserve"> all </w:t>
      </w:r>
      <w:r w:rsidR="008C02CE" w:rsidRPr="00662262">
        <w:t xml:space="preserve">essential </w:t>
      </w:r>
      <w:r w:rsidR="001B1911" w:rsidRPr="00662262">
        <w:t xml:space="preserve">nutrients and </w:t>
      </w:r>
      <w:r w:rsidR="008C02CE" w:rsidRPr="00662262">
        <w:t xml:space="preserve">hence </w:t>
      </w:r>
      <w:r w:rsidR="001B1911" w:rsidRPr="00662262">
        <w:t>exposure</w:t>
      </w:r>
      <w:r w:rsidRPr="00662262">
        <w:t xml:space="preserve"> to a greater variety of foods is not as necessary to provide all the required nutrients</w:t>
      </w:r>
      <w:r w:rsidR="001B1911" w:rsidRPr="00662262">
        <w:t xml:space="preserve">. </w:t>
      </w:r>
      <w:r w:rsidR="003940FD" w:rsidRPr="00662262">
        <w:t xml:space="preserve">Secondly, </w:t>
      </w:r>
      <w:r w:rsidR="00824EAD" w:rsidRPr="00662262">
        <w:t>“</w:t>
      </w:r>
      <w:r w:rsidRPr="00662262">
        <w:t>c</w:t>
      </w:r>
      <w:r w:rsidR="00A402A9" w:rsidRPr="00662262">
        <w:t>akes, biscuits and local snacks</w:t>
      </w:r>
      <w:r w:rsidR="00824EAD" w:rsidRPr="00662262">
        <w:t>”</w:t>
      </w:r>
      <w:r w:rsidR="00A402A9" w:rsidRPr="00662262">
        <w:t>,</w:t>
      </w:r>
      <w:r w:rsidRPr="00662262">
        <w:t xml:space="preserve"> a source of discretionary calories</w:t>
      </w:r>
      <w:r w:rsidR="007D5375">
        <w:t>,</w:t>
      </w:r>
      <w:r w:rsidR="00A402A9" w:rsidRPr="00662262">
        <w:t xml:space="preserve"> </w:t>
      </w:r>
      <w:r w:rsidRPr="00662262">
        <w:t>was</w:t>
      </w:r>
      <w:r w:rsidR="00A402A9" w:rsidRPr="00662262">
        <w:t xml:space="preserve"> observed to contribute </w:t>
      </w:r>
      <w:r w:rsidRPr="00662262">
        <w:t xml:space="preserve">to </w:t>
      </w:r>
      <w:r w:rsidR="00A402A9" w:rsidRPr="00662262">
        <w:t>a higher percentage of energy to BF infants’ diets as compared to their MF and FF counterparts</w:t>
      </w:r>
      <w:r w:rsidR="008C02CE" w:rsidRPr="00662262">
        <w:t>, at 12 months</w:t>
      </w:r>
      <w:r w:rsidR="007D5375">
        <w:t xml:space="preserve"> of age</w:t>
      </w:r>
      <w:r w:rsidR="00A402A9" w:rsidRPr="00662262">
        <w:t>.</w:t>
      </w:r>
      <w:r w:rsidR="008C02CE" w:rsidRPr="00662262">
        <w:t xml:space="preserve"> </w:t>
      </w:r>
      <w:r w:rsidRPr="00662262">
        <w:t xml:space="preserve">It is not clear why </w:t>
      </w:r>
      <w:r w:rsidR="00B502F4" w:rsidRPr="00662262">
        <w:t>this is</w:t>
      </w:r>
      <w:r w:rsidRPr="00662262">
        <w:t xml:space="preserve"> so, but it highlights an important point of educating mothers about the use of energy-dense, yet nutrient-poor </w:t>
      </w:r>
      <w:r w:rsidR="00B502F4" w:rsidRPr="00662262">
        <w:t>snacks</w:t>
      </w:r>
      <w:r w:rsidRPr="00662262">
        <w:t xml:space="preserve"> as part of the current </w:t>
      </w:r>
      <w:r w:rsidR="00B502F4" w:rsidRPr="00662262">
        <w:t>recommendations</w:t>
      </w:r>
      <w:r w:rsidRPr="00662262">
        <w:t>.</w:t>
      </w:r>
    </w:p>
    <w:p w14:paraId="68FB4E87" w14:textId="0458B2ED" w:rsidR="0078698C" w:rsidRPr="00662262" w:rsidRDefault="0078698C" w:rsidP="00662262">
      <w:pPr>
        <w:pStyle w:val="MDPI31text"/>
      </w:pPr>
      <w:r w:rsidRPr="00662262">
        <w:t>Thirdly, while the benefits of breastfeeding to maternal and child hea</w:t>
      </w:r>
      <w:r w:rsidR="001327A7" w:rsidRPr="00662262">
        <w:t xml:space="preserve">lth </w:t>
      </w:r>
      <w:r w:rsidR="007D5375">
        <w:t xml:space="preserve">are </w:t>
      </w:r>
      <w:r w:rsidR="001327A7" w:rsidRPr="00662262">
        <w:t>well</w:t>
      </w:r>
      <w:r w:rsidR="007D5375">
        <w:t xml:space="preserve"> </w:t>
      </w:r>
      <w:r w:rsidR="001327A7" w:rsidRPr="00662262">
        <w:t>established [32</w:t>
      </w:r>
      <w:r w:rsidR="00D223C5" w:rsidRPr="00662262">
        <w:t>]</w:t>
      </w:r>
      <w:r w:rsidRPr="00662262">
        <w:t xml:space="preserve">, a relatively low rate of breastfeeding was still observed within the GUSTO cohort when compared with other countries. More recent data suggest breastmilk as a </w:t>
      </w:r>
      <w:r w:rsidR="00824EAD" w:rsidRPr="00662262">
        <w:t>‘</w:t>
      </w:r>
      <w:r w:rsidRPr="00662262">
        <w:t>flavour bridge</w:t>
      </w:r>
      <w:r w:rsidR="00824EAD" w:rsidRPr="00662262">
        <w:t>’</w:t>
      </w:r>
      <w:r w:rsidRPr="00662262">
        <w:t>, whereby repeated exposures to novel flavours from breastmilk in early life could increase children’s acceptance to new foods and shape the</w:t>
      </w:r>
      <w:r w:rsidR="001327A7" w:rsidRPr="00662262">
        <w:t>ir future taste preferences [33</w:t>
      </w:r>
      <w:r w:rsidRPr="00662262">
        <w:t>]. The value of breastfeeding is increasingly recognised and</w:t>
      </w:r>
      <w:r w:rsidR="007D5375">
        <w:t>,</w:t>
      </w:r>
      <w:r w:rsidRPr="00662262">
        <w:t xml:space="preserve"> in recent years, the Baby Friendly Hospital Initiative (BFHI) has been started to protect, promote and support breastfeeding. This includes the provision of training to all maternity ward staff to provide breastfeeding counselling, consultation and support to</w:t>
      </w:r>
      <w:r w:rsidR="001327A7" w:rsidRPr="00662262">
        <w:t xml:space="preserve"> mothers in local hospitals [34</w:t>
      </w:r>
      <w:r w:rsidR="00D223C5" w:rsidRPr="00662262">
        <w:t xml:space="preserve">]. </w:t>
      </w:r>
      <w:r w:rsidRPr="00662262">
        <w:t>Additionally, there is a move encouraging corporate policies towards having a flexible scheduling and provision of designated private spaces for mothers to breastfeed or expre</w:t>
      </w:r>
      <w:r w:rsidR="001327A7" w:rsidRPr="00662262">
        <w:t>ss breastmilk at workplaces [35</w:t>
      </w:r>
      <w:r w:rsidRPr="00662262">
        <w:t>].</w:t>
      </w:r>
    </w:p>
    <w:p w14:paraId="2791A03C" w14:textId="77777777" w:rsidR="00EA6423" w:rsidRPr="00662262" w:rsidRDefault="00BA5987" w:rsidP="00662262">
      <w:pPr>
        <w:pStyle w:val="MDPI21heading1"/>
      </w:pPr>
      <w:r w:rsidRPr="00662262">
        <w:t xml:space="preserve">5. </w:t>
      </w:r>
      <w:r w:rsidR="00AF41F2" w:rsidRPr="00662262">
        <w:t>Conclusions</w:t>
      </w:r>
    </w:p>
    <w:p w14:paraId="18BCD8EB" w14:textId="10C6EABD" w:rsidR="00045F20" w:rsidRPr="00662262" w:rsidRDefault="00AC34B2" w:rsidP="00662262">
      <w:pPr>
        <w:pStyle w:val="MDPI31text"/>
      </w:pPr>
      <w:r w:rsidRPr="00662262">
        <w:t xml:space="preserve">In this prospective cohort study, we characterized the </w:t>
      </w:r>
      <w:r w:rsidR="00BA1391" w:rsidRPr="00662262">
        <w:t>complementary foods</w:t>
      </w:r>
      <w:r w:rsidRPr="00662262">
        <w:t xml:space="preserve"> </w:t>
      </w:r>
      <w:r w:rsidR="00BA1391" w:rsidRPr="00662262">
        <w:t xml:space="preserve">consumed by </w:t>
      </w:r>
      <w:r w:rsidR="007534C1" w:rsidRPr="00662262">
        <w:t>GUSTO</w:t>
      </w:r>
      <w:r w:rsidRPr="00662262">
        <w:t xml:space="preserve"> infants at 6, 9 and 12 months of age </w:t>
      </w:r>
      <w:r w:rsidR="00C068B2">
        <w:t xml:space="preserve">by </w:t>
      </w:r>
      <w:r w:rsidRPr="00662262">
        <w:t xml:space="preserve">identifying </w:t>
      </w:r>
      <w:r w:rsidR="00C068B2">
        <w:t xml:space="preserve">the </w:t>
      </w:r>
      <w:r w:rsidRPr="00662262">
        <w:t>top food sources of energy and macronutrient and differences in these intakes based on the type of milk feed (BF, MF or FF). The top three food sources of energy of infants from 6 to 12 months of age were infant formula, breastmilk and infant cereals. Differences in nutrient intakes and key food sources of energy and macronutrient could be observed among infants of the three milk</w:t>
      </w:r>
      <w:r w:rsidR="00C068B2">
        <w:t>-</w:t>
      </w:r>
      <w:r w:rsidRPr="00662262">
        <w:t>feed types. FF infants were found to consume significantly higher protein (TE</w:t>
      </w:r>
      <w:r w:rsidR="00912B82">
        <w:t>%</w:t>
      </w:r>
      <w:r w:rsidRPr="00662262">
        <w:t>), lower total fat (TE</w:t>
      </w:r>
      <w:r w:rsidR="00912B82">
        <w:t>%</w:t>
      </w:r>
      <w:r w:rsidRPr="00662262">
        <w:t>) and a less varied diet relative to BF and MF infants in general.</w:t>
      </w:r>
    </w:p>
    <w:p w14:paraId="19DDBBAF" w14:textId="3A280883" w:rsidR="00AC34B2" w:rsidRPr="00662262" w:rsidRDefault="00AC34B2" w:rsidP="00662262">
      <w:pPr>
        <w:pStyle w:val="MDPI31text"/>
      </w:pPr>
      <w:r w:rsidRPr="00662262">
        <w:t xml:space="preserve">An understanding of key food sources of energy and macronutrient provided during complementary feeding </w:t>
      </w:r>
      <w:r w:rsidR="000C229E" w:rsidRPr="00662262">
        <w:t>may</w:t>
      </w:r>
      <w:r w:rsidRPr="00662262">
        <w:t xml:space="preserve"> inform local dietary recommendations and policies</w:t>
      </w:r>
      <w:r w:rsidR="00E029DF" w:rsidRPr="00662262">
        <w:t>.</w:t>
      </w:r>
      <w:r w:rsidR="00116798" w:rsidRPr="00662262">
        <w:t xml:space="preserve"> </w:t>
      </w:r>
      <w:r w:rsidR="00B502F4" w:rsidRPr="00662262">
        <w:t>From our work, w</w:t>
      </w:r>
      <w:r w:rsidR="00116798" w:rsidRPr="00662262">
        <w:t xml:space="preserve">e </w:t>
      </w:r>
      <w:r w:rsidR="00B502F4" w:rsidRPr="00662262">
        <w:t xml:space="preserve">propose that current recommendations should include an </w:t>
      </w:r>
      <w:r w:rsidR="00116798" w:rsidRPr="00662262">
        <w:t xml:space="preserve">emphasis on </w:t>
      </w:r>
      <w:r w:rsidR="00072973" w:rsidRPr="00662262">
        <w:t xml:space="preserve">introducing a </w:t>
      </w:r>
      <w:r w:rsidR="00116798" w:rsidRPr="00662262">
        <w:t xml:space="preserve">variety of complementary foods </w:t>
      </w:r>
      <w:r w:rsidR="00327AB6" w:rsidRPr="00662262">
        <w:t>from 6 to 12 months of age, independent of the type</w:t>
      </w:r>
      <w:r w:rsidR="00863252" w:rsidRPr="00662262">
        <w:t xml:space="preserve"> </w:t>
      </w:r>
      <w:r w:rsidR="00327AB6" w:rsidRPr="00662262">
        <w:t>of milk feed</w:t>
      </w:r>
      <w:r w:rsidR="00863252" w:rsidRPr="00662262">
        <w:t>s</w:t>
      </w:r>
      <w:r w:rsidR="00327AB6" w:rsidRPr="00662262">
        <w:t xml:space="preserve"> the infants are on. Additionally, current recommendations could provide more information on healthier snack options, so as to decrease the reliance on nutrient-poor packaged foods as snacks. </w:t>
      </w:r>
      <w:r w:rsidR="00986673" w:rsidRPr="00662262">
        <w:t xml:space="preserve">In </w:t>
      </w:r>
      <w:r w:rsidR="00E029DF" w:rsidRPr="00662262">
        <w:t>f</w:t>
      </w:r>
      <w:r w:rsidRPr="00662262">
        <w:t>uture</w:t>
      </w:r>
      <w:r w:rsidR="00E029DF" w:rsidRPr="00662262">
        <w:t>,</w:t>
      </w:r>
      <w:r w:rsidRPr="00662262">
        <w:t xml:space="preserve"> studies could be extended to assess diets at later time points and explore the implications of early macronutrient intakes on later growth outcomes.</w:t>
      </w:r>
    </w:p>
    <w:p w14:paraId="4B7F13A7" w14:textId="0137C0F2" w:rsidR="00716921" w:rsidRPr="00662262" w:rsidRDefault="00EA6423" w:rsidP="00662262">
      <w:pPr>
        <w:pStyle w:val="MDPI31text"/>
        <w:spacing w:before="240" w:line="200" w:lineRule="atLeast"/>
        <w:ind w:firstLine="0"/>
        <w:rPr>
          <w:color w:val="auto"/>
          <w:sz w:val="18"/>
          <w:szCs w:val="18"/>
        </w:rPr>
      </w:pPr>
      <w:r w:rsidRPr="00662262">
        <w:rPr>
          <w:b/>
          <w:color w:val="auto"/>
          <w:sz w:val="18"/>
          <w:szCs w:val="18"/>
        </w:rPr>
        <w:t>Supplementary Materials:</w:t>
      </w:r>
      <w:r w:rsidRPr="00662262">
        <w:rPr>
          <w:color w:val="auto"/>
          <w:sz w:val="18"/>
          <w:szCs w:val="18"/>
        </w:rPr>
        <w:t xml:space="preserve"> The following are available online at </w:t>
      </w:r>
      <w:r w:rsidR="00D76EE8" w:rsidRPr="000B0989">
        <w:rPr>
          <w:color w:val="auto"/>
          <w:sz w:val="18"/>
          <w:szCs w:val="18"/>
          <w:highlight w:val="yellow"/>
        </w:rPr>
        <w:t>www.mdpi.com/link</w:t>
      </w:r>
      <w:r w:rsidR="00D76EE8" w:rsidRPr="00662262">
        <w:rPr>
          <w:color w:val="auto"/>
          <w:sz w:val="18"/>
          <w:szCs w:val="18"/>
        </w:rPr>
        <w:t xml:space="preserve">. </w:t>
      </w:r>
      <w:r w:rsidR="00716921" w:rsidRPr="00662262">
        <w:rPr>
          <w:color w:val="auto"/>
          <w:sz w:val="18"/>
          <w:szCs w:val="18"/>
        </w:rPr>
        <w:t xml:space="preserve">Table S1: Food group classifications of infants from </w:t>
      </w:r>
      <w:r w:rsidR="00780698" w:rsidRPr="00662262">
        <w:rPr>
          <w:color w:val="auto"/>
          <w:sz w:val="18"/>
          <w:szCs w:val="18"/>
        </w:rPr>
        <w:t>6–1</w:t>
      </w:r>
      <w:r w:rsidR="00716921" w:rsidRPr="00662262">
        <w:rPr>
          <w:color w:val="auto"/>
          <w:sz w:val="18"/>
          <w:szCs w:val="18"/>
        </w:rPr>
        <w:t xml:space="preserve">2 months </w:t>
      </w:r>
      <w:r w:rsidR="00994402">
        <w:rPr>
          <w:color w:val="auto"/>
          <w:sz w:val="18"/>
          <w:szCs w:val="18"/>
        </w:rPr>
        <w:t>of</w:t>
      </w:r>
      <w:r w:rsidR="00994402" w:rsidRPr="00662262">
        <w:rPr>
          <w:color w:val="auto"/>
          <w:sz w:val="18"/>
          <w:szCs w:val="18"/>
        </w:rPr>
        <w:t xml:space="preserve"> </w:t>
      </w:r>
      <w:r w:rsidR="00716921" w:rsidRPr="00662262">
        <w:rPr>
          <w:color w:val="auto"/>
          <w:sz w:val="18"/>
          <w:szCs w:val="18"/>
        </w:rPr>
        <w:t xml:space="preserve">the GUSTO study; Figure S1: Flowchart of participants included in cross-sectional analyses; Figure S2: Prevalence of various milk feed groups at each time point; Table S2: Sources of energy and macronutrient among all infants at 6, 9 and 12 months of age </w:t>
      </w:r>
      <w:r w:rsidR="00994402">
        <w:rPr>
          <w:color w:val="auto"/>
          <w:sz w:val="18"/>
          <w:szCs w:val="18"/>
        </w:rPr>
        <w:t>of</w:t>
      </w:r>
      <w:r w:rsidR="00994402" w:rsidRPr="00662262">
        <w:rPr>
          <w:color w:val="auto"/>
          <w:sz w:val="18"/>
          <w:szCs w:val="18"/>
        </w:rPr>
        <w:t xml:space="preserve"> </w:t>
      </w:r>
      <w:r w:rsidR="00716921" w:rsidRPr="00662262">
        <w:rPr>
          <w:color w:val="auto"/>
          <w:sz w:val="18"/>
          <w:szCs w:val="18"/>
        </w:rPr>
        <w:t xml:space="preserve">the GUSTO study; Figure S3: Cross sectional analyses of top food sources of dietary fibre of GUSTO infants at 6, 9 and 12 months of age; Table S3: Sources of energy and macronutrient among breast-fed, formula-fed and mixed-fed infants at 6 months of age </w:t>
      </w:r>
      <w:r w:rsidR="00994402">
        <w:rPr>
          <w:color w:val="auto"/>
          <w:sz w:val="18"/>
          <w:szCs w:val="18"/>
        </w:rPr>
        <w:t>of</w:t>
      </w:r>
      <w:r w:rsidR="00994402" w:rsidRPr="00662262">
        <w:rPr>
          <w:color w:val="auto"/>
          <w:sz w:val="18"/>
          <w:szCs w:val="18"/>
        </w:rPr>
        <w:t xml:space="preserve"> </w:t>
      </w:r>
      <w:r w:rsidR="00716921" w:rsidRPr="00662262">
        <w:rPr>
          <w:color w:val="auto"/>
          <w:sz w:val="18"/>
          <w:szCs w:val="18"/>
        </w:rPr>
        <w:t xml:space="preserve">the GUSTO study; Table S4: Sources of energy and macronutrient among breast-fed, formula-fed and mixed-fed infants at 9 months of age </w:t>
      </w:r>
      <w:r w:rsidR="00994402">
        <w:rPr>
          <w:color w:val="auto"/>
          <w:sz w:val="18"/>
          <w:szCs w:val="18"/>
        </w:rPr>
        <w:t>of</w:t>
      </w:r>
      <w:r w:rsidR="00994402" w:rsidRPr="00662262">
        <w:rPr>
          <w:color w:val="auto"/>
          <w:sz w:val="18"/>
          <w:szCs w:val="18"/>
        </w:rPr>
        <w:t xml:space="preserve"> </w:t>
      </w:r>
      <w:r w:rsidR="00716921" w:rsidRPr="00662262">
        <w:rPr>
          <w:color w:val="auto"/>
          <w:sz w:val="18"/>
          <w:szCs w:val="18"/>
        </w:rPr>
        <w:t xml:space="preserve">the GUSTO study; Table S5: Sources of energy and macronutrient among breast-fed, formula-fed and mixed-fed infants at 12 months of age </w:t>
      </w:r>
      <w:r w:rsidR="00994402">
        <w:rPr>
          <w:color w:val="auto"/>
          <w:sz w:val="18"/>
          <w:szCs w:val="18"/>
        </w:rPr>
        <w:t>of</w:t>
      </w:r>
      <w:r w:rsidR="00994402" w:rsidRPr="00662262">
        <w:rPr>
          <w:color w:val="auto"/>
          <w:sz w:val="18"/>
          <w:szCs w:val="18"/>
        </w:rPr>
        <w:t xml:space="preserve"> </w:t>
      </w:r>
      <w:r w:rsidR="00716921" w:rsidRPr="00662262">
        <w:rPr>
          <w:color w:val="auto"/>
          <w:sz w:val="18"/>
          <w:szCs w:val="18"/>
        </w:rPr>
        <w:t>the GUSTO study.</w:t>
      </w:r>
    </w:p>
    <w:p w14:paraId="4A84227C" w14:textId="6181C0F3" w:rsidR="0083789B" w:rsidRPr="00662262" w:rsidRDefault="00EA6423" w:rsidP="004B4C59">
      <w:pPr>
        <w:pStyle w:val="MDPI32textnoindent"/>
        <w:spacing w:before="120" w:line="200" w:lineRule="atLeast"/>
        <w:rPr>
          <w:color w:val="auto"/>
          <w:sz w:val="18"/>
          <w:szCs w:val="18"/>
        </w:rPr>
      </w:pPr>
      <w:r w:rsidRPr="00662262">
        <w:rPr>
          <w:b/>
          <w:color w:val="auto"/>
          <w:sz w:val="18"/>
          <w:szCs w:val="18"/>
        </w:rPr>
        <w:t>Acknowledgments:</w:t>
      </w:r>
      <w:r w:rsidRPr="00662262">
        <w:rPr>
          <w:color w:val="auto"/>
          <w:sz w:val="18"/>
          <w:szCs w:val="18"/>
        </w:rPr>
        <w:t xml:space="preserve"> </w:t>
      </w:r>
      <w:r w:rsidR="004B4C59" w:rsidRPr="00662262">
        <w:rPr>
          <w:color w:val="auto"/>
          <w:sz w:val="18"/>
          <w:szCs w:val="18"/>
        </w:rPr>
        <w:t>This research is supported by the Singapore National Research Foundation under its Translational and Clinical Research (TCR) Flagship Programme and administered by the Singapore Ministry of Health’s National Medical Research Council (NMRC), Singapore- NMRC/TCR/004-NUS/2008; NMRC/TCR/012-NUHS/2014. Additional funding is provided by the Singapore Institute for Clinical Sciences, Agency for Science Technology and Research (A*STAR), Singapore and Nestec. Study sponsors were not involved in the design of the study, statistical analysis and results interpretation.</w:t>
      </w:r>
      <w:r w:rsidR="004B4C59">
        <w:rPr>
          <w:color w:val="auto"/>
          <w:sz w:val="18"/>
          <w:szCs w:val="18"/>
        </w:rPr>
        <w:t xml:space="preserve"> </w:t>
      </w:r>
      <w:r w:rsidR="0083789B" w:rsidRPr="00662262">
        <w:rPr>
          <w:color w:val="auto"/>
          <w:sz w:val="18"/>
          <w:szCs w:val="18"/>
        </w:rPr>
        <w:t xml:space="preserve">This study acknowledges the contributions of the rest of the GUSTO study group which includes the following: Allan Sheppard, Amutha Chinnadurai, Anne Eng Neo Goh, </w:t>
      </w:r>
      <w:r w:rsidR="008B0585" w:rsidRPr="00662262">
        <w:rPr>
          <w:color w:val="auto"/>
          <w:sz w:val="18"/>
          <w:szCs w:val="18"/>
        </w:rPr>
        <w:t xml:space="preserve">Anne Rifkin-Graboi, Anqi Qiu, Arijit Biswas, Bee Wah Lee, </w:t>
      </w:r>
      <w:r w:rsidR="0083789B" w:rsidRPr="00662262">
        <w:rPr>
          <w:color w:val="auto"/>
          <w:sz w:val="18"/>
          <w:szCs w:val="18"/>
        </w:rPr>
        <w:t xml:space="preserve">Birit F.P. Broekman, Boon Long Quah, Borys Shuter, Chai Kiat Chng, Cheryl Ngo, Choon Looi Bong, Christiani Jeyakumar Henry, Claudia Chi, Cornelia Yin Ing Chee, Yam Thiam Daniel Goh, Doris Fok, E Shyong Tai, Elaine Tham, Elaine Quah Phaik Ling, Evelyn Chung Ning Law, Evelyn Xiu </w:t>
      </w:r>
      <w:r w:rsidR="0083789B" w:rsidRPr="00662262">
        <w:rPr>
          <w:color w:val="auto"/>
          <w:sz w:val="18"/>
          <w:szCs w:val="18"/>
        </w:rPr>
        <w:lastRenderedPageBreak/>
        <w:t>Ling Loo, Fabian Yap, Falk Mueller-Riemenschneider, George Seow Heong Yeo, Helen Chen, Heng Hao Tan, Hugo P S van Bever, Iliana Magiati, Inez Bik Yun Wong, Ivy Yee-Man Lau, Izzuddin Bin Mohd Aris, Jeevesh Kapur, Jenny L. Richmond, Jerry Kok Yen Chan, Joanna D. Holbrook, Joanne Yoong, Joao N. Ferreira., Jonathan Tze Liang Choo, Jonathan Y. Bernard, Joshua J. Gooley, Keith M. Godfrey, Kenneth Kwek, Kok Hian Tan, Krishnamoorthy Niduvaje, Kuan Jin Lee, Leher Singh, Lieng Hsi Ling, Lin Lin Su, Ling-</w:t>
      </w:r>
      <w:r w:rsidR="00732649" w:rsidRPr="00662262">
        <w:rPr>
          <w:color w:val="auto"/>
          <w:sz w:val="18"/>
          <w:szCs w:val="18"/>
        </w:rPr>
        <w:t xml:space="preserve">Wei Chen, Lourdes Mary Daniel, </w:t>
      </w:r>
      <w:r w:rsidR="0083789B" w:rsidRPr="00662262">
        <w:rPr>
          <w:color w:val="auto"/>
          <w:sz w:val="18"/>
          <w:szCs w:val="18"/>
        </w:rPr>
        <w:t>Lynette P Shek, Marielle V. Fortier, Mark Hanson, Mary Foong-Fong Chong, Mary Rauff, Mei Chien Chua, Melvin Khee-Shing Leow, Michael Meaney, Mya Thway Tint, Neerja Karnani, Ngee Lek, Oon Hoe Teoh, P. C. Wong, Paulin Tay Straughan, Peter D. Gluckman, Pratibha Agarwal, Queenie Ling Jun Li, Rob M. van Dam, Salome A. Rebello, Seang-Mei Saw, See Ling Loy, S. Sendhil Velan, Seng Bin Ang, Shang Chee Chong, Sharon Ng, Shiao-Yng Chan, Shirong Cai, Shu-E Soh, Sok Bee Lim, Stella Tsotsi, Chin-Ying Stephen Hsu, Sue Anne Toh, Swee Chye Quek, Victor Samuel Rajadurai, Walter Stunkel, Wayne Cutfield, Wee Meng Han, Wei Wei Pang, Yap-Seng Chong, Yin Bun Cheung, Yiong Huak Chan and Yung Seng Lee.</w:t>
      </w:r>
      <w:r w:rsidR="004B4C59">
        <w:rPr>
          <w:color w:val="auto"/>
          <w:sz w:val="18"/>
          <w:szCs w:val="18"/>
        </w:rPr>
        <w:t xml:space="preserve"> </w:t>
      </w:r>
    </w:p>
    <w:p w14:paraId="0BEEE7D7" w14:textId="1BB6C44B" w:rsidR="0083789B" w:rsidRPr="00662262" w:rsidRDefault="00EA6423" w:rsidP="00620BC2">
      <w:pPr>
        <w:pStyle w:val="MDPI32textnoindent"/>
        <w:spacing w:before="120" w:line="200" w:lineRule="atLeast"/>
        <w:rPr>
          <w:color w:val="auto"/>
          <w:sz w:val="18"/>
          <w:szCs w:val="18"/>
        </w:rPr>
      </w:pPr>
      <w:r w:rsidRPr="00662262">
        <w:rPr>
          <w:b/>
          <w:color w:val="auto"/>
          <w:sz w:val="18"/>
          <w:szCs w:val="18"/>
        </w:rPr>
        <w:t xml:space="preserve">Author </w:t>
      </w:r>
      <w:r w:rsidRPr="008C197E">
        <w:rPr>
          <w:b/>
          <w:color w:val="auto"/>
          <w:sz w:val="18"/>
          <w:szCs w:val="18"/>
        </w:rPr>
        <w:t>Contributions:</w:t>
      </w:r>
      <w:r w:rsidRPr="008C197E">
        <w:rPr>
          <w:color w:val="auto"/>
          <w:sz w:val="18"/>
          <w:szCs w:val="18"/>
        </w:rPr>
        <w:t xml:space="preserve"> </w:t>
      </w:r>
      <w:r w:rsidR="00B52983" w:rsidRPr="008C197E">
        <w:rPr>
          <w:color w:val="auto"/>
          <w:sz w:val="18"/>
          <w:szCs w:val="18"/>
        </w:rPr>
        <w:t>Keith M Godfrey</w:t>
      </w:r>
      <w:r w:rsidR="0083789B" w:rsidRPr="008C197E">
        <w:rPr>
          <w:color w:val="auto"/>
          <w:sz w:val="18"/>
          <w:szCs w:val="18"/>
        </w:rPr>
        <w:t>,</w:t>
      </w:r>
      <w:r w:rsidR="0083789B" w:rsidRPr="00662262">
        <w:rPr>
          <w:color w:val="auto"/>
          <w:sz w:val="18"/>
          <w:szCs w:val="18"/>
        </w:rPr>
        <w:t xml:space="preserve"> </w:t>
      </w:r>
      <w:r w:rsidR="00B52983" w:rsidRPr="00B52983">
        <w:rPr>
          <w:color w:val="auto"/>
          <w:sz w:val="18"/>
          <w:szCs w:val="18"/>
        </w:rPr>
        <w:t>Yap Seng Chong</w:t>
      </w:r>
      <w:r w:rsidR="00B52983">
        <w:rPr>
          <w:color w:val="auto"/>
          <w:sz w:val="18"/>
          <w:szCs w:val="18"/>
        </w:rPr>
        <w:t xml:space="preserve"> </w:t>
      </w:r>
      <w:r w:rsidR="0083789B" w:rsidRPr="00662262">
        <w:rPr>
          <w:color w:val="auto"/>
          <w:sz w:val="18"/>
          <w:szCs w:val="18"/>
        </w:rPr>
        <w:t xml:space="preserve">and </w:t>
      </w:r>
      <w:r w:rsidR="00B52983" w:rsidRPr="008C197E">
        <w:rPr>
          <w:color w:val="auto"/>
          <w:sz w:val="18"/>
          <w:szCs w:val="18"/>
        </w:rPr>
        <w:t>Fabian Yap</w:t>
      </w:r>
      <w:r w:rsidR="0083789B" w:rsidRPr="00662262">
        <w:rPr>
          <w:color w:val="auto"/>
          <w:sz w:val="18"/>
          <w:szCs w:val="18"/>
        </w:rPr>
        <w:t xml:space="preserve"> designed and led the GUSTO study. </w:t>
      </w:r>
      <w:r w:rsidR="00B52983" w:rsidRPr="00B52983">
        <w:rPr>
          <w:color w:val="auto"/>
          <w:sz w:val="18"/>
          <w:szCs w:val="18"/>
        </w:rPr>
        <w:t>Jia Ying Toh</w:t>
      </w:r>
      <w:r w:rsidR="00B52983">
        <w:rPr>
          <w:color w:val="auto"/>
          <w:sz w:val="18"/>
          <w:szCs w:val="18"/>
        </w:rPr>
        <w:t xml:space="preserve"> </w:t>
      </w:r>
      <w:r w:rsidR="0083789B" w:rsidRPr="00662262">
        <w:rPr>
          <w:color w:val="auto"/>
          <w:sz w:val="18"/>
          <w:szCs w:val="18"/>
        </w:rPr>
        <w:t xml:space="preserve">and </w:t>
      </w:r>
      <w:r w:rsidR="00B52983" w:rsidRPr="00B52983">
        <w:rPr>
          <w:color w:val="auto"/>
          <w:sz w:val="18"/>
          <w:szCs w:val="18"/>
        </w:rPr>
        <w:t>Shan Xuan Lim</w:t>
      </w:r>
      <w:r w:rsidR="00B52983">
        <w:rPr>
          <w:color w:val="auto"/>
          <w:sz w:val="18"/>
          <w:szCs w:val="18"/>
        </w:rPr>
        <w:t xml:space="preserve"> </w:t>
      </w:r>
      <w:r w:rsidR="0083789B" w:rsidRPr="00662262">
        <w:rPr>
          <w:color w:val="auto"/>
          <w:sz w:val="18"/>
          <w:szCs w:val="18"/>
        </w:rPr>
        <w:t xml:space="preserve">both contributed equally to the statistical analysis and writing of the manuscript. </w:t>
      </w:r>
      <w:r w:rsidR="00B52983" w:rsidRPr="00B52983">
        <w:rPr>
          <w:color w:val="auto"/>
          <w:sz w:val="18"/>
          <w:szCs w:val="18"/>
        </w:rPr>
        <w:t>Linde van Lee</w:t>
      </w:r>
      <w:r w:rsidR="0083789B" w:rsidRPr="00662262">
        <w:rPr>
          <w:color w:val="auto"/>
          <w:sz w:val="18"/>
          <w:szCs w:val="18"/>
        </w:rPr>
        <w:t xml:space="preserve"> provided support in the analysis of the data. </w:t>
      </w:r>
      <w:r w:rsidR="00B52983" w:rsidRPr="00B52983">
        <w:rPr>
          <w:color w:val="auto"/>
          <w:sz w:val="18"/>
          <w:szCs w:val="18"/>
        </w:rPr>
        <w:t>Mary Foong-Fong Chong</w:t>
      </w:r>
      <w:r w:rsidR="0083789B" w:rsidRPr="00662262">
        <w:rPr>
          <w:color w:val="auto"/>
          <w:sz w:val="18"/>
          <w:szCs w:val="18"/>
        </w:rPr>
        <w:t xml:space="preserve"> provided intellectual contribution</w:t>
      </w:r>
      <w:r w:rsidR="00C068B2">
        <w:rPr>
          <w:color w:val="auto"/>
          <w:sz w:val="18"/>
          <w:szCs w:val="18"/>
        </w:rPr>
        <w:t>s</w:t>
      </w:r>
      <w:r w:rsidR="0083789B" w:rsidRPr="00662262">
        <w:rPr>
          <w:color w:val="auto"/>
          <w:sz w:val="18"/>
          <w:szCs w:val="18"/>
        </w:rPr>
        <w:t xml:space="preserve"> to the write-up of the manuscript. </w:t>
      </w:r>
      <w:r w:rsidR="00B52983" w:rsidRPr="00B52983">
        <w:rPr>
          <w:color w:val="auto"/>
          <w:sz w:val="18"/>
          <w:szCs w:val="18"/>
        </w:rPr>
        <w:t>Mary Foong-Fong Chong</w:t>
      </w:r>
      <w:r w:rsidR="0083789B" w:rsidRPr="00662262">
        <w:rPr>
          <w:color w:val="auto"/>
          <w:sz w:val="18"/>
          <w:szCs w:val="18"/>
        </w:rPr>
        <w:t xml:space="preserve"> and </w:t>
      </w:r>
      <w:r w:rsidR="00B52983" w:rsidRPr="00B52983">
        <w:rPr>
          <w:color w:val="auto"/>
          <w:sz w:val="18"/>
          <w:szCs w:val="18"/>
        </w:rPr>
        <w:t>Shan Xuan Lim</w:t>
      </w:r>
      <w:r w:rsidR="00B52983">
        <w:rPr>
          <w:color w:val="auto"/>
          <w:sz w:val="18"/>
          <w:szCs w:val="18"/>
        </w:rPr>
        <w:t xml:space="preserve"> </w:t>
      </w:r>
      <w:r w:rsidR="0083789B" w:rsidRPr="00662262">
        <w:rPr>
          <w:color w:val="auto"/>
          <w:sz w:val="18"/>
          <w:szCs w:val="18"/>
        </w:rPr>
        <w:t xml:space="preserve">were responsible for finalising the manuscript. </w:t>
      </w:r>
      <w:r w:rsidR="00B52983" w:rsidRPr="00B52983">
        <w:rPr>
          <w:color w:val="auto"/>
          <w:sz w:val="18"/>
          <w:szCs w:val="18"/>
        </w:rPr>
        <w:t>Wee Meng Han</w:t>
      </w:r>
      <w:r w:rsidR="0083789B" w:rsidRPr="00662262">
        <w:rPr>
          <w:color w:val="auto"/>
          <w:sz w:val="18"/>
          <w:szCs w:val="18"/>
        </w:rPr>
        <w:t xml:space="preserve"> contributed to the conception and design of the study and the acquisition of data. All authors were involved in all parts of the study and approved the final version of the manuscript.</w:t>
      </w:r>
    </w:p>
    <w:p w14:paraId="6740D84D" w14:textId="36E95D36" w:rsidR="003E0780" w:rsidRPr="00662262" w:rsidRDefault="00EA6423" w:rsidP="00620BC2">
      <w:pPr>
        <w:pStyle w:val="MDPI32textnoindent"/>
        <w:spacing w:before="120" w:line="200" w:lineRule="atLeast"/>
        <w:rPr>
          <w:color w:val="auto"/>
          <w:sz w:val="18"/>
          <w:szCs w:val="18"/>
        </w:rPr>
      </w:pPr>
      <w:r w:rsidRPr="00662262">
        <w:rPr>
          <w:b/>
          <w:color w:val="auto"/>
          <w:sz w:val="18"/>
          <w:szCs w:val="18"/>
        </w:rPr>
        <w:t>Conflicts of Interest:</w:t>
      </w:r>
      <w:r w:rsidRPr="00662262">
        <w:rPr>
          <w:color w:val="auto"/>
          <w:sz w:val="18"/>
          <w:szCs w:val="18"/>
        </w:rPr>
        <w:t xml:space="preserve"> </w:t>
      </w:r>
      <w:r w:rsidR="00B52983" w:rsidRPr="00B926C2">
        <w:rPr>
          <w:color w:val="auto"/>
          <w:sz w:val="18"/>
          <w:szCs w:val="18"/>
        </w:rPr>
        <w:t>Keith M Godfrey</w:t>
      </w:r>
      <w:r w:rsidR="0083789B" w:rsidRPr="00B926C2">
        <w:rPr>
          <w:color w:val="auto"/>
          <w:sz w:val="18"/>
          <w:szCs w:val="18"/>
        </w:rPr>
        <w:t xml:space="preserve"> and </w:t>
      </w:r>
      <w:r w:rsidR="00B52983" w:rsidRPr="00B926C2">
        <w:rPr>
          <w:color w:val="auto"/>
          <w:sz w:val="18"/>
          <w:szCs w:val="18"/>
        </w:rPr>
        <w:t>Yap Seng Chong</w:t>
      </w:r>
      <w:r w:rsidR="0083789B" w:rsidRPr="00B926C2">
        <w:rPr>
          <w:color w:val="auto"/>
          <w:sz w:val="18"/>
          <w:szCs w:val="18"/>
        </w:rPr>
        <w:t xml:space="preserve"> have received reimbursement for speaking at conferences sponsored by companies selling nutritional products. These authors are part of an academic consortium that has received research </w:t>
      </w:r>
      <w:r w:rsidR="0083789B" w:rsidRPr="00662262">
        <w:rPr>
          <w:color w:val="auto"/>
          <w:sz w:val="18"/>
          <w:szCs w:val="18"/>
        </w:rPr>
        <w:t>funding from Abbott Nutrition, Nestec and Danone. None of the other authors report any potential conflict of interest.</w:t>
      </w:r>
    </w:p>
    <w:p w14:paraId="3DB700D4" w14:textId="77777777" w:rsidR="00EA6423" w:rsidRPr="00662262" w:rsidRDefault="00EA6423" w:rsidP="00620BC2">
      <w:pPr>
        <w:pStyle w:val="MDPI21heading1"/>
        <w:rPr>
          <w:color w:val="auto"/>
        </w:rPr>
      </w:pPr>
      <w:r w:rsidRPr="00662262">
        <w:rPr>
          <w:color w:val="auto"/>
        </w:rPr>
        <w:t>References</w:t>
      </w:r>
    </w:p>
    <w:p w14:paraId="30A78C59" w14:textId="5AF07401" w:rsidR="0049287C" w:rsidRPr="00662262" w:rsidRDefault="0049287C" w:rsidP="00C51805">
      <w:pPr>
        <w:pStyle w:val="MDPI71References"/>
        <w:rPr>
          <w:color w:val="auto"/>
        </w:rPr>
      </w:pPr>
      <w:r w:rsidRPr="00662262">
        <w:rPr>
          <w:color w:val="auto"/>
        </w:rPr>
        <w:t xml:space="preserve">World Health Organisation (WHO). In Strengthening action to improve feeding of infants and young children </w:t>
      </w:r>
      <w:r w:rsidR="00780698" w:rsidRPr="00662262">
        <w:rPr>
          <w:color w:val="auto"/>
        </w:rPr>
        <w:t>6–2</w:t>
      </w:r>
      <w:r w:rsidRPr="00662262">
        <w:rPr>
          <w:color w:val="auto"/>
        </w:rPr>
        <w:t>3 months of age in nutrition and child health programmes, Geneva, 2008; Geneva, p v.</w:t>
      </w:r>
    </w:p>
    <w:p w14:paraId="26C0092D" w14:textId="77777777" w:rsidR="0049287C" w:rsidRPr="00662262" w:rsidRDefault="0049287C" w:rsidP="00C51805">
      <w:pPr>
        <w:pStyle w:val="MDPI71References"/>
        <w:rPr>
          <w:color w:val="auto"/>
        </w:rPr>
      </w:pPr>
      <w:r w:rsidRPr="00662262">
        <w:rPr>
          <w:color w:val="auto"/>
        </w:rPr>
        <w:t xml:space="preserve">Poskitt, E.; Breda, J. Complementary feeding and non communicable diseases: Current knowledge and future research needs. </w:t>
      </w:r>
      <w:r w:rsidRPr="00662262">
        <w:rPr>
          <w:i/>
          <w:color w:val="auto"/>
        </w:rPr>
        <w:t xml:space="preserve">Nutrition, Metabolism and Cardiovascular Diseases </w:t>
      </w:r>
      <w:r w:rsidRPr="00662262">
        <w:rPr>
          <w:b/>
          <w:color w:val="auto"/>
        </w:rPr>
        <w:t>2012</w:t>
      </w:r>
      <w:r w:rsidRPr="00662262">
        <w:rPr>
          <w:color w:val="auto"/>
        </w:rPr>
        <w:t xml:space="preserve">, </w:t>
      </w:r>
      <w:r w:rsidRPr="00662262">
        <w:rPr>
          <w:i/>
          <w:color w:val="auto"/>
        </w:rPr>
        <w:t>22</w:t>
      </w:r>
      <w:r w:rsidRPr="00662262">
        <w:rPr>
          <w:color w:val="auto"/>
        </w:rPr>
        <w:t>, 819-822.</w:t>
      </w:r>
    </w:p>
    <w:p w14:paraId="302CCAD5" w14:textId="77777777" w:rsidR="0049287C" w:rsidRPr="00662262" w:rsidRDefault="0049287C" w:rsidP="00C51805">
      <w:pPr>
        <w:pStyle w:val="MDPI71References"/>
        <w:rPr>
          <w:color w:val="auto"/>
        </w:rPr>
      </w:pPr>
      <w:r w:rsidRPr="00662262">
        <w:rPr>
          <w:color w:val="auto"/>
        </w:rPr>
        <w:t xml:space="preserve">Fox, M.K.; Reidy, K.; Novak, T.; Ziegler, P. Sources of energy and nutrients in the diets of infants and toddlers. </w:t>
      </w:r>
      <w:r w:rsidRPr="00662262">
        <w:rPr>
          <w:i/>
          <w:color w:val="auto"/>
        </w:rPr>
        <w:t xml:space="preserve">Journal of the American Dietetic Association </w:t>
      </w:r>
      <w:r w:rsidRPr="00662262">
        <w:rPr>
          <w:b/>
          <w:color w:val="auto"/>
        </w:rPr>
        <w:t>2006</w:t>
      </w:r>
      <w:r w:rsidRPr="00662262">
        <w:rPr>
          <w:color w:val="auto"/>
        </w:rPr>
        <w:t xml:space="preserve">, </w:t>
      </w:r>
      <w:r w:rsidRPr="00662262">
        <w:rPr>
          <w:i/>
          <w:color w:val="auto"/>
        </w:rPr>
        <w:t>106</w:t>
      </w:r>
      <w:r w:rsidRPr="00662262">
        <w:rPr>
          <w:color w:val="auto"/>
        </w:rPr>
        <w:t>, 28. e21-28. e25.</w:t>
      </w:r>
    </w:p>
    <w:p w14:paraId="416E0BCB" w14:textId="77777777" w:rsidR="0049287C" w:rsidRPr="00662262" w:rsidRDefault="0049287C" w:rsidP="00C51805">
      <w:pPr>
        <w:pStyle w:val="MDPI71References"/>
        <w:rPr>
          <w:color w:val="auto"/>
        </w:rPr>
      </w:pPr>
      <w:r w:rsidRPr="00662262">
        <w:rPr>
          <w:color w:val="auto"/>
        </w:rPr>
        <w:t xml:space="preserve">Wang, H.; Denney, L.; Zheng, Y.; Vinyes-Pares, G.; Reidy, K.; Wang, P.; Zhang, Y. Food sources of energy and nutrients in the diets of infants and toddlers in urban areas of china, based on one 24-hour dietary recall. </w:t>
      </w:r>
      <w:r w:rsidRPr="00662262">
        <w:rPr>
          <w:i/>
          <w:color w:val="auto"/>
        </w:rPr>
        <w:t xml:space="preserve">BMC Nutrition </w:t>
      </w:r>
      <w:r w:rsidRPr="00662262">
        <w:rPr>
          <w:b/>
          <w:color w:val="auto"/>
        </w:rPr>
        <w:t>2015</w:t>
      </w:r>
      <w:r w:rsidRPr="00662262">
        <w:rPr>
          <w:color w:val="auto"/>
        </w:rPr>
        <w:t xml:space="preserve">, </w:t>
      </w:r>
      <w:r w:rsidRPr="00662262">
        <w:rPr>
          <w:i/>
          <w:color w:val="auto"/>
        </w:rPr>
        <w:t>1</w:t>
      </w:r>
      <w:r w:rsidRPr="00662262">
        <w:rPr>
          <w:color w:val="auto"/>
        </w:rPr>
        <w:t>, 19.</w:t>
      </w:r>
    </w:p>
    <w:p w14:paraId="35C7505A" w14:textId="73306A6A" w:rsidR="0049287C" w:rsidRPr="00662262" w:rsidRDefault="0049287C" w:rsidP="00C51805">
      <w:pPr>
        <w:pStyle w:val="MDPI71References"/>
        <w:rPr>
          <w:color w:val="auto"/>
        </w:rPr>
      </w:pPr>
      <w:r w:rsidRPr="00662262">
        <w:rPr>
          <w:color w:val="auto"/>
        </w:rPr>
        <w:t xml:space="preserve">Lioret, S.; McNaughton, S.A.; Spence, A.C.; Crawford, D.; Campbell, K.J. Tracking of dietary intakes in early childhood: The </w:t>
      </w:r>
      <w:r w:rsidR="00781D2D" w:rsidRPr="00662262">
        <w:rPr>
          <w:color w:val="auto"/>
        </w:rPr>
        <w:t>M</w:t>
      </w:r>
      <w:r w:rsidRPr="00662262">
        <w:rPr>
          <w:color w:val="auto"/>
        </w:rPr>
        <w:t xml:space="preserve">elbourne infant program. </w:t>
      </w:r>
      <w:r w:rsidRPr="00662262">
        <w:rPr>
          <w:i/>
          <w:color w:val="auto"/>
        </w:rPr>
        <w:t xml:space="preserve">European Journal of Clinical Nutrition </w:t>
      </w:r>
      <w:r w:rsidRPr="00662262">
        <w:rPr>
          <w:b/>
          <w:color w:val="auto"/>
        </w:rPr>
        <w:t>2013</w:t>
      </w:r>
      <w:r w:rsidRPr="00662262">
        <w:rPr>
          <w:color w:val="auto"/>
        </w:rPr>
        <w:t xml:space="preserve">, </w:t>
      </w:r>
      <w:r w:rsidRPr="00662262">
        <w:rPr>
          <w:i/>
          <w:color w:val="auto"/>
        </w:rPr>
        <w:t>67</w:t>
      </w:r>
      <w:r w:rsidRPr="00662262">
        <w:rPr>
          <w:color w:val="auto"/>
        </w:rPr>
        <w:t>, 275-281.</w:t>
      </w:r>
    </w:p>
    <w:p w14:paraId="3A624BDC" w14:textId="236F54D4" w:rsidR="0049287C" w:rsidRPr="00662262" w:rsidRDefault="0049287C" w:rsidP="00C51805">
      <w:pPr>
        <w:pStyle w:val="MDPI71References"/>
        <w:rPr>
          <w:color w:val="auto"/>
        </w:rPr>
      </w:pPr>
      <w:r w:rsidRPr="00662262">
        <w:rPr>
          <w:color w:val="auto"/>
        </w:rPr>
        <w:t xml:space="preserve">Newby, R.M.; Davies, P.S.W. A prospective study of the introduction of complementary foods in contemporary </w:t>
      </w:r>
      <w:r w:rsidR="00781D2D" w:rsidRPr="00662262">
        <w:rPr>
          <w:color w:val="auto"/>
        </w:rPr>
        <w:t>A</w:t>
      </w:r>
      <w:r w:rsidRPr="00662262">
        <w:rPr>
          <w:color w:val="auto"/>
        </w:rPr>
        <w:t xml:space="preserve">ustralian infants: What, when and why? </w:t>
      </w:r>
      <w:r w:rsidRPr="00662262">
        <w:rPr>
          <w:i/>
          <w:color w:val="auto"/>
        </w:rPr>
        <w:t xml:space="preserve">Journal of Paediatrics and Child Health </w:t>
      </w:r>
      <w:r w:rsidRPr="00662262">
        <w:rPr>
          <w:b/>
          <w:color w:val="auto"/>
        </w:rPr>
        <w:t>2015</w:t>
      </w:r>
      <w:r w:rsidRPr="00662262">
        <w:rPr>
          <w:color w:val="auto"/>
        </w:rPr>
        <w:t xml:space="preserve">, </w:t>
      </w:r>
      <w:r w:rsidRPr="00662262">
        <w:rPr>
          <w:i/>
          <w:color w:val="auto"/>
        </w:rPr>
        <w:t>51</w:t>
      </w:r>
      <w:r w:rsidRPr="00662262">
        <w:rPr>
          <w:color w:val="auto"/>
        </w:rPr>
        <w:t>, 186-191.</w:t>
      </w:r>
    </w:p>
    <w:p w14:paraId="32FFBC18" w14:textId="6DDD15D0" w:rsidR="0049287C" w:rsidRPr="00662262" w:rsidRDefault="0049287C" w:rsidP="00C51805">
      <w:pPr>
        <w:pStyle w:val="MDPI71References"/>
        <w:rPr>
          <w:color w:val="auto"/>
        </w:rPr>
      </w:pPr>
      <w:r w:rsidRPr="00662262">
        <w:rPr>
          <w:color w:val="auto"/>
        </w:rPr>
        <w:t xml:space="preserve">Le Nguyen, B.K.; Le Thi, H.; Nguyen Do, V.A.; Tran Thuy, N.; Nguyen Huu, C.; Thanh Do, T.; Deurenberg, P.; Khouw, I. Double burden of undernutrition and overnutrition in vietnam in 2011: Results of the </w:t>
      </w:r>
      <w:r w:rsidR="00781D2D" w:rsidRPr="00662262">
        <w:rPr>
          <w:color w:val="auto"/>
        </w:rPr>
        <w:t>SEANUTS</w:t>
      </w:r>
      <w:r w:rsidRPr="00662262">
        <w:rPr>
          <w:color w:val="auto"/>
        </w:rPr>
        <w:t xml:space="preserve"> study in 0.5-11-year-old children. </w:t>
      </w:r>
      <w:r w:rsidRPr="00662262">
        <w:rPr>
          <w:i/>
          <w:color w:val="auto"/>
        </w:rPr>
        <w:t xml:space="preserve">British Journal of Nutrition </w:t>
      </w:r>
      <w:r w:rsidRPr="00662262">
        <w:rPr>
          <w:b/>
          <w:color w:val="auto"/>
        </w:rPr>
        <w:t>2013</w:t>
      </w:r>
      <w:r w:rsidRPr="00662262">
        <w:rPr>
          <w:color w:val="auto"/>
        </w:rPr>
        <w:t xml:space="preserve">, </w:t>
      </w:r>
      <w:r w:rsidRPr="00662262">
        <w:rPr>
          <w:i/>
          <w:color w:val="auto"/>
        </w:rPr>
        <w:t>110 Suppl 3</w:t>
      </w:r>
      <w:r w:rsidRPr="00662262">
        <w:rPr>
          <w:color w:val="auto"/>
        </w:rPr>
        <w:t>, S45-56.</w:t>
      </w:r>
    </w:p>
    <w:p w14:paraId="17DFA430" w14:textId="2D161F51" w:rsidR="0049287C" w:rsidRPr="00662262" w:rsidRDefault="0049287C" w:rsidP="00C51805">
      <w:pPr>
        <w:pStyle w:val="MDPI71References"/>
        <w:rPr>
          <w:color w:val="auto"/>
        </w:rPr>
      </w:pPr>
      <w:r w:rsidRPr="00662262">
        <w:rPr>
          <w:color w:val="auto"/>
        </w:rPr>
        <w:t xml:space="preserve">Poh, B.K.; Ng, B.K.; Siti Haslinda, M.D.; Nik Shanita, S.; Wong, J.E.; Budin, S.B.; Ruzita, A.T.; Ng, L.O.; Khouw, I.; Norimah, A.K. Nutritional status and dietary intakes of children aged 6 months to 12 years: Findings of the nutrition survey of </w:t>
      </w:r>
      <w:r w:rsidR="00781D2D" w:rsidRPr="00662262">
        <w:rPr>
          <w:color w:val="auto"/>
        </w:rPr>
        <w:t>M</w:t>
      </w:r>
      <w:r w:rsidRPr="00662262">
        <w:rPr>
          <w:color w:val="auto"/>
        </w:rPr>
        <w:t>alaysian children (</w:t>
      </w:r>
      <w:r w:rsidR="00781D2D" w:rsidRPr="00662262">
        <w:rPr>
          <w:color w:val="auto"/>
        </w:rPr>
        <w:t xml:space="preserve">SEANUTS </w:t>
      </w:r>
      <w:r w:rsidRPr="00662262">
        <w:rPr>
          <w:color w:val="auto"/>
        </w:rPr>
        <w:t xml:space="preserve">malaysia). </w:t>
      </w:r>
      <w:r w:rsidRPr="00662262">
        <w:rPr>
          <w:i/>
          <w:color w:val="auto"/>
        </w:rPr>
        <w:t xml:space="preserve">British Journal of Nutrition </w:t>
      </w:r>
      <w:r w:rsidRPr="00662262">
        <w:rPr>
          <w:b/>
          <w:color w:val="auto"/>
        </w:rPr>
        <w:t>2013</w:t>
      </w:r>
      <w:r w:rsidRPr="00662262">
        <w:rPr>
          <w:color w:val="auto"/>
        </w:rPr>
        <w:t xml:space="preserve">, </w:t>
      </w:r>
      <w:r w:rsidRPr="00662262">
        <w:rPr>
          <w:i/>
          <w:color w:val="auto"/>
        </w:rPr>
        <w:t>110 Suppl 3</w:t>
      </w:r>
      <w:r w:rsidRPr="00662262">
        <w:rPr>
          <w:color w:val="auto"/>
        </w:rPr>
        <w:t>, S21-35.</w:t>
      </w:r>
    </w:p>
    <w:p w14:paraId="79AA7324" w14:textId="44BC2A29" w:rsidR="0049287C" w:rsidRPr="00662262" w:rsidRDefault="0049287C" w:rsidP="00C51805">
      <w:pPr>
        <w:pStyle w:val="MDPI71References"/>
        <w:rPr>
          <w:color w:val="auto"/>
        </w:rPr>
      </w:pPr>
      <w:r w:rsidRPr="00662262">
        <w:rPr>
          <w:color w:val="auto"/>
        </w:rPr>
        <w:t xml:space="preserve">Rojroongwasinkul, N.; Kijboonchoo, K.; Wimonpeerapattana, W.; Purttiponthanee, S.; Yamborisut, U.; Boonpraderm, A.; Kunapan, P.; Thasanasuwan, W.; Khouw, I. Seanuts: The nutritional status and dietary intakes of 0.5-12-year-old </w:t>
      </w:r>
      <w:r w:rsidR="00781D2D" w:rsidRPr="00662262">
        <w:rPr>
          <w:color w:val="auto"/>
        </w:rPr>
        <w:t>T</w:t>
      </w:r>
      <w:r w:rsidRPr="00662262">
        <w:rPr>
          <w:color w:val="auto"/>
        </w:rPr>
        <w:t xml:space="preserve">hai children. </w:t>
      </w:r>
      <w:r w:rsidRPr="00662262">
        <w:rPr>
          <w:i/>
          <w:color w:val="auto"/>
        </w:rPr>
        <w:t xml:space="preserve">British Journal of Nutrition </w:t>
      </w:r>
      <w:r w:rsidRPr="00662262">
        <w:rPr>
          <w:b/>
          <w:color w:val="auto"/>
        </w:rPr>
        <w:t>2013</w:t>
      </w:r>
      <w:r w:rsidRPr="00662262">
        <w:rPr>
          <w:color w:val="auto"/>
        </w:rPr>
        <w:t xml:space="preserve">, </w:t>
      </w:r>
      <w:r w:rsidRPr="00662262">
        <w:rPr>
          <w:i/>
          <w:color w:val="auto"/>
        </w:rPr>
        <w:t>110 Suppl 3</w:t>
      </w:r>
      <w:r w:rsidRPr="00662262">
        <w:rPr>
          <w:color w:val="auto"/>
        </w:rPr>
        <w:t>, S36-44.</w:t>
      </w:r>
    </w:p>
    <w:p w14:paraId="1B1024A4" w14:textId="7CAD3084" w:rsidR="0049287C" w:rsidRPr="004B4C59" w:rsidRDefault="0049287C" w:rsidP="00C51805">
      <w:pPr>
        <w:pStyle w:val="MDPI71References"/>
        <w:rPr>
          <w:color w:val="auto"/>
        </w:rPr>
      </w:pPr>
      <w:r w:rsidRPr="00662262">
        <w:rPr>
          <w:color w:val="auto"/>
        </w:rPr>
        <w:lastRenderedPageBreak/>
        <w:t>Sandjaja, S.; Budiman, B.; Harahap, H.; Ernawati, F.; Soekatri, M.; Widodo, Y.; Sumedi, E.; Rustan, E.; Sofia, G.; Syarief, S.N.</w:t>
      </w:r>
      <w:r w:rsidRPr="00662262">
        <w:rPr>
          <w:i/>
          <w:color w:val="auto"/>
        </w:rPr>
        <w:t>,</w:t>
      </w:r>
      <w:r w:rsidRPr="00662262">
        <w:rPr>
          <w:color w:val="auto"/>
        </w:rPr>
        <w:t xml:space="preserve"> et al. Food consumption and nutritional and biochemical status of 0.5-12-year-old </w:t>
      </w:r>
      <w:r w:rsidR="00781D2D" w:rsidRPr="00662262">
        <w:rPr>
          <w:color w:val="auto"/>
        </w:rPr>
        <w:t>I</w:t>
      </w:r>
      <w:r w:rsidRPr="00662262">
        <w:rPr>
          <w:color w:val="auto"/>
        </w:rPr>
        <w:t xml:space="preserve">ndonesian children: The </w:t>
      </w:r>
      <w:r w:rsidR="00781D2D" w:rsidRPr="004B4C59">
        <w:rPr>
          <w:color w:val="auto"/>
        </w:rPr>
        <w:t xml:space="preserve">SEANUTS </w:t>
      </w:r>
      <w:r w:rsidRPr="004B4C59">
        <w:rPr>
          <w:color w:val="auto"/>
        </w:rPr>
        <w:t xml:space="preserve">study. </w:t>
      </w:r>
      <w:r w:rsidRPr="004B4C59">
        <w:rPr>
          <w:i/>
          <w:color w:val="auto"/>
        </w:rPr>
        <w:t xml:space="preserve">British Journal of Nutrition </w:t>
      </w:r>
      <w:r w:rsidRPr="004B4C59">
        <w:rPr>
          <w:b/>
          <w:color w:val="auto"/>
        </w:rPr>
        <w:t>2013</w:t>
      </w:r>
      <w:r w:rsidRPr="004B4C59">
        <w:rPr>
          <w:color w:val="auto"/>
        </w:rPr>
        <w:t xml:space="preserve">, </w:t>
      </w:r>
      <w:r w:rsidRPr="004B4C59">
        <w:rPr>
          <w:i/>
          <w:color w:val="auto"/>
        </w:rPr>
        <w:t>110 Suppl 3</w:t>
      </w:r>
      <w:r w:rsidRPr="004B4C59">
        <w:rPr>
          <w:color w:val="auto"/>
        </w:rPr>
        <w:t>, S11-20.</w:t>
      </w:r>
    </w:p>
    <w:p w14:paraId="7257FAA6" w14:textId="643F96EF" w:rsidR="00F6404E" w:rsidRPr="004B4C59" w:rsidRDefault="003940FD" w:rsidP="00C51805">
      <w:pPr>
        <w:pStyle w:val="MDPI71References"/>
        <w:rPr>
          <w:color w:val="auto"/>
        </w:rPr>
      </w:pPr>
      <w:r w:rsidRPr="004B4C59">
        <w:rPr>
          <w:color w:val="auto"/>
        </w:rPr>
        <w:t>Health Promotion Board. A Mum</w:t>
      </w:r>
      <w:r w:rsidR="00C51805" w:rsidRPr="004B4C59">
        <w:rPr>
          <w:color w:val="auto"/>
        </w:rPr>
        <w:t>’</w:t>
      </w:r>
      <w:r w:rsidRPr="004B4C59">
        <w:rPr>
          <w:color w:val="auto"/>
        </w:rPr>
        <w:t>s Guide to Early Childhood N</w:t>
      </w:r>
      <w:r w:rsidR="00F6404E" w:rsidRPr="004B4C59">
        <w:rPr>
          <w:color w:val="auto"/>
        </w:rPr>
        <w:t>utrition (6-12 months). Singapore, 2017.</w:t>
      </w:r>
    </w:p>
    <w:p w14:paraId="555A6518" w14:textId="44F3D683" w:rsidR="0049287C" w:rsidRPr="00662262" w:rsidRDefault="0049287C" w:rsidP="00C51805">
      <w:pPr>
        <w:pStyle w:val="MDPI71References"/>
        <w:rPr>
          <w:color w:val="auto"/>
        </w:rPr>
      </w:pPr>
      <w:r w:rsidRPr="004B4C59">
        <w:rPr>
          <w:color w:val="auto"/>
        </w:rPr>
        <w:t>Soh, S.-E.; Tint, M.T.; Gluckman, P.D.; Godfrey, K.M.; Rifkin-Graboi, A.; Chan, Y.H.; Stünkel, W.; Holbrook, J.D.; Kwek, K.; Chong,</w:t>
      </w:r>
      <w:r w:rsidRPr="00662262">
        <w:rPr>
          <w:color w:val="auto"/>
        </w:rPr>
        <w:t xml:space="preserve"> Y.-S. Cohort profile: Growing </w:t>
      </w:r>
      <w:r w:rsidR="00781D2D" w:rsidRPr="00662262">
        <w:rPr>
          <w:color w:val="auto"/>
        </w:rPr>
        <w:t>U</w:t>
      </w:r>
      <w:r w:rsidRPr="00662262">
        <w:rPr>
          <w:color w:val="auto"/>
        </w:rPr>
        <w:t xml:space="preserve">p in </w:t>
      </w:r>
      <w:r w:rsidR="00781D2D" w:rsidRPr="00662262">
        <w:rPr>
          <w:color w:val="auto"/>
        </w:rPr>
        <w:t>S</w:t>
      </w:r>
      <w:r w:rsidRPr="00662262">
        <w:rPr>
          <w:color w:val="auto"/>
        </w:rPr>
        <w:t xml:space="preserve">ingapore towards healthy </w:t>
      </w:r>
      <w:r w:rsidR="00781D2D" w:rsidRPr="00662262">
        <w:rPr>
          <w:color w:val="auto"/>
        </w:rPr>
        <w:t>O</w:t>
      </w:r>
      <w:r w:rsidRPr="00662262">
        <w:rPr>
          <w:color w:val="auto"/>
        </w:rPr>
        <w:t>utcomes (</w:t>
      </w:r>
      <w:r w:rsidR="00781D2D" w:rsidRPr="00662262">
        <w:rPr>
          <w:color w:val="auto"/>
        </w:rPr>
        <w:t>GUSTO</w:t>
      </w:r>
      <w:r w:rsidRPr="00662262">
        <w:rPr>
          <w:color w:val="auto"/>
        </w:rPr>
        <w:t xml:space="preserve">) birth cohort study. </w:t>
      </w:r>
      <w:r w:rsidRPr="00662262">
        <w:rPr>
          <w:i/>
          <w:color w:val="auto"/>
        </w:rPr>
        <w:t xml:space="preserve">International Journal of Epidemiology </w:t>
      </w:r>
      <w:r w:rsidRPr="00662262">
        <w:rPr>
          <w:b/>
          <w:color w:val="auto"/>
        </w:rPr>
        <w:t>2013</w:t>
      </w:r>
      <w:r w:rsidRPr="00662262">
        <w:rPr>
          <w:color w:val="auto"/>
        </w:rPr>
        <w:t>, dyt125.</w:t>
      </w:r>
    </w:p>
    <w:p w14:paraId="07E5286F" w14:textId="59793E5F" w:rsidR="0049287C" w:rsidRPr="00662262" w:rsidRDefault="0049287C" w:rsidP="00C51805">
      <w:pPr>
        <w:pStyle w:val="MDPI71References"/>
        <w:rPr>
          <w:color w:val="auto"/>
        </w:rPr>
      </w:pPr>
      <w:r w:rsidRPr="00662262">
        <w:rPr>
          <w:color w:val="auto"/>
        </w:rPr>
        <w:t xml:space="preserve">Conway, J.M.; Ingwersen, L.A.; Vinyard, B.T.; Moshfegh, A.J. Effectiveness of the </w:t>
      </w:r>
      <w:r w:rsidR="00781D2D" w:rsidRPr="00662262">
        <w:rPr>
          <w:color w:val="auto"/>
        </w:rPr>
        <w:t>US</w:t>
      </w:r>
      <w:r w:rsidRPr="00662262">
        <w:rPr>
          <w:color w:val="auto"/>
        </w:rPr>
        <w:t xml:space="preserve"> department of agriculture 5-step multiple-pass method in assessing food intake in obese and nonobese women. </w:t>
      </w:r>
      <w:r w:rsidRPr="00662262">
        <w:rPr>
          <w:i/>
          <w:color w:val="auto"/>
        </w:rPr>
        <w:t xml:space="preserve">The American Journal of Clinical Nutrition </w:t>
      </w:r>
      <w:r w:rsidRPr="00662262">
        <w:rPr>
          <w:b/>
          <w:color w:val="auto"/>
        </w:rPr>
        <w:t>2003</w:t>
      </w:r>
      <w:r w:rsidRPr="00662262">
        <w:rPr>
          <w:color w:val="auto"/>
        </w:rPr>
        <w:t xml:space="preserve">, </w:t>
      </w:r>
      <w:r w:rsidRPr="00662262">
        <w:rPr>
          <w:i/>
          <w:color w:val="auto"/>
        </w:rPr>
        <w:t>77</w:t>
      </w:r>
      <w:r w:rsidRPr="00662262">
        <w:rPr>
          <w:color w:val="auto"/>
        </w:rPr>
        <w:t>, 1171-1178.</w:t>
      </w:r>
    </w:p>
    <w:p w14:paraId="7D4CCE36" w14:textId="1B5ABA1A" w:rsidR="0049287C" w:rsidRPr="00662262" w:rsidRDefault="0049287C" w:rsidP="00C51805">
      <w:pPr>
        <w:pStyle w:val="MDPI71References"/>
        <w:rPr>
          <w:color w:val="auto"/>
        </w:rPr>
      </w:pPr>
      <w:r w:rsidRPr="00662262">
        <w:rPr>
          <w:color w:val="auto"/>
        </w:rPr>
        <w:t xml:space="preserve">Lim, G.H.; Toh, J.Y.; Aris, I.M.; Chia, A.-R.; Han, W.M.; Saw, S.M.; Godfrey, K.M.; Gluckman, P.D.; Chong, Y.-S.; Yap, F. Dietary pattern trajectories from 6 to 12 months of age in a multi-ethnic </w:t>
      </w:r>
      <w:r w:rsidR="00781D2D" w:rsidRPr="00662262">
        <w:rPr>
          <w:color w:val="auto"/>
        </w:rPr>
        <w:t>A</w:t>
      </w:r>
      <w:r w:rsidRPr="00662262">
        <w:rPr>
          <w:color w:val="auto"/>
        </w:rPr>
        <w:t xml:space="preserve">sian cohort. </w:t>
      </w:r>
      <w:r w:rsidRPr="00662262">
        <w:rPr>
          <w:i/>
          <w:color w:val="auto"/>
        </w:rPr>
        <w:t xml:space="preserve">Nutrients </w:t>
      </w:r>
      <w:r w:rsidRPr="00662262">
        <w:rPr>
          <w:b/>
          <w:color w:val="auto"/>
        </w:rPr>
        <w:t>2016</w:t>
      </w:r>
      <w:r w:rsidRPr="00662262">
        <w:rPr>
          <w:color w:val="auto"/>
        </w:rPr>
        <w:t xml:space="preserve">, </w:t>
      </w:r>
      <w:r w:rsidRPr="00662262">
        <w:rPr>
          <w:i/>
          <w:color w:val="auto"/>
        </w:rPr>
        <w:t>8</w:t>
      </w:r>
      <w:r w:rsidRPr="00662262">
        <w:rPr>
          <w:color w:val="auto"/>
        </w:rPr>
        <w:t>, 365.</w:t>
      </w:r>
    </w:p>
    <w:p w14:paraId="068FEE0C" w14:textId="02A22707" w:rsidR="0049287C" w:rsidRPr="00662262" w:rsidRDefault="0049287C" w:rsidP="00C51805">
      <w:pPr>
        <w:pStyle w:val="MDPI71References"/>
        <w:rPr>
          <w:color w:val="auto"/>
        </w:rPr>
      </w:pPr>
      <w:r w:rsidRPr="00662262">
        <w:rPr>
          <w:color w:val="auto"/>
        </w:rPr>
        <w:t xml:space="preserve">Ponza, M.; Devaney, B.; Ziegler, P.; Reidy, K.; Squatrito, C. Nutrient intakes and food choices of infants and toddlers participating in </w:t>
      </w:r>
      <w:r w:rsidR="00781D2D" w:rsidRPr="00662262">
        <w:rPr>
          <w:color w:val="auto"/>
        </w:rPr>
        <w:t>WIC</w:t>
      </w:r>
      <w:r w:rsidRPr="00662262">
        <w:rPr>
          <w:color w:val="auto"/>
        </w:rPr>
        <w:t xml:space="preserve">. </w:t>
      </w:r>
      <w:r w:rsidRPr="00662262">
        <w:rPr>
          <w:i/>
          <w:color w:val="auto"/>
        </w:rPr>
        <w:t xml:space="preserve">Journal of the American Dietetic Association </w:t>
      </w:r>
      <w:r w:rsidRPr="00662262">
        <w:rPr>
          <w:b/>
          <w:color w:val="auto"/>
        </w:rPr>
        <w:t>2004</w:t>
      </w:r>
      <w:r w:rsidRPr="00662262">
        <w:rPr>
          <w:color w:val="auto"/>
        </w:rPr>
        <w:t xml:space="preserve">, </w:t>
      </w:r>
      <w:r w:rsidRPr="00662262">
        <w:rPr>
          <w:i/>
          <w:color w:val="auto"/>
        </w:rPr>
        <w:t>104</w:t>
      </w:r>
      <w:r w:rsidRPr="00662262">
        <w:rPr>
          <w:color w:val="auto"/>
        </w:rPr>
        <w:t>, 71-79.</w:t>
      </w:r>
    </w:p>
    <w:p w14:paraId="5AAC02B9" w14:textId="77777777" w:rsidR="0049287C" w:rsidRPr="00662262" w:rsidRDefault="0049287C" w:rsidP="00C51805">
      <w:pPr>
        <w:pStyle w:val="MDPI71References"/>
        <w:rPr>
          <w:color w:val="auto"/>
        </w:rPr>
      </w:pPr>
      <w:r w:rsidRPr="00662262">
        <w:rPr>
          <w:color w:val="auto"/>
        </w:rPr>
        <w:t xml:space="preserve">Dewey, K.G.; Finley, D.A.; Lonnerdal, B. Breast milk volume and composition during late lactation (7-20 months). </w:t>
      </w:r>
      <w:r w:rsidRPr="00662262">
        <w:rPr>
          <w:i/>
          <w:color w:val="auto"/>
        </w:rPr>
        <w:t xml:space="preserve">Journal of Pediatric Gastroenterology and Nutrition </w:t>
      </w:r>
      <w:r w:rsidRPr="00662262">
        <w:rPr>
          <w:b/>
          <w:color w:val="auto"/>
        </w:rPr>
        <w:t>1984</w:t>
      </w:r>
      <w:r w:rsidRPr="00662262">
        <w:rPr>
          <w:color w:val="auto"/>
        </w:rPr>
        <w:t xml:space="preserve">, </w:t>
      </w:r>
      <w:r w:rsidRPr="00662262">
        <w:rPr>
          <w:i/>
          <w:color w:val="auto"/>
        </w:rPr>
        <w:t>3</w:t>
      </w:r>
      <w:r w:rsidRPr="00662262">
        <w:rPr>
          <w:color w:val="auto"/>
        </w:rPr>
        <w:t>, 713-720.</w:t>
      </w:r>
    </w:p>
    <w:p w14:paraId="13F14E2C" w14:textId="5C9EF9DB" w:rsidR="0049287C" w:rsidRPr="00662262" w:rsidRDefault="0049287C" w:rsidP="00C51805">
      <w:pPr>
        <w:pStyle w:val="MDPI71References"/>
        <w:rPr>
          <w:color w:val="auto"/>
        </w:rPr>
      </w:pPr>
      <w:r w:rsidRPr="00662262">
        <w:rPr>
          <w:color w:val="auto"/>
        </w:rPr>
        <w:t xml:space="preserve">Chong, M.F.-F.; Chia, A.-R.; Colega, M.; Tint, M.-T.; Aris, I.M.; Chong, Y.-S.; Gluckman, P.; Godfrey, K.M.; Kwek, K.; Saw, S.-M. Maternal protein intake during pregnancy is not associated with offspring birth weight in a multiethnic </w:t>
      </w:r>
      <w:r w:rsidR="00781D2D" w:rsidRPr="00662262">
        <w:rPr>
          <w:color w:val="auto"/>
        </w:rPr>
        <w:t>A</w:t>
      </w:r>
      <w:r w:rsidRPr="00662262">
        <w:rPr>
          <w:color w:val="auto"/>
        </w:rPr>
        <w:t xml:space="preserve">sian population. </w:t>
      </w:r>
      <w:r w:rsidRPr="00662262">
        <w:rPr>
          <w:i/>
          <w:color w:val="auto"/>
        </w:rPr>
        <w:t xml:space="preserve">The Journal of </w:t>
      </w:r>
      <w:r w:rsidR="00781D2D" w:rsidRPr="00662262">
        <w:rPr>
          <w:i/>
          <w:color w:val="auto"/>
        </w:rPr>
        <w:t>N</w:t>
      </w:r>
      <w:r w:rsidRPr="00662262">
        <w:rPr>
          <w:i/>
          <w:color w:val="auto"/>
        </w:rPr>
        <w:t xml:space="preserve">utrition </w:t>
      </w:r>
      <w:r w:rsidRPr="00662262">
        <w:rPr>
          <w:b/>
          <w:color w:val="auto"/>
        </w:rPr>
        <w:t>2015</w:t>
      </w:r>
      <w:r w:rsidRPr="00662262">
        <w:rPr>
          <w:color w:val="auto"/>
        </w:rPr>
        <w:t xml:space="preserve">, </w:t>
      </w:r>
      <w:r w:rsidRPr="00662262">
        <w:rPr>
          <w:i/>
          <w:color w:val="auto"/>
        </w:rPr>
        <w:t>145</w:t>
      </w:r>
      <w:r w:rsidRPr="00662262">
        <w:rPr>
          <w:color w:val="auto"/>
        </w:rPr>
        <w:t>, 1303-1310.</w:t>
      </w:r>
    </w:p>
    <w:p w14:paraId="2B50B518" w14:textId="59E43EAB" w:rsidR="0049287C" w:rsidRPr="00662262" w:rsidRDefault="0049287C" w:rsidP="00C51805">
      <w:pPr>
        <w:pStyle w:val="MDPI71References"/>
        <w:rPr>
          <w:color w:val="auto"/>
        </w:rPr>
      </w:pPr>
      <w:r w:rsidRPr="00662262">
        <w:rPr>
          <w:color w:val="auto"/>
        </w:rPr>
        <w:t xml:space="preserve">United States Department of Agriculture Agricultural Research Service (USDA) </w:t>
      </w:r>
      <w:r w:rsidR="00781D2D" w:rsidRPr="00662262">
        <w:rPr>
          <w:color w:val="auto"/>
        </w:rPr>
        <w:t xml:space="preserve">USDA </w:t>
      </w:r>
      <w:r w:rsidRPr="00662262">
        <w:rPr>
          <w:color w:val="auto"/>
        </w:rPr>
        <w:t xml:space="preserve">food composition databases. https://ndb.nal.usda.gov/ndb/search/list </w:t>
      </w:r>
    </w:p>
    <w:p w14:paraId="79C277B8" w14:textId="45125361" w:rsidR="00925FEB" w:rsidRPr="00662262" w:rsidRDefault="0049287C" w:rsidP="00C51805">
      <w:pPr>
        <w:pStyle w:val="MDPI71References"/>
        <w:rPr>
          <w:color w:val="auto"/>
        </w:rPr>
      </w:pPr>
      <w:r w:rsidRPr="00662262">
        <w:rPr>
          <w:color w:val="auto"/>
        </w:rPr>
        <w:t xml:space="preserve">Krebs-Smith, S.; Kott, P.; Guenther, P. Mean proportion and population proportion: Two answers to the same question? </w:t>
      </w:r>
      <w:r w:rsidRPr="00662262">
        <w:rPr>
          <w:i/>
          <w:color w:val="auto"/>
        </w:rPr>
        <w:t xml:space="preserve">Journal of the American Dietetic Association </w:t>
      </w:r>
      <w:r w:rsidRPr="00662262">
        <w:rPr>
          <w:b/>
          <w:color w:val="auto"/>
        </w:rPr>
        <w:t>1989</w:t>
      </w:r>
      <w:r w:rsidRPr="00662262">
        <w:rPr>
          <w:color w:val="auto"/>
        </w:rPr>
        <w:t xml:space="preserve">, </w:t>
      </w:r>
      <w:r w:rsidRPr="00662262">
        <w:rPr>
          <w:i/>
          <w:color w:val="auto"/>
        </w:rPr>
        <w:t>89</w:t>
      </w:r>
      <w:r w:rsidR="00925FEB" w:rsidRPr="00662262">
        <w:rPr>
          <w:color w:val="auto"/>
        </w:rPr>
        <w:t>, 671-676.</w:t>
      </w:r>
    </w:p>
    <w:p w14:paraId="04EA3BC7" w14:textId="77777777" w:rsidR="00925FEB" w:rsidRPr="00662262" w:rsidRDefault="00925FEB" w:rsidP="00C51805">
      <w:pPr>
        <w:pStyle w:val="MDPI71References"/>
        <w:rPr>
          <w:color w:val="auto"/>
        </w:rPr>
      </w:pPr>
      <w:r w:rsidRPr="00662262">
        <w:rPr>
          <w:color w:val="auto"/>
        </w:rPr>
        <w:t xml:space="preserve">Ministry of Health Singapore. Recommended dietary allowances for normal healthy persons in Singapore (children &amp; adolescents). https://www.healthhub.sg/live-healthy/192/recommended_dietary_allowances </w:t>
      </w:r>
    </w:p>
    <w:p w14:paraId="0071CFE1" w14:textId="77777777" w:rsidR="0049287C" w:rsidRPr="00662262" w:rsidRDefault="0049287C" w:rsidP="00C51805">
      <w:pPr>
        <w:pStyle w:val="MDPI71References"/>
        <w:rPr>
          <w:color w:val="auto"/>
        </w:rPr>
      </w:pPr>
      <w:r w:rsidRPr="00662262">
        <w:rPr>
          <w:color w:val="auto"/>
        </w:rPr>
        <w:t>Institute of Medicine. Dietary reference intakes for energy, carbohydrate, fiber, fat, fatty acids, cholesterol, protein, and amino acids. The National Academies Press: Washington, DC, 2005; p 1358.</w:t>
      </w:r>
    </w:p>
    <w:p w14:paraId="36F3B17A" w14:textId="2123C90D" w:rsidR="00A73D75" w:rsidRPr="00662262" w:rsidRDefault="00A73D75" w:rsidP="00C51805">
      <w:pPr>
        <w:pStyle w:val="MDPI71References"/>
        <w:rPr>
          <w:color w:val="auto"/>
        </w:rPr>
      </w:pPr>
      <w:r w:rsidRPr="00662262">
        <w:rPr>
          <w:color w:val="auto"/>
        </w:rPr>
        <w:t xml:space="preserve">Butte, N.F.; Fox, M.K.; Briefel, R.R.; Siega-Riz, A.M.; Dwyer, J.T.; Deming, D.M.; Reidy, K.C. Nutrient intakes of </w:t>
      </w:r>
      <w:r w:rsidR="00E5505C" w:rsidRPr="00662262">
        <w:rPr>
          <w:color w:val="auto"/>
        </w:rPr>
        <w:t>US</w:t>
      </w:r>
      <w:r w:rsidRPr="00662262">
        <w:rPr>
          <w:color w:val="auto"/>
        </w:rPr>
        <w:t xml:space="preserve"> infants, toddlers, and preschoolers meet or exceed dietary reference intakes. </w:t>
      </w:r>
      <w:r w:rsidRPr="00662262">
        <w:rPr>
          <w:i/>
          <w:color w:val="auto"/>
        </w:rPr>
        <w:t xml:space="preserve">Journal of the American Dietetic Association </w:t>
      </w:r>
      <w:r w:rsidRPr="00662262">
        <w:rPr>
          <w:b/>
          <w:color w:val="auto"/>
        </w:rPr>
        <w:t>2010</w:t>
      </w:r>
      <w:r w:rsidRPr="00662262">
        <w:rPr>
          <w:color w:val="auto"/>
        </w:rPr>
        <w:t xml:space="preserve">, </w:t>
      </w:r>
      <w:r w:rsidRPr="00662262">
        <w:rPr>
          <w:i/>
          <w:color w:val="auto"/>
        </w:rPr>
        <w:t>110</w:t>
      </w:r>
      <w:r w:rsidRPr="00662262">
        <w:rPr>
          <w:color w:val="auto"/>
        </w:rPr>
        <w:t>, S27-S37.</w:t>
      </w:r>
    </w:p>
    <w:p w14:paraId="7939F6E4" w14:textId="1549C90B" w:rsidR="00E5505C" w:rsidRPr="00662262" w:rsidRDefault="00E5505C" w:rsidP="00C51805">
      <w:pPr>
        <w:pStyle w:val="MDPI71References"/>
        <w:rPr>
          <w:color w:val="auto"/>
        </w:rPr>
      </w:pPr>
      <w:r w:rsidRPr="00662262">
        <w:rPr>
          <w:color w:val="auto"/>
        </w:rPr>
        <w:t xml:space="preserve">Butte, N.F. Fat intake of children in relation to energy requirements. </w:t>
      </w:r>
      <w:r w:rsidRPr="00662262">
        <w:rPr>
          <w:i/>
          <w:color w:val="auto"/>
        </w:rPr>
        <w:t xml:space="preserve">The American Journal of Clinical Nutrition </w:t>
      </w:r>
      <w:r w:rsidRPr="00662262">
        <w:rPr>
          <w:b/>
          <w:color w:val="auto"/>
        </w:rPr>
        <w:t>2000</w:t>
      </w:r>
      <w:r w:rsidRPr="00662262">
        <w:rPr>
          <w:color w:val="auto"/>
        </w:rPr>
        <w:t xml:space="preserve">, </w:t>
      </w:r>
      <w:r w:rsidRPr="00662262">
        <w:rPr>
          <w:i/>
          <w:color w:val="auto"/>
        </w:rPr>
        <w:t>72</w:t>
      </w:r>
      <w:r w:rsidRPr="00662262">
        <w:rPr>
          <w:color w:val="auto"/>
        </w:rPr>
        <w:t>, 1246s-1252s.</w:t>
      </w:r>
    </w:p>
    <w:p w14:paraId="671D5A5D" w14:textId="4F0B922B" w:rsidR="00E5505C" w:rsidRPr="00662262" w:rsidRDefault="00E5505C" w:rsidP="00C51805">
      <w:pPr>
        <w:pStyle w:val="MDPI71References"/>
        <w:rPr>
          <w:color w:val="auto"/>
        </w:rPr>
      </w:pPr>
      <w:r w:rsidRPr="00662262">
        <w:rPr>
          <w:color w:val="auto"/>
        </w:rPr>
        <w:t>Alexy, U.; Kersting, M.; Sichert-Hellert, W.; Manz, F.; Schöch, G. Macronutrien</w:t>
      </w:r>
      <w:r w:rsidR="00781D2D" w:rsidRPr="00662262">
        <w:rPr>
          <w:color w:val="auto"/>
        </w:rPr>
        <w:t>t intake of 3- to 36-month-old G</w:t>
      </w:r>
      <w:r w:rsidRPr="00662262">
        <w:rPr>
          <w:color w:val="auto"/>
        </w:rPr>
        <w:t xml:space="preserve">erman infants and children: Results of the DONALD study. </w:t>
      </w:r>
      <w:r w:rsidRPr="00662262">
        <w:rPr>
          <w:i/>
          <w:color w:val="auto"/>
        </w:rPr>
        <w:t xml:space="preserve">Annals of Nutrition and Metabolism </w:t>
      </w:r>
      <w:r w:rsidRPr="00662262">
        <w:rPr>
          <w:b/>
          <w:color w:val="auto"/>
        </w:rPr>
        <w:t>1999</w:t>
      </w:r>
      <w:r w:rsidRPr="00662262">
        <w:rPr>
          <w:color w:val="auto"/>
        </w:rPr>
        <w:t xml:space="preserve">, </w:t>
      </w:r>
      <w:r w:rsidRPr="00662262">
        <w:rPr>
          <w:i/>
          <w:color w:val="auto"/>
        </w:rPr>
        <w:t>43</w:t>
      </w:r>
      <w:r w:rsidRPr="00662262">
        <w:rPr>
          <w:color w:val="auto"/>
        </w:rPr>
        <w:t>, 14-22.</w:t>
      </w:r>
    </w:p>
    <w:p w14:paraId="646A4DED" w14:textId="77777777" w:rsidR="000614B7" w:rsidRPr="00662262" w:rsidRDefault="000614B7" w:rsidP="00C51805">
      <w:pPr>
        <w:pStyle w:val="MDPI71References"/>
        <w:rPr>
          <w:color w:val="auto"/>
        </w:rPr>
      </w:pPr>
      <w:r w:rsidRPr="00662262">
        <w:rPr>
          <w:color w:val="auto"/>
        </w:rPr>
        <w:t xml:space="preserve">Gondolf, U.H.; Tetens, I.; Michaelsen, K.F.; Trolle, E. Dietary habits of partly breast-fed and completely weaned infants at 9 months of age. </w:t>
      </w:r>
      <w:r w:rsidRPr="00662262">
        <w:rPr>
          <w:i/>
          <w:color w:val="auto"/>
        </w:rPr>
        <w:t xml:space="preserve">Public Health Nutrition </w:t>
      </w:r>
      <w:r w:rsidRPr="00662262">
        <w:rPr>
          <w:b/>
          <w:color w:val="auto"/>
        </w:rPr>
        <w:t>2012</w:t>
      </w:r>
      <w:r w:rsidRPr="00662262">
        <w:rPr>
          <w:color w:val="auto"/>
        </w:rPr>
        <w:t xml:space="preserve">, </w:t>
      </w:r>
      <w:r w:rsidRPr="00662262">
        <w:rPr>
          <w:i/>
          <w:color w:val="auto"/>
        </w:rPr>
        <w:t>15</w:t>
      </w:r>
      <w:r w:rsidRPr="00662262">
        <w:rPr>
          <w:color w:val="auto"/>
        </w:rPr>
        <w:t>, 578-586.</w:t>
      </w:r>
    </w:p>
    <w:p w14:paraId="16420D33" w14:textId="09F34F8B" w:rsidR="000614B7" w:rsidRPr="00662262" w:rsidRDefault="000614B7" w:rsidP="00C51805">
      <w:pPr>
        <w:pStyle w:val="MDPI71References"/>
        <w:rPr>
          <w:color w:val="auto"/>
        </w:rPr>
      </w:pPr>
      <w:r w:rsidRPr="00662262">
        <w:rPr>
          <w:color w:val="auto"/>
        </w:rPr>
        <w:t xml:space="preserve">Conn, J.A.; Davies, M.J.; Walker, R.B.; Moore, V.M. Food and nutrient intakes of 9-month-old infants in Adelaide, Australia. </w:t>
      </w:r>
      <w:r w:rsidRPr="00662262">
        <w:rPr>
          <w:i/>
          <w:color w:val="auto"/>
        </w:rPr>
        <w:t xml:space="preserve">Public Health Nutrition </w:t>
      </w:r>
      <w:r w:rsidRPr="00662262">
        <w:rPr>
          <w:b/>
          <w:color w:val="auto"/>
        </w:rPr>
        <w:t>2009</w:t>
      </w:r>
      <w:r w:rsidRPr="00662262">
        <w:rPr>
          <w:color w:val="auto"/>
        </w:rPr>
        <w:t xml:space="preserve">, </w:t>
      </w:r>
      <w:r w:rsidRPr="00662262">
        <w:rPr>
          <w:i/>
          <w:color w:val="auto"/>
        </w:rPr>
        <w:t>12</w:t>
      </w:r>
      <w:r w:rsidRPr="00662262">
        <w:rPr>
          <w:color w:val="auto"/>
        </w:rPr>
        <w:t>, 2448-2456.</w:t>
      </w:r>
    </w:p>
    <w:p w14:paraId="307B04B7" w14:textId="001AF66D" w:rsidR="0049287C" w:rsidRPr="00662262" w:rsidRDefault="0049287C" w:rsidP="00C51805">
      <w:pPr>
        <w:pStyle w:val="MDPI71References"/>
        <w:rPr>
          <w:color w:val="auto"/>
        </w:rPr>
      </w:pPr>
      <w:r w:rsidRPr="00662262">
        <w:rPr>
          <w:color w:val="auto"/>
        </w:rPr>
        <w:t xml:space="preserve">Grimes, C.A.; Szymlek-Gay, E.A.; Campbell, K.J.; Nicklas, T.A. Food sources of total energy and nutrients among </w:t>
      </w:r>
      <w:r w:rsidR="00781D2D" w:rsidRPr="00662262">
        <w:rPr>
          <w:color w:val="auto"/>
        </w:rPr>
        <w:t>U</w:t>
      </w:r>
      <w:r w:rsidRPr="00662262">
        <w:rPr>
          <w:color w:val="auto"/>
        </w:rPr>
        <w:t xml:space="preserve">.S. Infants and toddlers: National </w:t>
      </w:r>
      <w:r w:rsidR="003E3058">
        <w:rPr>
          <w:color w:val="auto"/>
        </w:rPr>
        <w:t>H</w:t>
      </w:r>
      <w:r w:rsidRPr="00662262">
        <w:rPr>
          <w:color w:val="auto"/>
        </w:rPr>
        <w:t xml:space="preserve">ealth and </w:t>
      </w:r>
      <w:r w:rsidR="003E3058">
        <w:rPr>
          <w:color w:val="auto"/>
        </w:rPr>
        <w:t>N</w:t>
      </w:r>
      <w:r w:rsidRPr="00662262">
        <w:rPr>
          <w:color w:val="auto"/>
        </w:rPr>
        <w:t xml:space="preserve">utrition </w:t>
      </w:r>
      <w:r w:rsidR="003E3058">
        <w:rPr>
          <w:color w:val="auto"/>
        </w:rPr>
        <w:t>E</w:t>
      </w:r>
      <w:r w:rsidRPr="00662262">
        <w:rPr>
          <w:color w:val="auto"/>
        </w:rPr>
        <w:t xml:space="preserve">xamination </w:t>
      </w:r>
      <w:r w:rsidR="003E3058">
        <w:rPr>
          <w:color w:val="auto"/>
        </w:rPr>
        <w:t>S</w:t>
      </w:r>
      <w:r w:rsidRPr="00662262">
        <w:rPr>
          <w:color w:val="auto"/>
        </w:rPr>
        <w:t xml:space="preserve">urvey 2005-2012. </w:t>
      </w:r>
      <w:r w:rsidRPr="00662262">
        <w:rPr>
          <w:i/>
          <w:color w:val="auto"/>
        </w:rPr>
        <w:t xml:space="preserve">Nutrients </w:t>
      </w:r>
      <w:r w:rsidRPr="00662262">
        <w:rPr>
          <w:b/>
          <w:color w:val="auto"/>
        </w:rPr>
        <w:t>2015</w:t>
      </w:r>
      <w:r w:rsidRPr="00662262">
        <w:rPr>
          <w:color w:val="auto"/>
        </w:rPr>
        <w:t xml:space="preserve">, </w:t>
      </w:r>
      <w:r w:rsidRPr="00662262">
        <w:rPr>
          <w:i/>
          <w:color w:val="auto"/>
        </w:rPr>
        <w:t>7</w:t>
      </w:r>
      <w:r w:rsidRPr="00662262">
        <w:rPr>
          <w:color w:val="auto"/>
        </w:rPr>
        <w:t>, 6797-6836.</w:t>
      </w:r>
    </w:p>
    <w:p w14:paraId="37AB606A" w14:textId="77777777" w:rsidR="00546AC8" w:rsidRPr="00662262" w:rsidRDefault="0049287C" w:rsidP="00C51805">
      <w:pPr>
        <w:pStyle w:val="MDPI71References"/>
        <w:rPr>
          <w:color w:val="auto"/>
        </w:rPr>
      </w:pPr>
      <w:r w:rsidRPr="00662262">
        <w:rPr>
          <w:color w:val="auto"/>
        </w:rPr>
        <w:t xml:space="preserve">Prentice, A.M.; Paul, A.A. Fat and energy needs of children in developing countries. </w:t>
      </w:r>
      <w:r w:rsidRPr="00662262">
        <w:rPr>
          <w:i/>
          <w:color w:val="auto"/>
        </w:rPr>
        <w:t xml:space="preserve">The American Journal of Clinical Nutrition </w:t>
      </w:r>
      <w:r w:rsidRPr="00662262">
        <w:rPr>
          <w:b/>
          <w:color w:val="auto"/>
        </w:rPr>
        <w:t>2000</w:t>
      </w:r>
      <w:r w:rsidRPr="00662262">
        <w:rPr>
          <w:color w:val="auto"/>
        </w:rPr>
        <w:t xml:space="preserve">, </w:t>
      </w:r>
      <w:r w:rsidRPr="00662262">
        <w:rPr>
          <w:i/>
          <w:color w:val="auto"/>
        </w:rPr>
        <w:t>72</w:t>
      </w:r>
      <w:r w:rsidRPr="00662262">
        <w:rPr>
          <w:color w:val="auto"/>
        </w:rPr>
        <w:t>, 1253s-1265s.</w:t>
      </w:r>
      <w:r w:rsidR="00546AC8" w:rsidRPr="00662262">
        <w:rPr>
          <w:color w:val="auto"/>
        </w:rPr>
        <w:t xml:space="preserve"> </w:t>
      </w:r>
    </w:p>
    <w:p w14:paraId="03225BDB" w14:textId="12D1D5D7" w:rsidR="00546AC8" w:rsidRPr="00662262" w:rsidRDefault="00546AC8" w:rsidP="00C51805">
      <w:pPr>
        <w:pStyle w:val="MDPI71References"/>
        <w:rPr>
          <w:color w:val="auto"/>
        </w:rPr>
      </w:pPr>
      <w:r w:rsidRPr="00662262">
        <w:rPr>
          <w:color w:val="auto"/>
        </w:rPr>
        <w:t xml:space="preserve">Rodriguez-Ramirez, S.; Munoz-Espinosa, A.; Rivera, J.A.; Gonzalez-Castell, D.; Gonzalez de Cosio, T. Mexican children under 2 years of age consume food groups high in energy and low in micronutrients. </w:t>
      </w:r>
      <w:r w:rsidR="00781D2D" w:rsidRPr="00662262">
        <w:rPr>
          <w:i/>
          <w:color w:val="auto"/>
        </w:rPr>
        <w:t>The Journal of N</w:t>
      </w:r>
      <w:r w:rsidRPr="00662262">
        <w:rPr>
          <w:i/>
          <w:color w:val="auto"/>
        </w:rPr>
        <w:t xml:space="preserve">utrition </w:t>
      </w:r>
      <w:r w:rsidRPr="00662262">
        <w:rPr>
          <w:b/>
          <w:color w:val="auto"/>
        </w:rPr>
        <w:t>2016</w:t>
      </w:r>
      <w:r w:rsidRPr="00662262">
        <w:rPr>
          <w:color w:val="auto"/>
        </w:rPr>
        <w:t xml:space="preserve">, </w:t>
      </w:r>
      <w:r w:rsidRPr="00662262">
        <w:rPr>
          <w:i/>
          <w:color w:val="auto"/>
        </w:rPr>
        <w:t>146</w:t>
      </w:r>
      <w:r w:rsidRPr="00662262">
        <w:rPr>
          <w:color w:val="auto"/>
        </w:rPr>
        <w:t xml:space="preserve">, 1916s-1923s. </w:t>
      </w:r>
    </w:p>
    <w:p w14:paraId="60FB2031" w14:textId="4E313D99" w:rsidR="00FC320D" w:rsidRPr="00662262" w:rsidRDefault="00FC320D" w:rsidP="00C51805">
      <w:pPr>
        <w:pStyle w:val="MDPI71References"/>
        <w:rPr>
          <w:color w:val="auto"/>
        </w:rPr>
      </w:pPr>
      <w:r w:rsidRPr="00662262">
        <w:rPr>
          <w:color w:val="auto"/>
        </w:rPr>
        <w:t>Ganesan, G., DELIVERIES IN SINGAPORE VOLUME AND RESOURCES. 2004, Ministry of Health information paper.</w:t>
      </w:r>
    </w:p>
    <w:p w14:paraId="7DB033FB" w14:textId="47094FFE" w:rsidR="00D56703" w:rsidRPr="00662262" w:rsidRDefault="00D56703" w:rsidP="00C51805">
      <w:pPr>
        <w:pStyle w:val="MDPI71References"/>
        <w:rPr>
          <w:color w:val="auto"/>
        </w:rPr>
      </w:pPr>
      <w:r w:rsidRPr="00662262">
        <w:rPr>
          <w:color w:val="auto"/>
        </w:rPr>
        <w:lastRenderedPageBreak/>
        <w:t>Tham, E.H.; Lee, B.W.; Chan, Y.H.; Loo, E.X.L.; Toh, J.Y.; Goh, A.; Teoh, O.H.; Yap, F.; Tan, K.H.; Godfrey, K.M., et al. Low food allergy prevalence despite delayed introduction of allergenic foods-d</w:t>
      </w:r>
      <w:r w:rsidR="00781D2D" w:rsidRPr="00662262">
        <w:rPr>
          <w:color w:val="auto"/>
        </w:rPr>
        <w:t>ata from the gusto cohort. The Journal of Allergy and Clinical I</w:t>
      </w:r>
      <w:r w:rsidRPr="00662262">
        <w:rPr>
          <w:color w:val="auto"/>
        </w:rPr>
        <w:t>mmunology. In practice 2017.</w:t>
      </w:r>
    </w:p>
    <w:p w14:paraId="438FBDF6" w14:textId="081DD7A0" w:rsidR="00D223C5" w:rsidRPr="00662262" w:rsidRDefault="00D223C5" w:rsidP="00C51805">
      <w:pPr>
        <w:pStyle w:val="MDPI71References"/>
        <w:rPr>
          <w:color w:val="auto"/>
        </w:rPr>
      </w:pPr>
      <w:r w:rsidRPr="00662262">
        <w:rPr>
          <w:color w:val="auto"/>
        </w:rPr>
        <w:t xml:space="preserve">James, D.C. and R. Lessen, Position of the American Dietetic Association: promoting and supporting breastfeeding. J Am Diet Assoc, 2009. </w:t>
      </w:r>
      <w:r w:rsidRPr="00662262">
        <w:rPr>
          <w:b/>
          <w:color w:val="auto"/>
        </w:rPr>
        <w:t>109</w:t>
      </w:r>
      <w:r w:rsidRPr="00662262">
        <w:rPr>
          <w:color w:val="auto"/>
        </w:rPr>
        <w:t>(11): p. 1926-42.</w:t>
      </w:r>
    </w:p>
    <w:p w14:paraId="18D167A2" w14:textId="77777777" w:rsidR="00951D36" w:rsidRPr="00662262" w:rsidRDefault="00951D36" w:rsidP="00C51805">
      <w:pPr>
        <w:pStyle w:val="MDPI71References"/>
        <w:rPr>
          <w:color w:val="auto"/>
        </w:rPr>
      </w:pPr>
      <w:r w:rsidRPr="00662262">
        <w:rPr>
          <w:color w:val="auto"/>
        </w:rPr>
        <w:t xml:space="preserve">Mennella, J.A., et al., Early milk feeding influences taste acceptance and liking during infancy. Am J Clin Nutr, 2009. </w:t>
      </w:r>
      <w:r w:rsidRPr="00662262">
        <w:rPr>
          <w:b/>
          <w:color w:val="auto"/>
        </w:rPr>
        <w:t>90</w:t>
      </w:r>
      <w:r w:rsidRPr="00662262">
        <w:rPr>
          <w:color w:val="auto"/>
        </w:rPr>
        <w:t>(3): p. 780s-788s.</w:t>
      </w:r>
    </w:p>
    <w:p w14:paraId="7C77532A" w14:textId="77777777" w:rsidR="00D223C5" w:rsidRPr="00662262" w:rsidRDefault="00D223C5" w:rsidP="00C51805">
      <w:pPr>
        <w:pStyle w:val="MDPI71References"/>
        <w:rPr>
          <w:color w:val="auto"/>
        </w:rPr>
      </w:pPr>
      <w:r w:rsidRPr="00662262">
        <w:rPr>
          <w:color w:val="auto"/>
        </w:rPr>
        <w:t xml:space="preserve">Ministry of Health Singapore. </w:t>
      </w:r>
      <w:r w:rsidRPr="00662262">
        <w:rPr>
          <w:i/>
          <w:color w:val="auto"/>
        </w:rPr>
        <w:t>Baby-friendly Hospital Initiative</w:t>
      </w:r>
      <w:r w:rsidRPr="00662262">
        <w:rPr>
          <w:color w:val="auto"/>
        </w:rPr>
        <w:t>. 2013; Available from: https://www.moh.gov.sg/content/moh_web/home/pressRoom/Parliamentary_QA/2013/baby-friendly-hospital-initiative.html.</w:t>
      </w:r>
    </w:p>
    <w:p w14:paraId="6DA243C2" w14:textId="214D91B1" w:rsidR="00D223C5" w:rsidRPr="00662262" w:rsidRDefault="00D223C5" w:rsidP="00C51805">
      <w:pPr>
        <w:pStyle w:val="MDPI71References"/>
        <w:rPr>
          <w:color w:val="auto"/>
        </w:rPr>
      </w:pPr>
      <w:r w:rsidRPr="00662262">
        <w:rPr>
          <w:color w:val="auto"/>
        </w:rPr>
        <w:t>Centers for Disease Control and Prevention, Strategies to Prevent Obesity and Other Chronic Diseases: The CDC Guide to Strategies to Support Breastfeeding Mothers and Babies, U.S. Department of Health and Human Services, Editor. 2013: Atlanta.</w:t>
      </w:r>
    </w:p>
    <w:p w14:paraId="2ED9344A" w14:textId="77777777" w:rsidR="00A01504" w:rsidRPr="00662262" w:rsidRDefault="00483D9B" w:rsidP="00C51805">
      <w:pPr>
        <w:suppressLineNumbers/>
        <w:adjustRightInd w:val="0"/>
        <w:snapToGrid w:val="0"/>
        <w:spacing w:before="240" w:line="260" w:lineRule="atLeast"/>
        <w:rPr>
          <w:rFonts w:ascii="Palatino Linotype" w:hAnsi="Palatino Linotype"/>
          <w:snapToGrid w:val="0"/>
          <w:color w:val="auto"/>
          <w:sz w:val="18"/>
          <w:szCs w:val="18"/>
          <w:lang w:bidi="en-US"/>
        </w:rPr>
      </w:pPr>
      <w:bookmarkStart w:id="1" w:name="OLE_LINK3"/>
      <w:r w:rsidRPr="00662262">
        <w:rPr>
          <w:rFonts w:ascii="Palatino Linotype" w:hAnsi="Palatino Linotype"/>
          <w:noProof/>
          <w:snapToGrid w:val="0"/>
          <w:color w:val="auto"/>
          <w:sz w:val="18"/>
          <w:szCs w:val="18"/>
          <w:lang w:val="en-GB" w:eastAsia="en-GB"/>
        </w:rPr>
        <w:drawing>
          <wp:anchor distT="0" distB="0" distL="114300" distR="114300" simplePos="0" relativeHeight="251657728" behindDoc="1" locked="0" layoutInCell="1" allowOverlap="1" wp14:anchorId="4393DA66" wp14:editId="5D173D57">
            <wp:simplePos x="0" y="0"/>
            <wp:positionH relativeFrom="margin">
              <wp:align>left</wp:align>
            </wp:positionH>
            <wp:positionV relativeFrom="paragraph">
              <wp:posOffset>206187</wp:posOffset>
            </wp:positionV>
            <wp:extent cx="1000800" cy="360000"/>
            <wp:effectExtent l="0" t="0" r="0" b="2540"/>
            <wp:wrapTight wrapText="bothSides">
              <wp:wrapPolygon edited="0">
                <wp:start x="0" y="0"/>
                <wp:lineTo x="0" y="20608"/>
                <wp:lineTo x="20970" y="20608"/>
                <wp:lineTo x="20970" y="0"/>
                <wp:lineTo x="0" y="0"/>
              </wp:wrapPolygon>
            </wp:wrapTight>
            <wp:docPr id="4" name="Picture 6" descr="H:\documents\layout\new template June 2014\figures\CC-BY logo original v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cuments\layout\new template June 2014\figures\CC-BY logo original v1.wm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30" r="1488"/>
                    <a:stretch/>
                  </pic:blipFill>
                  <pic:spPr bwMode="auto">
                    <a:xfrm>
                      <a:off x="0" y="0"/>
                      <a:ext cx="1000800"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662262">
        <w:rPr>
          <w:rFonts w:ascii="Palatino Linotype" w:hAnsi="Palatino Linotype"/>
          <w:snapToGrid w:val="0"/>
          <w:color w:val="auto"/>
          <w:sz w:val="18"/>
          <w:szCs w:val="18"/>
          <w:lang w:bidi="en-US"/>
        </w:rPr>
        <w:t xml:space="preserve">© 2018 by the authors. Submitted for possible open access publication under the </w:t>
      </w:r>
      <w:r w:rsidRPr="00662262">
        <w:rPr>
          <w:rFonts w:ascii="Palatino Linotype" w:hAnsi="Palatino Linotype"/>
          <w:snapToGrid w:val="0"/>
          <w:color w:val="auto"/>
          <w:sz w:val="18"/>
          <w:szCs w:val="18"/>
          <w:lang w:bidi="en-US"/>
        </w:rPr>
        <w:br/>
        <w:t>terms and conditions of the Creative Commons Attribution (CC BY) license (http://creativecommons.org/licenses/by/4.0/).</w:t>
      </w:r>
      <w:bookmarkEnd w:id="1"/>
    </w:p>
    <w:sectPr w:rsidR="00A01504" w:rsidRPr="00662262" w:rsidSect="00771AC1">
      <w:headerReference w:type="default" r:id="rId20"/>
      <w:headerReference w:type="first" r:id="rId21"/>
      <w:pgSz w:w="11906" w:h="16838" w:code="9"/>
      <w:pgMar w:top="1417" w:right="1531" w:bottom="1077" w:left="1531" w:header="1020" w:footer="850" w:gutter="0"/>
      <w:pgNumType w:start="9"/>
      <w:cols w:space="425"/>
      <w:docGrid w:type="lines"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5A6E35D" w16cid:durableId="1E47B100"/>
  <w16cid:commentId w16cid:paraId="56473533" w16cid:durableId="1E491879"/>
  <w16cid:commentId w16cid:paraId="1274795F" w16cid:durableId="1E491485"/>
  <w16cid:commentId w16cid:paraId="784ADCF0" w16cid:durableId="1E49146B"/>
  <w16cid:commentId w16cid:paraId="3A602170" w16cid:durableId="1E49157D"/>
  <w16cid:commentId w16cid:paraId="6CF7D28D" w16cid:durableId="1E48FFA4"/>
  <w16cid:commentId w16cid:paraId="2A3FA083" w16cid:durableId="1E490F78"/>
  <w16cid:commentId w16cid:paraId="45D4555B" w16cid:durableId="1E47D4E7"/>
  <w16cid:commentId w16cid:paraId="45F1BE0E" w16cid:durableId="1E491027"/>
  <w16cid:commentId w16cid:paraId="6890116A" w16cid:durableId="1E491133"/>
  <w16cid:commentId w16cid:paraId="47E2F590" w16cid:durableId="1E491240"/>
  <w16cid:commentId w16cid:paraId="66654E2B" w16cid:durableId="1E4916E7"/>
  <w16cid:commentId w16cid:paraId="2E980F65" w16cid:durableId="1E47CF28"/>
  <w16cid:commentId w16cid:paraId="1A9373F4" w16cid:durableId="1E47CDF6"/>
  <w16cid:commentId w16cid:paraId="326AB4F7" w16cid:durableId="1E491654"/>
  <w16cid:commentId w16cid:paraId="1E382536" w16cid:durableId="1E48FFAA"/>
  <w16cid:commentId w16cid:paraId="79A56EBA" w16cid:durableId="1E48FFAB"/>
  <w16cid:commentId w16cid:paraId="1F155496" w16cid:durableId="1E4913D3"/>
  <w16cid:commentId w16cid:paraId="36DB3292" w16cid:durableId="1E48FFA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CB251E" w14:textId="77777777" w:rsidR="00216508" w:rsidRDefault="00216508" w:rsidP="00C1340D">
      <w:r>
        <w:separator/>
      </w:r>
    </w:p>
  </w:endnote>
  <w:endnote w:type="continuationSeparator" w:id="0">
    <w:p w14:paraId="0E2FC4B2" w14:textId="77777777" w:rsidR="00216508" w:rsidRDefault="00216508" w:rsidP="00C1340D">
      <w:r>
        <w:continuationSeparator/>
      </w:r>
    </w:p>
  </w:endnote>
  <w:endnote w:type="continuationNotice" w:id="1">
    <w:p w14:paraId="75870738" w14:textId="77777777" w:rsidR="00216508" w:rsidRDefault="0021650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inion Pro">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RWPalladioL-Roma">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rPr>
      <w:id w:val="1717389558"/>
      <w:docPartObj>
        <w:docPartGallery w:val="Page Numbers (Top of Page)"/>
        <w:docPartUnique/>
      </w:docPartObj>
    </w:sdtPr>
    <w:sdtEndPr>
      <w:rPr>
        <w:i w:val="0"/>
      </w:rPr>
    </w:sdtEndPr>
    <w:sdtContent>
      <w:p w14:paraId="569BED4A" w14:textId="77E3A6F4" w:rsidR="00283CFB" w:rsidRPr="008B308E" w:rsidRDefault="00283CFB" w:rsidP="00B33DF0">
        <w:pPr>
          <w:pStyle w:val="MDPIfooterfirstpage"/>
          <w:spacing w:line="240" w:lineRule="auto"/>
          <w:jc w:val="both"/>
          <w:rPr>
            <w:lang w:val="fr-CH"/>
          </w:rPr>
        </w:pPr>
        <w:r w:rsidRPr="009231ED">
          <w:rPr>
            <w:i/>
            <w:szCs w:val="16"/>
          </w:rPr>
          <w:t>Int. J. Environ. Res. Public Health</w:t>
        </w:r>
        <w:r w:rsidRPr="009231ED">
          <w:rPr>
            <w:szCs w:val="16"/>
          </w:rPr>
          <w:t xml:space="preserve"> </w:t>
        </w:r>
        <w:r>
          <w:rPr>
            <w:b/>
            <w:szCs w:val="16"/>
          </w:rPr>
          <w:t>2018</w:t>
        </w:r>
        <w:r w:rsidRPr="009231ED">
          <w:rPr>
            <w:szCs w:val="16"/>
          </w:rPr>
          <w:t xml:space="preserve">, </w:t>
        </w:r>
        <w:r>
          <w:rPr>
            <w:i/>
            <w:szCs w:val="16"/>
          </w:rPr>
          <w:t>15</w:t>
        </w:r>
        <w:r w:rsidRPr="009231ED">
          <w:rPr>
            <w:szCs w:val="16"/>
          </w:rPr>
          <w:t>,</w:t>
        </w:r>
        <w:r w:rsidRPr="00FB75B2">
          <w:rPr>
            <w:iCs/>
            <w:szCs w:val="16"/>
          </w:rPr>
          <w:t xml:space="preserve"> </w:t>
        </w:r>
        <w:r>
          <w:rPr>
            <w:lang w:val="fr-CH"/>
          </w:rPr>
          <w:t>x</w:t>
        </w:r>
        <w:r w:rsidRPr="008B308E">
          <w:rPr>
            <w:lang w:val="fr-CH"/>
          </w:rPr>
          <w:t>; doi:</w:t>
        </w:r>
        <w:r w:rsidRPr="008B308E">
          <w:rPr>
            <w:lang w:val="fr-CH"/>
          </w:rPr>
          <w:tab/>
          <w:t>www.mdpi.com/journal/</w:t>
        </w:r>
        <w:r>
          <w:t>ijerph</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987CF" w14:textId="77777777" w:rsidR="00283CFB" w:rsidRPr="00590BF9" w:rsidRDefault="00283CFB" w:rsidP="00590BF9">
    <w:pPr>
      <w:pStyle w:val="Footer"/>
      <w:spacing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8C2EB" w14:textId="3FC2A77C" w:rsidR="00283CFB" w:rsidRPr="0037491F" w:rsidRDefault="00283CFB" w:rsidP="003749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586180" w14:textId="77777777" w:rsidR="00216508" w:rsidRDefault="00216508" w:rsidP="00C1340D">
      <w:r>
        <w:separator/>
      </w:r>
    </w:p>
  </w:footnote>
  <w:footnote w:type="continuationSeparator" w:id="0">
    <w:p w14:paraId="704D1F07" w14:textId="77777777" w:rsidR="00216508" w:rsidRDefault="00216508" w:rsidP="00C1340D">
      <w:r>
        <w:continuationSeparator/>
      </w:r>
    </w:p>
  </w:footnote>
  <w:footnote w:type="continuationNotice" w:id="1">
    <w:p w14:paraId="3FFB20E6" w14:textId="77777777" w:rsidR="00216508" w:rsidRDefault="00216508">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CE927" w14:textId="47E4DF4D" w:rsidR="00283CFB" w:rsidRPr="00F75949" w:rsidRDefault="00283CFB" w:rsidP="00F75949">
    <w:pPr>
      <w:adjustRightInd w:val="0"/>
      <w:snapToGrid w:val="0"/>
      <w:spacing w:after="240" w:line="240" w:lineRule="auto"/>
      <w:jc w:val="left"/>
      <w:rPr>
        <w:rFonts w:ascii="Palatino Linotype" w:hAnsi="Palatino Linotype"/>
        <w:sz w:val="16"/>
      </w:rPr>
    </w:pPr>
    <w:r>
      <w:rPr>
        <w:rFonts w:ascii="Palatino Linotype" w:hAnsi="Palatino Linotype"/>
        <w:i/>
        <w:sz w:val="16"/>
      </w:rPr>
      <w:t xml:space="preserve">Int. J. Environ. Res. Public Health </w:t>
    </w:r>
    <w:r>
      <w:rPr>
        <w:rFonts w:ascii="Palatino Linotype" w:hAnsi="Palatino Linotype"/>
        <w:b/>
        <w:sz w:val="16"/>
      </w:rPr>
      <w:t>2018</w:t>
    </w:r>
    <w:r>
      <w:rPr>
        <w:rFonts w:ascii="Palatino Linotype" w:hAnsi="Palatino Linotype"/>
        <w:sz w:val="16"/>
      </w:rPr>
      <w:t xml:space="preserve">, </w:t>
    </w:r>
    <w:r>
      <w:rPr>
        <w:rFonts w:ascii="Palatino Linotype" w:hAnsi="Palatino Linotype"/>
        <w:i/>
        <w:sz w:val="16"/>
      </w:rPr>
      <w:t>15</w:t>
    </w:r>
    <w:r>
      <w:rPr>
        <w:rFonts w:ascii="Palatino Linotype" w:hAnsi="Palatino Linotype"/>
        <w:sz w:val="16"/>
      </w:rPr>
      <w:t xml:space="preserve">, x </w:t>
    </w:r>
    <w:r>
      <w:rPr>
        <w:rFonts w:ascii="Palatino Linotype" w:hAnsi="Palatino Linotype"/>
        <w:sz w:val="16"/>
      </w:rPr>
      <w:ptab w:relativeTo="margin" w:alignment="right" w:leader="none"/>
    </w:r>
    <w:r>
      <w:rPr>
        <w:rFonts w:ascii="Palatino Linotype" w:hAnsi="Palatino Linotype"/>
        <w:sz w:val="16"/>
      </w:rPr>
      <w:fldChar w:fldCharType="begin"/>
    </w:r>
    <w:r>
      <w:rPr>
        <w:rFonts w:ascii="Palatino Linotype" w:hAnsi="Palatino Linotype"/>
        <w:sz w:val="16"/>
      </w:rPr>
      <w:instrText xml:space="preserve"> PAGE  </w:instrText>
    </w:r>
    <w:r>
      <w:rPr>
        <w:rFonts w:ascii="Palatino Linotype" w:hAnsi="Palatino Linotype"/>
        <w:sz w:val="16"/>
      </w:rPr>
      <w:fldChar w:fldCharType="separate"/>
    </w:r>
    <w:r w:rsidR="00665984">
      <w:rPr>
        <w:rFonts w:ascii="Palatino Linotype" w:hAnsi="Palatino Linotype"/>
        <w:noProof/>
        <w:sz w:val="16"/>
      </w:rPr>
      <w:t>2</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w:instrText>
    </w:r>
    <w:r>
      <w:rPr>
        <w:rFonts w:ascii="Palatino Linotype" w:hAnsi="Palatino Linotype"/>
        <w:sz w:val="16"/>
      </w:rPr>
      <w:fldChar w:fldCharType="separate"/>
    </w:r>
    <w:r w:rsidR="00665984">
      <w:rPr>
        <w:rFonts w:ascii="Palatino Linotype" w:hAnsi="Palatino Linotype"/>
        <w:noProof/>
        <w:sz w:val="16"/>
      </w:rPr>
      <w:t>18</w:t>
    </w:r>
    <w:r>
      <w:rPr>
        <w:rFonts w:ascii="Palatino Linotype" w:hAnsi="Palatino Linotype"/>
        <w:sz w:val="16"/>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700EC" w14:textId="77777777" w:rsidR="00283CFB" w:rsidRDefault="00283CFB" w:rsidP="00B33DF0">
    <w:pPr>
      <w:pStyle w:val="MDPIheaderjournallogo"/>
    </w:pPr>
    <w:r>
      <w:rPr>
        <w:i w:val="0"/>
        <w:noProof/>
        <w:szCs w:val="16"/>
        <w:lang w:val="en-GB" w:eastAsia="en-GB"/>
      </w:rPr>
      <mc:AlternateContent>
        <mc:Choice Requires="wps">
          <w:drawing>
            <wp:anchor distT="45720" distB="45720" distL="114300" distR="114300" simplePos="0" relativeHeight="251659776" behindDoc="1" locked="0" layoutInCell="1" allowOverlap="1" wp14:anchorId="4CEB0CDD" wp14:editId="70595DCA">
              <wp:simplePos x="0" y="0"/>
              <wp:positionH relativeFrom="rightMargin">
                <wp:posOffset>-558165</wp:posOffset>
              </wp:positionH>
              <wp:positionV relativeFrom="paragraph">
                <wp:posOffset>0</wp:posOffset>
              </wp:positionV>
              <wp:extent cx="553085" cy="709295"/>
              <wp:effectExtent l="0" t="0" r="9525"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709295"/>
                      </a:xfrm>
                      <a:prstGeom prst="rect">
                        <a:avLst/>
                      </a:prstGeom>
                      <a:solidFill>
                        <a:srgbClr val="FFFFFF"/>
                      </a:solidFill>
                      <a:ln w="9525">
                        <a:noFill/>
                        <a:miter lim="800000"/>
                        <a:headEnd/>
                        <a:tailEnd/>
                      </a:ln>
                    </wps:spPr>
                    <wps:txbx>
                      <w:txbxContent>
                        <w:p w14:paraId="41F0275B" w14:textId="77777777" w:rsidR="00283CFB" w:rsidRDefault="00283CFB" w:rsidP="00B33DF0">
                          <w:pPr>
                            <w:pStyle w:val="MDPIheaderjournallogo"/>
                            <w:jc w:val="center"/>
                            <w:textboxTightWrap w:val="allLines"/>
                            <w:rPr>
                              <w:i w:val="0"/>
                              <w:szCs w:val="16"/>
                            </w:rPr>
                          </w:pPr>
                          <w:r w:rsidRPr="00B11CEA">
                            <w:rPr>
                              <w:i w:val="0"/>
                              <w:noProof/>
                              <w:szCs w:val="16"/>
                              <w:lang w:val="en-GB" w:eastAsia="en-GB"/>
                            </w:rPr>
                            <w:drawing>
                              <wp:inline distT="0" distB="0" distL="0" distR="0" wp14:anchorId="10199701" wp14:editId="40C2A9C0">
                                <wp:extent cx="546216" cy="360000"/>
                                <wp:effectExtent l="0" t="0" r="6350" b="2540"/>
                                <wp:docPr id="2"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216" cy="360000"/>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4CEB0CDD" id="_x0000_t202" coordsize="21600,21600" o:spt="202" path="m,l,21600r21600,l21600,xe">
              <v:stroke joinstyle="miter"/>
              <v:path gradientshapeok="t" o:connecttype="rect"/>
            </v:shapetype>
            <v:shape id="Text Box 2" o:spid="_x0000_s1026" type="#_x0000_t202" style="position:absolute;margin-left:-43.95pt;margin-top:0;width:43.55pt;height:55.85pt;z-index:-251656704;visibility:visible;mso-wrap-style:non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" stroked="f">
              <v:textbox inset="0,0,0,0">
                <w:txbxContent>
                  <w:p w14:paraId="41F0275B" w14:textId="77777777" w:rsidR="00283CFB" w:rsidRDefault="00283CFB" w:rsidP="00B33DF0">
                    <w:pPr>
                      <w:pStyle w:val="MDPIheaderjournallogo"/>
                      <w:jc w:val="center"/>
                      <w:textboxTightWrap w:val="allLines"/>
                      <w:rPr>
                        <w:i w:val="0"/>
                        <w:szCs w:val="16"/>
                      </w:rPr>
                    </w:pPr>
                    <w:r w:rsidRPr="00B11CEA">
                      <w:rPr>
                        <w:i w:val="0"/>
                        <w:noProof/>
                        <w:szCs w:val="16"/>
                        <w:lang w:val="en-SG" w:eastAsia="zh-CN"/>
                      </w:rPr>
                      <w:drawing>
                        <wp:inline distT="0" distB="0" distL="0" distR="0" wp14:anchorId="10199701" wp14:editId="40C2A9C0">
                          <wp:extent cx="546216" cy="360000"/>
                          <wp:effectExtent l="0" t="0" r="6350" b="2540"/>
                          <wp:docPr id="2"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logos\ori\png\logo-m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6216" cy="360000"/>
                                  </a:xfrm>
                                  <a:prstGeom prst="rect">
                                    <a:avLst/>
                                  </a:prstGeom>
                                  <a:noFill/>
                                  <a:ln>
                                    <a:noFill/>
                                  </a:ln>
                                </pic:spPr>
                              </pic:pic>
                            </a:graphicData>
                          </a:graphic>
                        </wp:inline>
                      </w:drawing>
                    </w:r>
                  </w:p>
                </w:txbxContent>
              </v:textbox>
              <w10:wrap anchorx="margin"/>
            </v:shape>
          </w:pict>
        </mc:Fallback>
      </mc:AlternateContent>
    </w:r>
    <w:r>
      <w:rPr>
        <w:noProof/>
        <w:lang w:val="en-GB" w:eastAsia="en-GB"/>
      </w:rPr>
      <w:drawing>
        <wp:inline distT="0" distB="0" distL="0" distR="0" wp14:anchorId="2F6FF09D" wp14:editId="746E95F7">
          <wp:extent cx="1830736" cy="432000"/>
          <wp:effectExtent l="0" t="0" r="0" b="6350"/>
          <wp:docPr id="1" name="Picture 1" descr="C:\Users\home\Desktop\logos\png\ijerp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logos\png\ijerph-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30736" cy="4320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00E71" w14:textId="77777777" w:rsidR="00283CFB" w:rsidRDefault="00283CFB" w:rsidP="00225F3F">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F2A34" w14:textId="45D5BDC4" w:rsidR="00283CFB" w:rsidRPr="00305CED" w:rsidRDefault="00283CFB" w:rsidP="00305CED">
    <w:pPr>
      <w:adjustRightInd w:val="0"/>
      <w:snapToGrid w:val="0"/>
      <w:spacing w:after="240" w:line="240" w:lineRule="auto"/>
      <w:rPr>
        <w:rFonts w:ascii="Palatino Linotype" w:hAnsi="Palatino Linotype"/>
        <w:sz w:val="16"/>
      </w:rPr>
    </w:pPr>
    <w:r>
      <w:rPr>
        <w:rFonts w:ascii="Palatino Linotype" w:hAnsi="Palatino Linotype"/>
        <w:i/>
        <w:sz w:val="16"/>
      </w:rPr>
      <w:t xml:space="preserve">Int. J. Environ. Res. Public Health </w:t>
    </w:r>
    <w:r>
      <w:rPr>
        <w:rFonts w:ascii="Palatino Linotype" w:hAnsi="Palatino Linotype"/>
        <w:b/>
        <w:sz w:val="16"/>
      </w:rPr>
      <w:t>2018</w:t>
    </w:r>
    <w:r>
      <w:rPr>
        <w:rFonts w:ascii="Palatino Linotype" w:hAnsi="Palatino Linotype"/>
        <w:sz w:val="16"/>
      </w:rPr>
      <w:t xml:space="preserve">, </w:t>
    </w:r>
    <w:r>
      <w:rPr>
        <w:rFonts w:ascii="Palatino Linotype" w:hAnsi="Palatino Linotype"/>
        <w:i/>
        <w:sz w:val="16"/>
      </w:rPr>
      <w:t>15</w:t>
    </w:r>
    <w:r>
      <w:rPr>
        <w:rFonts w:ascii="Palatino Linotype" w:hAnsi="Palatino Linotype"/>
        <w:sz w:val="16"/>
      </w:rPr>
      <w:t xml:space="preserve">, x FOR PEER REVIEW </w:t>
    </w:r>
    <w:r>
      <w:rPr>
        <w:rFonts w:ascii="Palatino Linotype" w:hAnsi="Palatino Linotype"/>
        <w:sz w:val="16"/>
      </w:rPr>
      <w:ptab w:relativeTo="margin" w:alignment="right" w:leader="none"/>
    </w:r>
    <w:r>
      <w:rPr>
        <w:rFonts w:ascii="Palatino Linotype" w:hAnsi="Palatino Linotype"/>
        <w:sz w:val="16"/>
      </w:rPr>
      <w:fldChar w:fldCharType="begin"/>
    </w:r>
    <w:r>
      <w:rPr>
        <w:rFonts w:ascii="Palatino Linotype" w:hAnsi="Palatino Linotype"/>
        <w:sz w:val="16"/>
      </w:rPr>
      <w:instrText xml:space="preserve"> PAGE  </w:instrText>
    </w:r>
    <w:r>
      <w:rPr>
        <w:rFonts w:ascii="Palatino Linotype" w:hAnsi="Palatino Linotype"/>
        <w:sz w:val="16"/>
      </w:rPr>
      <w:fldChar w:fldCharType="separate"/>
    </w:r>
    <w:r>
      <w:rPr>
        <w:rFonts w:ascii="Palatino Linotype" w:hAnsi="Palatino Linotype"/>
        <w:noProof/>
        <w:sz w:val="16"/>
      </w:rPr>
      <w:t>7</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w:instrText>
    </w:r>
    <w:r>
      <w:rPr>
        <w:rFonts w:ascii="Palatino Linotype" w:hAnsi="Palatino Linotype"/>
        <w:sz w:val="16"/>
      </w:rPr>
      <w:fldChar w:fldCharType="separate"/>
    </w:r>
    <w:r>
      <w:rPr>
        <w:rFonts w:ascii="Palatino Linotype" w:hAnsi="Palatino Linotype"/>
        <w:noProof/>
        <w:sz w:val="16"/>
      </w:rPr>
      <w:t>17</w:t>
    </w:r>
    <w:r>
      <w:rPr>
        <w:rFonts w:ascii="Palatino Linotype" w:hAnsi="Palatino Linotype"/>
        <w:sz w:val="16"/>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E061AD" w14:textId="726F3153" w:rsidR="00283CFB" w:rsidRPr="0037491F" w:rsidRDefault="00283CFB" w:rsidP="0037491F">
    <w:pPr>
      <w:adjustRightInd w:val="0"/>
      <w:snapToGrid w:val="0"/>
      <w:spacing w:after="240" w:line="240" w:lineRule="auto"/>
      <w:rPr>
        <w:sz w:val="16"/>
      </w:rPr>
    </w:pPr>
    <w:r>
      <w:rPr>
        <w:rFonts w:ascii="Palatino Linotype" w:hAnsi="Palatino Linotype"/>
        <w:i/>
        <w:sz w:val="16"/>
      </w:rPr>
      <w:t xml:space="preserve">Int. J. Environ. Res. Public Health </w:t>
    </w:r>
    <w:r>
      <w:rPr>
        <w:rFonts w:ascii="Palatino Linotype" w:hAnsi="Palatino Linotype"/>
        <w:b/>
        <w:sz w:val="16"/>
      </w:rPr>
      <w:t>2018</w:t>
    </w:r>
    <w:r>
      <w:rPr>
        <w:rFonts w:ascii="Palatino Linotype" w:hAnsi="Palatino Linotype"/>
        <w:sz w:val="16"/>
      </w:rPr>
      <w:t xml:space="preserve">, </w:t>
    </w:r>
    <w:r>
      <w:rPr>
        <w:rFonts w:ascii="Palatino Linotype" w:hAnsi="Palatino Linotype"/>
        <w:i/>
        <w:sz w:val="16"/>
      </w:rPr>
      <w:t>15</w:t>
    </w:r>
    <w:r>
      <w:rPr>
        <w:rFonts w:ascii="Palatino Linotype" w:hAnsi="Palatino Linotype"/>
        <w:sz w:val="16"/>
      </w:rPr>
      <w:t xml:space="preserve">, x </w:t>
    </w:r>
    <w:r>
      <w:rPr>
        <w:rFonts w:ascii="Palatino Linotype" w:hAnsi="Palatino Linotype"/>
        <w:sz w:val="16"/>
      </w:rPr>
      <w:ptab w:relativeTo="margin" w:alignment="right" w:leader="none"/>
    </w:r>
    <w:r>
      <w:rPr>
        <w:rFonts w:ascii="Palatino Linotype" w:hAnsi="Palatino Linotype"/>
        <w:sz w:val="16"/>
      </w:rPr>
      <w:t xml:space="preserve">8 of </w:t>
    </w:r>
    <w:r>
      <w:rPr>
        <w:rFonts w:ascii="Palatino Linotype" w:hAnsi="Palatino Linotype"/>
        <w:sz w:val="16"/>
      </w:rPr>
      <w:fldChar w:fldCharType="begin"/>
    </w:r>
    <w:r>
      <w:rPr>
        <w:rFonts w:ascii="Palatino Linotype" w:hAnsi="Palatino Linotype"/>
        <w:sz w:val="16"/>
      </w:rPr>
      <w:instrText xml:space="preserve"> NUMPAGES  </w:instrText>
    </w:r>
    <w:r>
      <w:rPr>
        <w:rFonts w:ascii="Palatino Linotype" w:hAnsi="Palatino Linotype"/>
        <w:sz w:val="16"/>
      </w:rPr>
      <w:fldChar w:fldCharType="separate"/>
    </w:r>
    <w:r w:rsidR="00665984">
      <w:rPr>
        <w:rFonts w:ascii="Palatino Linotype" w:hAnsi="Palatino Linotype"/>
        <w:noProof/>
        <w:sz w:val="16"/>
      </w:rPr>
      <w:t>18</w:t>
    </w:r>
    <w:r>
      <w:rPr>
        <w:rFonts w:ascii="Palatino Linotype" w:hAnsi="Palatino Linotype"/>
        <w:sz w:val="16"/>
      </w:rPr>
      <w:fldChar w:fldCharType="end"/>
    </w:r>
    <w:r>
      <w:rPr>
        <w:i/>
        <w:noProof/>
        <w:szCs w:val="16"/>
        <w:lang w:val="en-GB" w:eastAsia="en-GB"/>
      </w:rPr>
      <mc:AlternateContent>
        <mc:Choice Requires="wps">
          <w:drawing>
            <wp:anchor distT="45720" distB="45720" distL="114300" distR="114300" simplePos="0" relativeHeight="251658240" behindDoc="1" locked="0" layoutInCell="1" allowOverlap="1" wp14:anchorId="048825A0" wp14:editId="76181ED3">
              <wp:simplePos x="0" y="0"/>
              <wp:positionH relativeFrom="rightMargin">
                <wp:posOffset>-558165</wp:posOffset>
              </wp:positionH>
              <wp:positionV relativeFrom="paragraph">
                <wp:posOffset>0</wp:posOffset>
              </wp:positionV>
              <wp:extent cx="553085" cy="709295"/>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709295"/>
                      </a:xfrm>
                      <a:prstGeom prst="rect">
                        <a:avLst/>
                      </a:prstGeom>
                      <a:solidFill>
                        <a:srgbClr val="FFFFFF"/>
                      </a:solidFill>
                      <a:ln w="9525">
                        <a:noFill/>
                        <a:miter lim="800000"/>
                        <a:headEnd/>
                        <a:tailEnd/>
                      </a:ln>
                    </wps:spPr>
                    <wps:txbx>
                      <w:txbxContent>
                        <w:p w14:paraId="7763F515" w14:textId="0EE753E9" w:rsidR="00283CFB" w:rsidRDefault="00283CFB" w:rsidP="00665B82">
                          <w:pPr>
                            <w:pStyle w:val="MDPIheaderjournallogo"/>
                            <w:jc w:val="center"/>
                            <w:textboxTightWrap w:val="allLines"/>
                            <w:rPr>
                              <w:i w:val="0"/>
                              <w:szCs w:val="16"/>
                            </w:rPr>
                          </w:pP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048825A0" id="_x0000_t202" coordsize="21600,21600" o:spt="202" path="m,l,21600r21600,l21600,xe">
              <v:stroke joinstyle="miter"/>
              <v:path gradientshapeok="t" o:connecttype="rect"/>
            </v:shapetype>
            <v:shape id="_x0000_s1027" type="#_x0000_t202" style="position:absolute;left:0;text-align:left;margin-left:-43.95pt;margin-top:0;width:43.55pt;height:55.85pt;z-index:-251658240;visibility:visible;mso-wrap-style:non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" stroked="f">
              <v:textbox inset="0,0,0,0">
                <w:txbxContent>
                  <w:p w14:paraId="7763F515" w14:textId="0EE753E9" w:rsidR="00283CFB" w:rsidRDefault="00283CFB" w:rsidP="00665B82">
                    <w:pPr>
                      <w:pStyle w:val="MDPIheaderjournallogo"/>
                      <w:jc w:val="center"/>
                      <w:textboxTightWrap w:val="allLines"/>
                      <w:rPr>
                        <w:i w:val="0"/>
                        <w:szCs w:val="16"/>
                      </w:rPr>
                    </w:pPr>
                  </w:p>
                </w:txbxContent>
              </v:textbox>
              <w10:wrap anchorx="margin"/>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62F96" w14:textId="290F25BA" w:rsidR="00283CFB" w:rsidRPr="00305CED" w:rsidRDefault="00283CFB" w:rsidP="00305CED">
    <w:pPr>
      <w:adjustRightInd w:val="0"/>
      <w:snapToGrid w:val="0"/>
      <w:spacing w:after="240" w:line="240" w:lineRule="auto"/>
      <w:rPr>
        <w:rFonts w:ascii="Palatino Linotype" w:hAnsi="Palatino Linotype"/>
        <w:sz w:val="16"/>
      </w:rPr>
    </w:pPr>
    <w:r>
      <w:rPr>
        <w:rFonts w:ascii="Palatino Linotype" w:hAnsi="Palatino Linotype"/>
        <w:i/>
        <w:sz w:val="16"/>
      </w:rPr>
      <w:t xml:space="preserve">Int. J. Environ. Res. Public Health </w:t>
    </w:r>
    <w:r>
      <w:rPr>
        <w:rFonts w:ascii="Palatino Linotype" w:hAnsi="Palatino Linotype"/>
        <w:b/>
        <w:sz w:val="16"/>
      </w:rPr>
      <w:t>2018</w:t>
    </w:r>
    <w:r>
      <w:rPr>
        <w:rFonts w:ascii="Palatino Linotype" w:hAnsi="Palatino Linotype"/>
        <w:sz w:val="16"/>
      </w:rPr>
      <w:t xml:space="preserve">, </w:t>
    </w:r>
    <w:r>
      <w:rPr>
        <w:rFonts w:ascii="Palatino Linotype" w:hAnsi="Palatino Linotype"/>
        <w:i/>
        <w:sz w:val="16"/>
      </w:rPr>
      <w:t>15</w:t>
    </w:r>
    <w:r>
      <w:rPr>
        <w:rFonts w:ascii="Palatino Linotype" w:hAnsi="Palatino Linotype"/>
        <w:sz w:val="16"/>
      </w:rPr>
      <w:t xml:space="preserve">, x FOR PEER REVIEW </w:t>
    </w:r>
    <w:r>
      <w:rPr>
        <w:rFonts w:ascii="Palatino Linotype" w:hAnsi="Palatino Linotype"/>
        <w:sz w:val="16"/>
      </w:rPr>
      <w:ptab w:relativeTo="margin" w:alignment="right" w:leader="none"/>
    </w:r>
    <w:r>
      <w:rPr>
        <w:rFonts w:ascii="Palatino Linotype" w:hAnsi="Palatino Linotype"/>
        <w:sz w:val="16"/>
      </w:rPr>
      <w:t xml:space="preserve">7 of </w:t>
    </w:r>
    <w:r>
      <w:rPr>
        <w:rFonts w:ascii="Palatino Linotype" w:hAnsi="Palatino Linotype"/>
        <w:sz w:val="16"/>
      </w:rPr>
      <w:fldChar w:fldCharType="begin"/>
    </w:r>
    <w:r>
      <w:rPr>
        <w:rFonts w:ascii="Palatino Linotype" w:hAnsi="Palatino Linotype"/>
        <w:sz w:val="16"/>
      </w:rPr>
      <w:instrText xml:space="preserve"> NUMPAGES  </w:instrText>
    </w:r>
    <w:r>
      <w:rPr>
        <w:rFonts w:ascii="Palatino Linotype" w:hAnsi="Palatino Linotype"/>
        <w:sz w:val="16"/>
      </w:rPr>
      <w:fldChar w:fldCharType="separate"/>
    </w:r>
    <w:r w:rsidR="00665984">
      <w:rPr>
        <w:rFonts w:ascii="Palatino Linotype" w:hAnsi="Palatino Linotype"/>
        <w:noProof/>
        <w:sz w:val="16"/>
      </w:rPr>
      <w:t>18</w:t>
    </w:r>
    <w:r>
      <w:rPr>
        <w:rFonts w:ascii="Palatino Linotype" w:hAnsi="Palatino Linotype"/>
        <w:sz w:val="16"/>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776F7" w14:textId="538A11F2" w:rsidR="00283CFB" w:rsidRPr="00771AC1" w:rsidRDefault="00283CFB" w:rsidP="00771AC1">
    <w:pPr>
      <w:adjustRightInd w:val="0"/>
      <w:snapToGrid w:val="0"/>
      <w:spacing w:after="240" w:line="240" w:lineRule="auto"/>
      <w:jc w:val="left"/>
      <w:rPr>
        <w:rFonts w:ascii="Palatino Linotype" w:hAnsi="Palatino Linotype"/>
        <w:sz w:val="16"/>
      </w:rPr>
    </w:pPr>
    <w:r>
      <w:rPr>
        <w:rFonts w:ascii="Palatino Linotype" w:hAnsi="Palatino Linotype"/>
        <w:i/>
        <w:sz w:val="16"/>
      </w:rPr>
      <w:t xml:space="preserve">Int. J. Environ. Res. Public Health </w:t>
    </w:r>
    <w:r>
      <w:rPr>
        <w:rFonts w:ascii="Palatino Linotype" w:hAnsi="Palatino Linotype"/>
        <w:b/>
        <w:sz w:val="16"/>
      </w:rPr>
      <w:t>2018</w:t>
    </w:r>
    <w:r>
      <w:rPr>
        <w:rFonts w:ascii="Palatino Linotype" w:hAnsi="Palatino Linotype"/>
        <w:sz w:val="16"/>
      </w:rPr>
      <w:t xml:space="preserve">, </w:t>
    </w:r>
    <w:r>
      <w:rPr>
        <w:rFonts w:ascii="Palatino Linotype" w:hAnsi="Palatino Linotype"/>
        <w:i/>
        <w:sz w:val="16"/>
      </w:rPr>
      <w:t>15</w:t>
    </w:r>
    <w:r>
      <w:rPr>
        <w:rFonts w:ascii="Palatino Linotype" w:hAnsi="Palatino Linotype"/>
        <w:sz w:val="16"/>
      </w:rPr>
      <w:t xml:space="preserve">, x FOR PEER REVIEW </w:t>
    </w:r>
    <w:r>
      <w:rPr>
        <w:rFonts w:ascii="Palatino Linotype" w:hAnsi="Palatino Linotype"/>
        <w:sz w:val="16"/>
      </w:rPr>
      <w:ptab w:relativeTo="margin" w:alignment="right" w:leader="none"/>
    </w:r>
    <w:r>
      <w:rPr>
        <w:rFonts w:ascii="Palatino Linotype" w:hAnsi="Palatino Linotype"/>
        <w:sz w:val="16"/>
      </w:rPr>
      <w:fldChar w:fldCharType="begin"/>
    </w:r>
    <w:r>
      <w:rPr>
        <w:rFonts w:ascii="Palatino Linotype" w:hAnsi="Palatino Linotype"/>
        <w:sz w:val="16"/>
      </w:rPr>
      <w:instrText xml:space="preserve"> PAGE  </w:instrText>
    </w:r>
    <w:r>
      <w:rPr>
        <w:rFonts w:ascii="Palatino Linotype" w:hAnsi="Palatino Linotype"/>
        <w:sz w:val="16"/>
      </w:rPr>
      <w:fldChar w:fldCharType="separate"/>
    </w:r>
    <w:r w:rsidR="00665984">
      <w:rPr>
        <w:rFonts w:ascii="Palatino Linotype" w:hAnsi="Palatino Linotype"/>
        <w:noProof/>
        <w:sz w:val="16"/>
      </w:rPr>
      <w:t>18</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w:instrText>
    </w:r>
    <w:r>
      <w:rPr>
        <w:rFonts w:ascii="Palatino Linotype" w:hAnsi="Palatino Linotype"/>
        <w:sz w:val="16"/>
      </w:rPr>
      <w:fldChar w:fldCharType="separate"/>
    </w:r>
    <w:r w:rsidR="00665984">
      <w:rPr>
        <w:rFonts w:ascii="Palatino Linotype" w:hAnsi="Palatino Linotype"/>
        <w:noProof/>
        <w:sz w:val="16"/>
      </w:rPr>
      <w:t>18</w:t>
    </w:r>
    <w:r>
      <w:rPr>
        <w:rFonts w:ascii="Palatino Linotype" w:hAnsi="Palatino Linotype"/>
        <w:sz w:val="16"/>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12E03" w14:textId="77777777" w:rsidR="00283CFB" w:rsidRPr="0037491F" w:rsidRDefault="00283CFB" w:rsidP="0037491F">
    <w:pPr>
      <w:pStyle w:val="Header"/>
      <w:jc w:val="left"/>
      <w:rPr>
        <w:i/>
        <w:lang w:val="en-SG"/>
      </w:rPr>
    </w:pPr>
    <w:r>
      <w:rPr>
        <w:noProof/>
        <w:lang w:val="en-GB" w:eastAsia="en-GB"/>
      </w:rPr>
      <w:drawing>
        <wp:inline distT="0" distB="0" distL="0" distR="0" wp14:anchorId="76D13B31" wp14:editId="53D8AE20">
          <wp:extent cx="1830736" cy="432000"/>
          <wp:effectExtent l="0" t="0" r="0" b="6350"/>
          <wp:docPr id="6" name="Picture 6" descr="C:\Users\home\Desktop\logos\png\ijerp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logos\png\ijerph-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0736" cy="432000"/>
                  </a:xfrm>
                  <a:prstGeom prst="rect">
                    <a:avLst/>
                  </a:prstGeom>
                  <a:noFill/>
                  <a:ln>
                    <a:noFill/>
                  </a:ln>
                </pic:spPr>
              </pic:pic>
            </a:graphicData>
          </a:graphic>
        </wp:inline>
      </w:drawing>
    </w:r>
    <w:r>
      <w:rPr>
        <w:i/>
        <w:noProof/>
        <w:szCs w:val="16"/>
        <w:lang w:val="en-SG" w:eastAsia="zh-CN"/>
      </w:rPr>
      <w:t xml:space="preserve">                                                               </w:t>
    </w:r>
    <w:r w:rsidRPr="00B11CEA">
      <w:rPr>
        <w:i/>
        <w:noProof/>
        <w:szCs w:val="16"/>
        <w:lang w:val="en-GB" w:eastAsia="en-GB"/>
      </w:rPr>
      <w:drawing>
        <wp:inline distT="0" distB="0" distL="0" distR="0" wp14:anchorId="3A9CEE0C" wp14:editId="316515D5">
          <wp:extent cx="546216" cy="360000"/>
          <wp:effectExtent l="0" t="0" r="6350" b="2540"/>
          <wp:docPr id="22"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logos\ori\png\logo-m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6216" cy="360000"/>
                  </a:xfrm>
                  <a:prstGeom prst="rect">
                    <a:avLst/>
                  </a:prstGeom>
                  <a:noFill/>
                  <a:ln>
                    <a:noFill/>
                  </a:ln>
                </pic:spPr>
              </pic:pic>
            </a:graphicData>
          </a:graphic>
        </wp:inline>
      </w:drawing>
    </w:r>
    <w:r>
      <w:rPr>
        <w:i/>
        <w:noProof/>
        <w:szCs w:val="16"/>
        <w:lang w:val="en-SG"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A611EB"/>
    <w:multiLevelType w:val="hybridMultilevel"/>
    <w:tmpl w:val="B50C1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3"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4" w15:restartNumberingAfterBreak="0">
    <w:nsid w:val="430B505B"/>
    <w:multiLevelType w:val="hybridMultilevel"/>
    <w:tmpl w:val="F140ED14"/>
    <w:lvl w:ilvl="0" w:tplc="3BA0C004">
      <w:start w:val="1"/>
      <w:numFmt w:val="decimal"/>
      <w:pStyle w:val="Mdeck8references"/>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73C370A"/>
    <w:multiLevelType w:val="hybridMultilevel"/>
    <w:tmpl w:val="EC3AEE96"/>
    <w:lvl w:ilvl="0" w:tplc="9668B0B2">
      <w:start w:val="1"/>
      <w:numFmt w:val="bullet"/>
      <w:pStyle w:val="Mdeck4textbulletlis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6" w15:restartNumberingAfterBreak="0">
    <w:nsid w:val="6DB20A64"/>
    <w:multiLevelType w:val="hybridMultilevel"/>
    <w:tmpl w:val="B43CDC7A"/>
    <w:lvl w:ilvl="0" w:tplc="10ACE5BA">
      <w:start w:val="1"/>
      <w:numFmt w:val="decimal"/>
      <w:pStyle w:val="Mdeck4textnumberedlist"/>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abstractNumId w:val="2"/>
  </w:num>
  <w:num w:numId="2">
    <w:abstractNumId w:val="3"/>
  </w:num>
  <w:num w:numId="3">
    <w:abstractNumId w:val="1"/>
  </w:num>
  <w:num w:numId="4">
    <w:abstractNumId w:val="5"/>
  </w:num>
  <w:num w:numId="5">
    <w:abstractNumId w:val="6"/>
  </w:num>
  <w:num w:numId="6">
    <w:abstractNumId w:val="4"/>
  </w:num>
  <w:num w:numId="7">
    <w:abstractNumId w:val="0"/>
  </w:num>
  <w:num w:numId="8">
    <w:abstractNumId w:val="5"/>
  </w:num>
  <w:num w:numId="9">
    <w:abstractNumId w:val="6"/>
  </w:num>
  <w:num w:numId="10">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attachedTemplate r:id="rId1"/>
  <w:defaultTabStop w:val="420"/>
  <w:hyphenationZone w:val="425"/>
  <w:drawingGridHorizontalSpacing w:val="120"/>
  <w:drawingGridVerticalSpacing w:val="163"/>
  <w:displayHorizontalDrawingGridEvery w:val="0"/>
  <w:displayVerticalDrawingGridEvery w:val="2"/>
  <w:characterSpacingControl w:val="compressPunctuation"/>
  <w:hdrShapeDefaults>
    <o:shapedefaults v:ext="edit" spidmax="4097"/>
  </w:hdrShapeDefaults>
  <w:footnotePr>
    <w:footnote w:id="-1"/>
    <w:footnote w:id="0"/>
    <w:footnote w:id="1"/>
  </w:footnotePr>
  <w:endnotePr>
    <w:endnote w:id="-1"/>
    <w:endnote w:id="0"/>
    <w:endnote w:id="1"/>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DPI IJERP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wrdt5a0de99eseeewu5vfaa2p5psevsrvx2&quot;&gt;Citations_IJERPH&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4&lt;/item&gt;&lt;item&gt;25&lt;/item&gt;&lt;item&gt;26&lt;/item&gt;&lt;item&gt;27&lt;/item&gt;&lt;item&gt;29&lt;/item&gt;&lt;item&gt;30&lt;/item&gt;&lt;/record-ids&gt;&lt;/item&gt;&lt;/Libraries&gt;"/>
  </w:docVars>
  <w:rsids>
    <w:rsidRoot w:val="00C114F4"/>
    <w:rsid w:val="00000637"/>
    <w:rsid w:val="000006F8"/>
    <w:rsid w:val="00004544"/>
    <w:rsid w:val="000046B6"/>
    <w:rsid w:val="00004BA7"/>
    <w:rsid w:val="00005FC2"/>
    <w:rsid w:val="00007C81"/>
    <w:rsid w:val="000104A2"/>
    <w:rsid w:val="00011BC3"/>
    <w:rsid w:val="0001283B"/>
    <w:rsid w:val="00014289"/>
    <w:rsid w:val="0002090C"/>
    <w:rsid w:val="000226FA"/>
    <w:rsid w:val="00024621"/>
    <w:rsid w:val="0002467B"/>
    <w:rsid w:val="00025A91"/>
    <w:rsid w:val="00025C56"/>
    <w:rsid w:val="00027026"/>
    <w:rsid w:val="0003013F"/>
    <w:rsid w:val="00031913"/>
    <w:rsid w:val="000319B8"/>
    <w:rsid w:val="0003351A"/>
    <w:rsid w:val="00034840"/>
    <w:rsid w:val="00034BF8"/>
    <w:rsid w:val="00035D97"/>
    <w:rsid w:val="000361F7"/>
    <w:rsid w:val="00037CEA"/>
    <w:rsid w:val="00037F00"/>
    <w:rsid w:val="00041A10"/>
    <w:rsid w:val="0004245C"/>
    <w:rsid w:val="00042C12"/>
    <w:rsid w:val="000438D2"/>
    <w:rsid w:val="000439F3"/>
    <w:rsid w:val="00043F91"/>
    <w:rsid w:val="00044417"/>
    <w:rsid w:val="0004457C"/>
    <w:rsid w:val="0004473F"/>
    <w:rsid w:val="00045898"/>
    <w:rsid w:val="00045F20"/>
    <w:rsid w:val="00046081"/>
    <w:rsid w:val="00046FE3"/>
    <w:rsid w:val="00050716"/>
    <w:rsid w:val="00050C65"/>
    <w:rsid w:val="000520E3"/>
    <w:rsid w:val="00054F8C"/>
    <w:rsid w:val="000551E0"/>
    <w:rsid w:val="000554E4"/>
    <w:rsid w:val="000562B9"/>
    <w:rsid w:val="00056DBB"/>
    <w:rsid w:val="000578BD"/>
    <w:rsid w:val="000602E4"/>
    <w:rsid w:val="000605CD"/>
    <w:rsid w:val="000614B7"/>
    <w:rsid w:val="000614DB"/>
    <w:rsid w:val="00063A6A"/>
    <w:rsid w:val="0006467F"/>
    <w:rsid w:val="00066489"/>
    <w:rsid w:val="000668DA"/>
    <w:rsid w:val="00067746"/>
    <w:rsid w:val="00071D03"/>
    <w:rsid w:val="00072973"/>
    <w:rsid w:val="00073BD9"/>
    <w:rsid w:val="00075AA9"/>
    <w:rsid w:val="00077A9D"/>
    <w:rsid w:val="00077B09"/>
    <w:rsid w:val="00077DB8"/>
    <w:rsid w:val="00082D78"/>
    <w:rsid w:val="000833FA"/>
    <w:rsid w:val="000848F9"/>
    <w:rsid w:val="000867CA"/>
    <w:rsid w:val="000868B8"/>
    <w:rsid w:val="0009028B"/>
    <w:rsid w:val="00094176"/>
    <w:rsid w:val="000A0E49"/>
    <w:rsid w:val="000A0F29"/>
    <w:rsid w:val="000A3155"/>
    <w:rsid w:val="000A411D"/>
    <w:rsid w:val="000A45A9"/>
    <w:rsid w:val="000A4E26"/>
    <w:rsid w:val="000A5FAE"/>
    <w:rsid w:val="000B05D0"/>
    <w:rsid w:val="000B0989"/>
    <w:rsid w:val="000B0C41"/>
    <w:rsid w:val="000B38AC"/>
    <w:rsid w:val="000B412B"/>
    <w:rsid w:val="000B427B"/>
    <w:rsid w:val="000B529D"/>
    <w:rsid w:val="000B5482"/>
    <w:rsid w:val="000B7EF6"/>
    <w:rsid w:val="000C0346"/>
    <w:rsid w:val="000C177E"/>
    <w:rsid w:val="000C229E"/>
    <w:rsid w:val="000C299D"/>
    <w:rsid w:val="000C3DD8"/>
    <w:rsid w:val="000C4A82"/>
    <w:rsid w:val="000C4B5D"/>
    <w:rsid w:val="000C4FB6"/>
    <w:rsid w:val="000D0305"/>
    <w:rsid w:val="000D0745"/>
    <w:rsid w:val="000D0874"/>
    <w:rsid w:val="000D093A"/>
    <w:rsid w:val="000D166F"/>
    <w:rsid w:val="000D2842"/>
    <w:rsid w:val="000D2F06"/>
    <w:rsid w:val="000D5554"/>
    <w:rsid w:val="000D7081"/>
    <w:rsid w:val="000D73DC"/>
    <w:rsid w:val="000D78F1"/>
    <w:rsid w:val="000D7970"/>
    <w:rsid w:val="000E08FD"/>
    <w:rsid w:val="000E35FE"/>
    <w:rsid w:val="000E37D1"/>
    <w:rsid w:val="000E38B1"/>
    <w:rsid w:val="000E7A5D"/>
    <w:rsid w:val="000F0E36"/>
    <w:rsid w:val="000F0E85"/>
    <w:rsid w:val="000F0F9F"/>
    <w:rsid w:val="000F38E2"/>
    <w:rsid w:val="000F3ABC"/>
    <w:rsid w:val="000F4E0E"/>
    <w:rsid w:val="00100B2F"/>
    <w:rsid w:val="00100FE2"/>
    <w:rsid w:val="0010160D"/>
    <w:rsid w:val="00103634"/>
    <w:rsid w:val="001039C5"/>
    <w:rsid w:val="00103FEF"/>
    <w:rsid w:val="001053CE"/>
    <w:rsid w:val="00116479"/>
    <w:rsid w:val="00116798"/>
    <w:rsid w:val="001170CF"/>
    <w:rsid w:val="0011779E"/>
    <w:rsid w:val="0012125D"/>
    <w:rsid w:val="00124285"/>
    <w:rsid w:val="0012462F"/>
    <w:rsid w:val="00125DDE"/>
    <w:rsid w:val="001268A0"/>
    <w:rsid w:val="00127B58"/>
    <w:rsid w:val="0013022D"/>
    <w:rsid w:val="00130F88"/>
    <w:rsid w:val="00131F3D"/>
    <w:rsid w:val="001327A7"/>
    <w:rsid w:val="001352B6"/>
    <w:rsid w:val="00135C14"/>
    <w:rsid w:val="00140A39"/>
    <w:rsid w:val="0014158B"/>
    <w:rsid w:val="00142D09"/>
    <w:rsid w:val="00143181"/>
    <w:rsid w:val="0014360B"/>
    <w:rsid w:val="0014375D"/>
    <w:rsid w:val="00144660"/>
    <w:rsid w:val="00144DC5"/>
    <w:rsid w:val="00144E54"/>
    <w:rsid w:val="00145F5A"/>
    <w:rsid w:val="00150342"/>
    <w:rsid w:val="00151E48"/>
    <w:rsid w:val="00152F85"/>
    <w:rsid w:val="00155401"/>
    <w:rsid w:val="00156006"/>
    <w:rsid w:val="00160C50"/>
    <w:rsid w:val="001619FE"/>
    <w:rsid w:val="00161A3E"/>
    <w:rsid w:val="0016263E"/>
    <w:rsid w:val="001632F9"/>
    <w:rsid w:val="00163372"/>
    <w:rsid w:val="00165A01"/>
    <w:rsid w:val="001663C8"/>
    <w:rsid w:val="001665A2"/>
    <w:rsid w:val="0016702F"/>
    <w:rsid w:val="00170BC5"/>
    <w:rsid w:val="001732EE"/>
    <w:rsid w:val="001739FB"/>
    <w:rsid w:val="00173FC0"/>
    <w:rsid w:val="001763AE"/>
    <w:rsid w:val="00176BBA"/>
    <w:rsid w:val="00176DC5"/>
    <w:rsid w:val="00176E73"/>
    <w:rsid w:val="0017709E"/>
    <w:rsid w:val="00177E9E"/>
    <w:rsid w:val="001812DE"/>
    <w:rsid w:val="00184785"/>
    <w:rsid w:val="00184B65"/>
    <w:rsid w:val="00184ECF"/>
    <w:rsid w:val="001854A7"/>
    <w:rsid w:val="001860DD"/>
    <w:rsid w:val="00192141"/>
    <w:rsid w:val="0019246B"/>
    <w:rsid w:val="00192855"/>
    <w:rsid w:val="001929BE"/>
    <w:rsid w:val="001937AA"/>
    <w:rsid w:val="00193EBD"/>
    <w:rsid w:val="00194DCB"/>
    <w:rsid w:val="00195337"/>
    <w:rsid w:val="001A0D5B"/>
    <w:rsid w:val="001A103B"/>
    <w:rsid w:val="001A1825"/>
    <w:rsid w:val="001A1E12"/>
    <w:rsid w:val="001A2D5C"/>
    <w:rsid w:val="001A3926"/>
    <w:rsid w:val="001A4A0E"/>
    <w:rsid w:val="001A6651"/>
    <w:rsid w:val="001A7D08"/>
    <w:rsid w:val="001B09F9"/>
    <w:rsid w:val="001B1911"/>
    <w:rsid w:val="001B22D3"/>
    <w:rsid w:val="001B2A78"/>
    <w:rsid w:val="001B2E32"/>
    <w:rsid w:val="001B396D"/>
    <w:rsid w:val="001B3A0F"/>
    <w:rsid w:val="001B446E"/>
    <w:rsid w:val="001B48D1"/>
    <w:rsid w:val="001B5DB7"/>
    <w:rsid w:val="001C0136"/>
    <w:rsid w:val="001C2A2E"/>
    <w:rsid w:val="001C3B86"/>
    <w:rsid w:val="001C5588"/>
    <w:rsid w:val="001C6374"/>
    <w:rsid w:val="001D0A2E"/>
    <w:rsid w:val="001D0BD8"/>
    <w:rsid w:val="001D2EFE"/>
    <w:rsid w:val="001D358E"/>
    <w:rsid w:val="001D4C88"/>
    <w:rsid w:val="001D4CBF"/>
    <w:rsid w:val="001D5C83"/>
    <w:rsid w:val="001D5CB0"/>
    <w:rsid w:val="001D7118"/>
    <w:rsid w:val="001D7351"/>
    <w:rsid w:val="001E0BFA"/>
    <w:rsid w:val="001E0CFB"/>
    <w:rsid w:val="001E26BA"/>
    <w:rsid w:val="001E3DBC"/>
    <w:rsid w:val="001E6E54"/>
    <w:rsid w:val="001F2797"/>
    <w:rsid w:val="001F2913"/>
    <w:rsid w:val="001F2E21"/>
    <w:rsid w:val="001F45A9"/>
    <w:rsid w:val="001F55DC"/>
    <w:rsid w:val="001F5A4A"/>
    <w:rsid w:val="0020050B"/>
    <w:rsid w:val="0020147D"/>
    <w:rsid w:val="00201E28"/>
    <w:rsid w:val="002021CF"/>
    <w:rsid w:val="002026F5"/>
    <w:rsid w:val="00205C1C"/>
    <w:rsid w:val="00206B4D"/>
    <w:rsid w:val="0021202D"/>
    <w:rsid w:val="0021238F"/>
    <w:rsid w:val="00214190"/>
    <w:rsid w:val="00215B00"/>
    <w:rsid w:val="00216508"/>
    <w:rsid w:val="00216FA9"/>
    <w:rsid w:val="00220209"/>
    <w:rsid w:val="002220D5"/>
    <w:rsid w:val="002223E0"/>
    <w:rsid w:val="00223198"/>
    <w:rsid w:val="00223A64"/>
    <w:rsid w:val="00225217"/>
    <w:rsid w:val="00225F3F"/>
    <w:rsid w:val="002264AC"/>
    <w:rsid w:val="00226AB1"/>
    <w:rsid w:val="002309C9"/>
    <w:rsid w:val="00232B08"/>
    <w:rsid w:val="00234001"/>
    <w:rsid w:val="00234505"/>
    <w:rsid w:val="00235077"/>
    <w:rsid w:val="00235973"/>
    <w:rsid w:val="0023639A"/>
    <w:rsid w:val="00236969"/>
    <w:rsid w:val="00236C0D"/>
    <w:rsid w:val="00236D35"/>
    <w:rsid w:val="00236F94"/>
    <w:rsid w:val="00237EDD"/>
    <w:rsid w:val="0024084D"/>
    <w:rsid w:val="00240C8C"/>
    <w:rsid w:val="00241C14"/>
    <w:rsid w:val="002434C9"/>
    <w:rsid w:val="00243FDC"/>
    <w:rsid w:val="002444BA"/>
    <w:rsid w:val="00246CE0"/>
    <w:rsid w:val="0025127B"/>
    <w:rsid w:val="00251811"/>
    <w:rsid w:val="0025232D"/>
    <w:rsid w:val="00252515"/>
    <w:rsid w:val="0025259B"/>
    <w:rsid w:val="00252BD9"/>
    <w:rsid w:val="00252EEA"/>
    <w:rsid w:val="00253193"/>
    <w:rsid w:val="002546BA"/>
    <w:rsid w:val="00255B5C"/>
    <w:rsid w:val="00257403"/>
    <w:rsid w:val="0025777F"/>
    <w:rsid w:val="00261B77"/>
    <w:rsid w:val="002623FD"/>
    <w:rsid w:val="00263418"/>
    <w:rsid w:val="00263890"/>
    <w:rsid w:val="00264510"/>
    <w:rsid w:val="0026479E"/>
    <w:rsid w:val="00264A83"/>
    <w:rsid w:val="002665A2"/>
    <w:rsid w:val="002707FF"/>
    <w:rsid w:val="00271978"/>
    <w:rsid w:val="00272574"/>
    <w:rsid w:val="00273440"/>
    <w:rsid w:val="0027513B"/>
    <w:rsid w:val="00275336"/>
    <w:rsid w:val="0027593D"/>
    <w:rsid w:val="00275F7E"/>
    <w:rsid w:val="00276B71"/>
    <w:rsid w:val="0027713B"/>
    <w:rsid w:val="002813F6"/>
    <w:rsid w:val="00282A5E"/>
    <w:rsid w:val="00282C58"/>
    <w:rsid w:val="00283CFB"/>
    <w:rsid w:val="00285954"/>
    <w:rsid w:val="00285C3A"/>
    <w:rsid w:val="0028727D"/>
    <w:rsid w:val="002915B6"/>
    <w:rsid w:val="0029260E"/>
    <w:rsid w:val="0029287A"/>
    <w:rsid w:val="00294C2F"/>
    <w:rsid w:val="00295D17"/>
    <w:rsid w:val="0029628E"/>
    <w:rsid w:val="00296EB7"/>
    <w:rsid w:val="002A31E4"/>
    <w:rsid w:val="002A4370"/>
    <w:rsid w:val="002A66E9"/>
    <w:rsid w:val="002B0BCA"/>
    <w:rsid w:val="002B37F5"/>
    <w:rsid w:val="002B4981"/>
    <w:rsid w:val="002B75A2"/>
    <w:rsid w:val="002B7893"/>
    <w:rsid w:val="002C0E6A"/>
    <w:rsid w:val="002C28DD"/>
    <w:rsid w:val="002C300A"/>
    <w:rsid w:val="002C5045"/>
    <w:rsid w:val="002C5A4D"/>
    <w:rsid w:val="002C6C5F"/>
    <w:rsid w:val="002C7423"/>
    <w:rsid w:val="002C7CEB"/>
    <w:rsid w:val="002D0834"/>
    <w:rsid w:val="002D2055"/>
    <w:rsid w:val="002D3019"/>
    <w:rsid w:val="002D3D04"/>
    <w:rsid w:val="002D476D"/>
    <w:rsid w:val="002D4F9D"/>
    <w:rsid w:val="002D746E"/>
    <w:rsid w:val="002D7EB2"/>
    <w:rsid w:val="002E0B8D"/>
    <w:rsid w:val="002E11AF"/>
    <w:rsid w:val="002E1F9C"/>
    <w:rsid w:val="002E22C3"/>
    <w:rsid w:val="002E2696"/>
    <w:rsid w:val="002E45FF"/>
    <w:rsid w:val="002E4AE9"/>
    <w:rsid w:val="002E59FA"/>
    <w:rsid w:val="002E699F"/>
    <w:rsid w:val="002E74FC"/>
    <w:rsid w:val="002F0022"/>
    <w:rsid w:val="002F1F90"/>
    <w:rsid w:val="002F24AB"/>
    <w:rsid w:val="002F30E0"/>
    <w:rsid w:val="002F3A40"/>
    <w:rsid w:val="002F3DCA"/>
    <w:rsid w:val="002F4D5E"/>
    <w:rsid w:val="002F6006"/>
    <w:rsid w:val="002F667B"/>
    <w:rsid w:val="002F6728"/>
    <w:rsid w:val="002F6A10"/>
    <w:rsid w:val="002F6FC8"/>
    <w:rsid w:val="002F74BC"/>
    <w:rsid w:val="002F78E9"/>
    <w:rsid w:val="00300F39"/>
    <w:rsid w:val="00301BD0"/>
    <w:rsid w:val="0030282D"/>
    <w:rsid w:val="0030286C"/>
    <w:rsid w:val="0030379B"/>
    <w:rsid w:val="003037C1"/>
    <w:rsid w:val="00303CBD"/>
    <w:rsid w:val="003053D7"/>
    <w:rsid w:val="00305668"/>
    <w:rsid w:val="00305CED"/>
    <w:rsid w:val="003066AC"/>
    <w:rsid w:val="00306771"/>
    <w:rsid w:val="00307733"/>
    <w:rsid w:val="0030792C"/>
    <w:rsid w:val="00307DAD"/>
    <w:rsid w:val="00311407"/>
    <w:rsid w:val="00312344"/>
    <w:rsid w:val="00312F5B"/>
    <w:rsid w:val="0031308C"/>
    <w:rsid w:val="0031392A"/>
    <w:rsid w:val="003167AC"/>
    <w:rsid w:val="00317ED5"/>
    <w:rsid w:val="00321655"/>
    <w:rsid w:val="0032250E"/>
    <w:rsid w:val="00322580"/>
    <w:rsid w:val="0032279F"/>
    <w:rsid w:val="003229FD"/>
    <w:rsid w:val="003246E2"/>
    <w:rsid w:val="0032589B"/>
    <w:rsid w:val="003260DD"/>
    <w:rsid w:val="00327AB6"/>
    <w:rsid w:val="003307FB"/>
    <w:rsid w:val="0033124F"/>
    <w:rsid w:val="0033164F"/>
    <w:rsid w:val="00333C2D"/>
    <w:rsid w:val="003352F1"/>
    <w:rsid w:val="00336080"/>
    <w:rsid w:val="00336BEA"/>
    <w:rsid w:val="00336C7B"/>
    <w:rsid w:val="003379F5"/>
    <w:rsid w:val="003401CE"/>
    <w:rsid w:val="00340477"/>
    <w:rsid w:val="00341638"/>
    <w:rsid w:val="00341815"/>
    <w:rsid w:val="003440B7"/>
    <w:rsid w:val="00344684"/>
    <w:rsid w:val="00344DFE"/>
    <w:rsid w:val="00346A68"/>
    <w:rsid w:val="00346B1B"/>
    <w:rsid w:val="00347596"/>
    <w:rsid w:val="00352D55"/>
    <w:rsid w:val="0035313A"/>
    <w:rsid w:val="0035340A"/>
    <w:rsid w:val="00353B41"/>
    <w:rsid w:val="0035469E"/>
    <w:rsid w:val="00354C85"/>
    <w:rsid w:val="00354E56"/>
    <w:rsid w:val="0035521D"/>
    <w:rsid w:val="0035586D"/>
    <w:rsid w:val="00357207"/>
    <w:rsid w:val="003613A9"/>
    <w:rsid w:val="00363BF6"/>
    <w:rsid w:val="00363D81"/>
    <w:rsid w:val="0036630B"/>
    <w:rsid w:val="00367166"/>
    <w:rsid w:val="00367343"/>
    <w:rsid w:val="003675B2"/>
    <w:rsid w:val="00367C05"/>
    <w:rsid w:val="00370569"/>
    <w:rsid w:val="003709EC"/>
    <w:rsid w:val="00372E0F"/>
    <w:rsid w:val="00373D16"/>
    <w:rsid w:val="00373F32"/>
    <w:rsid w:val="00374898"/>
    <w:rsid w:val="0037491F"/>
    <w:rsid w:val="00376FA1"/>
    <w:rsid w:val="00381C2D"/>
    <w:rsid w:val="00381D89"/>
    <w:rsid w:val="00381FC4"/>
    <w:rsid w:val="003835CE"/>
    <w:rsid w:val="003855CF"/>
    <w:rsid w:val="0038603B"/>
    <w:rsid w:val="003902E6"/>
    <w:rsid w:val="00391035"/>
    <w:rsid w:val="003911F6"/>
    <w:rsid w:val="00391F71"/>
    <w:rsid w:val="00392C3A"/>
    <w:rsid w:val="003938E0"/>
    <w:rsid w:val="003940F1"/>
    <w:rsid w:val="003940FD"/>
    <w:rsid w:val="003941C0"/>
    <w:rsid w:val="00394742"/>
    <w:rsid w:val="00395241"/>
    <w:rsid w:val="003A0FDD"/>
    <w:rsid w:val="003A116E"/>
    <w:rsid w:val="003A1FCC"/>
    <w:rsid w:val="003A2168"/>
    <w:rsid w:val="003A2575"/>
    <w:rsid w:val="003A3F7E"/>
    <w:rsid w:val="003A445F"/>
    <w:rsid w:val="003A4FD3"/>
    <w:rsid w:val="003A5E59"/>
    <w:rsid w:val="003B2A22"/>
    <w:rsid w:val="003B3A7C"/>
    <w:rsid w:val="003B4E63"/>
    <w:rsid w:val="003B559A"/>
    <w:rsid w:val="003B65E3"/>
    <w:rsid w:val="003B6F7D"/>
    <w:rsid w:val="003B7223"/>
    <w:rsid w:val="003C014C"/>
    <w:rsid w:val="003C245C"/>
    <w:rsid w:val="003C2C26"/>
    <w:rsid w:val="003C4A20"/>
    <w:rsid w:val="003C4AAF"/>
    <w:rsid w:val="003C7C01"/>
    <w:rsid w:val="003D0D02"/>
    <w:rsid w:val="003D1BCF"/>
    <w:rsid w:val="003D2888"/>
    <w:rsid w:val="003D2BC8"/>
    <w:rsid w:val="003D4BA7"/>
    <w:rsid w:val="003D6836"/>
    <w:rsid w:val="003D6DF8"/>
    <w:rsid w:val="003D740F"/>
    <w:rsid w:val="003E0780"/>
    <w:rsid w:val="003E08EB"/>
    <w:rsid w:val="003E0C56"/>
    <w:rsid w:val="003E14E1"/>
    <w:rsid w:val="003E2B81"/>
    <w:rsid w:val="003E3058"/>
    <w:rsid w:val="003E3153"/>
    <w:rsid w:val="003E52DA"/>
    <w:rsid w:val="003E5F91"/>
    <w:rsid w:val="003E68A1"/>
    <w:rsid w:val="003F0471"/>
    <w:rsid w:val="003F195F"/>
    <w:rsid w:val="003F21C8"/>
    <w:rsid w:val="003F2876"/>
    <w:rsid w:val="003F3125"/>
    <w:rsid w:val="003F35A6"/>
    <w:rsid w:val="003F368E"/>
    <w:rsid w:val="003F4AE6"/>
    <w:rsid w:val="003F6004"/>
    <w:rsid w:val="003F6831"/>
    <w:rsid w:val="003F693E"/>
    <w:rsid w:val="00401390"/>
    <w:rsid w:val="004015EB"/>
    <w:rsid w:val="00401EA0"/>
    <w:rsid w:val="0040655F"/>
    <w:rsid w:val="00407752"/>
    <w:rsid w:val="00410B42"/>
    <w:rsid w:val="00411667"/>
    <w:rsid w:val="004123C0"/>
    <w:rsid w:val="00412F36"/>
    <w:rsid w:val="00412FD3"/>
    <w:rsid w:val="004137AF"/>
    <w:rsid w:val="00415FB0"/>
    <w:rsid w:val="00416645"/>
    <w:rsid w:val="00417A0D"/>
    <w:rsid w:val="00423429"/>
    <w:rsid w:val="00424540"/>
    <w:rsid w:val="00424882"/>
    <w:rsid w:val="00425AEA"/>
    <w:rsid w:val="0042627E"/>
    <w:rsid w:val="004262FE"/>
    <w:rsid w:val="0042694F"/>
    <w:rsid w:val="00427902"/>
    <w:rsid w:val="00430ADB"/>
    <w:rsid w:val="0043115A"/>
    <w:rsid w:val="00432800"/>
    <w:rsid w:val="00433837"/>
    <w:rsid w:val="00434423"/>
    <w:rsid w:val="00436BA8"/>
    <w:rsid w:val="0043748F"/>
    <w:rsid w:val="004378B1"/>
    <w:rsid w:val="0044006E"/>
    <w:rsid w:val="00441209"/>
    <w:rsid w:val="00441AF9"/>
    <w:rsid w:val="00441FA3"/>
    <w:rsid w:val="004466AA"/>
    <w:rsid w:val="00446CA3"/>
    <w:rsid w:val="0045011E"/>
    <w:rsid w:val="0045101B"/>
    <w:rsid w:val="0045289B"/>
    <w:rsid w:val="004539D4"/>
    <w:rsid w:val="00453CFB"/>
    <w:rsid w:val="0045405C"/>
    <w:rsid w:val="00455021"/>
    <w:rsid w:val="00455285"/>
    <w:rsid w:val="00456BA6"/>
    <w:rsid w:val="00461413"/>
    <w:rsid w:val="004614D9"/>
    <w:rsid w:val="00461DA2"/>
    <w:rsid w:val="00462789"/>
    <w:rsid w:val="00462F89"/>
    <w:rsid w:val="004638D9"/>
    <w:rsid w:val="00464067"/>
    <w:rsid w:val="00467859"/>
    <w:rsid w:val="00467F33"/>
    <w:rsid w:val="0047173C"/>
    <w:rsid w:val="00471859"/>
    <w:rsid w:val="004724FB"/>
    <w:rsid w:val="004728B4"/>
    <w:rsid w:val="00475F95"/>
    <w:rsid w:val="00476172"/>
    <w:rsid w:val="00477487"/>
    <w:rsid w:val="0048098C"/>
    <w:rsid w:val="00480BAE"/>
    <w:rsid w:val="00480E4E"/>
    <w:rsid w:val="00481ADA"/>
    <w:rsid w:val="00482F02"/>
    <w:rsid w:val="00483436"/>
    <w:rsid w:val="00483D9B"/>
    <w:rsid w:val="00484615"/>
    <w:rsid w:val="004869B2"/>
    <w:rsid w:val="0049056C"/>
    <w:rsid w:val="00490A51"/>
    <w:rsid w:val="00492418"/>
    <w:rsid w:val="0049287C"/>
    <w:rsid w:val="00492DD6"/>
    <w:rsid w:val="004938FB"/>
    <w:rsid w:val="00495448"/>
    <w:rsid w:val="0049685A"/>
    <w:rsid w:val="004971EB"/>
    <w:rsid w:val="004975CF"/>
    <w:rsid w:val="004A070F"/>
    <w:rsid w:val="004A0734"/>
    <w:rsid w:val="004A3761"/>
    <w:rsid w:val="004A3D67"/>
    <w:rsid w:val="004A3EEB"/>
    <w:rsid w:val="004A44AE"/>
    <w:rsid w:val="004A485C"/>
    <w:rsid w:val="004A6E3D"/>
    <w:rsid w:val="004A7C02"/>
    <w:rsid w:val="004B0A12"/>
    <w:rsid w:val="004B1516"/>
    <w:rsid w:val="004B2C9F"/>
    <w:rsid w:val="004B4C59"/>
    <w:rsid w:val="004B637A"/>
    <w:rsid w:val="004B664F"/>
    <w:rsid w:val="004C16C9"/>
    <w:rsid w:val="004C1961"/>
    <w:rsid w:val="004C1A82"/>
    <w:rsid w:val="004C1AB7"/>
    <w:rsid w:val="004C1B70"/>
    <w:rsid w:val="004C3D4B"/>
    <w:rsid w:val="004C4E5E"/>
    <w:rsid w:val="004C6EE2"/>
    <w:rsid w:val="004C71C5"/>
    <w:rsid w:val="004D0408"/>
    <w:rsid w:val="004D3D30"/>
    <w:rsid w:val="004D464D"/>
    <w:rsid w:val="004D50E0"/>
    <w:rsid w:val="004D62FC"/>
    <w:rsid w:val="004D6828"/>
    <w:rsid w:val="004E00CB"/>
    <w:rsid w:val="004E16F5"/>
    <w:rsid w:val="004E3037"/>
    <w:rsid w:val="004E70CE"/>
    <w:rsid w:val="004F1511"/>
    <w:rsid w:val="004F41A3"/>
    <w:rsid w:val="004F4B8B"/>
    <w:rsid w:val="004F7B5B"/>
    <w:rsid w:val="00501147"/>
    <w:rsid w:val="0050361F"/>
    <w:rsid w:val="00504A5F"/>
    <w:rsid w:val="00505235"/>
    <w:rsid w:val="005052F4"/>
    <w:rsid w:val="005055B1"/>
    <w:rsid w:val="00505762"/>
    <w:rsid w:val="0050609E"/>
    <w:rsid w:val="00514D19"/>
    <w:rsid w:val="00516DB6"/>
    <w:rsid w:val="00516FD5"/>
    <w:rsid w:val="00517001"/>
    <w:rsid w:val="005173DA"/>
    <w:rsid w:val="00520C33"/>
    <w:rsid w:val="00523C06"/>
    <w:rsid w:val="00523D4E"/>
    <w:rsid w:val="005249BF"/>
    <w:rsid w:val="00525CC6"/>
    <w:rsid w:val="00527BF5"/>
    <w:rsid w:val="00531829"/>
    <w:rsid w:val="00532312"/>
    <w:rsid w:val="00532B9C"/>
    <w:rsid w:val="005332DD"/>
    <w:rsid w:val="00533883"/>
    <w:rsid w:val="00534135"/>
    <w:rsid w:val="005400CD"/>
    <w:rsid w:val="00541DC6"/>
    <w:rsid w:val="00542256"/>
    <w:rsid w:val="00546A9B"/>
    <w:rsid w:val="00546AC8"/>
    <w:rsid w:val="00546B56"/>
    <w:rsid w:val="005477D0"/>
    <w:rsid w:val="00547A73"/>
    <w:rsid w:val="00550577"/>
    <w:rsid w:val="00550622"/>
    <w:rsid w:val="005518BE"/>
    <w:rsid w:val="005519F1"/>
    <w:rsid w:val="00554334"/>
    <w:rsid w:val="00554384"/>
    <w:rsid w:val="0055467B"/>
    <w:rsid w:val="00554D7C"/>
    <w:rsid w:val="00556662"/>
    <w:rsid w:val="005569C6"/>
    <w:rsid w:val="00556FA7"/>
    <w:rsid w:val="005574FA"/>
    <w:rsid w:val="005579F5"/>
    <w:rsid w:val="00560DA4"/>
    <w:rsid w:val="005620F2"/>
    <w:rsid w:val="00563F56"/>
    <w:rsid w:val="00564454"/>
    <w:rsid w:val="005644EF"/>
    <w:rsid w:val="0056451B"/>
    <w:rsid w:val="00565398"/>
    <w:rsid w:val="00565B1B"/>
    <w:rsid w:val="005665B7"/>
    <w:rsid w:val="0056676E"/>
    <w:rsid w:val="00566825"/>
    <w:rsid w:val="00566C4A"/>
    <w:rsid w:val="0056718A"/>
    <w:rsid w:val="00567455"/>
    <w:rsid w:val="00570518"/>
    <w:rsid w:val="00571422"/>
    <w:rsid w:val="00571713"/>
    <w:rsid w:val="00575017"/>
    <w:rsid w:val="00580739"/>
    <w:rsid w:val="00582067"/>
    <w:rsid w:val="005826A0"/>
    <w:rsid w:val="0058460D"/>
    <w:rsid w:val="00586556"/>
    <w:rsid w:val="00587918"/>
    <w:rsid w:val="005879FB"/>
    <w:rsid w:val="005904F3"/>
    <w:rsid w:val="00590BF9"/>
    <w:rsid w:val="00590DF2"/>
    <w:rsid w:val="00591118"/>
    <w:rsid w:val="00592174"/>
    <w:rsid w:val="00594443"/>
    <w:rsid w:val="00595C28"/>
    <w:rsid w:val="005967E7"/>
    <w:rsid w:val="0059706B"/>
    <w:rsid w:val="0059738E"/>
    <w:rsid w:val="005A0405"/>
    <w:rsid w:val="005A0A8F"/>
    <w:rsid w:val="005A1A79"/>
    <w:rsid w:val="005A42BD"/>
    <w:rsid w:val="005A6302"/>
    <w:rsid w:val="005A6846"/>
    <w:rsid w:val="005A791C"/>
    <w:rsid w:val="005B065C"/>
    <w:rsid w:val="005B2789"/>
    <w:rsid w:val="005B372B"/>
    <w:rsid w:val="005B58F9"/>
    <w:rsid w:val="005C001C"/>
    <w:rsid w:val="005C1C6F"/>
    <w:rsid w:val="005C2A6C"/>
    <w:rsid w:val="005C3858"/>
    <w:rsid w:val="005C5730"/>
    <w:rsid w:val="005C5BD0"/>
    <w:rsid w:val="005C5C5E"/>
    <w:rsid w:val="005C6D31"/>
    <w:rsid w:val="005D196D"/>
    <w:rsid w:val="005D19D4"/>
    <w:rsid w:val="005D2650"/>
    <w:rsid w:val="005D35BB"/>
    <w:rsid w:val="005D3A48"/>
    <w:rsid w:val="005D7AD0"/>
    <w:rsid w:val="005E1274"/>
    <w:rsid w:val="005E13E0"/>
    <w:rsid w:val="005E2455"/>
    <w:rsid w:val="005E33E3"/>
    <w:rsid w:val="005E36A0"/>
    <w:rsid w:val="005E4EC3"/>
    <w:rsid w:val="005E64B5"/>
    <w:rsid w:val="005E7003"/>
    <w:rsid w:val="005E7457"/>
    <w:rsid w:val="005E74D7"/>
    <w:rsid w:val="005E790B"/>
    <w:rsid w:val="005F092A"/>
    <w:rsid w:val="005F1258"/>
    <w:rsid w:val="005F3117"/>
    <w:rsid w:val="005F69DB"/>
    <w:rsid w:val="0060191C"/>
    <w:rsid w:val="00603D46"/>
    <w:rsid w:val="0060502A"/>
    <w:rsid w:val="00605047"/>
    <w:rsid w:val="006054D8"/>
    <w:rsid w:val="00607C65"/>
    <w:rsid w:val="00610143"/>
    <w:rsid w:val="006101B1"/>
    <w:rsid w:val="00610C2F"/>
    <w:rsid w:val="006118C4"/>
    <w:rsid w:val="00612526"/>
    <w:rsid w:val="00612FD7"/>
    <w:rsid w:val="00613A94"/>
    <w:rsid w:val="00614AE8"/>
    <w:rsid w:val="0061522B"/>
    <w:rsid w:val="0061539D"/>
    <w:rsid w:val="0061583B"/>
    <w:rsid w:val="00615B18"/>
    <w:rsid w:val="00620BC2"/>
    <w:rsid w:val="00621703"/>
    <w:rsid w:val="00621836"/>
    <w:rsid w:val="00621F58"/>
    <w:rsid w:val="00622325"/>
    <w:rsid w:val="00622348"/>
    <w:rsid w:val="00622388"/>
    <w:rsid w:val="0062353F"/>
    <w:rsid w:val="00625F2E"/>
    <w:rsid w:val="00626100"/>
    <w:rsid w:val="00626476"/>
    <w:rsid w:val="00627115"/>
    <w:rsid w:val="00627B1F"/>
    <w:rsid w:val="006310D8"/>
    <w:rsid w:val="00631E0B"/>
    <w:rsid w:val="00632FFF"/>
    <w:rsid w:val="00634051"/>
    <w:rsid w:val="006342E0"/>
    <w:rsid w:val="006349FA"/>
    <w:rsid w:val="00635CC3"/>
    <w:rsid w:val="006378A2"/>
    <w:rsid w:val="00637E6E"/>
    <w:rsid w:val="006402BD"/>
    <w:rsid w:val="006408F0"/>
    <w:rsid w:val="00640AA8"/>
    <w:rsid w:val="006410D6"/>
    <w:rsid w:val="006411A5"/>
    <w:rsid w:val="00641221"/>
    <w:rsid w:val="00642122"/>
    <w:rsid w:val="00642B45"/>
    <w:rsid w:val="0064371D"/>
    <w:rsid w:val="00643E4D"/>
    <w:rsid w:val="00645862"/>
    <w:rsid w:val="006458D8"/>
    <w:rsid w:val="00646215"/>
    <w:rsid w:val="00647753"/>
    <w:rsid w:val="0065221D"/>
    <w:rsid w:val="00652887"/>
    <w:rsid w:val="00653B88"/>
    <w:rsid w:val="00653FBB"/>
    <w:rsid w:val="00654200"/>
    <w:rsid w:val="00654659"/>
    <w:rsid w:val="00655087"/>
    <w:rsid w:val="0065518B"/>
    <w:rsid w:val="00655D54"/>
    <w:rsid w:val="00655F4C"/>
    <w:rsid w:val="0065777B"/>
    <w:rsid w:val="00661780"/>
    <w:rsid w:val="00662262"/>
    <w:rsid w:val="00663D7F"/>
    <w:rsid w:val="00663FED"/>
    <w:rsid w:val="00665984"/>
    <w:rsid w:val="00665B82"/>
    <w:rsid w:val="00667F99"/>
    <w:rsid w:val="006719DE"/>
    <w:rsid w:val="00673C97"/>
    <w:rsid w:val="00674566"/>
    <w:rsid w:val="006746B1"/>
    <w:rsid w:val="00680061"/>
    <w:rsid w:val="006808E8"/>
    <w:rsid w:val="00682FE2"/>
    <w:rsid w:val="00684284"/>
    <w:rsid w:val="00684579"/>
    <w:rsid w:val="00686750"/>
    <w:rsid w:val="00686CBD"/>
    <w:rsid w:val="00686CC5"/>
    <w:rsid w:val="0068700B"/>
    <w:rsid w:val="0068732C"/>
    <w:rsid w:val="0069559D"/>
    <w:rsid w:val="00695D67"/>
    <w:rsid w:val="00696F8C"/>
    <w:rsid w:val="0069700C"/>
    <w:rsid w:val="00697037"/>
    <w:rsid w:val="00697801"/>
    <w:rsid w:val="006A074F"/>
    <w:rsid w:val="006A32E6"/>
    <w:rsid w:val="006A54E3"/>
    <w:rsid w:val="006A55D7"/>
    <w:rsid w:val="006A6B75"/>
    <w:rsid w:val="006A7AD1"/>
    <w:rsid w:val="006B20CA"/>
    <w:rsid w:val="006B29F6"/>
    <w:rsid w:val="006B440B"/>
    <w:rsid w:val="006B5189"/>
    <w:rsid w:val="006B5672"/>
    <w:rsid w:val="006C09DE"/>
    <w:rsid w:val="006C1055"/>
    <w:rsid w:val="006C3E9D"/>
    <w:rsid w:val="006C44B9"/>
    <w:rsid w:val="006C4FA4"/>
    <w:rsid w:val="006C51D6"/>
    <w:rsid w:val="006C6552"/>
    <w:rsid w:val="006C67DC"/>
    <w:rsid w:val="006C6E85"/>
    <w:rsid w:val="006C7D91"/>
    <w:rsid w:val="006C7FED"/>
    <w:rsid w:val="006D0C85"/>
    <w:rsid w:val="006D15EB"/>
    <w:rsid w:val="006D2ED9"/>
    <w:rsid w:val="006D4052"/>
    <w:rsid w:val="006D425B"/>
    <w:rsid w:val="006D68BD"/>
    <w:rsid w:val="006D6F56"/>
    <w:rsid w:val="006D7D80"/>
    <w:rsid w:val="006E17AC"/>
    <w:rsid w:val="006E24C6"/>
    <w:rsid w:val="006E32F6"/>
    <w:rsid w:val="006E34A6"/>
    <w:rsid w:val="006E4C44"/>
    <w:rsid w:val="006E60D8"/>
    <w:rsid w:val="006E60E5"/>
    <w:rsid w:val="006E6296"/>
    <w:rsid w:val="006F0080"/>
    <w:rsid w:val="006F0B83"/>
    <w:rsid w:val="00700403"/>
    <w:rsid w:val="00701836"/>
    <w:rsid w:val="00701F70"/>
    <w:rsid w:val="00702650"/>
    <w:rsid w:val="00705BCF"/>
    <w:rsid w:val="007062E3"/>
    <w:rsid w:val="00706936"/>
    <w:rsid w:val="00706BC5"/>
    <w:rsid w:val="0070769C"/>
    <w:rsid w:val="0071004F"/>
    <w:rsid w:val="00711016"/>
    <w:rsid w:val="00715914"/>
    <w:rsid w:val="00716921"/>
    <w:rsid w:val="00716CC2"/>
    <w:rsid w:val="0071759D"/>
    <w:rsid w:val="00717B01"/>
    <w:rsid w:val="0072079B"/>
    <w:rsid w:val="0072132E"/>
    <w:rsid w:val="00722184"/>
    <w:rsid w:val="007229D7"/>
    <w:rsid w:val="00723F4F"/>
    <w:rsid w:val="0072401B"/>
    <w:rsid w:val="007242EB"/>
    <w:rsid w:val="00724474"/>
    <w:rsid w:val="007269A0"/>
    <w:rsid w:val="007276BF"/>
    <w:rsid w:val="00730EDD"/>
    <w:rsid w:val="00731862"/>
    <w:rsid w:val="00732649"/>
    <w:rsid w:val="00734B42"/>
    <w:rsid w:val="00734C7C"/>
    <w:rsid w:val="007359C2"/>
    <w:rsid w:val="00736FD6"/>
    <w:rsid w:val="0073714D"/>
    <w:rsid w:val="00737F17"/>
    <w:rsid w:val="0074264B"/>
    <w:rsid w:val="0074415C"/>
    <w:rsid w:val="0074671C"/>
    <w:rsid w:val="00746790"/>
    <w:rsid w:val="0074696F"/>
    <w:rsid w:val="00746DFC"/>
    <w:rsid w:val="00747BD5"/>
    <w:rsid w:val="007512D0"/>
    <w:rsid w:val="00751A70"/>
    <w:rsid w:val="0075223F"/>
    <w:rsid w:val="00752DCE"/>
    <w:rsid w:val="0075307B"/>
    <w:rsid w:val="007534C1"/>
    <w:rsid w:val="00753727"/>
    <w:rsid w:val="00755404"/>
    <w:rsid w:val="00755676"/>
    <w:rsid w:val="0075682F"/>
    <w:rsid w:val="00760E65"/>
    <w:rsid w:val="00760ECA"/>
    <w:rsid w:val="00761C77"/>
    <w:rsid w:val="00763B07"/>
    <w:rsid w:val="00763D41"/>
    <w:rsid w:val="00764399"/>
    <w:rsid w:val="00766CD4"/>
    <w:rsid w:val="0077147D"/>
    <w:rsid w:val="00771AC1"/>
    <w:rsid w:val="00772085"/>
    <w:rsid w:val="00776CA9"/>
    <w:rsid w:val="00780698"/>
    <w:rsid w:val="007814A1"/>
    <w:rsid w:val="00781D2D"/>
    <w:rsid w:val="007840AB"/>
    <w:rsid w:val="00784DCF"/>
    <w:rsid w:val="0078698C"/>
    <w:rsid w:val="00786C6C"/>
    <w:rsid w:val="00790072"/>
    <w:rsid w:val="00790957"/>
    <w:rsid w:val="00791FB2"/>
    <w:rsid w:val="00792261"/>
    <w:rsid w:val="00792569"/>
    <w:rsid w:val="007936E5"/>
    <w:rsid w:val="00793A96"/>
    <w:rsid w:val="007941EB"/>
    <w:rsid w:val="00797DB3"/>
    <w:rsid w:val="007A29C5"/>
    <w:rsid w:val="007B0156"/>
    <w:rsid w:val="007B0185"/>
    <w:rsid w:val="007B0A56"/>
    <w:rsid w:val="007B31CD"/>
    <w:rsid w:val="007B4A71"/>
    <w:rsid w:val="007B4B9B"/>
    <w:rsid w:val="007B7048"/>
    <w:rsid w:val="007B7493"/>
    <w:rsid w:val="007C1A90"/>
    <w:rsid w:val="007C425D"/>
    <w:rsid w:val="007C431E"/>
    <w:rsid w:val="007C4656"/>
    <w:rsid w:val="007C77AF"/>
    <w:rsid w:val="007C7E6E"/>
    <w:rsid w:val="007C7E77"/>
    <w:rsid w:val="007D3CF3"/>
    <w:rsid w:val="007D40E6"/>
    <w:rsid w:val="007D5375"/>
    <w:rsid w:val="007D5493"/>
    <w:rsid w:val="007D58E2"/>
    <w:rsid w:val="007D60F2"/>
    <w:rsid w:val="007D6401"/>
    <w:rsid w:val="007D6665"/>
    <w:rsid w:val="007D76D3"/>
    <w:rsid w:val="007D7ECD"/>
    <w:rsid w:val="007E1C66"/>
    <w:rsid w:val="007E250D"/>
    <w:rsid w:val="007E25C6"/>
    <w:rsid w:val="007E3C59"/>
    <w:rsid w:val="007E3F1E"/>
    <w:rsid w:val="007E4177"/>
    <w:rsid w:val="007E52C3"/>
    <w:rsid w:val="007E596F"/>
    <w:rsid w:val="007E6A79"/>
    <w:rsid w:val="007E6D0D"/>
    <w:rsid w:val="007E70AC"/>
    <w:rsid w:val="007E735C"/>
    <w:rsid w:val="007E7A85"/>
    <w:rsid w:val="007F0197"/>
    <w:rsid w:val="007F0281"/>
    <w:rsid w:val="007F0ACB"/>
    <w:rsid w:val="007F1923"/>
    <w:rsid w:val="007F1FB0"/>
    <w:rsid w:val="007F263B"/>
    <w:rsid w:val="007F2DC8"/>
    <w:rsid w:val="007F48AE"/>
    <w:rsid w:val="007F5437"/>
    <w:rsid w:val="007F5BE2"/>
    <w:rsid w:val="007F75E1"/>
    <w:rsid w:val="007F7723"/>
    <w:rsid w:val="0080057F"/>
    <w:rsid w:val="008005B3"/>
    <w:rsid w:val="00800DC2"/>
    <w:rsid w:val="0080262B"/>
    <w:rsid w:val="008027F5"/>
    <w:rsid w:val="0080381D"/>
    <w:rsid w:val="00803BBF"/>
    <w:rsid w:val="008045A7"/>
    <w:rsid w:val="00804898"/>
    <w:rsid w:val="00804F2A"/>
    <w:rsid w:val="0080510A"/>
    <w:rsid w:val="00806F80"/>
    <w:rsid w:val="008111C0"/>
    <w:rsid w:val="00811217"/>
    <w:rsid w:val="008136F4"/>
    <w:rsid w:val="0081458D"/>
    <w:rsid w:val="00814E34"/>
    <w:rsid w:val="00814E56"/>
    <w:rsid w:val="008156EB"/>
    <w:rsid w:val="008158EE"/>
    <w:rsid w:val="0081603E"/>
    <w:rsid w:val="00816228"/>
    <w:rsid w:val="00816EB3"/>
    <w:rsid w:val="0082075A"/>
    <w:rsid w:val="00823D8F"/>
    <w:rsid w:val="00824EAD"/>
    <w:rsid w:val="008252B3"/>
    <w:rsid w:val="00826339"/>
    <w:rsid w:val="00826661"/>
    <w:rsid w:val="008277BB"/>
    <w:rsid w:val="00827963"/>
    <w:rsid w:val="00831D40"/>
    <w:rsid w:val="00832530"/>
    <w:rsid w:val="00832538"/>
    <w:rsid w:val="0083491C"/>
    <w:rsid w:val="00834DFD"/>
    <w:rsid w:val="00835FDF"/>
    <w:rsid w:val="00837740"/>
    <w:rsid w:val="0083789B"/>
    <w:rsid w:val="00837B94"/>
    <w:rsid w:val="00837BC3"/>
    <w:rsid w:val="00840C66"/>
    <w:rsid w:val="008417F4"/>
    <w:rsid w:val="008418F1"/>
    <w:rsid w:val="008434A1"/>
    <w:rsid w:val="00844A58"/>
    <w:rsid w:val="008462F0"/>
    <w:rsid w:val="008471DD"/>
    <w:rsid w:val="0084766E"/>
    <w:rsid w:val="00851EA5"/>
    <w:rsid w:val="00852591"/>
    <w:rsid w:val="00855454"/>
    <w:rsid w:val="00856761"/>
    <w:rsid w:val="00857347"/>
    <w:rsid w:val="008573D5"/>
    <w:rsid w:val="008625BD"/>
    <w:rsid w:val="00863252"/>
    <w:rsid w:val="008640E5"/>
    <w:rsid w:val="00865499"/>
    <w:rsid w:val="008670AA"/>
    <w:rsid w:val="0086721C"/>
    <w:rsid w:val="00870E00"/>
    <w:rsid w:val="00873346"/>
    <w:rsid w:val="00874030"/>
    <w:rsid w:val="00876B3B"/>
    <w:rsid w:val="00877166"/>
    <w:rsid w:val="008777D3"/>
    <w:rsid w:val="008810B3"/>
    <w:rsid w:val="00883B03"/>
    <w:rsid w:val="00885054"/>
    <w:rsid w:val="0088505F"/>
    <w:rsid w:val="0088519A"/>
    <w:rsid w:val="00886A42"/>
    <w:rsid w:val="008875B4"/>
    <w:rsid w:val="00890C8F"/>
    <w:rsid w:val="00891932"/>
    <w:rsid w:val="00891F22"/>
    <w:rsid w:val="00894D12"/>
    <w:rsid w:val="00894E26"/>
    <w:rsid w:val="00895D2A"/>
    <w:rsid w:val="00896C4C"/>
    <w:rsid w:val="008A1923"/>
    <w:rsid w:val="008A20CD"/>
    <w:rsid w:val="008A26D8"/>
    <w:rsid w:val="008A2B67"/>
    <w:rsid w:val="008A37CD"/>
    <w:rsid w:val="008A46B9"/>
    <w:rsid w:val="008A4AD5"/>
    <w:rsid w:val="008A5B8F"/>
    <w:rsid w:val="008A5EC4"/>
    <w:rsid w:val="008A6BDF"/>
    <w:rsid w:val="008A716B"/>
    <w:rsid w:val="008B0585"/>
    <w:rsid w:val="008B2C06"/>
    <w:rsid w:val="008B31D1"/>
    <w:rsid w:val="008B3361"/>
    <w:rsid w:val="008B3844"/>
    <w:rsid w:val="008B5B4F"/>
    <w:rsid w:val="008B7538"/>
    <w:rsid w:val="008C02CE"/>
    <w:rsid w:val="008C07E6"/>
    <w:rsid w:val="008C0E13"/>
    <w:rsid w:val="008C197E"/>
    <w:rsid w:val="008C2CAB"/>
    <w:rsid w:val="008C3CC7"/>
    <w:rsid w:val="008C5A60"/>
    <w:rsid w:val="008D264F"/>
    <w:rsid w:val="008D2721"/>
    <w:rsid w:val="008D2855"/>
    <w:rsid w:val="008D4222"/>
    <w:rsid w:val="008D448D"/>
    <w:rsid w:val="008D48DD"/>
    <w:rsid w:val="008D4B0F"/>
    <w:rsid w:val="008D5B12"/>
    <w:rsid w:val="008D5E3B"/>
    <w:rsid w:val="008E07CF"/>
    <w:rsid w:val="008E114F"/>
    <w:rsid w:val="008E6810"/>
    <w:rsid w:val="008E7A56"/>
    <w:rsid w:val="008E7C63"/>
    <w:rsid w:val="008F1A68"/>
    <w:rsid w:val="008F2DEE"/>
    <w:rsid w:val="008F311A"/>
    <w:rsid w:val="008F33FE"/>
    <w:rsid w:val="008F3A92"/>
    <w:rsid w:val="008F5B5E"/>
    <w:rsid w:val="008F5F39"/>
    <w:rsid w:val="008F71EA"/>
    <w:rsid w:val="00900A2F"/>
    <w:rsid w:val="00900F5C"/>
    <w:rsid w:val="0090278A"/>
    <w:rsid w:val="009029A5"/>
    <w:rsid w:val="00904575"/>
    <w:rsid w:val="009051A7"/>
    <w:rsid w:val="00910A12"/>
    <w:rsid w:val="00912B82"/>
    <w:rsid w:val="009136F9"/>
    <w:rsid w:val="00916274"/>
    <w:rsid w:val="00917AB1"/>
    <w:rsid w:val="0092016B"/>
    <w:rsid w:val="0092078E"/>
    <w:rsid w:val="00921161"/>
    <w:rsid w:val="009213CF"/>
    <w:rsid w:val="00922F79"/>
    <w:rsid w:val="00923692"/>
    <w:rsid w:val="00923729"/>
    <w:rsid w:val="00923D04"/>
    <w:rsid w:val="00924154"/>
    <w:rsid w:val="00924749"/>
    <w:rsid w:val="0092599A"/>
    <w:rsid w:val="00925FEB"/>
    <w:rsid w:val="00926435"/>
    <w:rsid w:val="00930D40"/>
    <w:rsid w:val="009320BE"/>
    <w:rsid w:val="0093245D"/>
    <w:rsid w:val="00932DF7"/>
    <w:rsid w:val="00934327"/>
    <w:rsid w:val="00935FFF"/>
    <w:rsid w:val="00936873"/>
    <w:rsid w:val="00937630"/>
    <w:rsid w:val="00937AFB"/>
    <w:rsid w:val="00941A38"/>
    <w:rsid w:val="00943DB0"/>
    <w:rsid w:val="0094408C"/>
    <w:rsid w:val="009445C2"/>
    <w:rsid w:val="00945ABF"/>
    <w:rsid w:val="00947508"/>
    <w:rsid w:val="009479BC"/>
    <w:rsid w:val="009502B2"/>
    <w:rsid w:val="00951D36"/>
    <w:rsid w:val="00953BF5"/>
    <w:rsid w:val="0095432D"/>
    <w:rsid w:val="00954F6E"/>
    <w:rsid w:val="009564D7"/>
    <w:rsid w:val="0095730D"/>
    <w:rsid w:val="009573AE"/>
    <w:rsid w:val="00957A7B"/>
    <w:rsid w:val="00957C7E"/>
    <w:rsid w:val="009634A9"/>
    <w:rsid w:val="009636E0"/>
    <w:rsid w:val="00965D9A"/>
    <w:rsid w:val="0096683F"/>
    <w:rsid w:val="00971292"/>
    <w:rsid w:val="00971857"/>
    <w:rsid w:val="00973333"/>
    <w:rsid w:val="00974599"/>
    <w:rsid w:val="0097717F"/>
    <w:rsid w:val="009801B6"/>
    <w:rsid w:val="0098119E"/>
    <w:rsid w:val="009836DF"/>
    <w:rsid w:val="00985953"/>
    <w:rsid w:val="00986673"/>
    <w:rsid w:val="00986BB9"/>
    <w:rsid w:val="0098796E"/>
    <w:rsid w:val="0099115A"/>
    <w:rsid w:val="00991BB0"/>
    <w:rsid w:val="00992FA0"/>
    <w:rsid w:val="00994402"/>
    <w:rsid w:val="0099443C"/>
    <w:rsid w:val="0099449B"/>
    <w:rsid w:val="009947DB"/>
    <w:rsid w:val="00994E48"/>
    <w:rsid w:val="0099601C"/>
    <w:rsid w:val="00997702"/>
    <w:rsid w:val="009A21C5"/>
    <w:rsid w:val="009A2D1C"/>
    <w:rsid w:val="009A428D"/>
    <w:rsid w:val="009A453D"/>
    <w:rsid w:val="009A656B"/>
    <w:rsid w:val="009A73A9"/>
    <w:rsid w:val="009A7DE1"/>
    <w:rsid w:val="009B1383"/>
    <w:rsid w:val="009B1D4C"/>
    <w:rsid w:val="009B4219"/>
    <w:rsid w:val="009B6969"/>
    <w:rsid w:val="009B75D1"/>
    <w:rsid w:val="009B7DDF"/>
    <w:rsid w:val="009C1EA0"/>
    <w:rsid w:val="009C33BD"/>
    <w:rsid w:val="009C3545"/>
    <w:rsid w:val="009C3A17"/>
    <w:rsid w:val="009C3C30"/>
    <w:rsid w:val="009C47DE"/>
    <w:rsid w:val="009C4D38"/>
    <w:rsid w:val="009C501E"/>
    <w:rsid w:val="009C50FC"/>
    <w:rsid w:val="009C7E35"/>
    <w:rsid w:val="009D0479"/>
    <w:rsid w:val="009D0924"/>
    <w:rsid w:val="009D2B1E"/>
    <w:rsid w:val="009D34D2"/>
    <w:rsid w:val="009D55DE"/>
    <w:rsid w:val="009D56B4"/>
    <w:rsid w:val="009D6A45"/>
    <w:rsid w:val="009E2755"/>
    <w:rsid w:val="009E43C3"/>
    <w:rsid w:val="009E50FD"/>
    <w:rsid w:val="009E5D13"/>
    <w:rsid w:val="009E5FB2"/>
    <w:rsid w:val="009E61C0"/>
    <w:rsid w:val="009E7146"/>
    <w:rsid w:val="009E7648"/>
    <w:rsid w:val="009F017C"/>
    <w:rsid w:val="009F100E"/>
    <w:rsid w:val="009F1081"/>
    <w:rsid w:val="009F245B"/>
    <w:rsid w:val="009F3C30"/>
    <w:rsid w:val="009F4C77"/>
    <w:rsid w:val="009F6D66"/>
    <w:rsid w:val="009F6F14"/>
    <w:rsid w:val="009F70DB"/>
    <w:rsid w:val="009F75F0"/>
    <w:rsid w:val="00A00529"/>
    <w:rsid w:val="00A01504"/>
    <w:rsid w:val="00A01773"/>
    <w:rsid w:val="00A06558"/>
    <w:rsid w:val="00A06614"/>
    <w:rsid w:val="00A0689F"/>
    <w:rsid w:val="00A077D6"/>
    <w:rsid w:val="00A1009A"/>
    <w:rsid w:val="00A10B4B"/>
    <w:rsid w:val="00A12039"/>
    <w:rsid w:val="00A14C60"/>
    <w:rsid w:val="00A15B50"/>
    <w:rsid w:val="00A16B99"/>
    <w:rsid w:val="00A16D8F"/>
    <w:rsid w:val="00A202CE"/>
    <w:rsid w:val="00A2661C"/>
    <w:rsid w:val="00A27AE1"/>
    <w:rsid w:val="00A30E40"/>
    <w:rsid w:val="00A31AFC"/>
    <w:rsid w:val="00A32E38"/>
    <w:rsid w:val="00A33216"/>
    <w:rsid w:val="00A34A3A"/>
    <w:rsid w:val="00A34AC3"/>
    <w:rsid w:val="00A34C26"/>
    <w:rsid w:val="00A37CE5"/>
    <w:rsid w:val="00A402A9"/>
    <w:rsid w:val="00A404B1"/>
    <w:rsid w:val="00A42DB6"/>
    <w:rsid w:val="00A434D9"/>
    <w:rsid w:val="00A43770"/>
    <w:rsid w:val="00A44129"/>
    <w:rsid w:val="00A44FB7"/>
    <w:rsid w:val="00A466CD"/>
    <w:rsid w:val="00A46EC6"/>
    <w:rsid w:val="00A46FB9"/>
    <w:rsid w:val="00A47071"/>
    <w:rsid w:val="00A503A4"/>
    <w:rsid w:val="00A51E43"/>
    <w:rsid w:val="00A54079"/>
    <w:rsid w:val="00A547E0"/>
    <w:rsid w:val="00A55A64"/>
    <w:rsid w:val="00A61DE2"/>
    <w:rsid w:val="00A65372"/>
    <w:rsid w:val="00A65821"/>
    <w:rsid w:val="00A66446"/>
    <w:rsid w:val="00A67762"/>
    <w:rsid w:val="00A70598"/>
    <w:rsid w:val="00A7295D"/>
    <w:rsid w:val="00A73D75"/>
    <w:rsid w:val="00A753C9"/>
    <w:rsid w:val="00A75FF2"/>
    <w:rsid w:val="00A772A5"/>
    <w:rsid w:val="00A808AC"/>
    <w:rsid w:val="00A81997"/>
    <w:rsid w:val="00A82ADF"/>
    <w:rsid w:val="00A82C5B"/>
    <w:rsid w:val="00A82F8A"/>
    <w:rsid w:val="00A839B5"/>
    <w:rsid w:val="00A84F67"/>
    <w:rsid w:val="00A8598D"/>
    <w:rsid w:val="00A85BCF"/>
    <w:rsid w:val="00A861F6"/>
    <w:rsid w:val="00A868B9"/>
    <w:rsid w:val="00A902DE"/>
    <w:rsid w:val="00A9156B"/>
    <w:rsid w:val="00A91FB2"/>
    <w:rsid w:val="00A95E52"/>
    <w:rsid w:val="00A96386"/>
    <w:rsid w:val="00A96AAA"/>
    <w:rsid w:val="00A96DC0"/>
    <w:rsid w:val="00AA0817"/>
    <w:rsid w:val="00AA2CBC"/>
    <w:rsid w:val="00AA4A43"/>
    <w:rsid w:val="00AA4CDC"/>
    <w:rsid w:val="00AA534C"/>
    <w:rsid w:val="00AA6D33"/>
    <w:rsid w:val="00AA6D42"/>
    <w:rsid w:val="00AA7D47"/>
    <w:rsid w:val="00AB118B"/>
    <w:rsid w:val="00AB3B2F"/>
    <w:rsid w:val="00AB4374"/>
    <w:rsid w:val="00AB5085"/>
    <w:rsid w:val="00AB5F5D"/>
    <w:rsid w:val="00AB6CE5"/>
    <w:rsid w:val="00AB7823"/>
    <w:rsid w:val="00AC0F37"/>
    <w:rsid w:val="00AC1CB6"/>
    <w:rsid w:val="00AC2E74"/>
    <w:rsid w:val="00AC34B2"/>
    <w:rsid w:val="00AC37B2"/>
    <w:rsid w:val="00AD1980"/>
    <w:rsid w:val="00AD323F"/>
    <w:rsid w:val="00AD414A"/>
    <w:rsid w:val="00AD419B"/>
    <w:rsid w:val="00AD452E"/>
    <w:rsid w:val="00AD4B63"/>
    <w:rsid w:val="00AD595E"/>
    <w:rsid w:val="00AD5DDA"/>
    <w:rsid w:val="00AD7B38"/>
    <w:rsid w:val="00AE1FC9"/>
    <w:rsid w:val="00AE229C"/>
    <w:rsid w:val="00AE26B0"/>
    <w:rsid w:val="00AE481D"/>
    <w:rsid w:val="00AE737B"/>
    <w:rsid w:val="00AE75D9"/>
    <w:rsid w:val="00AF13CD"/>
    <w:rsid w:val="00AF2B4E"/>
    <w:rsid w:val="00AF319E"/>
    <w:rsid w:val="00AF3647"/>
    <w:rsid w:val="00AF41F2"/>
    <w:rsid w:val="00AF69A6"/>
    <w:rsid w:val="00AF6B00"/>
    <w:rsid w:val="00AF6F96"/>
    <w:rsid w:val="00AF75FB"/>
    <w:rsid w:val="00AF7D31"/>
    <w:rsid w:val="00B00435"/>
    <w:rsid w:val="00B00829"/>
    <w:rsid w:val="00B015FC"/>
    <w:rsid w:val="00B03422"/>
    <w:rsid w:val="00B04A30"/>
    <w:rsid w:val="00B062AD"/>
    <w:rsid w:val="00B06C8B"/>
    <w:rsid w:val="00B075B0"/>
    <w:rsid w:val="00B110B4"/>
    <w:rsid w:val="00B11CEA"/>
    <w:rsid w:val="00B17509"/>
    <w:rsid w:val="00B17C8F"/>
    <w:rsid w:val="00B2055D"/>
    <w:rsid w:val="00B21A85"/>
    <w:rsid w:val="00B21C2D"/>
    <w:rsid w:val="00B225D6"/>
    <w:rsid w:val="00B23DA4"/>
    <w:rsid w:val="00B243FE"/>
    <w:rsid w:val="00B24904"/>
    <w:rsid w:val="00B24CBA"/>
    <w:rsid w:val="00B2666F"/>
    <w:rsid w:val="00B26F93"/>
    <w:rsid w:val="00B27BFC"/>
    <w:rsid w:val="00B306A5"/>
    <w:rsid w:val="00B3096E"/>
    <w:rsid w:val="00B3205D"/>
    <w:rsid w:val="00B32A73"/>
    <w:rsid w:val="00B33DF0"/>
    <w:rsid w:val="00B36FA1"/>
    <w:rsid w:val="00B37511"/>
    <w:rsid w:val="00B41AE0"/>
    <w:rsid w:val="00B436C5"/>
    <w:rsid w:val="00B451AE"/>
    <w:rsid w:val="00B502F4"/>
    <w:rsid w:val="00B50FAD"/>
    <w:rsid w:val="00B520E2"/>
    <w:rsid w:val="00B52973"/>
    <w:rsid w:val="00B52983"/>
    <w:rsid w:val="00B52EB1"/>
    <w:rsid w:val="00B53218"/>
    <w:rsid w:val="00B5353B"/>
    <w:rsid w:val="00B5455D"/>
    <w:rsid w:val="00B56B51"/>
    <w:rsid w:val="00B6121E"/>
    <w:rsid w:val="00B61A5C"/>
    <w:rsid w:val="00B627DE"/>
    <w:rsid w:val="00B62B2E"/>
    <w:rsid w:val="00B637D3"/>
    <w:rsid w:val="00B647E0"/>
    <w:rsid w:val="00B65A10"/>
    <w:rsid w:val="00B66F4D"/>
    <w:rsid w:val="00B676C2"/>
    <w:rsid w:val="00B70500"/>
    <w:rsid w:val="00B74786"/>
    <w:rsid w:val="00B757FD"/>
    <w:rsid w:val="00B770CF"/>
    <w:rsid w:val="00B7741C"/>
    <w:rsid w:val="00B80F65"/>
    <w:rsid w:val="00B81556"/>
    <w:rsid w:val="00B82878"/>
    <w:rsid w:val="00B832AE"/>
    <w:rsid w:val="00B83B50"/>
    <w:rsid w:val="00B859D4"/>
    <w:rsid w:val="00B85C83"/>
    <w:rsid w:val="00B8797E"/>
    <w:rsid w:val="00B90965"/>
    <w:rsid w:val="00B92381"/>
    <w:rsid w:val="00B926C2"/>
    <w:rsid w:val="00B92E82"/>
    <w:rsid w:val="00B93A28"/>
    <w:rsid w:val="00B93F30"/>
    <w:rsid w:val="00B94B25"/>
    <w:rsid w:val="00B9540C"/>
    <w:rsid w:val="00B95660"/>
    <w:rsid w:val="00B956C7"/>
    <w:rsid w:val="00B958A6"/>
    <w:rsid w:val="00B96FBF"/>
    <w:rsid w:val="00B974C8"/>
    <w:rsid w:val="00BA1391"/>
    <w:rsid w:val="00BA1537"/>
    <w:rsid w:val="00BA2636"/>
    <w:rsid w:val="00BA5987"/>
    <w:rsid w:val="00BA5FCE"/>
    <w:rsid w:val="00BA6755"/>
    <w:rsid w:val="00BA70A8"/>
    <w:rsid w:val="00BA745B"/>
    <w:rsid w:val="00BB349D"/>
    <w:rsid w:val="00BB49FA"/>
    <w:rsid w:val="00BB5110"/>
    <w:rsid w:val="00BB514E"/>
    <w:rsid w:val="00BB5588"/>
    <w:rsid w:val="00BC0793"/>
    <w:rsid w:val="00BC092A"/>
    <w:rsid w:val="00BC2E11"/>
    <w:rsid w:val="00BC33F8"/>
    <w:rsid w:val="00BC61FC"/>
    <w:rsid w:val="00BC6252"/>
    <w:rsid w:val="00BD0A79"/>
    <w:rsid w:val="00BD2601"/>
    <w:rsid w:val="00BD30B2"/>
    <w:rsid w:val="00BD3F58"/>
    <w:rsid w:val="00BD583E"/>
    <w:rsid w:val="00BD730C"/>
    <w:rsid w:val="00BE0ADB"/>
    <w:rsid w:val="00BE0EB9"/>
    <w:rsid w:val="00BE10C7"/>
    <w:rsid w:val="00BE6469"/>
    <w:rsid w:val="00BE6B05"/>
    <w:rsid w:val="00BE7A85"/>
    <w:rsid w:val="00BE7D4C"/>
    <w:rsid w:val="00BF0279"/>
    <w:rsid w:val="00BF0B74"/>
    <w:rsid w:val="00BF1568"/>
    <w:rsid w:val="00BF321E"/>
    <w:rsid w:val="00BF4E44"/>
    <w:rsid w:val="00BF5178"/>
    <w:rsid w:val="00BF602D"/>
    <w:rsid w:val="00BF7B4F"/>
    <w:rsid w:val="00C00218"/>
    <w:rsid w:val="00C01305"/>
    <w:rsid w:val="00C01849"/>
    <w:rsid w:val="00C03485"/>
    <w:rsid w:val="00C040AB"/>
    <w:rsid w:val="00C0532A"/>
    <w:rsid w:val="00C05F9F"/>
    <w:rsid w:val="00C068B2"/>
    <w:rsid w:val="00C06CF0"/>
    <w:rsid w:val="00C07D01"/>
    <w:rsid w:val="00C114F4"/>
    <w:rsid w:val="00C11F84"/>
    <w:rsid w:val="00C11FEA"/>
    <w:rsid w:val="00C124C6"/>
    <w:rsid w:val="00C1340D"/>
    <w:rsid w:val="00C14AF9"/>
    <w:rsid w:val="00C152AD"/>
    <w:rsid w:val="00C20074"/>
    <w:rsid w:val="00C221B1"/>
    <w:rsid w:val="00C232C0"/>
    <w:rsid w:val="00C236E0"/>
    <w:rsid w:val="00C23CA1"/>
    <w:rsid w:val="00C23F3D"/>
    <w:rsid w:val="00C258E4"/>
    <w:rsid w:val="00C25FEE"/>
    <w:rsid w:val="00C276E4"/>
    <w:rsid w:val="00C27EEA"/>
    <w:rsid w:val="00C30C54"/>
    <w:rsid w:val="00C31793"/>
    <w:rsid w:val="00C32AC9"/>
    <w:rsid w:val="00C358D3"/>
    <w:rsid w:val="00C373FE"/>
    <w:rsid w:val="00C37F15"/>
    <w:rsid w:val="00C40F09"/>
    <w:rsid w:val="00C4329A"/>
    <w:rsid w:val="00C43539"/>
    <w:rsid w:val="00C45687"/>
    <w:rsid w:val="00C45730"/>
    <w:rsid w:val="00C4573D"/>
    <w:rsid w:val="00C45A45"/>
    <w:rsid w:val="00C47CCD"/>
    <w:rsid w:val="00C47EED"/>
    <w:rsid w:val="00C50174"/>
    <w:rsid w:val="00C504B1"/>
    <w:rsid w:val="00C51805"/>
    <w:rsid w:val="00C5213B"/>
    <w:rsid w:val="00C52AF1"/>
    <w:rsid w:val="00C53638"/>
    <w:rsid w:val="00C540AE"/>
    <w:rsid w:val="00C541C4"/>
    <w:rsid w:val="00C54255"/>
    <w:rsid w:val="00C55BA4"/>
    <w:rsid w:val="00C57E9A"/>
    <w:rsid w:val="00C62B02"/>
    <w:rsid w:val="00C62E0E"/>
    <w:rsid w:val="00C64ACC"/>
    <w:rsid w:val="00C6573A"/>
    <w:rsid w:val="00C66CC4"/>
    <w:rsid w:val="00C6737B"/>
    <w:rsid w:val="00C70D7F"/>
    <w:rsid w:val="00C715CB"/>
    <w:rsid w:val="00C71903"/>
    <w:rsid w:val="00C71B61"/>
    <w:rsid w:val="00C7209A"/>
    <w:rsid w:val="00C721BC"/>
    <w:rsid w:val="00C77BDE"/>
    <w:rsid w:val="00C77C78"/>
    <w:rsid w:val="00C802F2"/>
    <w:rsid w:val="00C804DA"/>
    <w:rsid w:val="00C80FCB"/>
    <w:rsid w:val="00C814C8"/>
    <w:rsid w:val="00C819D0"/>
    <w:rsid w:val="00C81B6C"/>
    <w:rsid w:val="00C8206B"/>
    <w:rsid w:val="00C86511"/>
    <w:rsid w:val="00C86E0D"/>
    <w:rsid w:val="00C86F8F"/>
    <w:rsid w:val="00C874D2"/>
    <w:rsid w:val="00C9168E"/>
    <w:rsid w:val="00C91FCB"/>
    <w:rsid w:val="00C92C04"/>
    <w:rsid w:val="00C930E0"/>
    <w:rsid w:val="00C937F4"/>
    <w:rsid w:val="00C93855"/>
    <w:rsid w:val="00C94307"/>
    <w:rsid w:val="00C94ADE"/>
    <w:rsid w:val="00C96464"/>
    <w:rsid w:val="00C97FFD"/>
    <w:rsid w:val="00CA464D"/>
    <w:rsid w:val="00CA538C"/>
    <w:rsid w:val="00CA54B4"/>
    <w:rsid w:val="00CA70EC"/>
    <w:rsid w:val="00CA7924"/>
    <w:rsid w:val="00CA7D89"/>
    <w:rsid w:val="00CB1158"/>
    <w:rsid w:val="00CB21A9"/>
    <w:rsid w:val="00CB275A"/>
    <w:rsid w:val="00CB2FA0"/>
    <w:rsid w:val="00CB57C6"/>
    <w:rsid w:val="00CB5825"/>
    <w:rsid w:val="00CB5C91"/>
    <w:rsid w:val="00CB6330"/>
    <w:rsid w:val="00CB7584"/>
    <w:rsid w:val="00CC0829"/>
    <w:rsid w:val="00CC1B4D"/>
    <w:rsid w:val="00CC2405"/>
    <w:rsid w:val="00CC28F1"/>
    <w:rsid w:val="00CC3692"/>
    <w:rsid w:val="00CC3C25"/>
    <w:rsid w:val="00CC6B5C"/>
    <w:rsid w:val="00CC7174"/>
    <w:rsid w:val="00CC7B2B"/>
    <w:rsid w:val="00CD024A"/>
    <w:rsid w:val="00CD0F34"/>
    <w:rsid w:val="00CD145E"/>
    <w:rsid w:val="00CD2634"/>
    <w:rsid w:val="00CD2D10"/>
    <w:rsid w:val="00CD43A6"/>
    <w:rsid w:val="00CD4785"/>
    <w:rsid w:val="00CE091A"/>
    <w:rsid w:val="00CE0E7A"/>
    <w:rsid w:val="00CE10A1"/>
    <w:rsid w:val="00CE19F7"/>
    <w:rsid w:val="00CE1AE4"/>
    <w:rsid w:val="00CE2A1C"/>
    <w:rsid w:val="00CE4940"/>
    <w:rsid w:val="00CE5F79"/>
    <w:rsid w:val="00CF01EB"/>
    <w:rsid w:val="00CF1A7E"/>
    <w:rsid w:val="00CF1BC0"/>
    <w:rsid w:val="00CF28B7"/>
    <w:rsid w:val="00CF39CC"/>
    <w:rsid w:val="00CF3B0F"/>
    <w:rsid w:val="00CF422F"/>
    <w:rsid w:val="00CF5340"/>
    <w:rsid w:val="00CF64E5"/>
    <w:rsid w:val="00CF7633"/>
    <w:rsid w:val="00CF7FB7"/>
    <w:rsid w:val="00D0092D"/>
    <w:rsid w:val="00D0194D"/>
    <w:rsid w:val="00D02E83"/>
    <w:rsid w:val="00D02F25"/>
    <w:rsid w:val="00D055F1"/>
    <w:rsid w:val="00D05F55"/>
    <w:rsid w:val="00D062B4"/>
    <w:rsid w:val="00D06E19"/>
    <w:rsid w:val="00D1289B"/>
    <w:rsid w:val="00D12CA8"/>
    <w:rsid w:val="00D13AF2"/>
    <w:rsid w:val="00D13D95"/>
    <w:rsid w:val="00D1653A"/>
    <w:rsid w:val="00D17DF2"/>
    <w:rsid w:val="00D21550"/>
    <w:rsid w:val="00D222AD"/>
    <w:rsid w:val="00D223C5"/>
    <w:rsid w:val="00D22B5B"/>
    <w:rsid w:val="00D22C3A"/>
    <w:rsid w:val="00D22E1E"/>
    <w:rsid w:val="00D24178"/>
    <w:rsid w:val="00D24A1C"/>
    <w:rsid w:val="00D24F4B"/>
    <w:rsid w:val="00D2504A"/>
    <w:rsid w:val="00D250E6"/>
    <w:rsid w:val="00D2712C"/>
    <w:rsid w:val="00D274C6"/>
    <w:rsid w:val="00D30076"/>
    <w:rsid w:val="00D31166"/>
    <w:rsid w:val="00D3276A"/>
    <w:rsid w:val="00D32ECC"/>
    <w:rsid w:val="00D4012B"/>
    <w:rsid w:val="00D4065E"/>
    <w:rsid w:val="00D427F0"/>
    <w:rsid w:val="00D43C23"/>
    <w:rsid w:val="00D4684A"/>
    <w:rsid w:val="00D4756A"/>
    <w:rsid w:val="00D525A8"/>
    <w:rsid w:val="00D52ACF"/>
    <w:rsid w:val="00D53787"/>
    <w:rsid w:val="00D539AF"/>
    <w:rsid w:val="00D5468C"/>
    <w:rsid w:val="00D558C8"/>
    <w:rsid w:val="00D55BE5"/>
    <w:rsid w:val="00D56703"/>
    <w:rsid w:val="00D56DA9"/>
    <w:rsid w:val="00D56FF8"/>
    <w:rsid w:val="00D624E5"/>
    <w:rsid w:val="00D624EC"/>
    <w:rsid w:val="00D625D4"/>
    <w:rsid w:val="00D62FE1"/>
    <w:rsid w:val="00D63377"/>
    <w:rsid w:val="00D6352F"/>
    <w:rsid w:val="00D64261"/>
    <w:rsid w:val="00D6520A"/>
    <w:rsid w:val="00D66692"/>
    <w:rsid w:val="00D70AE3"/>
    <w:rsid w:val="00D713E4"/>
    <w:rsid w:val="00D71403"/>
    <w:rsid w:val="00D73B65"/>
    <w:rsid w:val="00D73B8E"/>
    <w:rsid w:val="00D73D41"/>
    <w:rsid w:val="00D751EB"/>
    <w:rsid w:val="00D75A89"/>
    <w:rsid w:val="00D76056"/>
    <w:rsid w:val="00D76EE8"/>
    <w:rsid w:val="00D77608"/>
    <w:rsid w:val="00D80609"/>
    <w:rsid w:val="00D807CB"/>
    <w:rsid w:val="00D82A79"/>
    <w:rsid w:val="00D84033"/>
    <w:rsid w:val="00D8426C"/>
    <w:rsid w:val="00D846B4"/>
    <w:rsid w:val="00D874C3"/>
    <w:rsid w:val="00D87983"/>
    <w:rsid w:val="00D901FE"/>
    <w:rsid w:val="00D90392"/>
    <w:rsid w:val="00D914A3"/>
    <w:rsid w:val="00D9163B"/>
    <w:rsid w:val="00D92A92"/>
    <w:rsid w:val="00D946C1"/>
    <w:rsid w:val="00D9548A"/>
    <w:rsid w:val="00DA179D"/>
    <w:rsid w:val="00DA1E4B"/>
    <w:rsid w:val="00DA2D13"/>
    <w:rsid w:val="00DA2EBA"/>
    <w:rsid w:val="00DA4197"/>
    <w:rsid w:val="00DA4517"/>
    <w:rsid w:val="00DA514C"/>
    <w:rsid w:val="00DA52A7"/>
    <w:rsid w:val="00DA6CE0"/>
    <w:rsid w:val="00DA6E1F"/>
    <w:rsid w:val="00DA7759"/>
    <w:rsid w:val="00DA7F13"/>
    <w:rsid w:val="00DB0ED0"/>
    <w:rsid w:val="00DB1636"/>
    <w:rsid w:val="00DB21ED"/>
    <w:rsid w:val="00DB4349"/>
    <w:rsid w:val="00DB4D24"/>
    <w:rsid w:val="00DB6C33"/>
    <w:rsid w:val="00DB75FF"/>
    <w:rsid w:val="00DC125A"/>
    <w:rsid w:val="00DC298A"/>
    <w:rsid w:val="00DC2AAE"/>
    <w:rsid w:val="00DC2CB7"/>
    <w:rsid w:val="00DC3888"/>
    <w:rsid w:val="00DC440B"/>
    <w:rsid w:val="00DC4A24"/>
    <w:rsid w:val="00DC7F92"/>
    <w:rsid w:val="00DD10A4"/>
    <w:rsid w:val="00DD268D"/>
    <w:rsid w:val="00DD304F"/>
    <w:rsid w:val="00DD33B8"/>
    <w:rsid w:val="00DD3E4C"/>
    <w:rsid w:val="00DD502C"/>
    <w:rsid w:val="00DD5FC4"/>
    <w:rsid w:val="00DD7120"/>
    <w:rsid w:val="00DD7C63"/>
    <w:rsid w:val="00DE0C52"/>
    <w:rsid w:val="00DE5100"/>
    <w:rsid w:val="00DE5A20"/>
    <w:rsid w:val="00DE691C"/>
    <w:rsid w:val="00DE7616"/>
    <w:rsid w:val="00DF0811"/>
    <w:rsid w:val="00DF0FE2"/>
    <w:rsid w:val="00DF2C7C"/>
    <w:rsid w:val="00DF4F5A"/>
    <w:rsid w:val="00DF51EC"/>
    <w:rsid w:val="00DF6E6A"/>
    <w:rsid w:val="00DF7719"/>
    <w:rsid w:val="00DF7BE7"/>
    <w:rsid w:val="00E00EE7"/>
    <w:rsid w:val="00E01097"/>
    <w:rsid w:val="00E014CB"/>
    <w:rsid w:val="00E029DF"/>
    <w:rsid w:val="00E05183"/>
    <w:rsid w:val="00E1004D"/>
    <w:rsid w:val="00E104D3"/>
    <w:rsid w:val="00E125E4"/>
    <w:rsid w:val="00E12963"/>
    <w:rsid w:val="00E13FF8"/>
    <w:rsid w:val="00E1428A"/>
    <w:rsid w:val="00E145C4"/>
    <w:rsid w:val="00E14BB3"/>
    <w:rsid w:val="00E169AA"/>
    <w:rsid w:val="00E16D8E"/>
    <w:rsid w:val="00E20C0F"/>
    <w:rsid w:val="00E2458B"/>
    <w:rsid w:val="00E2468A"/>
    <w:rsid w:val="00E32530"/>
    <w:rsid w:val="00E32733"/>
    <w:rsid w:val="00E32DAA"/>
    <w:rsid w:val="00E35800"/>
    <w:rsid w:val="00E36E4C"/>
    <w:rsid w:val="00E3727E"/>
    <w:rsid w:val="00E3769D"/>
    <w:rsid w:val="00E4022E"/>
    <w:rsid w:val="00E41231"/>
    <w:rsid w:val="00E42AA7"/>
    <w:rsid w:val="00E4488A"/>
    <w:rsid w:val="00E510A9"/>
    <w:rsid w:val="00E54EAF"/>
    <w:rsid w:val="00E5505C"/>
    <w:rsid w:val="00E558E4"/>
    <w:rsid w:val="00E563E8"/>
    <w:rsid w:val="00E56549"/>
    <w:rsid w:val="00E56680"/>
    <w:rsid w:val="00E576D2"/>
    <w:rsid w:val="00E576D8"/>
    <w:rsid w:val="00E57970"/>
    <w:rsid w:val="00E6022B"/>
    <w:rsid w:val="00E60504"/>
    <w:rsid w:val="00E61071"/>
    <w:rsid w:val="00E61BE9"/>
    <w:rsid w:val="00E62DEE"/>
    <w:rsid w:val="00E62F39"/>
    <w:rsid w:val="00E63751"/>
    <w:rsid w:val="00E647C0"/>
    <w:rsid w:val="00E648C4"/>
    <w:rsid w:val="00E64EA5"/>
    <w:rsid w:val="00E66411"/>
    <w:rsid w:val="00E66CA7"/>
    <w:rsid w:val="00E71C76"/>
    <w:rsid w:val="00E723A2"/>
    <w:rsid w:val="00E73C28"/>
    <w:rsid w:val="00E74DF7"/>
    <w:rsid w:val="00E75A3D"/>
    <w:rsid w:val="00E762C6"/>
    <w:rsid w:val="00E7766F"/>
    <w:rsid w:val="00E77ABB"/>
    <w:rsid w:val="00E81A75"/>
    <w:rsid w:val="00E824DD"/>
    <w:rsid w:val="00E82EA8"/>
    <w:rsid w:val="00E8324A"/>
    <w:rsid w:val="00E83912"/>
    <w:rsid w:val="00E83984"/>
    <w:rsid w:val="00E86AAD"/>
    <w:rsid w:val="00E903DB"/>
    <w:rsid w:val="00E90EAE"/>
    <w:rsid w:val="00E9196B"/>
    <w:rsid w:val="00E943BD"/>
    <w:rsid w:val="00E94E3A"/>
    <w:rsid w:val="00E9522E"/>
    <w:rsid w:val="00EA16F6"/>
    <w:rsid w:val="00EA1763"/>
    <w:rsid w:val="00EA186E"/>
    <w:rsid w:val="00EA3851"/>
    <w:rsid w:val="00EA3F90"/>
    <w:rsid w:val="00EA5F8F"/>
    <w:rsid w:val="00EA6423"/>
    <w:rsid w:val="00EB214B"/>
    <w:rsid w:val="00EB30B4"/>
    <w:rsid w:val="00EB3297"/>
    <w:rsid w:val="00EB430E"/>
    <w:rsid w:val="00EB6AC4"/>
    <w:rsid w:val="00EB7428"/>
    <w:rsid w:val="00EC0025"/>
    <w:rsid w:val="00EC0286"/>
    <w:rsid w:val="00EC1380"/>
    <w:rsid w:val="00EC1463"/>
    <w:rsid w:val="00EC3E6A"/>
    <w:rsid w:val="00EC4124"/>
    <w:rsid w:val="00EC456D"/>
    <w:rsid w:val="00EC4DA0"/>
    <w:rsid w:val="00EC5027"/>
    <w:rsid w:val="00EC5E32"/>
    <w:rsid w:val="00EC6A76"/>
    <w:rsid w:val="00EC6BE2"/>
    <w:rsid w:val="00EC7ADC"/>
    <w:rsid w:val="00ED039E"/>
    <w:rsid w:val="00ED0ECD"/>
    <w:rsid w:val="00ED17E5"/>
    <w:rsid w:val="00ED2D8B"/>
    <w:rsid w:val="00ED3981"/>
    <w:rsid w:val="00ED40B7"/>
    <w:rsid w:val="00ED42A7"/>
    <w:rsid w:val="00ED51FC"/>
    <w:rsid w:val="00ED6BE9"/>
    <w:rsid w:val="00ED7F7F"/>
    <w:rsid w:val="00EE0626"/>
    <w:rsid w:val="00EE120F"/>
    <w:rsid w:val="00EE59D4"/>
    <w:rsid w:val="00EE6793"/>
    <w:rsid w:val="00EF0C73"/>
    <w:rsid w:val="00EF36CB"/>
    <w:rsid w:val="00EF5129"/>
    <w:rsid w:val="00EF56B2"/>
    <w:rsid w:val="00EF5F2E"/>
    <w:rsid w:val="00EF7168"/>
    <w:rsid w:val="00F010A9"/>
    <w:rsid w:val="00F016F5"/>
    <w:rsid w:val="00F0347B"/>
    <w:rsid w:val="00F119E2"/>
    <w:rsid w:val="00F11AA2"/>
    <w:rsid w:val="00F13393"/>
    <w:rsid w:val="00F144F4"/>
    <w:rsid w:val="00F156AC"/>
    <w:rsid w:val="00F17427"/>
    <w:rsid w:val="00F177AA"/>
    <w:rsid w:val="00F21CAD"/>
    <w:rsid w:val="00F21D37"/>
    <w:rsid w:val="00F228FA"/>
    <w:rsid w:val="00F22B53"/>
    <w:rsid w:val="00F23BCE"/>
    <w:rsid w:val="00F2598F"/>
    <w:rsid w:val="00F272DC"/>
    <w:rsid w:val="00F30ECB"/>
    <w:rsid w:val="00F31901"/>
    <w:rsid w:val="00F31CA9"/>
    <w:rsid w:val="00F31FA5"/>
    <w:rsid w:val="00F32286"/>
    <w:rsid w:val="00F3257E"/>
    <w:rsid w:val="00F3278E"/>
    <w:rsid w:val="00F33C00"/>
    <w:rsid w:val="00F35D88"/>
    <w:rsid w:val="00F37431"/>
    <w:rsid w:val="00F40ECB"/>
    <w:rsid w:val="00F42D71"/>
    <w:rsid w:val="00F430ED"/>
    <w:rsid w:val="00F444FD"/>
    <w:rsid w:val="00F45AAC"/>
    <w:rsid w:val="00F46624"/>
    <w:rsid w:val="00F46D96"/>
    <w:rsid w:val="00F47C40"/>
    <w:rsid w:val="00F5384F"/>
    <w:rsid w:val="00F55F16"/>
    <w:rsid w:val="00F56515"/>
    <w:rsid w:val="00F5715D"/>
    <w:rsid w:val="00F57252"/>
    <w:rsid w:val="00F57454"/>
    <w:rsid w:val="00F57A80"/>
    <w:rsid w:val="00F57D61"/>
    <w:rsid w:val="00F61B11"/>
    <w:rsid w:val="00F63D61"/>
    <w:rsid w:val="00F6404E"/>
    <w:rsid w:val="00F64A4D"/>
    <w:rsid w:val="00F64B92"/>
    <w:rsid w:val="00F653FE"/>
    <w:rsid w:val="00F65579"/>
    <w:rsid w:val="00F721EB"/>
    <w:rsid w:val="00F723C9"/>
    <w:rsid w:val="00F72AD8"/>
    <w:rsid w:val="00F72B7B"/>
    <w:rsid w:val="00F73710"/>
    <w:rsid w:val="00F74EFD"/>
    <w:rsid w:val="00F75858"/>
    <w:rsid w:val="00F75949"/>
    <w:rsid w:val="00F769D3"/>
    <w:rsid w:val="00F773F4"/>
    <w:rsid w:val="00F77EBE"/>
    <w:rsid w:val="00F80519"/>
    <w:rsid w:val="00F80D63"/>
    <w:rsid w:val="00F82243"/>
    <w:rsid w:val="00F83B5F"/>
    <w:rsid w:val="00F8504B"/>
    <w:rsid w:val="00F853CA"/>
    <w:rsid w:val="00F85627"/>
    <w:rsid w:val="00F860B3"/>
    <w:rsid w:val="00F87A76"/>
    <w:rsid w:val="00F90137"/>
    <w:rsid w:val="00F90ADA"/>
    <w:rsid w:val="00F91C8D"/>
    <w:rsid w:val="00F96829"/>
    <w:rsid w:val="00F97D82"/>
    <w:rsid w:val="00FA18CD"/>
    <w:rsid w:val="00FA1A57"/>
    <w:rsid w:val="00FA2089"/>
    <w:rsid w:val="00FA2380"/>
    <w:rsid w:val="00FA3B97"/>
    <w:rsid w:val="00FA3E28"/>
    <w:rsid w:val="00FA3F21"/>
    <w:rsid w:val="00FA4839"/>
    <w:rsid w:val="00FA53FA"/>
    <w:rsid w:val="00FA6901"/>
    <w:rsid w:val="00FA6BAD"/>
    <w:rsid w:val="00FB19CA"/>
    <w:rsid w:val="00FB2FF5"/>
    <w:rsid w:val="00FB3E9E"/>
    <w:rsid w:val="00FB52C1"/>
    <w:rsid w:val="00FB5756"/>
    <w:rsid w:val="00FB5A67"/>
    <w:rsid w:val="00FB6CBF"/>
    <w:rsid w:val="00FB6FA7"/>
    <w:rsid w:val="00FC1608"/>
    <w:rsid w:val="00FC2BEC"/>
    <w:rsid w:val="00FC2C5F"/>
    <w:rsid w:val="00FC2E2C"/>
    <w:rsid w:val="00FC320D"/>
    <w:rsid w:val="00FC3FE6"/>
    <w:rsid w:val="00FC5104"/>
    <w:rsid w:val="00FC5786"/>
    <w:rsid w:val="00FC5DA4"/>
    <w:rsid w:val="00FC7178"/>
    <w:rsid w:val="00FC7BC3"/>
    <w:rsid w:val="00FD0A9E"/>
    <w:rsid w:val="00FD1368"/>
    <w:rsid w:val="00FD4174"/>
    <w:rsid w:val="00FD438B"/>
    <w:rsid w:val="00FD7355"/>
    <w:rsid w:val="00FE07B4"/>
    <w:rsid w:val="00FE1979"/>
    <w:rsid w:val="00FE1F09"/>
    <w:rsid w:val="00FE2DC9"/>
    <w:rsid w:val="00FE39FA"/>
    <w:rsid w:val="00FE43F1"/>
    <w:rsid w:val="00FE44E3"/>
    <w:rsid w:val="00FE4DB7"/>
    <w:rsid w:val="00FE7447"/>
    <w:rsid w:val="00FF038A"/>
    <w:rsid w:val="00FF1B9C"/>
    <w:rsid w:val="00FF1E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5729F96"/>
  <w15:docId w15:val="{79D09004-82DE-496D-9BC3-338AEA668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heme="minorBidi"/>
        <w:kern w:val="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1C5"/>
    <w:pPr>
      <w:spacing w:line="340" w:lineRule="atLeast"/>
      <w:jc w:val="both"/>
    </w:pPr>
    <w:rPr>
      <w:rFonts w:eastAsia="Times New Roman" w:cs="Times New Roman"/>
      <w:color w:val="000000"/>
      <w:kern w:val="0"/>
      <w:sz w:val="24"/>
      <w:lang w:eastAsia="de-DE"/>
    </w:rPr>
  </w:style>
  <w:style w:type="paragraph" w:styleId="Heading1">
    <w:name w:val="heading 1"/>
    <w:aliases w:val="x"/>
    <w:basedOn w:val="Normal"/>
    <w:next w:val="Normal"/>
    <w:link w:val="Heading1Char"/>
    <w:qFormat/>
    <w:rsid w:val="00F87A76"/>
    <w:pPr>
      <w:spacing w:before="240"/>
      <w:outlineLvl w:val="0"/>
    </w:pPr>
    <w:rPr>
      <w:rFonts w:ascii="Arial" w:hAnsi="Arial"/>
      <w:b/>
      <w:u w:val="single"/>
    </w:rPr>
  </w:style>
  <w:style w:type="paragraph" w:styleId="Heading2">
    <w:name w:val="heading 2"/>
    <w:basedOn w:val="Normal"/>
    <w:next w:val="Normal"/>
    <w:link w:val="Heading2Char"/>
    <w:qFormat/>
    <w:rsid w:val="00F87A76"/>
    <w:pPr>
      <w:spacing w:before="120"/>
      <w:outlineLvl w:val="1"/>
    </w:pPr>
    <w:rPr>
      <w:rFonts w:ascii="Arial" w:hAnsi="Arial" w:cstheme="majorBidi"/>
      <w:b/>
    </w:rPr>
  </w:style>
  <w:style w:type="paragraph" w:styleId="Heading3">
    <w:name w:val="heading 3"/>
    <w:basedOn w:val="Normal"/>
    <w:next w:val="Normal"/>
    <w:link w:val="Heading3Char"/>
    <w:qFormat/>
    <w:rsid w:val="00F87A76"/>
    <w:pPr>
      <w:ind w:left="360"/>
      <w:outlineLvl w:val="2"/>
    </w:pPr>
    <w:rPr>
      <w:b/>
    </w:rPr>
  </w:style>
  <w:style w:type="paragraph" w:styleId="Heading4">
    <w:name w:val="heading 4"/>
    <w:basedOn w:val="Normal"/>
    <w:next w:val="Normal"/>
    <w:link w:val="Heading4Char"/>
    <w:qFormat/>
    <w:rsid w:val="00F87A76"/>
    <w:pPr>
      <w:keepNext/>
      <w:keepLines/>
      <w:spacing w:before="240" w:line="480" w:lineRule="atLeast"/>
      <w:ind w:left="907" w:hanging="907"/>
      <w:outlineLvl w:val="3"/>
    </w:pPr>
    <w:rPr>
      <w:rFonts w:ascii="Arial" w:hAnsi="Arial" w:cstheme="majorBidi"/>
      <w:b/>
    </w:rPr>
  </w:style>
  <w:style w:type="paragraph" w:styleId="Heading5">
    <w:name w:val="heading 5"/>
    <w:basedOn w:val="Normal"/>
    <w:next w:val="Normal"/>
    <w:link w:val="Heading5Char"/>
    <w:qFormat/>
    <w:rsid w:val="00F87A76"/>
    <w:pPr>
      <w:ind w:left="706"/>
      <w:outlineLvl w:val="4"/>
    </w:pPr>
    <w:rPr>
      <w:b/>
    </w:rPr>
  </w:style>
  <w:style w:type="paragraph" w:styleId="Heading6">
    <w:name w:val="heading 6"/>
    <w:basedOn w:val="Normal"/>
    <w:next w:val="Normal"/>
    <w:link w:val="Heading6Char"/>
    <w:qFormat/>
    <w:rsid w:val="00F87A76"/>
    <w:pPr>
      <w:ind w:left="706"/>
      <w:outlineLvl w:val="5"/>
    </w:pPr>
    <w:rPr>
      <w:rFonts w:cstheme="majorBidi"/>
      <w:u w:val="single"/>
    </w:rPr>
  </w:style>
  <w:style w:type="paragraph" w:styleId="Heading7">
    <w:name w:val="heading 7"/>
    <w:basedOn w:val="Normal"/>
    <w:next w:val="Normal"/>
    <w:link w:val="Heading7Char"/>
    <w:qFormat/>
    <w:rsid w:val="00F87A76"/>
    <w:pPr>
      <w:ind w:left="706"/>
      <w:outlineLvl w:val="6"/>
    </w:pPr>
    <w:rPr>
      <w:i/>
    </w:rPr>
  </w:style>
  <w:style w:type="paragraph" w:styleId="Heading8">
    <w:name w:val="heading 8"/>
    <w:basedOn w:val="Normal"/>
    <w:next w:val="Normal"/>
    <w:link w:val="Heading8Char"/>
    <w:qFormat/>
    <w:rsid w:val="00F87A76"/>
    <w:pPr>
      <w:ind w:left="706"/>
      <w:outlineLvl w:val="7"/>
    </w:pPr>
    <w:rPr>
      <w:rFonts w:cstheme="majorBidi"/>
      <w:i/>
    </w:rPr>
  </w:style>
  <w:style w:type="paragraph" w:styleId="Heading9">
    <w:name w:val="heading 9"/>
    <w:basedOn w:val="Normal"/>
    <w:next w:val="Normal"/>
    <w:link w:val="Heading9Char"/>
    <w:qFormat/>
    <w:rsid w:val="00F87A76"/>
    <w:pPr>
      <w:ind w:left="706"/>
      <w:outlineLvl w:val="8"/>
    </w:pPr>
    <w:rPr>
      <w:rFonts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87A76"/>
  </w:style>
  <w:style w:type="paragraph" w:customStyle="1" w:styleId="MDPI11articletype">
    <w:name w:val="MDPI_1.1_article_type"/>
    <w:basedOn w:val="MDPI31text"/>
    <w:next w:val="MDPI12title"/>
    <w:qFormat/>
    <w:rsid w:val="00135C14"/>
    <w:pPr>
      <w:spacing w:before="240" w:line="240" w:lineRule="auto"/>
      <w:ind w:firstLine="0"/>
      <w:jc w:val="left"/>
    </w:pPr>
    <w:rPr>
      <w:i/>
    </w:rPr>
  </w:style>
  <w:style w:type="paragraph" w:customStyle="1" w:styleId="MDPI12title">
    <w:name w:val="MDPI_1.2_title"/>
    <w:next w:val="MDPI13authornames"/>
    <w:qFormat/>
    <w:rsid w:val="003B4E63"/>
    <w:pPr>
      <w:adjustRightInd w:val="0"/>
      <w:snapToGrid w:val="0"/>
      <w:spacing w:after="240" w:line="400" w:lineRule="exact"/>
    </w:pPr>
    <w:rPr>
      <w:rFonts w:ascii="Palatino Linotype" w:eastAsia="Times New Roman" w:hAnsi="Palatino Linotype" w:cs="Times New Roman"/>
      <w:b/>
      <w:snapToGrid w:val="0"/>
      <w:color w:val="000000"/>
      <w:kern w:val="0"/>
      <w:sz w:val="36"/>
      <w:lang w:eastAsia="de-DE" w:bidi="en-US"/>
    </w:rPr>
  </w:style>
  <w:style w:type="paragraph" w:customStyle="1" w:styleId="MDPI13authornames">
    <w:name w:val="MDPI_1.3_authornames"/>
    <w:basedOn w:val="MDPI31text"/>
    <w:next w:val="MDPI14history"/>
    <w:qFormat/>
    <w:rsid w:val="0012125D"/>
    <w:pPr>
      <w:spacing w:after="120"/>
      <w:ind w:firstLine="0"/>
      <w:jc w:val="left"/>
    </w:pPr>
    <w:rPr>
      <w:b/>
      <w:snapToGrid/>
    </w:rPr>
  </w:style>
  <w:style w:type="paragraph" w:customStyle="1" w:styleId="MDPI14history">
    <w:name w:val="MDPI_1.4_history"/>
    <w:basedOn w:val="MDPI62Acknowledgments"/>
    <w:next w:val="MDPI15academiceditor"/>
    <w:qFormat/>
    <w:rsid w:val="003B4E63"/>
    <w:pPr>
      <w:ind w:left="113"/>
      <w:jc w:val="left"/>
    </w:pPr>
    <w:rPr>
      <w:snapToGrid/>
    </w:rPr>
  </w:style>
  <w:style w:type="paragraph" w:customStyle="1" w:styleId="MDPI15academiceditor">
    <w:name w:val="MDPI_1.5_academic_editor"/>
    <w:basedOn w:val="MDPI62Acknowledgments"/>
    <w:qFormat/>
    <w:rsid w:val="003B4E63"/>
    <w:pPr>
      <w:spacing w:before="0" w:after="120"/>
      <w:ind w:left="113"/>
      <w:jc w:val="left"/>
    </w:pPr>
    <w:rPr>
      <w:snapToGrid/>
      <w:szCs w:val="22"/>
    </w:rPr>
  </w:style>
  <w:style w:type="paragraph" w:customStyle="1" w:styleId="MDPI16affiliation">
    <w:name w:val="MDPI_1.6_affiliation"/>
    <w:basedOn w:val="MDPI62Acknowledgments"/>
    <w:qFormat/>
    <w:rsid w:val="00F3278E"/>
    <w:pPr>
      <w:spacing w:before="0"/>
      <w:ind w:left="311" w:hanging="198"/>
      <w:jc w:val="left"/>
    </w:pPr>
    <w:rPr>
      <w:snapToGrid/>
      <w:szCs w:val="18"/>
    </w:rPr>
  </w:style>
  <w:style w:type="paragraph" w:customStyle="1" w:styleId="MDPI17abstract">
    <w:name w:val="MDPI_1.7_abstract"/>
    <w:basedOn w:val="MDPI31text"/>
    <w:next w:val="MDPI18keywords"/>
    <w:qFormat/>
    <w:rsid w:val="003B4E63"/>
    <w:pPr>
      <w:spacing w:before="240"/>
      <w:ind w:left="113" w:firstLine="0"/>
    </w:pPr>
    <w:rPr>
      <w:snapToGrid/>
    </w:rPr>
  </w:style>
  <w:style w:type="paragraph" w:customStyle="1" w:styleId="MDPI18keywords">
    <w:name w:val="MDPI_1.8_keywords"/>
    <w:basedOn w:val="MDPI31text"/>
    <w:next w:val="MDPI19classification"/>
    <w:qFormat/>
    <w:rsid w:val="003B4E63"/>
    <w:pPr>
      <w:spacing w:before="240"/>
      <w:ind w:left="113" w:firstLine="0"/>
    </w:pPr>
  </w:style>
  <w:style w:type="paragraph" w:customStyle="1" w:styleId="MDPI19classification">
    <w:name w:val="MDPI_1.9_classification"/>
    <w:basedOn w:val="MDPI31text"/>
    <w:qFormat/>
    <w:rsid w:val="003B4E63"/>
    <w:pPr>
      <w:spacing w:before="240"/>
      <w:ind w:left="113" w:firstLine="0"/>
    </w:pPr>
    <w:rPr>
      <w:b/>
      <w:snapToGrid/>
    </w:rPr>
  </w:style>
  <w:style w:type="paragraph" w:customStyle="1" w:styleId="MDPI19line">
    <w:name w:val="MDPI_1.9_line"/>
    <w:basedOn w:val="MDPI31text"/>
    <w:qFormat/>
    <w:rsid w:val="003B4E63"/>
    <w:pPr>
      <w:pBdr>
        <w:bottom w:val="single" w:sz="6" w:space="1" w:color="auto"/>
      </w:pBdr>
      <w:ind w:firstLine="0"/>
    </w:pPr>
    <w:rPr>
      <w:rFonts w:cstheme="minorBidi"/>
      <w:snapToGrid/>
      <w:szCs w:val="24"/>
    </w:rPr>
  </w:style>
  <w:style w:type="paragraph" w:customStyle="1" w:styleId="M1stheader">
    <w:name w:val="M_1stheader"/>
    <w:basedOn w:val="Normal"/>
    <w:rsid w:val="00F87A76"/>
    <w:pPr>
      <w:tabs>
        <w:tab w:val="center" w:pos="4320"/>
        <w:tab w:val="right" w:pos="8640"/>
      </w:tabs>
      <w:ind w:right="360"/>
      <w:outlineLvl w:val="0"/>
    </w:pPr>
    <w:rPr>
      <w:i/>
    </w:rPr>
  </w:style>
  <w:style w:type="paragraph" w:customStyle="1" w:styleId="Mabstract">
    <w:name w:val="M_abstract"/>
    <w:basedOn w:val="Mdeck4text"/>
    <w:next w:val="Mdeck3keywords"/>
    <w:rsid w:val="00F87A76"/>
    <w:pPr>
      <w:spacing w:before="240"/>
      <w:ind w:left="113" w:right="505" w:firstLine="0"/>
    </w:pPr>
  </w:style>
  <w:style w:type="paragraph" w:customStyle="1" w:styleId="MAcknow">
    <w:name w:val="M_Acknow"/>
    <w:basedOn w:val="Normal"/>
    <w:rsid w:val="00F87A76"/>
    <w:pPr>
      <w:spacing w:before="120" w:line="240" w:lineRule="atLeast"/>
    </w:pPr>
    <w:rPr>
      <w:rFonts w:ascii="Minion Pro" w:hAnsi="Minion Pro"/>
      <w:color w:val="000000" w:themeColor="text1"/>
    </w:rPr>
  </w:style>
  <w:style w:type="paragraph" w:customStyle="1" w:styleId="Maddress">
    <w:name w:val="M_address"/>
    <w:basedOn w:val="Normal"/>
    <w:rsid w:val="00F87A76"/>
    <w:pPr>
      <w:spacing w:before="240"/>
    </w:pPr>
  </w:style>
  <w:style w:type="paragraph" w:customStyle="1" w:styleId="Mauthor">
    <w:name w:val="M_author"/>
    <w:basedOn w:val="Normal"/>
    <w:rsid w:val="00F87A76"/>
    <w:pPr>
      <w:spacing w:before="240" w:after="240" w:line="340" w:lineRule="exact"/>
    </w:pPr>
    <w:rPr>
      <w:b/>
      <w:lang w:val="it-IT"/>
    </w:rPr>
  </w:style>
  <w:style w:type="paragraph" w:customStyle="1" w:styleId="MCaption">
    <w:name w:val="M_Caption"/>
    <w:basedOn w:val="Normal"/>
    <w:rsid w:val="00F87A76"/>
    <w:pPr>
      <w:spacing w:before="240" w:after="240"/>
      <w:jc w:val="center"/>
    </w:pPr>
  </w:style>
  <w:style w:type="paragraph" w:customStyle="1" w:styleId="MCopyright">
    <w:name w:val="M_Copyright"/>
    <w:basedOn w:val="Mdeck8references"/>
    <w:qFormat/>
    <w:rsid w:val="00F87A76"/>
    <w:pPr>
      <w:tabs>
        <w:tab w:val="center" w:pos="4536"/>
        <w:tab w:val="right" w:pos="9072"/>
      </w:tabs>
      <w:spacing w:before="400"/>
      <w:ind w:left="0" w:firstLine="0"/>
    </w:pPr>
  </w:style>
  <w:style w:type="paragraph" w:customStyle="1" w:styleId="Mdeck1articletitle">
    <w:name w:val="M_deck_1_article_title"/>
    <w:next w:val="Mdeck2authorname"/>
    <w:qFormat/>
    <w:rsid w:val="00C51805"/>
    <w:pPr>
      <w:kinsoku w:val="0"/>
      <w:overflowPunct w:val="0"/>
      <w:autoSpaceDE w:val="0"/>
      <w:autoSpaceDN w:val="0"/>
      <w:adjustRightInd w:val="0"/>
      <w:snapToGrid w:val="0"/>
      <w:spacing w:after="240" w:line="400" w:lineRule="exact"/>
      <w:jc w:val="both"/>
    </w:pPr>
    <w:rPr>
      <w:rFonts w:ascii="Minion Pro" w:eastAsia="Times New Roman" w:hAnsi="Minion Pro" w:cs="Times New Roman"/>
      <w:b/>
      <w:snapToGrid w:val="0"/>
      <w:color w:val="000000"/>
      <w:kern w:val="0"/>
      <w:sz w:val="36"/>
      <w:lang w:eastAsia="de-DE" w:bidi="en-US"/>
    </w:rPr>
  </w:style>
  <w:style w:type="paragraph" w:customStyle="1" w:styleId="Mdeck1articletype">
    <w:name w:val="M_deck_1_article_type"/>
    <w:basedOn w:val="Mdeck4text"/>
    <w:next w:val="Mdeck1articletitle"/>
    <w:qFormat/>
    <w:rsid w:val="00C51805"/>
    <w:pPr>
      <w:widowControl w:val="0"/>
      <w:spacing w:before="120" w:after="120" w:line="240" w:lineRule="auto"/>
      <w:ind w:firstLine="0"/>
      <w:jc w:val="left"/>
    </w:pPr>
    <w:rPr>
      <w:i/>
      <w:sz w:val="20"/>
      <w:szCs w:val="24"/>
    </w:rPr>
  </w:style>
  <w:style w:type="paragraph" w:customStyle="1" w:styleId="Mdeck2authoraffiliation">
    <w:name w:val="M_deck_2_author_affiliation"/>
    <w:qFormat/>
    <w:rsid w:val="00C51805"/>
    <w:pPr>
      <w:widowControl w:val="0"/>
      <w:kinsoku w:val="0"/>
      <w:overflowPunct w:val="0"/>
      <w:autoSpaceDE w:val="0"/>
      <w:autoSpaceDN w:val="0"/>
      <w:adjustRightInd w:val="0"/>
      <w:snapToGrid w:val="0"/>
      <w:spacing w:line="340" w:lineRule="atLeast"/>
      <w:ind w:left="311" w:hanging="198"/>
      <w:jc w:val="both"/>
    </w:pPr>
    <w:rPr>
      <w:rFonts w:ascii="Palatino Linotype" w:eastAsia="Times New Roman" w:hAnsi="Palatino Linotype" w:cs="Times New Roman"/>
      <w:snapToGrid w:val="0"/>
      <w:color w:val="000000"/>
      <w:kern w:val="0"/>
      <w:sz w:val="24"/>
      <w:lang w:eastAsia="de-DE" w:bidi="en-US"/>
    </w:rPr>
  </w:style>
  <w:style w:type="paragraph" w:customStyle="1" w:styleId="Mdeck2authorcorrespondence">
    <w:name w:val="M_deck_2_author_correspondence"/>
    <w:qFormat/>
    <w:rsid w:val="00C51805"/>
    <w:pPr>
      <w:kinsoku w:val="0"/>
      <w:overflowPunct w:val="0"/>
      <w:autoSpaceDE w:val="0"/>
      <w:autoSpaceDN w:val="0"/>
      <w:adjustRightInd w:val="0"/>
      <w:snapToGrid w:val="0"/>
      <w:spacing w:line="200" w:lineRule="atLeast"/>
      <w:ind w:left="311" w:hanging="198"/>
      <w:jc w:val="both"/>
    </w:pPr>
    <w:rPr>
      <w:rFonts w:ascii="Palatino Linotype" w:eastAsia="Times New Roman" w:hAnsi="Palatino Linotype" w:cs="Times New Roman"/>
      <w:snapToGrid w:val="0"/>
      <w:color w:val="000000"/>
      <w:kern w:val="0"/>
      <w:lang w:eastAsia="de-DE" w:bidi="en-US"/>
    </w:rPr>
  </w:style>
  <w:style w:type="paragraph" w:customStyle="1" w:styleId="Mdeck2authorname">
    <w:name w:val="M_deck_2_author_name"/>
    <w:next w:val="Mdeck3publcationhistory"/>
    <w:qFormat/>
    <w:rsid w:val="00C51805"/>
    <w:pPr>
      <w:kinsoku w:val="0"/>
      <w:overflowPunct w:val="0"/>
      <w:autoSpaceDE w:val="0"/>
      <w:autoSpaceDN w:val="0"/>
      <w:adjustRightInd w:val="0"/>
      <w:snapToGrid w:val="0"/>
      <w:spacing w:before="240" w:after="120" w:line="320" w:lineRule="atLeast"/>
      <w:jc w:val="both"/>
    </w:pPr>
    <w:rPr>
      <w:rFonts w:ascii="Palatino Linotype" w:eastAsia="Times New Roman" w:hAnsi="Palatino Linotype" w:cs="Times New Roman"/>
      <w:b/>
      <w:snapToGrid w:val="0"/>
      <w:color w:val="000000"/>
      <w:kern w:val="0"/>
      <w:sz w:val="22"/>
      <w:lang w:eastAsia="de-DE" w:bidi="en-US"/>
    </w:rPr>
  </w:style>
  <w:style w:type="paragraph" w:customStyle="1" w:styleId="Mdeck3abstract">
    <w:name w:val="M_deck_3_abstract"/>
    <w:basedOn w:val="Mdeck4text"/>
    <w:next w:val="Mdeck3keywords"/>
    <w:qFormat/>
    <w:rsid w:val="00C51805"/>
    <w:pPr>
      <w:widowControl w:val="0"/>
      <w:spacing w:before="240" w:after="240" w:line="340" w:lineRule="atLeast"/>
      <w:ind w:left="113" w:right="567"/>
    </w:pPr>
    <w:rPr>
      <w:snapToGrid/>
    </w:rPr>
  </w:style>
  <w:style w:type="paragraph" w:customStyle="1" w:styleId="Mdeck3keywords">
    <w:name w:val="M_deck_3_keywords"/>
    <w:basedOn w:val="Mdeck4text"/>
    <w:next w:val="Normal"/>
    <w:qFormat/>
    <w:rsid w:val="00C51805"/>
    <w:pPr>
      <w:spacing w:before="240"/>
      <w:ind w:left="113" w:firstLine="0"/>
    </w:pPr>
  </w:style>
  <w:style w:type="paragraph" w:customStyle="1" w:styleId="Mdeck3publcationhistory">
    <w:name w:val="M_deck_3_publcation_history"/>
    <w:next w:val="Normal"/>
    <w:qFormat/>
    <w:rsid w:val="00C51805"/>
    <w:pPr>
      <w:widowControl w:val="0"/>
      <w:kinsoku w:val="0"/>
      <w:overflowPunct w:val="0"/>
      <w:autoSpaceDE w:val="0"/>
      <w:autoSpaceDN w:val="0"/>
      <w:adjustRightInd w:val="0"/>
      <w:snapToGrid w:val="0"/>
      <w:spacing w:before="240" w:line="340" w:lineRule="atLeast"/>
      <w:ind w:left="113"/>
      <w:jc w:val="both"/>
    </w:pPr>
    <w:rPr>
      <w:rFonts w:ascii="Palatino Linotype" w:eastAsia="Times New Roman" w:hAnsi="Palatino Linotype" w:cs="Times New Roman"/>
      <w:i/>
      <w:snapToGrid w:val="0"/>
      <w:color w:val="000000"/>
      <w:kern w:val="0"/>
      <w:sz w:val="24"/>
      <w:lang w:eastAsia="de-DE" w:bidi="en-US"/>
    </w:rPr>
  </w:style>
  <w:style w:type="paragraph" w:customStyle="1" w:styleId="Mdeck4heading1">
    <w:name w:val="M_deck_4_heading_1"/>
    <w:basedOn w:val="MHeading3"/>
    <w:next w:val="Normal"/>
    <w:qFormat/>
    <w:rsid w:val="00C51805"/>
    <w:pPr>
      <w:spacing w:line="340" w:lineRule="atLeast"/>
      <w:outlineLvl w:val="0"/>
    </w:pPr>
    <w:rPr>
      <w:b/>
      <w:snapToGrid/>
    </w:rPr>
  </w:style>
  <w:style w:type="paragraph" w:customStyle="1" w:styleId="Mdeck4heading2">
    <w:name w:val="M_deck_4_heading_2"/>
    <w:basedOn w:val="MHeading3"/>
    <w:next w:val="Normal"/>
    <w:qFormat/>
    <w:rsid w:val="00C51805"/>
    <w:pPr>
      <w:outlineLvl w:val="1"/>
    </w:pPr>
    <w:rPr>
      <w:i/>
      <w:snapToGrid/>
    </w:rPr>
  </w:style>
  <w:style w:type="paragraph" w:customStyle="1" w:styleId="Mdeck4heading3">
    <w:name w:val="M_deck_4_heading_3"/>
    <w:basedOn w:val="Mdeck4text"/>
    <w:next w:val="Normal"/>
    <w:qFormat/>
    <w:rsid w:val="00C51805"/>
    <w:pPr>
      <w:spacing w:before="240" w:after="120" w:line="340" w:lineRule="atLeast"/>
      <w:ind w:firstLineChars="50" w:firstLine="50"/>
      <w:outlineLvl w:val="2"/>
    </w:pPr>
    <w:rPr>
      <w:snapToGrid/>
    </w:rPr>
  </w:style>
  <w:style w:type="paragraph" w:customStyle="1" w:styleId="Mdeck4text">
    <w:name w:val="M_deck_4_text"/>
    <w:qFormat/>
    <w:rsid w:val="00C51805"/>
    <w:pPr>
      <w:kinsoku w:val="0"/>
      <w:overflowPunct w:val="0"/>
      <w:autoSpaceDE w:val="0"/>
      <w:autoSpaceDN w:val="0"/>
      <w:adjustRightInd w:val="0"/>
      <w:snapToGrid w:val="0"/>
      <w:spacing w:line="320" w:lineRule="atLeast"/>
      <w:ind w:firstLine="425"/>
      <w:jc w:val="both"/>
    </w:pPr>
    <w:rPr>
      <w:rFonts w:ascii="Minion Pro" w:eastAsia="Times New Roman" w:hAnsi="Minion Pro" w:cs="Times New Roman"/>
      <w:snapToGrid w:val="0"/>
      <w:color w:val="000000"/>
      <w:kern w:val="0"/>
      <w:sz w:val="24"/>
      <w:lang w:eastAsia="de-DE" w:bidi="en-US"/>
    </w:rPr>
  </w:style>
  <w:style w:type="paragraph" w:customStyle="1" w:styleId="Mdeck4textbulletlist">
    <w:name w:val="M_deck_4_text_bullet_list"/>
    <w:basedOn w:val="Mdeck4text"/>
    <w:qFormat/>
    <w:rsid w:val="00C51805"/>
    <w:pPr>
      <w:numPr>
        <w:numId w:val="8"/>
      </w:numPr>
      <w:spacing w:before="120" w:after="120" w:line="340" w:lineRule="atLeast"/>
    </w:pPr>
    <w:rPr>
      <w:snapToGrid/>
    </w:rPr>
  </w:style>
  <w:style w:type="paragraph" w:customStyle="1" w:styleId="Mdeck4textfirstlinezero">
    <w:name w:val="M_deck_4_text_firstline_zero"/>
    <w:basedOn w:val="Mdeck4text"/>
    <w:next w:val="Mdeck4text"/>
    <w:qFormat/>
    <w:rsid w:val="00C51805"/>
    <w:pPr>
      <w:ind w:firstLine="0"/>
    </w:pPr>
    <w:rPr>
      <w:szCs w:val="24"/>
    </w:rPr>
  </w:style>
  <w:style w:type="paragraph" w:customStyle="1" w:styleId="MFigure">
    <w:name w:val="M_Figure"/>
    <w:qFormat/>
    <w:rsid w:val="00F87A76"/>
    <w:pPr>
      <w:jc w:val="center"/>
    </w:pPr>
    <w:rPr>
      <w:rFonts w:ascii="Minion Pro" w:eastAsia="Times New Roman" w:hAnsi="Minion Pro"/>
      <w:color w:val="000000" w:themeColor="text1"/>
      <w:sz w:val="24"/>
    </w:rPr>
  </w:style>
  <w:style w:type="paragraph" w:customStyle="1" w:styleId="Mdeck4textlist">
    <w:name w:val="M_deck_4_text_list"/>
    <w:basedOn w:val="MFigure"/>
    <w:qFormat/>
    <w:rsid w:val="00C51805"/>
    <w:pPr>
      <w:spacing w:line="260" w:lineRule="atLeast"/>
    </w:pPr>
    <w:rPr>
      <w:rFonts w:cs="Times New Roman"/>
      <w:i/>
      <w:kern w:val="0"/>
    </w:rPr>
  </w:style>
  <w:style w:type="paragraph" w:customStyle="1" w:styleId="Mdeck4textlrindent">
    <w:name w:val="M_deck_4_text_lr_indent"/>
    <w:basedOn w:val="Mdeck4text"/>
    <w:qFormat/>
    <w:rsid w:val="00C51805"/>
    <w:pPr>
      <w:spacing w:before="120" w:after="120" w:line="260" w:lineRule="atLeast"/>
      <w:ind w:left="425" w:right="425" w:firstLine="0"/>
    </w:pPr>
    <w:rPr>
      <w:rFonts w:ascii="Palatino Linotype" w:hAnsi="Palatino Linotype"/>
      <w:sz w:val="20"/>
    </w:rPr>
  </w:style>
  <w:style w:type="paragraph" w:customStyle="1" w:styleId="Mdeck4textnumberedlist">
    <w:name w:val="M_deck_4_text_numbered_list"/>
    <w:basedOn w:val="Mdeck4text"/>
    <w:qFormat/>
    <w:rsid w:val="00C51805"/>
    <w:pPr>
      <w:numPr>
        <w:numId w:val="9"/>
      </w:numPr>
      <w:spacing w:before="120" w:after="120" w:line="340" w:lineRule="atLeast"/>
    </w:pPr>
    <w:rPr>
      <w:snapToGrid/>
    </w:rPr>
  </w:style>
  <w:style w:type="paragraph" w:customStyle="1" w:styleId="Mdeck5tablebody">
    <w:name w:val="M_deck_5_table_body"/>
    <w:qFormat/>
    <w:rsid w:val="00C51805"/>
    <w:pPr>
      <w:kinsoku w:val="0"/>
      <w:overflowPunct w:val="0"/>
      <w:autoSpaceDE w:val="0"/>
      <w:autoSpaceDN w:val="0"/>
      <w:adjustRightInd w:val="0"/>
      <w:snapToGrid w:val="0"/>
      <w:spacing w:line="260" w:lineRule="atLeast"/>
      <w:jc w:val="center"/>
    </w:pPr>
    <w:rPr>
      <w:rFonts w:ascii="Minion Pro" w:eastAsia="Times New Roman" w:hAnsi="Minion Pro" w:cs="Times New Roman"/>
      <w:snapToGrid w:val="0"/>
      <w:color w:val="000000"/>
      <w:kern w:val="0"/>
      <w:lang w:eastAsia="de-DE" w:bidi="en-US"/>
    </w:rPr>
  </w:style>
  <w:style w:type="table" w:customStyle="1" w:styleId="Mdeck5tablebodythreelines">
    <w:name w:val="M_deck_5_table_body_three_lines"/>
    <w:basedOn w:val="TableNormal"/>
    <w:uiPriority w:val="99"/>
    <w:rsid w:val="00C51805"/>
    <w:pPr>
      <w:adjustRightInd w:val="0"/>
      <w:snapToGrid w:val="0"/>
      <w:spacing w:line="300" w:lineRule="exact"/>
      <w:jc w:val="center"/>
    </w:pPr>
    <w:rPr>
      <w:rFonts w:ascii="Palatino Linotype" w:eastAsiaTheme="minorEastAsia" w:hAnsi="Palatino Linotype" w:cs="Times New Roman"/>
      <w:color w:val="000000"/>
      <w:kern w:val="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C51805"/>
    <w:pPr>
      <w:kinsoku w:val="0"/>
      <w:overflowPunct w:val="0"/>
      <w:autoSpaceDE w:val="0"/>
      <w:autoSpaceDN w:val="0"/>
      <w:adjustRightInd w:val="0"/>
      <w:snapToGrid w:val="0"/>
      <w:spacing w:after="120" w:line="260" w:lineRule="atLeast"/>
      <w:jc w:val="both"/>
    </w:pPr>
    <w:rPr>
      <w:rFonts w:ascii="Palatino Linotype" w:eastAsia="Times New Roman" w:hAnsi="Palatino Linotype" w:cs="Times New Roman"/>
      <w:snapToGrid w:val="0"/>
      <w:color w:val="000000"/>
      <w:kern w:val="0"/>
      <w:lang w:eastAsia="de-DE" w:bidi="en-US"/>
    </w:rPr>
  </w:style>
  <w:style w:type="paragraph" w:customStyle="1" w:styleId="Mdeck5tablefooter">
    <w:name w:val="M_deck_5_table_footer"/>
    <w:basedOn w:val="Mdeck5tablecaption"/>
    <w:next w:val="Mdeck4text"/>
    <w:qFormat/>
    <w:rsid w:val="00C51805"/>
    <w:pPr>
      <w:spacing w:line="300" w:lineRule="exact"/>
    </w:pPr>
  </w:style>
  <w:style w:type="paragraph" w:customStyle="1" w:styleId="Mdeck5tableheader">
    <w:name w:val="M_deck_5_table_header"/>
    <w:basedOn w:val="Mdeck5tablefooter"/>
    <w:rsid w:val="00C51805"/>
  </w:style>
  <w:style w:type="paragraph" w:customStyle="1" w:styleId="Mdeck6figurebody">
    <w:name w:val="M_deck_6_figure_body"/>
    <w:qFormat/>
    <w:rsid w:val="00C51805"/>
    <w:pPr>
      <w:widowControl w:val="0"/>
      <w:kinsoku w:val="0"/>
      <w:overflowPunct w:val="0"/>
      <w:autoSpaceDE w:val="0"/>
      <w:autoSpaceDN w:val="0"/>
      <w:adjustRightInd w:val="0"/>
      <w:snapToGrid w:val="0"/>
      <w:spacing w:line="340" w:lineRule="atLeast"/>
      <w:jc w:val="center"/>
    </w:pPr>
    <w:rPr>
      <w:rFonts w:ascii="Palatino Linotype" w:eastAsia="Times New Roman" w:hAnsi="Palatino Linotype" w:cs="Times New Roman"/>
      <w:snapToGrid w:val="0"/>
      <w:color w:val="000000"/>
      <w:kern w:val="0"/>
      <w:sz w:val="24"/>
      <w:lang w:eastAsia="de-DE" w:bidi="en-US"/>
    </w:rPr>
  </w:style>
  <w:style w:type="paragraph" w:customStyle="1" w:styleId="Mdeck6figurecaption">
    <w:name w:val="M_deck_6_figure_caption"/>
    <w:next w:val="Mdeck4text"/>
    <w:qFormat/>
    <w:rsid w:val="00C51805"/>
    <w:pPr>
      <w:adjustRightInd w:val="0"/>
      <w:snapToGrid w:val="0"/>
      <w:spacing w:before="120" w:line="260" w:lineRule="atLeast"/>
      <w:jc w:val="both"/>
    </w:pPr>
    <w:rPr>
      <w:rFonts w:ascii="Palatino Linotype" w:eastAsia="Times New Roman" w:hAnsi="Palatino Linotype" w:cs="Times New Roman"/>
      <w:snapToGrid w:val="0"/>
      <w:color w:val="000000"/>
      <w:kern w:val="0"/>
      <w:lang w:eastAsia="de-DE" w:bidi="en-US"/>
    </w:rPr>
  </w:style>
  <w:style w:type="paragraph" w:customStyle="1" w:styleId="Mdeck7equation">
    <w:name w:val="M_deck_7_equation"/>
    <w:basedOn w:val="Mdeck4text"/>
    <w:qFormat/>
    <w:rsid w:val="00C51805"/>
    <w:pPr>
      <w:spacing w:before="120" w:after="120"/>
      <w:ind w:left="709" w:firstLine="0"/>
      <w:jc w:val="center"/>
    </w:pPr>
    <w:rPr>
      <w:i/>
      <w:snapToGrid/>
      <w:szCs w:val="24"/>
      <w:lang w:eastAsia="en-US"/>
    </w:rPr>
  </w:style>
  <w:style w:type="paragraph" w:customStyle="1" w:styleId="Mdeck8references">
    <w:name w:val="M_deck_8_references"/>
    <w:qFormat/>
    <w:rsid w:val="00C51805"/>
    <w:pPr>
      <w:numPr>
        <w:numId w:val="10"/>
      </w:numPr>
      <w:kinsoku w:val="0"/>
      <w:overflowPunct w:val="0"/>
      <w:autoSpaceDE w:val="0"/>
      <w:autoSpaceDN w:val="0"/>
      <w:adjustRightInd w:val="0"/>
      <w:snapToGrid w:val="0"/>
      <w:spacing w:line="260" w:lineRule="atLeast"/>
      <w:jc w:val="both"/>
    </w:pPr>
    <w:rPr>
      <w:rFonts w:ascii="Palatino Linotype" w:eastAsia="Times New Roman" w:hAnsi="Palatino Linotype" w:cs="Times New Roman"/>
      <w:snapToGrid w:val="0"/>
      <w:color w:val="000000"/>
      <w:kern w:val="0"/>
      <w:sz w:val="24"/>
      <w:lang w:eastAsia="de-DE" w:bidi="en-US"/>
    </w:rPr>
  </w:style>
  <w:style w:type="paragraph" w:customStyle="1" w:styleId="MHeader">
    <w:name w:val="M_Header"/>
    <w:basedOn w:val="Normal"/>
    <w:rsid w:val="00F87A76"/>
    <w:pPr>
      <w:spacing w:after="240"/>
      <w:ind w:left="425"/>
    </w:pPr>
    <w:rPr>
      <w:rFonts w:ascii="Minion Pro" w:hAnsi="Minion Pro"/>
    </w:rPr>
  </w:style>
  <w:style w:type="paragraph" w:customStyle="1" w:styleId="MHeading1">
    <w:name w:val="M_Heading1"/>
    <w:basedOn w:val="MHeading3"/>
    <w:qFormat/>
    <w:rsid w:val="00F87A76"/>
    <w:rPr>
      <w:b/>
    </w:rPr>
  </w:style>
  <w:style w:type="paragraph" w:customStyle="1" w:styleId="MHeading2">
    <w:name w:val="M_Heading2"/>
    <w:basedOn w:val="MHeading3"/>
    <w:qFormat/>
    <w:rsid w:val="00F87A76"/>
    <w:rPr>
      <w:i/>
    </w:rPr>
  </w:style>
  <w:style w:type="paragraph" w:customStyle="1" w:styleId="MHeading3">
    <w:name w:val="M_Heading3"/>
    <w:basedOn w:val="Mdeck4text"/>
    <w:qFormat/>
    <w:rsid w:val="00F87A76"/>
    <w:pPr>
      <w:spacing w:before="240" w:after="120"/>
    </w:pPr>
  </w:style>
  <w:style w:type="paragraph" w:customStyle="1" w:styleId="MISSN">
    <w:name w:val="M_ISSN"/>
    <w:basedOn w:val="Normal"/>
    <w:rsid w:val="00F87A76"/>
    <w:pPr>
      <w:spacing w:after="520"/>
      <w:jc w:val="right"/>
    </w:pPr>
  </w:style>
  <w:style w:type="paragraph" w:customStyle="1" w:styleId="Mline2">
    <w:name w:val="M_line2"/>
    <w:basedOn w:val="Mdeck4text"/>
    <w:qFormat/>
    <w:rsid w:val="00F87A76"/>
    <w:pPr>
      <w:pBdr>
        <w:bottom w:val="single" w:sz="6" w:space="1" w:color="auto"/>
      </w:pBdr>
      <w:spacing w:after="480"/>
    </w:pPr>
  </w:style>
  <w:style w:type="paragraph" w:customStyle="1" w:styleId="Mline1">
    <w:name w:val="M_line1"/>
    <w:basedOn w:val="Mdeck4text"/>
    <w:next w:val="Mline2"/>
    <w:qFormat/>
    <w:rsid w:val="00F87A76"/>
    <w:pPr>
      <w:ind w:firstLine="0"/>
    </w:pPr>
  </w:style>
  <w:style w:type="paragraph" w:customStyle="1" w:styleId="MLogo">
    <w:name w:val="M_Logo"/>
    <w:basedOn w:val="Normal"/>
    <w:rsid w:val="00F87A76"/>
    <w:pPr>
      <w:spacing w:before="140"/>
      <w:jc w:val="right"/>
    </w:pPr>
    <w:rPr>
      <w:b/>
      <w:i/>
      <w:sz w:val="64"/>
    </w:rPr>
  </w:style>
  <w:style w:type="paragraph" w:customStyle="1" w:styleId="Mreceived">
    <w:name w:val="M_received"/>
    <w:basedOn w:val="Maddress"/>
    <w:rsid w:val="00F87A76"/>
    <w:rPr>
      <w:i/>
    </w:rPr>
  </w:style>
  <w:style w:type="paragraph" w:customStyle="1" w:styleId="MRefer">
    <w:name w:val="M_Refer"/>
    <w:basedOn w:val="Normal"/>
    <w:rsid w:val="00F87A76"/>
    <w:pPr>
      <w:ind w:left="461" w:hanging="461"/>
    </w:pPr>
  </w:style>
  <w:style w:type="paragraph" w:customStyle="1" w:styleId="Mtable">
    <w:name w:val="M_table"/>
    <w:basedOn w:val="Normal"/>
    <w:rsid w:val="00F87A76"/>
    <w:pPr>
      <w:keepNext/>
      <w:tabs>
        <w:tab w:val="left" w:pos="284"/>
      </w:tabs>
    </w:pPr>
  </w:style>
  <w:style w:type="paragraph" w:customStyle="1" w:styleId="MTablecaption">
    <w:name w:val="M_Tablecaption"/>
    <w:basedOn w:val="MCaption"/>
    <w:rsid w:val="00F87A76"/>
    <w:pPr>
      <w:spacing w:after="0"/>
    </w:pPr>
  </w:style>
  <w:style w:type="paragraph" w:customStyle="1" w:styleId="MText">
    <w:name w:val="M_Text"/>
    <w:basedOn w:val="Normal"/>
    <w:rsid w:val="00F87A76"/>
    <w:pPr>
      <w:ind w:firstLine="288"/>
    </w:pPr>
  </w:style>
  <w:style w:type="paragraph" w:customStyle="1" w:styleId="MTitel">
    <w:name w:val="M_Titel"/>
    <w:basedOn w:val="Normal"/>
    <w:rsid w:val="00F87A76"/>
    <w:pPr>
      <w:spacing w:before="240"/>
    </w:pPr>
    <w:rPr>
      <w:b/>
      <w:sz w:val="36"/>
      <w:lang w:val="en-GB"/>
    </w:rPr>
  </w:style>
  <w:style w:type="paragraph" w:customStyle="1" w:styleId="MDPIheader">
    <w:name w:val="MDPI_header"/>
    <w:qFormat/>
    <w:rsid w:val="003B4E63"/>
    <w:pPr>
      <w:adjustRightInd w:val="0"/>
      <w:snapToGrid w:val="0"/>
      <w:spacing w:after="240"/>
    </w:pPr>
    <w:rPr>
      <w:rFonts w:ascii="Palatino Linotype" w:eastAsia="Times New Roman" w:hAnsi="Palatino Linotype" w:cs="Times New Roman"/>
      <w:iCs/>
      <w:kern w:val="0"/>
      <w:sz w:val="16"/>
      <w:lang w:eastAsia="de-DE"/>
    </w:rPr>
  </w:style>
  <w:style w:type="paragraph" w:customStyle="1" w:styleId="Mheaderjournallogo">
    <w:name w:val="M_header_journal_logo"/>
    <w:qFormat/>
    <w:rsid w:val="00F87A76"/>
    <w:rPr>
      <w:rFonts w:ascii="Minion Pro" w:eastAsiaTheme="minorEastAsia" w:hAnsi="Minion Pro" w:cs="Times New Roman"/>
      <w:color w:val="000000"/>
      <w:kern w:val="0"/>
      <w:sz w:val="24"/>
      <w:lang w:val="de-DE"/>
    </w:rPr>
  </w:style>
  <w:style w:type="paragraph" w:customStyle="1" w:styleId="TextBericht">
    <w:name w:val="Text_Bericht"/>
    <w:basedOn w:val="Normal"/>
    <w:uiPriority w:val="99"/>
    <w:rsid w:val="00F87A76"/>
    <w:pPr>
      <w:spacing w:after="120" w:line="276" w:lineRule="auto"/>
    </w:pPr>
    <w:rPr>
      <w:rFonts w:ascii="Arial" w:hAnsi="Arial"/>
      <w:lang w:val="de-DE"/>
    </w:rPr>
  </w:style>
  <w:style w:type="character" w:customStyle="1" w:styleId="Heading2Char">
    <w:name w:val="Heading 2 Char"/>
    <w:basedOn w:val="DefaultParagraphFont"/>
    <w:link w:val="Heading2"/>
    <w:rsid w:val="00F87A76"/>
    <w:rPr>
      <w:rFonts w:ascii="Arial" w:eastAsia="Times New Roman" w:hAnsi="Arial" w:cstheme="majorBidi"/>
      <w:b/>
      <w:color w:val="000000"/>
      <w:kern w:val="0"/>
      <w:sz w:val="24"/>
      <w:lang w:eastAsia="de-DE"/>
    </w:rPr>
  </w:style>
  <w:style w:type="paragraph" w:customStyle="1" w:styleId="berschrift3">
    <w:name w:val="Überschrift3"/>
    <w:basedOn w:val="Heading2"/>
    <w:uiPriority w:val="99"/>
    <w:rsid w:val="00F87A76"/>
    <w:pPr>
      <w:keepNext/>
      <w:tabs>
        <w:tab w:val="num" w:pos="360"/>
      </w:tabs>
      <w:spacing w:before="0"/>
      <w:ind w:left="576" w:hanging="576"/>
    </w:pPr>
    <w:rPr>
      <w:rFonts w:cs="Arial"/>
      <w:bCs/>
      <w:iCs/>
      <w:sz w:val="18"/>
      <w:szCs w:val="28"/>
      <w:lang w:val="de-DE"/>
    </w:rPr>
  </w:style>
  <w:style w:type="character" w:customStyle="1" w:styleId="Heading1Char">
    <w:name w:val="Heading 1 Char"/>
    <w:aliases w:val="x Char"/>
    <w:basedOn w:val="DefaultParagraphFont"/>
    <w:link w:val="Heading1"/>
    <w:rsid w:val="00F87A76"/>
    <w:rPr>
      <w:rFonts w:ascii="Arial" w:eastAsia="Times New Roman" w:hAnsi="Arial" w:cs="Times New Roman"/>
      <w:b/>
      <w:color w:val="000000"/>
      <w:kern w:val="0"/>
      <w:sz w:val="24"/>
      <w:u w:val="single"/>
      <w:lang w:eastAsia="de-DE"/>
    </w:rPr>
  </w:style>
  <w:style w:type="character" w:customStyle="1" w:styleId="Heading3Char">
    <w:name w:val="Heading 3 Char"/>
    <w:basedOn w:val="DefaultParagraphFont"/>
    <w:link w:val="Heading3"/>
    <w:rsid w:val="00F87A76"/>
    <w:rPr>
      <w:rFonts w:eastAsia="Times New Roman" w:cs="Times New Roman"/>
      <w:b/>
      <w:color w:val="000000"/>
      <w:kern w:val="0"/>
      <w:sz w:val="24"/>
      <w:lang w:eastAsia="de-DE"/>
    </w:rPr>
  </w:style>
  <w:style w:type="character" w:customStyle="1" w:styleId="Heading4Char">
    <w:name w:val="Heading 4 Char"/>
    <w:basedOn w:val="DefaultParagraphFont"/>
    <w:link w:val="Heading4"/>
    <w:rsid w:val="00F87A76"/>
    <w:rPr>
      <w:rFonts w:ascii="Arial" w:eastAsia="Times New Roman" w:hAnsi="Arial" w:cstheme="majorBidi"/>
      <w:b/>
      <w:color w:val="000000"/>
      <w:kern w:val="0"/>
      <w:sz w:val="24"/>
      <w:lang w:eastAsia="de-DE"/>
    </w:rPr>
  </w:style>
  <w:style w:type="character" w:customStyle="1" w:styleId="Heading5Char">
    <w:name w:val="Heading 5 Char"/>
    <w:basedOn w:val="DefaultParagraphFont"/>
    <w:link w:val="Heading5"/>
    <w:rsid w:val="00F87A76"/>
    <w:rPr>
      <w:rFonts w:eastAsia="Times New Roman" w:cs="Times New Roman"/>
      <w:b/>
      <w:color w:val="000000"/>
      <w:kern w:val="0"/>
      <w:sz w:val="24"/>
      <w:lang w:eastAsia="de-DE"/>
    </w:rPr>
  </w:style>
  <w:style w:type="character" w:customStyle="1" w:styleId="Heading6Char">
    <w:name w:val="Heading 6 Char"/>
    <w:basedOn w:val="DefaultParagraphFont"/>
    <w:link w:val="Heading6"/>
    <w:rsid w:val="00F87A76"/>
    <w:rPr>
      <w:rFonts w:eastAsia="Times New Roman" w:cstheme="majorBidi"/>
      <w:color w:val="000000"/>
      <w:kern w:val="0"/>
      <w:sz w:val="24"/>
      <w:u w:val="single"/>
      <w:lang w:eastAsia="de-DE"/>
    </w:rPr>
  </w:style>
  <w:style w:type="character" w:customStyle="1" w:styleId="Heading7Char">
    <w:name w:val="Heading 7 Char"/>
    <w:basedOn w:val="DefaultParagraphFont"/>
    <w:link w:val="Heading7"/>
    <w:rsid w:val="00F87A76"/>
    <w:rPr>
      <w:rFonts w:eastAsia="Times New Roman" w:cs="Times New Roman"/>
      <w:i/>
      <w:color w:val="000000"/>
      <w:kern w:val="0"/>
      <w:sz w:val="24"/>
      <w:lang w:eastAsia="de-DE"/>
    </w:rPr>
  </w:style>
  <w:style w:type="character" w:customStyle="1" w:styleId="Heading8Char">
    <w:name w:val="Heading 8 Char"/>
    <w:basedOn w:val="DefaultParagraphFont"/>
    <w:link w:val="Heading8"/>
    <w:rsid w:val="00F87A76"/>
    <w:rPr>
      <w:rFonts w:eastAsia="Times New Roman" w:cstheme="majorBidi"/>
      <w:i/>
      <w:color w:val="000000"/>
      <w:kern w:val="0"/>
      <w:sz w:val="24"/>
      <w:lang w:eastAsia="de-DE"/>
    </w:rPr>
  </w:style>
  <w:style w:type="character" w:customStyle="1" w:styleId="Heading9Char">
    <w:name w:val="Heading 9 Char"/>
    <w:basedOn w:val="DefaultParagraphFont"/>
    <w:link w:val="Heading9"/>
    <w:rsid w:val="00F87A76"/>
    <w:rPr>
      <w:rFonts w:eastAsia="Times New Roman" w:cstheme="majorBidi"/>
      <w:i/>
      <w:color w:val="000000"/>
      <w:kern w:val="0"/>
      <w:sz w:val="24"/>
      <w:lang w:eastAsia="de-DE"/>
    </w:rPr>
  </w:style>
  <w:style w:type="character" w:styleId="Hyperlink">
    <w:name w:val="Hyperlink"/>
    <w:uiPriority w:val="99"/>
    <w:rsid w:val="00F87A76"/>
    <w:rPr>
      <w:color w:val="0000FF"/>
      <w:u w:val="single"/>
    </w:rPr>
  </w:style>
  <w:style w:type="character" w:styleId="FollowedHyperlink">
    <w:name w:val="FollowedHyperlink"/>
    <w:basedOn w:val="DefaultParagraphFont"/>
    <w:rsid w:val="00F87A76"/>
    <w:rPr>
      <w:color w:val="954F72" w:themeColor="followedHyperlink"/>
      <w:u w:val="single"/>
    </w:rPr>
  </w:style>
  <w:style w:type="character" w:styleId="LineNumber">
    <w:name w:val="line number"/>
    <w:basedOn w:val="DefaultParagraphFont"/>
    <w:uiPriority w:val="99"/>
    <w:rsid w:val="00F87A76"/>
  </w:style>
  <w:style w:type="paragraph" w:styleId="FootnoteText">
    <w:name w:val="footnote text"/>
    <w:basedOn w:val="Normal"/>
    <w:link w:val="FootnoteTextChar"/>
    <w:rsid w:val="00F87A76"/>
  </w:style>
  <w:style w:type="character" w:customStyle="1" w:styleId="FootnoteTextChar">
    <w:name w:val="Footnote Text Char"/>
    <w:basedOn w:val="DefaultParagraphFont"/>
    <w:link w:val="FootnoteText"/>
    <w:rsid w:val="00F87A76"/>
    <w:rPr>
      <w:rFonts w:eastAsia="Times New Roman" w:cs="Times New Roman"/>
      <w:color w:val="000000"/>
      <w:kern w:val="0"/>
      <w:sz w:val="24"/>
      <w:lang w:eastAsia="de-DE"/>
    </w:rPr>
  </w:style>
  <w:style w:type="paragraph" w:styleId="List">
    <w:name w:val="List"/>
    <w:basedOn w:val="Normal"/>
    <w:rsid w:val="00F87A76"/>
    <w:pPr>
      <w:ind w:left="200" w:hangingChars="200" w:hanging="200"/>
      <w:contextualSpacing/>
    </w:pPr>
  </w:style>
  <w:style w:type="paragraph" w:styleId="ListBullet">
    <w:name w:val="List Bullet"/>
    <w:basedOn w:val="Normal"/>
    <w:rsid w:val="00F87A76"/>
    <w:pPr>
      <w:tabs>
        <w:tab w:val="num" w:pos="360"/>
      </w:tabs>
      <w:ind w:left="200" w:hangingChars="200" w:hanging="200"/>
      <w:contextualSpacing/>
    </w:pPr>
  </w:style>
  <w:style w:type="paragraph" w:styleId="ListParagraph">
    <w:name w:val="List Paragraph"/>
    <w:basedOn w:val="Normal"/>
    <w:uiPriority w:val="34"/>
    <w:qFormat/>
    <w:rsid w:val="00F87A76"/>
    <w:pPr>
      <w:ind w:firstLineChars="200" w:firstLine="420"/>
    </w:pPr>
  </w:style>
  <w:style w:type="paragraph" w:styleId="BalloonText">
    <w:name w:val="Balloon Text"/>
    <w:basedOn w:val="Normal"/>
    <w:link w:val="BalloonTextChar"/>
    <w:uiPriority w:val="99"/>
    <w:rsid w:val="00F87A76"/>
    <w:rPr>
      <w:rFonts w:cs="Tahoma"/>
      <w:sz w:val="18"/>
      <w:szCs w:val="18"/>
    </w:rPr>
  </w:style>
  <w:style w:type="character" w:customStyle="1" w:styleId="BalloonTextChar">
    <w:name w:val="Balloon Text Char"/>
    <w:basedOn w:val="DefaultParagraphFont"/>
    <w:link w:val="BalloonText"/>
    <w:uiPriority w:val="99"/>
    <w:rsid w:val="00F87A76"/>
    <w:rPr>
      <w:rFonts w:eastAsia="Times New Roman" w:cs="Tahoma"/>
      <w:color w:val="000000"/>
      <w:kern w:val="0"/>
      <w:sz w:val="18"/>
      <w:szCs w:val="18"/>
      <w:lang w:eastAsia="de-DE"/>
    </w:rPr>
  </w:style>
  <w:style w:type="paragraph" w:styleId="CommentText">
    <w:name w:val="annotation text"/>
    <w:basedOn w:val="Normal"/>
    <w:link w:val="CommentTextChar"/>
    <w:uiPriority w:val="99"/>
    <w:rsid w:val="00F87A76"/>
  </w:style>
  <w:style w:type="character" w:customStyle="1" w:styleId="CommentTextChar">
    <w:name w:val="Comment Text Char"/>
    <w:basedOn w:val="DefaultParagraphFont"/>
    <w:link w:val="CommentText"/>
    <w:uiPriority w:val="99"/>
    <w:rsid w:val="00F87A76"/>
    <w:rPr>
      <w:rFonts w:eastAsia="Times New Roman" w:cs="Times New Roman"/>
      <w:color w:val="000000"/>
      <w:kern w:val="0"/>
      <w:sz w:val="24"/>
      <w:lang w:eastAsia="de-DE"/>
    </w:rPr>
  </w:style>
  <w:style w:type="character" w:styleId="CommentReference">
    <w:name w:val="annotation reference"/>
    <w:basedOn w:val="DefaultParagraphFont"/>
    <w:uiPriority w:val="99"/>
    <w:rsid w:val="00F87A76"/>
    <w:rPr>
      <w:sz w:val="21"/>
      <w:szCs w:val="21"/>
    </w:rPr>
  </w:style>
  <w:style w:type="paragraph" w:styleId="CommentSubject">
    <w:name w:val="annotation subject"/>
    <w:basedOn w:val="CommentText"/>
    <w:next w:val="CommentText"/>
    <w:link w:val="CommentSubjectChar"/>
    <w:rsid w:val="00F87A76"/>
    <w:rPr>
      <w:b/>
      <w:bCs/>
    </w:rPr>
  </w:style>
  <w:style w:type="character" w:customStyle="1" w:styleId="CommentSubjectChar">
    <w:name w:val="Comment Subject Char"/>
    <w:basedOn w:val="CommentTextChar"/>
    <w:link w:val="CommentSubject"/>
    <w:rsid w:val="00F87A76"/>
    <w:rPr>
      <w:rFonts w:eastAsia="Times New Roman" w:cs="Times New Roman"/>
      <w:b/>
      <w:bCs/>
      <w:color w:val="000000"/>
      <w:kern w:val="0"/>
      <w:sz w:val="24"/>
      <w:lang w:eastAsia="de-DE"/>
    </w:rPr>
  </w:style>
  <w:style w:type="paragraph" w:styleId="NormalWeb">
    <w:name w:val="Normal (Web)"/>
    <w:basedOn w:val="Normal"/>
    <w:uiPriority w:val="99"/>
    <w:rsid w:val="00F87A76"/>
    <w:rPr>
      <w:szCs w:val="24"/>
    </w:rPr>
  </w:style>
  <w:style w:type="paragraph" w:styleId="Bibliography">
    <w:name w:val="Bibliography"/>
    <w:basedOn w:val="Normal"/>
    <w:next w:val="Normal"/>
    <w:uiPriority w:val="37"/>
    <w:semiHidden/>
    <w:unhideWhenUsed/>
    <w:rsid w:val="00F87A76"/>
  </w:style>
  <w:style w:type="paragraph" w:styleId="Caption">
    <w:name w:val="caption"/>
    <w:basedOn w:val="Normal"/>
    <w:next w:val="Normal"/>
    <w:qFormat/>
    <w:rsid w:val="00F87A76"/>
    <w:pPr>
      <w:ind w:left="850" w:hanging="850"/>
      <w:jc w:val="center"/>
    </w:pPr>
    <w:rPr>
      <w:b/>
      <w:bCs/>
      <w:szCs w:val="24"/>
      <w:lang w:eastAsia="en-US"/>
    </w:rPr>
  </w:style>
  <w:style w:type="paragraph" w:styleId="TableofFigures">
    <w:name w:val="table of figures"/>
    <w:basedOn w:val="Normal"/>
    <w:next w:val="Normal"/>
    <w:rsid w:val="00F87A76"/>
    <w:pPr>
      <w:tabs>
        <w:tab w:val="left" w:pos="374"/>
      </w:tabs>
      <w:snapToGrid w:val="0"/>
      <w:spacing w:line="220" w:lineRule="exact"/>
    </w:pPr>
    <w:rPr>
      <w:sz w:val="16"/>
      <w:szCs w:val="16"/>
    </w:rPr>
  </w:style>
  <w:style w:type="table" w:styleId="TableGrid">
    <w:name w:val="Table Grid"/>
    <w:basedOn w:val="TableNormal"/>
    <w:uiPriority w:val="59"/>
    <w:rsid w:val="00F87A76"/>
    <w:rPr>
      <w:rFonts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F87A76"/>
    <w:pPr>
      <w:spacing w:line="360" w:lineRule="auto"/>
    </w:pPr>
    <w:rPr>
      <w:szCs w:val="24"/>
      <w:lang w:val="en-GB" w:eastAsia="ar-SA"/>
    </w:rPr>
  </w:style>
  <w:style w:type="character" w:customStyle="1" w:styleId="EndnoteTextChar">
    <w:name w:val="Endnote Text Char"/>
    <w:basedOn w:val="DefaultParagraphFont"/>
    <w:link w:val="EndnoteText"/>
    <w:rsid w:val="00F87A76"/>
    <w:rPr>
      <w:rFonts w:eastAsia="Times New Roman" w:cs="Times New Roman"/>
      <w:color w:val="000000"/>
      <w:kern w:val="0"/>
      <w:sz w:val="24"/>
      <w:szCs w:val="24"/>
      <w:lang w:val="en-GB" w:eastAsia="ar-SA"/>
    </w:rPr>
  </w:style>
  <w:style w:type="character" w:styleId="EndnoteReference">
    <w:name w:val="endnote reference"/>
    <w:basedOn w:val="DefaultParagraphFont"/>
    <w:rsid w:val="00F87A76"/>
    <w:rPr>
      <w:vertAlign w:val="superscript"/>
    </w:rPr>
  </w:style>
  <w:style w:type="paragraph" w:styleId="Footer">
    <w:name w:val="footer"/>
    <w:basedOn w:val="Normal"/>
    <w:link w:val="FooterChar"/>
    <w:uiPriority w:val="99"/>
    <w:rsid w:val="00F87A76"/>
    <w:pPr>
      <w:tabs>
        <w:tab w:val="center" w:pos="4153"/>
        <w:tab w:val="right" w:pos="8306"/>
      </w:tabs>
      <w:snapToGrid w:val="0"/>
      <w:spacing w:line="240" w:lineRule="atLeast"/>
    </w:pPr>
    <w:rPr>
      <w:sz w:val="18"/>
      <w:szCs w:val="18"/>
    </w:rPr>
  </w:style>
  <w:style w:type="character" w:customStyle="1" w:styleId="FooterChar">
    <w:name w:val="Footer Char"/>
    <w:basedOn w:val="DefaultParagraphFont"/>
    <w:link w:val="Footer"/>
    <w:uiPriority w:val="99"/>
    <w:rsid w:val="00F87A76"/>
    <w:rPr>
      <w:rFonts w:eastAsia="Times New Roman" w:cs="Times New Roman"/>
      <w:color w:val="000000"/>
      <w:kern w:val="0"/>
      <w:sz w:val="18"/>
      <w:szCs w:val="18"/>
      <w:lang w:eastAsia="de-DE"/>
    </w:rPr>
  </w:style>
  <w:style w:type="character" w:styleId="PageNumber">
    <w:name w:val="page number"/>
    <w:basedOn w:val="DefaultParagraphFont"/>
    <w:rsid w:val="00F87A76"/>
  </w:style>
  <w:style w:type="paragraph" w:styleId="Header">
    <w:name w:val="header"/>
    <w:basedOn w:val="Normal"/>
    <w:link w:val="HeaderChar"/>
    <w:uiPriority w:val="99"/>
    <w:rsid w:val="00F87A76"/>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basedOn w:val="DefaultParagraphFont"/>
    <w:link w:val="Header"/>
    <w:uiPriority w:val="99"/>
    <w:rsid w:val="00F87A76"/>
    <w:rPr>
      <w:rFonts w:eastAsia="Times New Roman" w:cs="Times New Roman"/>
      <w:color w:val="000000"/>
      <w:kern w:val="0"/>
      <w:sz w:val="18"/>
      <w:szCs w:val="18"/>
      <w:lang w:eastAsia="de-DE"/>
    </w:rPr>
  </w:style>
  <w:style w:type="paragraph" w:styleId="BodyText">
    <w:name w:val="Body Text"/>
    <w:link w:val="BodyTextChar"/>
    <w:rsid w:val="00F87A76"/>
    <w:pPr>
      <w:spacing w:after="120" w:line="340" w:lineRule="atLeast"/>
      <w:jc w:val="both"/>
    </w:pPr>
    <w:rPr>
      <w:rFonts w:cs="Times New Roman"/>
      <w:color w:val="000000"/>
      <w:kern w:val="0"/>
      <w:sz w:val="24"/>
      <w:lang w:eastAsia="de-DE"/>
    </w:rPr>
  </w:style>
  <w:style w:type="character" w:customStyle="1" w:styleId="BodyTextChar">
    <w:name w:val="Body Text Char"/>
    <w:basedOn w:val="DefaultParagraphFont"/>
    <w:link w:val="BodyText"/>
    <w:rsid w:val="00F87A76"/>
    <w:rPr>
      <w:rFonts w:cs="Times New Roman"/>
      <w:color w:val="000000"/>
      <w:kern w:val="0"/>
      <w:sz w:val="24"/>
      <w:lang w:eastAsia="de-DE"/>
    </w:rPr>
  </w:style>
  <w:style w:type="paragraph" w:customStyle="1" w:styleId="Mdeck4text2nd">
    <w:name w:val="M_deck_4_text_2nd"/>
    <w:qFormat/>
    <w:rsid w:val="00C51805"/>
    <w:pPr>
      <w:adjustRightInd w:val="0"/>
      <w:snapToGrid w:val="0"/>
      <w:spacing w:line="260" w:lineRule="atLeast"/>
      <w:ind w:left="850" w:hanging="425"/>
      <w:jc w:val="both"/>
    </w:pPr>
    <w:rPr>
      <w:rFonts w:ascii="Palatino Linotype" w:eastAsia="Times New Roman" w:hAnsi="Palatino Linotype" w:cs="Times New Roman"/>
      <w:snapToGrid w:val="0"/>
      <w:color w:val="000000"/>
      <w:kern w:val="0"/>
      <w:lang w:eastAsia="de-DE" w:bidi="en-US"/>
    </w:rPr>
  </w:style>
  <w:style w:type="character" w:styleId="PlaceholderText">
    <w:name w:val="Placeholder Text"/>
    <w:basedOn w:val="DefaultParagraphFont"/>
    <w:uiPriority w:val="99"/>
    <w:semiHidden/>
    <w:rsid w:val="00F87A76"/>
    <w:rPr>
      <w:color w:val="808080"/>
    </w:rPr>
  </w:style>
  <w:style w:type="paragraph" w:customStyle="1" w:styleId="MDPIheadercitation">
    <w:name w:val="MDPI_header_citation"/>
    <w:basedOn w:val="MDPI62Acknowledgments"/>
    <w:rsid w:val="002220D5"/>
    <w:pPr>
      <w:spacing w:before="0" w:after="240" w:line="240" w:lineRule="auto"/>
      <w:jc w:val="left"/>
    </w:pPr>
  </w:style>
  <w:style w:type="paragraph" w:customStyle="1" w:styleId="MDPIheaderjournallogo">
    <w:name w:val="MDPI_header_journal_logo"/>
    <w:qFormat/>
    <w:rsid w:val="003B4E63"/>
    <w:pPr>
      <w:adjustRightInd w:val="0"/>
      <w:snapToGrid w:val="0"/>
    </w:pPr>
    <w:rPr>
      <w:rFonts w:ascii="Palatino Linotype" w:eastAsia="Times New Roman" w:hAnsi="Palatino Linotype" w:cs="Times New Roman"/>
      <w:i/>
      <w:color w:val="000000"/>
      <w:kern w:val="0"/>
      <w:sz w:val="24"/>
      <w:szCs w:val="22"/>
      <w:lang w:eastAsia="de-CH"/>
    </w:rPr>
  </w:style>
  <w:style w:type="paragraph" w:customStyle="1" w:styleId="Mfooter">
    <w:name w:val="M_footer"/>
    <w:qFormat/>
    <w:rsid w:val="00F87A76"/>
    <w:pPr>
      <w:spacing w:before="120"/>
      <w:jc w:val="center"/>
    </w:pPr>
    <w:rPr>
      <w:rFonts w:ascii="Minion Pro" w:eastAsiaTheme="minorEastAsia" w:hAnsi="Minion Pro" w:cs="Times New Roman"/>
      <w:color w:val="000000"/>
      <w:kern w:val="0"/>
      <w:sz w:val="24"/>
      <w:lang w:val="de-DE"/>
    </w:rPr>
  </w:style>
  <w:style w:type="paragraph" w:customStyle="1" w:styleId="Mfooterfirstpage">
    <w:name w:val="M_footer_firstpage"/>
    <w:basedOn w:val="Mfooter"/>
    <w:qFormat/>
    <w:rsid w:val="00F87A76"/>
    <w:pPr>
      <w:tabs>
        <w:tab w:val="right" w:pos="8845"/>
      </w:tabs>
      <w:spacing w:line="160" w:lineRule="exact"/>
    </w:pPr>
  </w:style>
  <w:style w:type="paragraph" w:customStyle="1" w:styleId="Mheadermdpilogo">
    <w:name w:val="M_header_mdpi_logo"/>
    <w:qFormat/>
    <w:rsid w:val="00F87A76"/>
    <w:pPr>
      <w:jc w:val="right"/>
    </w:pPr>
    <w:rPr>
      <w:rFonts w:ascii="Minion Pro" w:eastAsiaTheme="minorEastAsia" w:hAnsi="Minion Pro" w:cs="Times New Roman"/>
      <w:color w:val="000000"/>
      <w:kern w:val="0"/>
      <w:sz w:val="24"/>
      <w:lang w:val="de-DE"/>
    </w:rPr>
  </w:style>
  <w:style w:type="paragraph" w:customStyle="1" w:styleId="MAcknowledgments">
    <w:name w:val="M_Acknowledgments"/>
    <w:qFormat/>
    <w:rsid w:val="00554334"/>
    <w:pPr>
      <w:spacing w:after="120" w:line="240" w:lineRule="atLeast"/>
      <w:jc w:val="both"/>
    </w:pPr>
    <w:rPr>
      <w:rFonts w:ascii="Minion Pro" w:eastAsiaTheme="minorEastAsia" w:hAnsi="Minion Pro" w:cs="Times New Roman"/>
      <w:color w:val="000000"/>
      <w:kern w:val="0"/>
      <w:sz w:val="24"/>
      <w:lang w:val="de-DE"/>
    </w:rPr>
  </w:style>
  <w:style w:type="paragraph" w:customStyle="1" w:styleId="MDPI32textnoindent">
    <w:name w:val="MDPI_3.2_text_no_indent"/>
    <w:basedOn w:val="MDPI31text"/>
    <w:qFormat/>
    <w:rsid w:val="00B65A10"/>
    <w:pPr>
      <w:ind w:firstLine="0"/>
    </w:pPr>
  </w:style>
  <w:style w:type="paragraph" w:customStyle="1" w:styleId="MDPI33textspaceafter">
    <w:name w:val="MDPI_3.3_text_space_after"/>
    <w:basedOn w:val="MDPI31text"/>
    <w:qFormat/>
    <w:rsid w:val="00B65A10"/>
    <w:pPr>
      <w:spacing w:after="240"/>
    </w:pPr>
  </w:style>
  <w:style w:type="paragraph" w:customStyle="1" w:styleId="MDPI34textspacebefore">
    <w:name w:val="MDPI_3.4_text_space_before"/>
    <w:basedOn w:val="MDPI31text"/>
    <w:qFormat/>
    <w:rsid w:val="00B65A10"/>
    <w:pPr>
      <w:spacing w:before="240"/>
    </w:pPr>
  </w:style>
  <w:style w:type="paragraph" w:customStyle="1" w:styleId="MDPI35textbeforelist">
    <w:name w:val="MDPI_3.5_text_before_list"/>
    <w:basedOn w:val="MDPI31text"/>
    <w:qFormat/>
    <w:rsid w:val="00B65A10"/>
    <w:pPr>
      <w:spacing w:after="120"/>
    </w:pPr>
  </w:style>
  <w:style w:type="paragraph" w:customStyle="1" w:styleId="MDPI36textafterlist">
    <w:name w:val="MDPI_3.6_text_after_list"/>
    <w:basedOn w:val="MDPI31text"/>
    <w:qFormat/>
    <w:rsid w:val="00B65A10"/>
    <w:pPr>
      <w:spacing w:before="120"/>
    </w:pPr>
  </w:style>
  <w:style w:type="paragraph" w:customStyle="1" w:styleId="MDPI37itemize">
    <w:name w:val="MDPI_3.7_itemize"/>
    <w:basedOn w:val="MDPI31text"/>
    <w:qFormat/>
    <w:rsid w:val="000A45A9"/>
    <w:pPr>
      <w:numPr>
        <w:numId w:val="1"/>
      </w:numPr>
      <w:ind w:left="425" w:hanging="425"/>
    </w:pPr>
  </w:style>
  <w:style w:type="paragraph" w:customStyle="1" w:styleId="MDPI38bullet">
    <w:name w:val="MDPI_3.8_bullet"/>
    <w:basedOn w:val="MDPI31text"/>
    <w:qFormat/>
    <w:rsid w:val="00B83B50"/>
    <w:pPr>
      <w:numPr>
        <w:numId w:val="2"/>
      </w:numPr>
      <w:ind w:left="425" w:hanging="425"/>
    </w:pPr>
  </w:style>
  <w:style w:type="paragraph" w:customStyle="1" w:styleId="MDPI39equation">
    <w:name w:val="MDPI_3.9_equation"/>
    <w:basedOn w:val="MDPI31text"/>
    <w:qFormat/>
    <w:rsid w:val="00B65A10"/>
    <w:pPr>
      <w:spacing w:before="120" w:after="120"/>
      <w:ind w:left="709" w:firstLine="0"/>
      <w:jc w:val="center"/>
    </w:pPr>
  </w:style>
  <w:style w:type="paragraph" w:customStyle="1" w:styleId="MDPI3aequationnumber">
    <w:name w:val="MDPI_3.a_equation_number"/>
    <w:basedOn w:val="MDPI31text"/>
    <w:qFormat/>
    <w:rsid w:val="000F4E0E"/>
    <w:pPr>
      <w:spacing w:before="120" w:after="120" w:line="240" w:lineRule="auto"/>
      <w:ind w:firstLine="0"/>
      <w:jc w:val="right"/>
    </w:pPr>
  </w:style>
  <w:style w:type="paragraph" w:customStyle="1" w:styleId="MDPI62Acknowledgments">
    <w:name w:val="MDPI_6.2_Acknowledgments"/>
    <w:qFormat/>
    <w:rsid w:val="003B4E63"/>
    <w:pPr>
      <w:adjustRightInd w:val="0"/>
      <w:snapToGrid w:val="0"/>
      <w:spacing w:before="120" w:line="200" w:lineRule="atLeast"/>
      <w:jc w:val="both"/>
    </w:pPr>
    <w:rPr>
      <w:rFonts w:ascii="Palatino Linotype" w:eastAsia="Times New Roman" w:hAnsi="Palatino Linotype" w:cs="Times New Roman"/>
      <w:snapToGrid w:val="0"/>
      <w:color w:val="000000"/>
      <w:kern w:val="0"/>
      <w:sz w:val="18"/>
      <w:lang w:eastAsia="de-DE" w:bidi="en-US"/>
    </w:rPr>
  </w:style>
  <w:style w:type="paragraph" w:customStyle="1" w:styleId="MDPI41tablecaption">
    <w:name w:val="MDPI_4.1_table_caption"/>
    <w:basedOn w:val="MDPI62Acknowledgments"/>
    <w:qFormat/>
    <w:rsid w:val="00DB75FF"/>
    <w:pPr>
      <w:spacing w:before="240" w:after="120" w:line="260" w:lineRule="atLeast"/>
      <w:ind w:left="425" w:right="425"/>
    </w:pPr>
    <w:rPr>
      <w:rFonts w:cstheme="minorBidi"/>
      <w:snapToGrid/>
      <w:szCs w:val="22"/>
    </w:rPr>
  </w:style>
  <w:style w:type="paragraph" w:customStyle="1" w:styleId="MDPI42tablebody">
    <w:name w:val="MDPI_4.2_table_body"/>
    <w:qFormat/>
    <w:rsid w:val="003B4E63"/>
    <w:pPr>
      <w:adjustRightInd w:val="0"/>
      <w:snapToGrid w:val="0"/>
    </w:pPr>
    <w:rPr>
      <w:rFonts w:ascii="Palatino Linotype" w:eastAsia="Times New Roman" w:hAnsi="Palatino Linotype"/>
      <w:b/>
      <w:snapToGrid w:val="0"/>
      <w:color w:val="000000"/>
      <w:kern w:val="0"/>
      <w:lang w:eastAsia="de-DE" w:bidi="en-US"/>
    </w:rPr>
  </w:style>
  <w:style w:type="paragraph" w:customStyle="1" w:styleId="MDPI43tablefooter">
    <w:name w:val="MDPI_4.3_table_footer"/>
    <w:basedOn w:val="MDPI41tablecaption"/>
    <w:next w:val="MDPI31text"/>
    <w:qFormat/>
    <w:rsid w:val="00B65A10"/>
    <w:pPr>
      <w:spacing w:before="0"/>
      <w:ind w:left="0" w:right="0"/>
    </w:pPr>
  </w:style>
  <w:style w:type="paragraph" w:customStyle="1" w:styleId="MDPI51figurecaption">
    <w:name w:val="MDPI_5.1_figure_caption"/>
    <w:basedOn w:val="MDPI62Acknowledgments"/>
    <w:qFormat/>
    <w:rsid w:val="003B4E63"/>
    <w:pPr>
      <w:spacing w:after="240" w:line="260" w:lineRule="atLeast"/>
      <w:ind w:left="425" w:right="425"/>
    </w:pPr>
    <w:rPr>
      <w:snapToGrid/>
    </w:rPr>
  </w:style>
  <w:style w:type="paragraph" w:customStyle="1" w:styleId="MDPI52figure">
    <w:name w:val="MDPI_5.2_figure"/>
    <w:qFormat/>
    <w:rsid w:val="00B65A10"/>
    <w:pPr>
      <w:jc w:val="center"/>
    </w:pPr>
    <w:rPr>
      <w:rFonts w:ascii="Palatino Linotype" w:eastAsia="Times New Roman" w:hAnsi="Palatino Linotype"/>
      <w:snapToGrid w:val="0"/>
      <w:color w:val="000000"/>
      <w:kern w:val="0"/>
      <w:sz w:val="24"/>
      <w:lang w:eastAsia="de-DE" w:bidi="en-US"/>
    </w:rPr>
  </w:style>
  <w:style w:type="paragraph" w:customStyle="1" w:styleId="MDPI61Supplementary">
    <w:name w:val="MDPI_6.1_Supplementary"/>
    <w:basedOn w:val="MDPI62Acknowledgments"/>
    <w:qFormat/>
    <w:rsid w:val="00B65A10"/>
    <w:pPr>
      <w:spacing w:before="240"/>
    </w:pPr>
    <w:rPr>
      <w:lang w:eastAsia="en-US"/>
    </w:rPr>
  </w:style>
  <w:style w:type="paragraph" w:customStyle="1" w:styleId="MDPI63AuthorContributions">
    <w:name w:val="MDPI_6.3_AuthorContributions"/>
    <w:basedOn w:val="MDPI62Acknowledgments"/>
    <w:qFormat/>
    <w:rsid w:val="00B65A10"/>
    <w:rPr>
      <w:rFonts w:eastAsia="SimSun"/>
      <w:color w:val="auto"/>
      <w:lang w:eastAsia="en-US"/>
    </w:rPr>
  </w:style>
  <w:style w:type="paragraph" w:customStyle="1" w:styleId="MDPI64CoI">
    <w:name w:val="MDPI_6.4_CoI"/>
    <w:basedOn w:val="MDPI62Acknowledgments"/>
    <w:qFormat/>
    <w:rsid w:val="00B65A10"/>
  </w:style>
  <w:style w:type="paragraph" w:customStyle="1" w:styleId="MDPI72Copyright">
    <w:name w:val="MDPI_7.2_Copyright"/>
    <w:basedOn w:val="MDPI71References"/>
    <w:qFormat/>
    <w:rsid w:val="00CE10A1"/>
    <w:pPr>
      <w:numPr>
        <w:numId w:val="0"/>
      </w:numPr>
      <w:spacing w:before="400"/>
    </w:pPr>
    <w:rPr>
      <w:noProof/>
      <w:spacing w:val="-2"/>
      <w:lang w:val="en-GB" w:eastAsia="en-GB" w:bidi="ar-SA"/>
    </w:rPr>
  </w:style>
  <w:style w:type="paragraph" w:customStyle="1" w:styleId="MDPI73CopyrightImage">
    <w:name w:val="MDPI_7.3_CopyrightImage"/>
    <w:rsid w:val="003B4E63"/>
    <w:pPr>
      <w:adjustRightInd w:val="0"/>
      <w:snapToGrid w:val="0"/>
      <w:spacing w:after="100"/>
      <w:jc w:val="right"/>
    </w:pPr>
    <w:rPr>
      <w:rFonts w:eastAsia="Times New Roman" w:cs="Times New Roman"/>
      <w:color w:val="000000"/>
      <w:kern w:val="0"/>
      <w:lang w:eastAsia="de-CH"/>
    </w:rPr>
  </w:style>
  <w:style w:type="paragraph" w:customStyle="1" w:styleId="MDPI81theorem">
    <w:name w:val="MDPI_8.1_theorem"/>
    <w:basedOn w:val="MDPI32textnoindent"/>
    <w:qFormat/>
    <w:rsid w:val="00B65A10"/>
    <w:rPr>
      <w:i/>
    </w:rPr>
  </w:style>
  <w:style w:type="paragraph" w:customStyle="1" w:styleId="MDPI82proof">
    <w:name w:val="MDPI_8.2_proof"/>
    <w:basedOn w:val="MDPI32textnoindent"/>
    <w:qFormat/>
    <w:rsid w:val="00CF28B7"/>
  </w:style>
  <w:style w:type="paragraph" w:customStyle="1" w:styleId="MDPIfooter">
    <w:name w:val="MDPI_footer"/>
    <w:qFormat/>
    <w:rsid w:val="003B4E63"/>
    <w:pPr>
      <w:adjustRightInd w:val="0"/>
      <w:snapToGrid w:val="0"/>
      <w:spacing w:before="120"/>
      <w:jc w:val="center"/>
    </w:pPr>
    <w:rPr>
      <w:rFonts w:ascii="Palatino Linotype" w:eastAsia="Times New Roman" w:hAnsi="Palatino Linotype" w:cs="Times New Roman"/>
      <w:kern w:val="0"/>
      <w:lang w:eastAsia="de-DE"/>
    </w:rPr>
  </w:style>
  <w:style w:type="paragraph" w:customStyle="1" w:styleId="MDPIfooterfirstpage">
    <w:name w:val="MDPI_footer_firstpage"/>
    <w:basedOn w:val="MDPIfooter"/>
    <w:qFormat/>
    <w:rsid w:val="002220D5"/>
    <w:pPr>
      <w:tabs>
        <w:tab w:val="right" w:pos="8845"/>
      </w:tabs>
      <w:spacing w:line="160" w:lineRule="exact"/>
      <w:jc w:val="left"/>
    </w:pPr>
    <w:rPr>
      <w:sz w:val="16"/>
    </w:rPr>
  </w:style>
  <w:style w:type="paragraph" w:customStyle="1" w:styleId="MDPI31text">
    <w:name w:val="MDPI_3.1_text"/>
    <w:link w:val="MDPI31textChar"/>
    <w:qFormat/>
    <w:rsid w:val="003B4E63"/>
    <w:pPr>
      <w:adjustRightInd w:val="0"/>
      <w:snapToGrid w:val="0"/>
      <w:spacing w:line="260" w:lineRule="atLeast"/>
      <w:ind w:firstLine="425"/>
      <w:jc w:val="both"/>
    </w:pPr>
    <w:rPr>
      <w:rFonts w:ascii="Palatino Linotype" w:eastAsia="Times New Roman" w:hAnsi="Palatino Linotype" w:cs="Times New Roman"/>
      <w:snapToGrid w:val="0"/>
      <w:color w:val="000000"/>
      <w:kern w:val="0"/>
      <w:szCs w:val="22"/>
      <w:lang w:eastAsia="de-DE" w:bidi="en-US"/>
    </w:rPr>
  </w:style>
  <w:style w:type="paragraph" w:customStyle="1" w:styleId="MDPI23heading3">
    <w:name w:val="MDPI_2.3_heading3"/>
    <w:basedOn w:val="MDPI31text"/>
    <w:link w:val="MDPI23heading3Char"/>
    <w:qFormat/>
    <w:rsid w:val="004B664F"/>
    <w:pPr>
      <w:spacing w:before="240" w:after="120"/>
      <w:ind w:firstLine="0"/>
      <w:jc w:val="left"/>
      <w:outlineLvl w:val="2"/>
    </w:pPr>
  </w:style>
  <w:style w:type="paragraph" w:customStyle="1" w:styleId="MDPI21heading1">
    <w:name w:val="MDPI_2.1_heading1"/>
    <w:basedOn w:val="MDPI23heading3"/>
    <w:link w:val="MDPI21heading1Char"/>
    <w:qFormat/>
    <w:rsid w:val="004B664F"/>
    <w:pPr>
      <w:outlineLvl w:val="0"/>
    </w:pPr>
    <w:rPr>
      <w:b/>
    </w:rPr>
  </w:style>
  <w:style w:type="paragraph" w:customStyle="1" w:styleId="MDPI22heading2">
    <w:name w:val="MDPI_2.2_heading2"/>
    <w:basedOn w:val="MDPItext"/>
    <w:qFormat/>
    <w:rsid w:val="004B664F"/>
    <w:pPr>
      <w:spacing w:before="240" w:after="120" w:line="260" w:lineRule="atLeast"/>
      <w:ind w:left="0" w:right="0" w:firstLine="0"/>
      <w:jc w:val="left"/>
      <w:outlineLvl w:val="1"/>
    </w:pPr>
    <w:rPr>
      <w:rFonts w:ascii="Palatino Linotype" w:hAnsi="Palatino Linotype"/>
      <w:i/>
      <w:sz w:val="20"/>
    </w:rPr>
  </w:style>
  <w:style w:type="paragraph" w:customStyle="1" w:styleId="MDPI71References">
    <w:name w:val="MDPI_7.1_References"/>
    <w:basedOn w:val="MDPI62Acknowledgments"/>
    <w:qFormat/>
    <w:rsid w:val="004C71C5"/>
    <w:pPr>
      <w:numPr>
        <w:numId w:val="3"/>
      </w:numPr>
      <w:spacing w:before="0" w:line="260" w:lineRule="atLeast"/>
      <w:ind w:left="425" w:hanging="425"/>
    </w:pPr>
  </w:style>
  <w:style w:type="paragraph" w:customStyle="1" w:styleId="MDPIheadermdpilogo">
    <w:name w:val="MDPI_header_mdpi_logo"/>
    <w:qFormat/>
    <w:rsid w:val="003B4E63"/>
    <w:pPr>
      <w:adjustRightInd w:val="0"/>
      <w:snapToGrid w:val="0"/>
      <w:jc w:val="right"/>
    </w:pPr>
    <w:rPr>
      <w:rFonts w:ascii="Palatino Linotype" w:eastAsia="Times New Roman" w:hAnsi="Palatino Linotype" w:cs="Times New Roman"/>
      <w:color w:val="000000"/>
      <w:kern w:val="0"/>
      <w:sz w:val="24"/>
      <w:szCs w:val="22"/>
      <w:lang w:eastAsia="de-CH"/>
    </w:rPr>
  </w:style>
  <w:style w:type="paragraph" w:customStyle="1" w:styleId="MDPI411onetablecaption">
    <w:name w:val="MDPI_4.1.1_one_table_caption"/>
    <w:basedOn w:val="Normal"/>
    <w:qFormat/>
    <w:rsid w:val="009136F9"/>
    <w:pPr>
      <w:adjustRightInd w:val="0"/>
      <w:snapToGrid w:val="0"/>
      <w:spacing w:before="120" w:after="240" w:line="260" w:lineRule="atLeast"/>
      <w:jc w:val="center"/>
    </w:pPr>
    <w:rPr>
      <w:rFonts w:ascii="Palatino Linotype" w:hAnsi="Palatino Linotype" w:cstheme="minorBidi"/>
      <w:sz w:val="18"/>
      <w:szCs w:val="22"/>
      <w:lang w:bidi="en-US"/>
    </w:rPr>
  </w:style>
  <w:style w:type="paragraph" w:customStyle="1" w:styleId="MDPI511onefigurecaption">
    <w:name w:val="MDPI_5.1.1_one_figure_caption"/>
    <w:basedOn w:val="Normal"/>
    <w:qFormat/>
    <w:rsid w:val="009136F9"/>
    <w:pPr>
      <w:adjustRightInd w:val="0"/>
      <w:snapToGrid w:val="0"/>
      <w:spacing w:before="120" w:after="240" w:line="260" w:lineRule="atLeast"/>
      <w:jc w:val="center"/>
    </w:pPr>
    <w:rPr>
      <w:rFonts w:ascii="Palatino Linotype" w:hAnsi="Palatino Linotype"/>
      <w:sz w:val="18"/>
      <w:lang w:bidi="en-US"/>
    </w:rPr>
  </w:style>
  <w:style w:type="paragraph" w:customStyle="1" w:styleId="MDPItext">
    <w:name w:val="MDPI_text"/>
    <w:basedOn w:val="Mdeck4text"/>
    <w:qFormat/>
    <w:rsid w:val="006C7D91"/>
    <w:pPr>
      <w:ind w:left="425" w:right="425"/>
    </w:pPr>
    <w:rPr>
      <w:noProof/>
      <w:sz w:val="22"/>
      <w:szCs w:val="22"/>
    </w:rPr>
  </w:style>
  <w:style w:type="paragraph" w:customStyle="1" w:styleId="MDPItitle">
    <w:name w:val="MDPI_title"/>
    <w:qFormat/>
    <w:rsid w:val="003B4E63"/>
    <w:pPr>
      <w:adjustRightInd w:val="0"/>
      <w:snapToGrid w:val="0"/>
      <w:spacing w:after="240"/>
    </w:pPr>
    <w:rPr>
      <w:rFonts w:eastAsia="Times New Roman" w:cs="Times New Roman"/>
      <w:b/>
      <w:snapToGrid w:val="0"/>
      <w:color w:val="000000"/>
      <w:kern w:val="0"/>
      <w:sz w:val="36"/>
      <w:lang w:eastAsia="de-DE" w:bidi="en-US"/>
    </w:rPr>
  </w:style>
  <w:style w:type="paragraph" w:customStyle="1" w:styleId="EndNoteBibliographyTitle">
    <w:name w:val="EndNote Bibliography Title"/>
    <w:basedOn w:val="Normal"/>
    <w:link w:val="EndNoteBibliographyTitleChar"/>
    <w:rsid w:val="00483D9B"/>
    <w:pPr>
      <w:jc w:val="center"/>
    </w:pPr>
    <w:rPr>
      <w:noProof/>
      <w:lang w:val="de-DE"/>
    </w:rPr>
  </w:style>
  <w:style w:type="character" w:customStyle="1" w:styleId="MDPI31textChar">
    <w:name w:val="MDPI_3.1_text Char"/>
    <w:basedOn w:val="DefaultParagraphFont"/>
    <w:link w:val="MDPI31text"/>
    <w:rsid w:val="00483D9B"/>
    <w:rPr>
      <w:rFonts w:ascii="Palatino Linotype" w:eastAsia="Times New Roman" w:hAnsi="Palatino Linotype" w:cs="Times New Roman"/>
      <w:snapToGrid w:val="0"/>
      <w:color w:val="000000"/>
      <w:kern w:val="0"/>
      <w:szCs w:val="22"/>
      <w:lang w:eastAsia="de-DE" w:bidi="en-US"/>
    </w:rPr>
  </w:style>
  <w:style w:type="character" w:customStyle="1" w:styleId="MDPI23heading3Char">
    <w:name w:val="MDPI_2.3_heading3 Char"/>
    <w:basedOn w:val="MDPI31textChar"/>
    <w:link w:val="MDPI23heading3"/>
    <w:rsid w:val="00483D9B"/>
    <w:rPr>
      <w:rFonts w:ascii="Palatino Linotype" w:eastAsia="Times New Roman" w:hAnsi="Palatino Linotype" w:cs="Times New Roman"/>
      <w:snapToGrid w:val="0"/>
      <w:color w:val="000000"/>
      <w:kern w:val="0"/>
      <w:szCs w:val="22"/>
      <w:lang w:eastAsia="de-DE" w:bidi="en-US"/>
    </w:rPr>
  </w:style>
  <w:style w:type="character" w:customStyle="1" w:styleId="MDPI21heading1Char">
    <w:name w:val="MDPI_2.1_heading1 Char"/>
    <w:basedOn w:val="MDPI23heading3Char"/>
    <w:link w:val="MDPI21heading1"/>
    <w:rsid w:val="00483D9B"/>
    <w:rPr>
      <w:rFonts w:ascii="Palatino Linotype" w:eastAsia="Times New Roman" w:hAnsi="Palatino Linotype" w:cs="Times New Roman"/>
      <w:b/>
      <w:snapToGrid w:val="0"/>
      <w:color w:val="000000"/>
      <w:kern w:val="0"/>
      <w:szCs w:val="22"/>
      <w:lang w:eastAsia="de-DE" w:bidi="en-US"/>
    </w:rPr>
  </w:style>
  <w:style w:type="character" w:customStyle="1" w:styleId="EndNoteBibliographyTitleChar">
    <w:name w:val="EndNote Bibliography Title Char"/>
    <w:basedOn w:val="MDPI21heading1Char"/>
    <w:link w:val="EndNoteBibliographyTitle"/>
    <w:rsid w:val="00483D9B"/>
    <w:rPr>
      <w:rFonts w:ascii="Palatino Linotype" w:eastAsia="Times New Roman" w:hAnsi="Palatino Linotype" w:cs="Times New Roman"/>
      <w:b w:val="0"/>
      <w:noProof/>
      <w:snapToGrid/>
      <w:color w:val="000000"/>
      <w:kern w:val="0"/>
      <w:sz w:val="24"/>
      <w:szCs w:val="22"/>
      <w:lang w:val="de-DE" w:eastAsia="de-DE" w:bidi="en-US"/>
    </w:rPr>
  </w:style>
  <w:style w:type="paragraph" w:customStyle="1" w:styleId="EndNoteBibliography">
    <w:name w:val="EndNote Bibliography"/>
    <w:basedOn w:val="Normal"/>
    <w:link w:val="EndNoteBibliographyChar"/>
    <w:rsid w:val="00483D9B"/>
    <w:pPr>
      <w:spacing w:line="240" w:lineRule="atLeast"/>
    </w:pPr>
    <w:rPr>
      <w:noProof/>
      <w:lang w:val="de-DE"/>
    </w:rPr>
  </w:style>
  <w:style w:type="character" w:customStyle="1" w:styleId="EndNoteBibliographyChar">
    <w:name w:val="EndNote Bibliography Char"/>
    <w:basedOn w:val="MDPI21heading1Char"/>
    <w:link w:val="EndNoteBibliography"/>
    <w:rsid w:val="00483D9B"/>
    <w:rPr>
      <w:rFonts w:ascii="Palatino Linotype" w:eastAsia="Times New Roman" w:hAnsi="Palatino Linotype" w:cs="Times New Roman"/>
      <w:b w:val="0"/>
      <w:noProof/>
      <w:snapToGrid/>
      <w:color w:val="000000"/>
      <w:kern w:val="0"/>
      <w:sz w:val="24"/>
      <w:szCs w:val="22"/>
      <w:lang w:val="de-DE" w:eastAsia="de-DE" w:bidi="en-US"/>
    </w:rPr>
  </w:style>
  <w:style w:type="paragraph" w:customStyle="1" w:styleId="Mdeck4ref-citation">
    <w:name w:val="M_deck_4_ref-citation"/>
    <w:basedOn w:val="BodyText"/>
    <w:qFormat/>
    <w:rsid w:val="00C51805"/>
    <w:pPr>
      <w:kinsoku w:val="0"/>
      <w:overflowPunct w:val="0"/>
      <w:autoSpaceDE w:val="0"/>
      <w:autoSpaceDN w:val="0"/>
      <w:adjustRightInd w:val="0"/>
      <w:snapToGrid w:val="0"/>
      <w:spacing w:line="320" w:lineRule="atLeast"/>
      <w:ind w:firstLine="425"/>
    </w:pPr>
    <w:rPr>
      <w:rFonts w:ascii="Palatino Linotype" w:eastAsia="Times New Roman" w:hAnsi="Palatino Linotype"/>
      <w:snapToGrid w:val="0"/>
      <w:sz w:val="20"/>
      <w:lang w:bidi="en-US"/>
    </w:rPr>
  </w:style>
  <w:style w:type="paragraph" w:customStyle="1" w:styleId="Mdeck4ref-citation-red">
    <w:name w:val="M_deck_4_ref-citation-red"/>
    <w:basedOn w:val="BodyText"/>
    <w:qFormat/>
    <w:rsid w:val="00C51805"/>
    <w:pPr>
      <w:kinsoku w:val="0"/>
      <w:overflowPunct w:val="0"/>
      <w:autoSpaceDE w:val="0"/>
      <w:autoSpaceDN w:val="0"/>
      <w:adjustRightInd w:val="0"/>
      <w:snapToGrid w:val="0"/>
      <w:spacing w:line="320" w:lineRule="atLeast"/>
      <w:ind w:firstLine="425"/>
    </w:pPr>
    <w:rPr>
      <w:rFonts w:ascii="Palatino Linotype" w:eastAsia="Times New Roman" w:hAnsi="Palatino Linotype"/>
      <w:snapToGrid w:val="0"/>
      <w:sz w:val="18"/>
      <w:lang w:bidi="en-US"/>
    </w:rPr>
  </w:style>
  <w:style w:type="paragraph" w:styleId="Revision">
    <w:name w:val="Revision"/>
    <w:hidden/>
    <w:uiPriority w:val="99"/>
    <w:semiHidden/>
    <w:rsid w:val="00546AC8"/>
    <w:rPr>
      <w:rFonts w:eastAsia="Times New Roman" w:cs="Times New Roman"/>
      <w:color w:val="000000"/>
      <w:kern w:val="0"/>
      <w:sz w:val="24"/>
      <w:lang w:eastAsia="de-DE"/>
    </w:rPr>
  </w:style>
  <w:style w:type="character" w:customStyle="1" w:styleId="UnresolvedMention1">
    <w:name w:val="Unresolved Mention1"/>
    <w:basedOn w:val="DefaultParagraphFont"/>
    <w:uiPriority w:val="99"/>
    <w:semiHidden/>
    <w:unhideWhenUsed/>
    <w:rsid w:val="008136F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12702">
      <w:bodyDiv w:val="1"/>
      <w:marLeft w:val="0"/>
      <w:marRight w:val="0"/>
      <w:marTop w:val="0"/>
      <w:marBottom w:val="0"/>
      <w:divBdr>
        <w:top w:val="none" w:sz="0" w:space="0" w:color="auto"/>
        <w:left w:val="none" w:sz="0" w:space="0" w:color="auto"/>
        <w:bottom w:val="none" w:sz="0" w:space="0" w:color="auto"/>
        <w:right w:val="none" w:sz="0" w:space="0" w:color="auto"/>
      </w:divBdr>
    </w:div>
    <w:div w:id="652683795">
      <w:bodyDiv w:val="1"/>
      <w:marLeft w:val="0"/>
      <w:marRight w:val="0"/>
      <w:marTop w:val="0"/>
      <w:marBottom w:val="0"/>
      <w:divBdr>
        <w:top w:val="none" w:sz="0" w:space="0" w:color="auto"/>
        <w:left w:val="none" w:sz="0" w:space="0" w:color="auto"/>
        <w:bottom w:val="none" w:sz="0" w:space="0" w:color="auto"/>
        <w:right w:val="none" w:sz="0" w:space="0" w:color="auto"/>
      </w:divBdr>
    </w:div>
    <w:div w:id="987515561">
      <w:bodyDiv w:val="1"/>
      <w:marLeft w:val="0"/>
      <w:marRight w:val="0"/>
      <w:marTop w:val="0"/>
      <w:marBottom w:val="0"/>
      <w:divBdr>
        <w:top w:val="none" w:sz="0" w:space="0" w:color="auto"/>
        <w:left w:val="none" w:sz="0" w:space="0" w:color="auto"/>
        <w:bottom w:val="none" w:sz="0" w:space="0" w:color="auto"/>
        <w:right w:val="none" w:sz="0" w:space="0" w:color="auto"/>
      </w:divBdr>
    </w:div>
    <w:div w:id="1564951789">
      <w:bodyDiv w:val="1"/>
      <w:marLeft w:val="0"/>
      <w:marRight w:val="0"/>
      <w:marTop w:val="0"/>
      <w:marBottom w:val="0"/>
      <w:divBdr>
        <w:top w:val="none" w:sz="0" w:space="0" w:color="auto"/>
        <w:left w:val="none" w:sz="0" w:space="0" w:color="auto"/>
        <w:bottom w:val="none" w:sz="0" w:space="0" w:color="auto"/>
        <w:right w:val="none" w:sz="0" w:space="0" w:color="auto"/>
      </w:divBdr>
    </w:div>
    <w:div w:id="1714771323">
      <w:bodyDiv w:val="1"/>
      <w:marLeft w:val="0"/>
      <w:marRight w:val="0"/>
      <w:marTop w:val="0"/>
      <w:marBottom w:val="0"/>
      <w:divBdr>
        <w:top w:val="none" w:sz="0" w:space="0" w:color="auto"/>
        <w:left w:val="none" w:sz="0" w:space="0" w:color="auto"/>
        <w:bottom w:val="none" w:sz="0" w:space="0" w:color="auto"/>
        <w:right w:val="none" w:sz="0" w:space="0" w:color="auto"/>
      </w:divBdr>
    </w:div>
    <w:div w:id="176471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ntTable" Target="fontTable.xml"/><Relationship Id="rId27" Type="http://schemas.microsoft.com/office/2016/09/relationships/commentsIds" Target="commentsIds.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iftinglog\Downloads\ijerph-template.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5B3B1-8546-4C7C-9E0A-1E1C7D2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ijerph-template</Template>
  <TotalTime>0</TotalTime>
  <Pages>18</Pages>
  <Words>8865</Words>
  <Characters>50536</Characters>
  <Application>Microsoft Office Word</Application>
  <DocSecurity>4</DocSecurity>
  <Lines>421</Lines>
  <Paragraphs>118</Paragraphs>
  <ScaleCrop>false</ScaleCrop>
  <HeadingPairs>
    <vt:vector size="2" baseType="variant">
      <vt:variant>
        <vt:lpstr>Title</vt:lpstr>
      </vt:variant>
      <vt:variant>
        <vt:i4>1</vt:i4>
      </vt:variant>
    </vt:vector>
  </HeadingPairs>
  <TitlesOfParts>
    <vt:vector size="1" baseType="lpstr">
      <vt:lpstr>Article_x000d_Food Sources of Energy and Macronutrients Intakes among Infants from 6 to 1</vt:lpstr>
    </vt:vector>
  </TitlesOfParts>
  <Company>BMSI</Company>
  <LinksUpToDate>false</LinksUpToDate>
  <CharactersWithSpaces>59283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Article_x000d_Food Sources of Energy and Macronutrients Intakes among Infants from 6 to 1</dc:title>
  <dc:creator>Shan xuan</dc:creator>
  <cp:lastModifiedBy>Karen Drake</cp:lastModifiedBy>
  <cp:revision>2</cp:revision>
  <cp:lastPrinted>2018-03-06T10:51:00Z</cp:lastPrinted>
  <dcterms:created xsi:type="dcterms:W3CDTF">2018-03-08T09:32:00Z</dcterms:created>
  <dcterms:modified xsi:type="dcterms:W3CDTF">2018-03-08T09:32:00Z</dcterms:modified>
</cp:coreProperties>
</file>