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3E551" w14:textId="77777777" w:rsidR="005178B0" w:rsidRPr="00A61228" w:rsidRDefault="005178B0" w:rsidP="002C7B49">
      <w:pPr>
        <w:jc w:val="center"/>
        <w:rPr>
          <w:rFonts w:ascii="Times New Roman" w:hAnsi="Times New Roman" w:cs="Times New Roman"/>
          <w:b/>
          <w:sz w:val="20"/>
          <w:szCs w:val="20"/>
        </w:rPr>
      </w:pPr>
      <w:r w:rsidRPr="00A61228">
        <w:rPr>
          <w:rFonts w:ascii="Times New Roman" w:hAnsi="Times New Roman" w:cs="Times New Roman"/>
          <w:b/>
          <w:sz w:val="20"/>
          <w:szCs w:val="20"/>
        </w:rPr>
        <w:t>Title page</w:t>
      </w:r>
    </w:p>
    <w:p w14:paraId="4A710C19" w14:textId="77777777" w:rsidR="005178B0" w:rsidRPr="00A61228" w:rsidRDefault="005178B0" w:rsidP="002C7B49">
      <w:pPr>
        <w:jc w:val="center"/>
        <w:rPr>
          <w:rFonts w:ascii="Times New Roman" w:hAnsi="Times New Roman" w:cs="Times New Roman"/>
          <w:b/>
          <w:sz w:val="20"/>
          <w:szCs w:val="20"/>
        </w:rPr>
      </w:pPr>
    </w:p>
    <w:p w14:paraId="6DE9F359" w14:textId="2A2E0B8C"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b/>
          <w:sz w:val="20"/>
          <w:szCs w:val="20"/>
        </w:rPr>
        <w:t xml:space="preserve">Title: </w:t>
      </w:r>
      <w:r w:rsidRPr="00A61228">
        <w:rPr>
          <w:rFonts w:ascii="Times New Roman" w:hAnsi="Times New Roman" w:cs="Times New Roman"/>
          <w:sz w:val="20"/>
          <w:szCs w:val="20"/>
        </w:rPr>
        <w:t xml:space="preserve">Development and validation of a </w:t>
      </w:r>
      <w:r>
        <w:rPr>
          <w:rFonts w:ascii="Times New Roman" w:hAnsi="Times New Roman" w:cs="Times New Roman"/>
          <w:sz w:val="20"/>
          <w:szCs w:val="20"/>
        </w:rPr>
        <w:t xml:space="preserve">hospital </w:t>
      </w:r>
      <w:r w:rsidRPr="00A61228">
        <w:rPr>
          <w:rFonts w:ascii="Times New Roman" w:hAnsi="Times New Roman" w:cs="Times New Roman"/>
          <w:sz w:val="20"/>
          <w:szCs w:val="20"/>
        </w:rPr>
        <w:t>frailty risk score focusing on older people in acute care settings using electronic hospital records</w:t>
      </w:r>
      <w:r w:rsidR="00D35E6F">
        <w:rPr>
          <w:rFonts w:ascii="Times New Roman" w:hAnsi="Times New Roman" w:cs="Times New Roman"/>
          <w:sz w:val="20"/>
          <w:szCs w:val="20"/>
        </w:rPr>
        <w:t>; a</w:t>
      </w:r>
      <w:r w:rsidR="0082238D">
        <w:rPr>
          <w:rFonts w:ascii="Times New Roman" w:hAnsi="Times New Roman" w:cs="Times New Roman"/>
          <w:sz w:val="20"/>
          <w:szCs w:val="20"/>
        </w:rPr>
        <w:t xml:space="preserve">n observational </w:t>
      </w:r>
      <w:r w:rsidR="00D35E6F">
        <w:rPr>
          <w:rFonts w:ascii="Times New Roman" w:hAnsi="Times New Roman" w:cs="Times New Roman"/>
          <w:sz w:val="20"/>
          <w:szCs w:val="20"/>
        </w:rPr>
        <w:t>study</w:t>
      </w:r>
    </w:p>
    <w:p w14:paraId="43298D20" w14:textId="531E90EA" w:rsidR="005178B0" w:rsidRDefault="005178B0" w:rsidP="002C7B49">
      <w:pPr>
        <w:rPr>
          <w:rFonts w:ascii="Times New Roman" w:hAnsi="Times New Roman" w:cs="Times New Roman"/>
          <w:sz w:val="20"/>
          <w:szCs w:val="20"/>
        </w:rPr>
      </w:pPr>
      <w:r w:rsidRPr="00A61228">
        <w:rPr>
          <w:rFonts w:ascii="Times New Roman" w:hAnsi="Times New Roman" w:cs="Times New Roman"/>
          <w:b/>
          <w:sz w:val="20"/>
          <w:szCs w:val="20"/>
        </w:rPr>
        <w:t>Authors:</w:t>
      </w:r>
      <w:r w:rsidRPr="00A61228">
        <w:rPr>
          <w:rFonts w:ascii="Times New Roman" w:hAnsi="Times New Roman" w:cs="Times New Roman"/>
          <w:sz w:val="20"/>
          <w:szCs w:val="20"/>
        </w:rPr>
        <w:t xml:space="preserve"> Thomas Gilbert MD</w:t>
      </w:r>
      <w:r w:rsidR="008228CE">
        <w:rPr>
          <w:rFonts w:ascii="Times New Roman" w:hAnsi="Times New Roman" w:cs="Times New Roman"/>
          <w:sz w:val="20"/>
          <w:szCs w:val="20"/>
        </w:rPr>
        <w:t>*</w:t>
      </w:r>
      <w:r w:rsidRPr="00A61228">
        <w:rPr>
          <w:rFonts w:ascii="Times New Roman" w:hAnsi="Times New Roman" w:cs="Times New Roman"/>
          <w:sz w:val="20"/>
          <w:szCs w:val="20"/>
        </w:rPr>
        <w:t>, Jenny Neuburger PhD</w:t>
      </w:r>
      <w:r w:rsidR="008228CE">
        <w:rPr>
          <w:rFonts w:ascii="Times New Roman" w:hAnsi="Times New Roman" w:cs="Times New Roman"/>
          <w:sz w:val="20"/>
          <w:szCs w:val="20"/>
        </w:rPr>
        <w:t>*</w:t>
      </w:r>
      <w:r w:rsidRPr="00A61228">
        <w:rPr>
          <w:rFonts w:ascii="Times New Roman" w:hAnsi="Times New Roman" w:cs="Times New Roman"/>
          <w:sz w:val="20"/>
          <w:szCs w:val="20"/>
        </w:rPr>
        <w:t>, Joshua Kraindler MSc</w:t>
      </w:r>
      <w:r w:rsidR="008228CE">
        <w:rPr>
          <w:rFonts w:ascii="Times New Roman" w:hAnsi="Times New Roman" w:cs="Times New Roman"/>
          <w:sz w:val="20"/>
          <w:szCs w:val="20"/>
        </w:rPr>
        <w:t>*</w:t>
      </w:r>
      <w:r w:rsidRPr="00A61228">
        <w:rPr>
          <w:rFonts w:ascii="Times New Roman" w:hAnsi="Times New Roman" w:cs="Times New Roman"/>
          <w:sz w:val="20"/>
          <w:szCs w:val="20"/>
        </w:rPr>
        <w:t>, Eilis Keeble</w:t>
      </w:r>
      <w:r>
        <w:rPr>
          <w:rFonts w:ascii="Times New Roman" w:hAnsi="Times New Roman" w:cs="Times New Roman"/>
          <w:sz w:val="20"/>
          <w:szCs w:val="20"/>
        </w:rPr>
        <w:t xml:space="preserve"> MSc</w:t>
      </w:r>
      <w:r w:rsidRPr="00A61228">
        <w:rPr>
          <w:rFonts w:ascii="Times New Roman" w:hAnsi="Times New Roman" w:cs="Times New Roman"/>
          <w:sz w:val="20"/>
          <w:szCs w:val="20"/>
        </w:rPr>
        <w:t>, Paul Smith</w:t>
      </w:r>
      <w:r>
        <w:rPr>
          <w:rFonts w:ascii="Times New Roman" w:hAnsi="Times New Roman" w:cs="Times New Roman"/>
          <w:sz w:val="20"/>
          <w:szCs w:val="20"/>
        </w:rPr>
        <w:t xml:space="preserve"> PhD</w:t>
      </w:r>
      <w:r w:rsidRPr="00A61228">
        <w:rPr>
          <w:rFonts w:ascii="Times New Roman" w:hAnsi="Times New Roman" w:cs="Times New Roman"/>
          <w:sz w:val="20"/>
          <w:szCs w:val="20"/>
        </w:rPr>
        <w:t>, Cono Ariti</w:t>
      </w:r>
      <w:r>
        <w:rPr>
          <w:rFonts w:ascii="Times New Roman" w:hAnsi="Times New Roman" w:cs="Times New Roman"/>
          <w:sz w:val="20"/>
          <w:szCs w:val="20"/>
        </w:rPr>
        <w:t xml:space="preserve"> MSc</w:t>
      </w:r>
      <w:r w:rsidRPr="00A61228">
        <w:rPr>
          <w:rFonts w:ascii="Times New Roman" w:hAnsi="Times New Roman" w:cs="Times New Roman"/>
          <w:sz w:val="20"/>
          <w:szCs w:val="20"/>
        </w:rPr>
        <w:t xml:space="preserve">, Sandeepa Arora PhD, </w:t>
      </w:r>
      <w:r>
        <w:rPr>
          <w:rFonts w:ascii="Times New Roman" w:hAnsi="Times New Roman" w:cs="Times New Roman"/>
          <w:sz w:val="20"/>
          <w:szCs w:val="20"/>
        </w:rPr>
        <w:t xml:space="preserve">Prof </w:t>
      </w:r>
      <w:r w:rsidRPr="00A61228">
        <w:rPr>
          <w:rFonts w:ascii="Times New Roman" w:hAnsi="Times New Roman" w:cs="Times New Roman"/>
          <w:sz w:val="20"/>
          <w:szCs w:val="20"/>
        </w:rPr>
        <w:t xml:space="preserve">Andrew Street PhD, </w:t>
      </w:r>
      <w:r>
        <w:rPr>
          <w:rFonts w:ascii="Times New Roman" w:hAnsi="Times New Roman" w:cs="Times New Roman"/>
          <w:sz w:val="20"/>
          <w:szCs w:val="20"/>
        </w:rPr>
        <w:t xml:space="preserve">Prof </w:t>
      </w:r>
      <w:r w:rsidRPr="00A61228">
        <w:rPr>
          <w:rFonts w:ascii="Times New Roman" w:hAnsi="Times New Roman" w:cs="Times New Roman"/>
          <w:sz w:val="20"/>
          <w:szCs w:val="20"/>
        </w:rPr>
        <w:t xml:space="preserve">Stuart Parker MD, </w:t>
      </w:r>
      <w:r>
        <w:rPr>
          <w:rFonts w:ascii="Times New Roman" w:hAnsi="Times New Roman" w:cs="Times New Roman"/>
          <w:sz w:val="20"/>
          <w:szCs w:val="20"/>
        </w:rPr>
        <w:t xml:space="preserve">Prof </w:t>
      </w:r>
      <w:r w:rsidRPr="00A61228">
        <w:rPr>
          <w:rFonts w:ascii="Times New Roman" w:hAnsi="Times New Roman" w:cs="Times New Roman"/>
          <w:sz w:val="20"/>
          <w:szCs w:val="20"/>
        </w:rPr>
        <w:t xml:space="preserve">Helen C Roberts PhD, Martin Bardsley PhD, </w:t>
      </w:r>
      <w:r>
        <w:rPr>
          <w:rFonts w:ascii="Times New Roman" w:hAnsi="Times New Roman" w:cs="Times New Roman"/>
          <w:sz w:val="20"/>
          <w:szCs w:val="20"/>
        </w:rPr>
        <w:t xml:space="preserve">Prof </w:t>
      </w:r>
      <w:r w:rsidRPr="00A61228">
        <w:rPr>
          <w:rFonts w:ascii="Times New Roman" w:hAnsi="Times New Roman" w:cs="Times New Roman"/>
          <w:sz w:val="20"/>
          <w:szCs w:val="20"/>
        </w:rPr>
        <w:t>Simon Conroy PhD.</w:t>
      </w:r>
    </w:p>
    <w:p w14:paraId="56AA42B7" w14:textId="1876B6A9" w:rsidR="008228CE" w:rsidRPr="00285943" w:rsidRDefault="008228CE" w:rsidP="00285943">
      <w:pPr>
        <w:rPr>
          <w:rFonts w:ascii="Times New Roman" w:hAnsi="Times New Roman" w:cs="Times New Roman"/>
          <w:sz w:val="20"/>
          <w:szCs w:val="20"/>
        </w:rPr>
      </w:pPr>
      <w:r w:rsidRPr="00285943">
        <w:rPr>
          <w:rFonts w:ascii="Times New Roman" w:hAnsi="Times New Roman" w:cs="Times New Roman"/>
          <w:sz w:val="20"/>
          <w:szCs w:val="20"/>
        </w:rPr>
        <w:t>* These authors are joint first authors</w:t>
      </w:r>
      <w:bookmarkStart w:id="0" w:name="_GoBack"/>
      <w:bookmarkEnd w:id="0"/>
    </w:p>
    <w:p w14:paraId="2C17DEC4"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b/>
          <w:sz w:val="20"/>
          <w:szCs w:val="20"/>
        </w:rPr>
        <w:t>Corresponding author:</w:t>
      </w:r>
      <w:r w:rsidRPr="00A61228">
        <w:rPr>
          <w:rFonts w:ascii="Times New Roman" w:hAnsi="Times New Roman" w:cs="Times New Roman"/>
          <w:sz w:val="20"/>
          <w:szCs w:val="20"/>
        </w:rPr>
        <w:t xml:space="preserve"> Simon Conroy; Honorary Professor of Geriatric Medicine; Department of Health Sciences, College of Life Sciences, University of Leicester, Centre for Medicine, University Road, Leicester, LE1 7RH, United Kingdom; Phone +44 (0)116 252 5992 ; E-mail: </w:t>
      </w:r>
      <w:hyperlink r:id="rId7" w:history="1">
        <w:r w:rsidRPr="00A61228">
          <w:rPr>
            <w:rStyle w:val="Hyperlink"/>
            <w:rFonts w:ascii="Times New Roman" w:hAnsi="Times New Roman" w:cs="Times New Roman"/>
            <w:sz w:val="20"/>
            <w:szCs w:val="20"/>
          </w:rPr>
          <w:t>spc3@le.ac.uk</w:t>
        </w:r>
      </w:hyperlink>
      <w:r w:rsidRPr="00A61228">
        <w:rPr>
          <w:rFonts w:ascii="Times New Roman" w:hAnsi="Times New Roman" w:cs="Times New Roman"/>
          <w:sz w:val="20"/>
          <w:szCs w:val="20"/>
        </w:rPr>
        <w:t>.</w:t>
      </w:r>
    </w:p>
    <w:p w14:paraId="2AC9CC63" w14:textId="77777777" w:rsidR="005178B0" w:rsidRPr="00A61228" w:rsidRDefault="005178B0" w:rsidP="002C7B49">
      <w:pPr>
        <w:pStyle w:val="Heading2"/>
        <w:rPr>
          <w:rFonts w:ascii="Times New Roman" w:hAnsi="Times New Roman" w:cs="Times New Roman"/>
          <w:szCs w:val="20"/>
        </w:rPr>
      </w:pPr>
    </w:p>
    <w:p w14:paraId="1AB2BADF" w14:textId="77777777" w:rsidR="005178B0" w:rsidRPr="00A61228" w:rsidRDefault="005178B0" w:rsidP="002C7B49">
      <w:pPr>
        <w:rPr>
          <w:sz w:val="20"/>
          <w:szCs w:val="20"/>
        </w:rPr>
      </w:pPr>
    </w:p>
    <w:p w14:paraId="55B7CCBC" w14:textId="77777777" w:rsidR="005178B0" w:rsidRPr="00A61228" w:rsidRDefault="005178B0" w:rsidP="002C7B49">
      <w:pPr>
        <w:rPr>
          <w:sz w:val="20"/>
          <w:szCs w:val="20"/>
        </w:rPr>
      </w:pPr>
    </w:p>
    <w:p w14:paraId="07362C54" w14:textId="77777777" w:rsidR="005178B0" w:rsidRPr="00A61228" w:rsidRDefault="005178B0" w:rsidP="002C7B49">
      <w:pPr>
        <w:rPr>
          <w:sz w:val="20"/>
          <w:szCs w:val="20"/>
        </w:rPr>
      </w:pPr>
    </w:p>
    <w:p w14:paraId="444F58CC" w14:textId="77777777" w:rsidR="005178B0" w:rsidRPr="00A61228" w:rsidRDefault="005178B0" w:rsidP="002C7B49">
      <w:pPr>
        <w:rPr>
          <w:sz w:val="20"/>
          <w:szCs w:val="20"/>
        </w:rPr>
      </w:pPr>
    </w:p>
    <w:p w14:paraId="330E727C" w14:textId="77777777" w:rsidR="005178B0" w:rsidRPr="00A61228" w:rsidRDefault="005178B0" w:rsidP="002C7B49">
      <w:pPr>
        <w:rPr>
          <w:sz w:val="20"/>
          <w:szCs w:val="20"/>
        </w:rPr>
      </w:pPr>
    </w:p>
    <w:p w14:paraId="4C4AD9DC" w14:textId="77777777" w:rsidR="005178B0" w:rsidRPr="00A61228" w:rsidRDefault="005178B0" w:rsidP="002C7B49">
      <w:pPr>
        <w:rPr>
          <w:sz w:val="20"/>
          <w:szCs w:val="20"/>
        </w:rPr>
      </w:pPr>
    </w:p>
    <w:p w14:paraId="6E94AC74" w14:textId="77777777" w:rsidR="005178B0" w:rsidRPr="00A61228" w:rsidRDefault="005178B0" w:rsidP="002C7B49">
      <w:pPr>
        <w:rPr>
          <w:sz w:val="20"/>
          <w:szCs w:val="20"/>
        </w:rPr>
      </w:pPr>
    </w:p>
    <w:p w14:paraId="58A8CEAF" w14:textId="77777777" w:rsidR="005178B0" w:rsidRPr="00A61228" w:rsidRDefault="005178B0" w:rsidP="002C7B49">
      <w:pPr>
        <w:rPr>
          <w:sz w:val="20"/>
          <w:szCs w:val="20"/>
        </w:rPr>
      </w:pPr>
    </w:p>
    <w:p w14:paraId="5F0DE2D1" w14:textId="77777777" w:rsidR="005178B0" w:rsidRPr="00A61228" w:rsidRDefault="005178B0" w:rsidP="002C7B49">
      <w:pPr>
        <w:rPr>
          <w:sz w:val="20"/>
          <w:szCs w:val="20"/>
        </w:rPr>
      </w:pPr>
    </w:p>
    <w:p w14:paraId="32C36490" w14:textId="77777777" w:rsidR="005178B0" w:rsidRPr="00A61228" w:rsidRDefault="005178B0" w:rsidP="002C7B49">
      <w:pPr>
        <w:tabs>
          <w:tab w:val="center" w:pos="4513"/>
        </w:tabs>
        <w:rPr>
          <w:sz w:val="20"/>
          <w:szCs w:val="20"/>
        </w:rPr>
        <w:sectPr w:rsidR="005178B0" w:rsidRPr="00A61228">
          <w:footerReference w:type="default" r:id="rId8"/>
          <w:pgSz w:w="11906" w:h="16838"/>
          <w:pgMar w:top="1440" w:right="1440" w:bottom="1440" w:left="1440" w:header="708" w:footer="708" w:gutter="0"/>
          <w:cols w:space="708"/>
          <w:docGrid w:linePitch="360"/>
        </w:sectPr>
      </w:pPr>
      <w:r w:rsidRPr="00A61228">
        <w:rPr>
          <w:sz w:val="20"/>
          <w:szCs w:val="20"/>
        </w:rPr>
        <w:tab/>
      </w:r>
    </w:p>
    <w:p w14:paraId="0CF5ACBA" w14:textId="48A32013" w:rsidR="005178B0" w:rsidRPr="00A61228" w:rsidRDefault="005178B0" w:rsidP="002C7B49">
      <w:pPr>
        <w:rPr>
          <w:rFonts w:ascii="Times New Roman" w:hAnsi="Times New Roman" w:cs="Times New Roman"/>
          <w:b/>
          <w:sz w:val="20"/>
          <w:szCs w:val="20"/>
        </w:rPr>
      </w:pPr>
      <w:r w:rsidRPr="00A61228">
        <w:rPr>
          <w:rFonts w:ascii="Times New Roman" w:hAnsi="Times New Roman" w:cs="Times New Roman"/>
          <w:b/>
          <w:sz w:val="20"/>
          <w:szCs w:val="20"/>
        </w:rPr>
        <w:lastRenderedPageBreak/>
        <w:t>Summary</w:t>
      </w:r>
      <w:r>
        <w:rPr>
          <w:rFonts w:ascii="Times New Roman" w:hAnsi="Times New Roman" w:cs="Times New Roman"/>
          <w:b/>
          <w:sz w:val="20"/>
          <w:szCs w:val="20"/>
        </w:rPr>
        <w:t xml:space="preserve"> (n=</w:t>
      </w:r>
      <w:r w:rsidR="005B447C">
        <w:rPr>
          <w:rFonts w:ascii="Times New Roman" w:hAnsi="Times New Roman" w:cs="Times New Roman"/>
          <w:b/>
          <w:sz w:val="20"/>
          <w:szCs w:val="20"/>
        </w:rPr>
        <w:t>291 including funding statement</w:t>
      </w:r>
      <w:r>
        <w:rPr>
          <w:rFonts w:ascii="Times New Roman" w:hAnsi="Times New Roman" w:cs="Times New Roman"/>
          <w:b/>
          <w:sz w:val="20"/>
          <w:szCs w:val="20"/>
        </w:rPr>
        <w:t>)</w:t>
      </w:r>
    </w:p>
    <w:p w14:paraId="47F008D4"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Background: Older people are increasing users of healthcare globally; the aim of this study was to determine if older people with characteristics of frailty and at risk of adverse </w:t>
      </w:r>
      <w:r>
        <w:rPr>
          <w:rFonts w:ascii="Times New Roman" w:hAnsi="Times New Roman" w:cs="Times New Roman"/>
          <w:sz w:val="20"/>
          <w:szCs w:val="20"/>
        </w:rPr>
        <w:t xml:space="preserve">healthcare </w:t>
      </w:r>
      <w:r w:rsidRPr="00A61228">
        <w:rPr>
          <w:rFonts w:ascii="Times New Roman" w:hAnsi="Times New Roman" w:cs="Times New Roman"/>
          <w:sz w:val="20"/>
          <w:szCs w:val="20"/>
        </w:rPr>
        <w:t>outcomes could be identified using routinely collected data.</w:t>
      </w:r>
    </w:p>
    <w:p w14:paraId="5E8F7BC4"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Methods: A three-step approach was used to develop and validate a </w:t>
      </w:r>
      <w:r>
        <w:rPr>
          <w:rFonts w:ascii="Times New Roman" w:hAnsi="Times New Roman" w:cs="Times New Roman"/>
          <w:sz w:val="20"/>
          <w:szCs w:val="20"/>
        </w:rPr>
        <w:t xml:space="preserve">Hospital Frailty Risk Score </w:t>
      </w:r>
      <w:r w:rsidRPr="00A61228">
        <w:rPr>
          <w:rFonts w:ascii="Times New Roman" w:hAnsi="Times New Roman" w:cs="Times New Roman"/>
          <w:sz w:val="20"/>
          <w:szCs w:val="20"/>
        </w:rPr>
        <w:t>from ICD-10 diagnostic codes. First, we carried out a cluster analysis to identify a group of hospitalised older people (75 years+) with high resource use and diagnoses associated with frailty. Second, we created a Hospital Frailty Risk Score based on ICD-10 codes that characterised this group. Third, in separate cohorts, we tested how well the score predicted adverse outcomes, and whether it identified similar groups as other</w:t>
      </w:r>
      <w:r w:rsidRPr="00A61228" w:rsidDel="00E47620">
        <w:rPr>
          <w:rFonts w:ascii="Times New Roman" w:hAnsi="Times New Roman" w:cs="Times New Roman"/>
          <w:sz w:val="20"/>
          <w:szCs w:val="20"/>
        </w:rPr>
        <w:t xml:space="preserve"> </w:t>
      </w:r>
      <w:r w:rsidRPr="00A61228">
        <w:rPr>
          <w:rFonts w:ascii="Times New Roman" w:hAnsi="Times New Roman" w:cs="Times New Roman"/>
          <w:sz w:val="20"/>
          <w:szCs w:val="20"/>
        </w:rPr>
        <w:t xml:space="preserve">frailty tools.  </w:t>
      </w:r>
    </w:p>
    <w:p w14:paraId="418BE45F"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Findings: In the development cohort (n = 22,139), older people with frailty diagnoses formed a distinct group, and had higher non-elective hospital use. In a national validation cohort (n = 1,013,590), compared to patients with the lowest 40%, patients with the highest 20% of Hospital Frailty Risk Scores had increased odds of 30-day mortality (odds ratio 1·71, 95% confidence interval 1·68 to 1·75), long length of stay (OR 6·03, 95% CI 5·92 to 6·10) and 30-day readmission (OR 1·48, 95% CI 1·46 to 1·50). Model discrimination (c-statistic) between individuals for these three outcomes was 0·60, 0·68 and 0·56, respectively. The Hospital Frailty Risk Score exhibited </w:t>
      </w:r>
      <w:r>
        <w:rPr>
          <w:rFonts w:ascii="Times New Roman" w:hAnsi="Times New Roman" w:cs="Times New Roman"/>
          <w:sz w:val="20"/>
          <w:szCs w:val="20"/>
        </w:rPr>
        <w:t>fair or moderate</w:t>
      </w:r>
      <w:r w:rsidRPr="00A61228">
        <w:rPr>
          <w:rFonts w:ascii="Times New Roman" w:hAnsi="Times New Roman" w:cs="Times New Roman"/>
          <w:sz w:val="20"/>
          <w:szCs w:val="20"/>
        </w:rPr>
        <w:t xml:space="preserve"> overlap in the identification of frailty with the Fried </w:t>
      </w:r>
      <w:r>
        <w:rPr>
          <w:rFonts w:ascii="Times New Roman" w:hAnsi="Times New Roman" w:cs="Times New Roman"/>
          <w:sz w:val="20"/>
          <w:szCs w:val="20"/>
        </w:rPr>
        <w:t>or</w:t>
      </w:r>
      <w:r w:rsidRPr="00A61228">
        <w:rPr>
          <w:rFonts w:ascii="Times New Roman" w:hAnsi="Times New Roman" w:cs="Times New Roman"/>
          <w:sz w:val="20"/>
          <w:szCs w:val="20"/>
        </w:rPr>
        <w:t xml:space="preserve"> Rockwood frailty scales</w:t>
      </w:r>
      <w:r>
        <w:rPr>
          <w:rFonts w:ascii="Times New Roman" w:hAnsi="Times New Roman" w:cs="Times New Roman"/>
          <w:sz w:val="20"/>
          <w:szCs w:val="20"/>
        </w:rPr>
        <w:t xml:space="preserve"> respectively</w:t>
      </w:r>
      <w:r w:rsidRPr="00A61228">
        <w:rPr>
          <w:rFonts w:ascii="Times New Roman" w:hAnsi="Times New Roman" w:cs="Times New Roman"/>
          <w:sz w:val="20"/>
          <w:szCs w:val="20"/>
        </w:rPr>
        <w:t>.</w:t>
      </w:r>
    </w:p>
    <w:p w14:paraId="2EC4E602"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Interpretation: </w:t>
      </w:r>
      <w:r w:rsidRPr="00A61228">
        <w:rPr>
          <w:rFonts w:ascii="Times New Roman" w:hAnsi="Times New Roman" w:cs="Times New Roman"/>
          <w:bCs/>
          <w:iCs/>
          <w:sz w:val="20"/>
          <w:szCs w:val="20"/>
        </w:rPr>
        <w:t xml:space="preserve">The Hospital Frailty Risk Score provides hospitals </w:t>
      </w:r>
      <w:r>
        <w:rPr>
          <w:rFonts w:ascii="Times New Roman" w:hAnsi="Times New Roman" w:cs="Times New Roman"/>
          <w:bCs/>
          <w:iCs/>
          <w:sz w:val="20"/>
          <w:szCs w:val="20"/>
        </w:rPr>
        <w:t xml:space="preserve">and health systems </w:t>
      </w:r>
      <w:r w:rsidRPr="00A61228">
        <w:rPr>
          <w:rFonts w:ascii="Times New Roman" w:hAnsi="Times New Roman" w:cs="Times New Roman"/>
          <w:bCs/>
          <w:iCs/>
          <w:sz w:val="20"/>
          <w:szCs w:val="20"/>
        </w:rPr>
        <w:t>with a</w:t>
      </w:r>
      <w:r>
        <w:rPr>
          <w:rFonts w:ascii="Times New Roman" w:hAnsi="Times New Roman" w:cs="Times New Roman"/>
          <w:bCs/>
          <w:iCs/>
          <w:sz w:val="20"/>
          <w:szCs w:val="20"/>
        </w:rPr>
        <w:t xml:space="preserve"> low cost</w:t>
      </w:r>
      <w:r w:rsidRPr="00A61228">
        <w:rPr>
          <w:rFonts w:ascii="Times New Roman" w:hAnsi="Times New Roman" w:cs="Times New Roman"/>
          <w:bCs/>
          <w:iCs/>
          <w:sz w:val="20"/>
          <w:szCs w:val="20"/>
        </w:rPr>
        <w:t>, systematic way to screen for frailty, identifying a group of</w:t>
      </w:r>
      <w:r>
        <w:rPr>
          <w:rFonts w:ascii="Times New Roman" w:hAnsi="Times New Roman" w:cs="Times New Roman"/>
          <w:bCs/>
          <w:iCs/>
          <w:sz w:val="20"/>
          <w:szCs w:val="20"/>
        </w:rPr>
        <w:t xml:space="preserve"> hospitalised</w:t>
      </w:r>
      <w:r w:rsidRPr="00A61228">
        <w:rPr>
          <w:rFonts w:ascii="Times New Roman" w:hAnsi="Times New Roman" w:cs="Times New Roman"/>
          <w:bCs/>
          <w:iCs/>
          <w:sz w:val="20"/>
          <w:szCs w:val="20"/>
        </w:rPr>
        <w:t xml:space="preserve"> patients at greater risk of adverse outcomes for whom a frailty-attuned approach might be useful.</w:t>
      </w:r>
    </w:p>
    <w:p w14:paraId="52B897DE"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Funding: </w:t>
      </w:r>
      <w:r w:rsidRPr="00A61228">
        <w:rPr>
          <w:rFonts w:ascii="Times New Roman" w:hAnsi="Times New Roman" w:cs="Times New Roman"/>
          <w:color w:val="000000" w:themeColor="text1"/>
          <w:sz w:val="20"/>
          <w:szCs w:val="20"/>
        </w:rPr>
        <w:t>National Institute for Health Research.</w:t>
      </w:r>
    </w:p>
    <w:p w14:paraId="0EA701E2" w14:textId="77777777" w:rsidR="005178B0" w:rsidRPr="00A61228" w:rsidRDefault="005178B0" w:rsidP="002C7B49">
      <w:pPr>
        <w:rPr>
          <w:rFonts w:ascii="Times New Roman" w:hAnsi="Times New Roman" w:cs="Times New Roman"/>
          <w:b/>
          <w:sz w:val="20"/>
          <w:szCs w:val="20"/>
        </w:rPr>
      </w:pPr>
    </w:p>
    <w:p w14:paraId="37FFF399" w14:textId="77777777" w:rsidR="005178B0" w:rsidRPr="00A61228" w:rsidRDefault="005178B0" w:rsidP="002C7B49">
      <w:pPr>
        <w:rPr>
          <w:rFonts w:ascii="Times New Roman" w:hAnsi="Times New Roman" w:cs="Times New Roman"/>
          <w:sz w:val="20"/>
          <w:szCs w:val="20"/>
        </w:rPr>
      </w:pPr>
    </w:p>
    <w:p w14:paraId="71310CC5" w14:textId="77777777" w:rsidR="005178B0" w:rsidRPr="00A61228" w:rsidRDefault="005178B0">
      <w:pPr>
        <w:rPr>
          <w:rFonts w:ascii="Times New Roman" w:hAnsi="Times New Roman" w:cs="Times New Roman"/>
          <w:sz w:val="20"/>
          <w:szCs w:val="20"/>
        </w:rPr>
      </w:pPr>
    </w:p>
    <w:p w14:paraId="01C3D9C1" w14:textId="77777777" w:rsidR="005178B0" w:rsidRPr="00A61228" w:rsidRDefault="005178B0">
      <w:pPr>
        <w:rPr>
          <w:rFonts w:ascii="Times New Roman" w:hAnsi="Times New Roman" w:cs="Times New Roman"/>
          <w:sz w:val="20"/>
          <w:szCs w:val="20"/>
        </w:rPr>
      </w:pPr>
    </w:p>
    <w:p w14:paraId="51858213" w14:textId="77777777" w:rsidR="005178B0" w:rsidRPr="00A61228" w:rsidRDefault="005178B0">
      <w:pPr>
        <w:rPr>
          <w:rFonts w:ascii="Times New Roman" w:hAnsi="Times New Roman" w:cs="Times New Roman"/>
          <w:sz w:val="20"/>
          <w:szCs w:val="20"/>
        </w:rPr>
      </w:pPr>
    </w:p>
    <w:p w14:paraId="09DBFF41" w14:textId="77777777" w:rsidR="005178B0" w:rsidRPr="00A61228" w:rsidRDefault="005178B0">
      <w:pPr>
        <w:rPr>
          <w:rFonts w:ascii="Times New Roman" w:hAnsi="Times New Roman" w:cs="Times New Roman"/>
          <w:sz w:val="20"/>
          <w:szCs w:val="20"/>
        </w:rPr>
      </w:pPr>
    </w:p>
    <w:p w14:paraId="57DC1DC1" w14:textId="77777777" w:rsidR="005178B0" w:rsidRPr="00A61228" w:rsidRDefault="005178B0">
      <w:pPr>
        <w:rPr>
          <w:rFonts w:ascii="Times New Roman" w:hAnsi="Times New Roman" w:cs="Times New Roman"/>
          <w:sz w:val="20"/>
          <w:szCs w:val="20"/>
        </w:rPr>
      </w:pPr>
    </w:p>
    <w:p w14:paraId="326E5758" w14:textId="77777777" w:rsidR="005178B0" w:rsidRPr="00A61228" w:rsidRDefault="005178B0">
      <w:pPr>
        <w:rPr>
          <w:rFonts w:ascii="Times New Roman" w:hAnsi="Times New Roman" w:cs="Times New Roman"/>
          <w:sz w:val="20"/>
          <w:szCs w:val="20"/>
        </w:rPr>
      </w:pPr>
    </w:p>
    <w:p w14:paraId="4E19A9D4" w14:textId="77777777" w:rsidR="005178B0" w:rsidRPr="00A61228" w:rsidRDefault="005178B0">
      <w:pPr>
        <w:rPr>
          <w:rFonts w:ascii="Times New Roman" w:hAnsi="Times New Roman" w:cs="Times New Roman"/>
          <w:sz w:val="20"/>
          <w:szCs w:val="20"/>
        </w:rPr>
      </w:pPr>
    </w:p>
    <w:p w14:paraId="49950235" w14:textId="77777777" w:rsidR="005178B0" w:rsidRPr="00A61228" w:rsidRDefault="005178B0">
      <w:pPr>
        <w:rPr>
          <w:rFonts w:ascii="Times New Roman" w:hAnsi="Times New Roman" w:cs="Times New Roman"/>
          <w:sz w:val="20"/>
          <w:szCs w:val="20"/>
        </w:rPr>
      </w:pPr>
    </w:p>
    <w:p w14:paraId="74827D13" w14:textId="77777777" w:rsidR="005178B0" w:rsidRPr="00A61228" w:rsidRDefault="005178B0">
      <w:pPr>
        <w:rPr>
          <w:rFonts w:ascii="Times New Roman" w:hAnsi="Times New Roman" w:cs="Times New Roman"/>
          <w:sz w:val="20"/>
          <w:szCs w:val="20"/>
        </w:rPr>
      </w:pPr>
    </w:p>
    <w:p w14:paraId="4D05293A" w14:textId="77777777" w:rsidR="005178B0" w:rsidRPr="00A61228" w:rsidRDefault="005178B0">
      <w:pPr>
        <w:rPr>
          <w:rFonts w:ascii="Times New Roman" w:hAnsi="Times New Roman" w:cs="Times New Roman"/>
          <w:sz w:val="20"/>
          <w:szCs w:val="20"/>
        </w:rPr>
      </w:pPr>
    </w:p>
    <w:p w14:paraId="5A0B827E" w14:textId="77777777" w:rsidR="005178B0" w:rsidRPr="00A61228" w:rsidRDefault="005178B0" w:rsidP="002C7B49">
      <w:pPr>
        <w:tabs>
          <w:tab w:val="left" w:pos="1212"/>
        </w:tabs>
        <w:rPr>
          <w:rFonts w:ascii="Times New Roman" w:hAnsi="Times New Roman" w:cs="Times New Roman"/>
          <w:sz w:val="20"/>
          <w:szCs w:val="20"/>
        </w:rPr>
      </w:pPr>
      <w:r w:rsidRPr="00A61228">
        <w:rPr>
          <w:rFonts w:ascii="Times New Roman" w:hAnsi="Times New Roman" w:cs="Times New Roman"/>
          <w:sz w:val="20"/>
          <w:szCs w:val="20"/>
        </w:rPr>
        <w:tab/>
      </w:r>
    </w:p>
    <w:p w14:paraId="0699EF3F" w14:textId="77777777" w:rsidR="005178B0" w:rsidRPr="00A61228" w:rsidRDefault="005178B0" w:rsidP="002C7B49">
      <w:pPr>
        <w:tabs>
          <w:tab w:val="left" w:pos="1212"/>
        </w:tabs>
        <w:rPr>
          <w:rFonts w:ascii="Times New Roman" w:hAnsi="Times New Roman" w:cs="Times New Roman"/>
          <w:sz w:val="20"/>
          <w:szCs w:val="20"/>
        </w:rPr>
        <w:sectPr w:rsidR="005178B0" w:rsidRPr="00A61228">
          <w:pgSz w:w="11906" w:h="16838"/>
          <w:pgMar w:top="1440" w:right="1440" w:bottom="1440" w:left="1440" w:header="708" w:footer="708" w:gutter="0"/>
          <w:cols w:space="708"/>
          <w:docGrid w:linePitch="360"/>
        </w:sectPr>
      </w:pPr>
      <w:r w:rsidRPr="00A61228">
        <w:rPr>
          <w:rFonts w:ascii="Times New Roman" w:hAnsi="Times New Roman" w:cs="Times New Roman"/>
          <w:sz w:val="20"/>
          <w:szCs w:val="20"/>
        </w:rPr>
        <w:tab/>
      </w:r>
    </w:p>
    <w:p w14:paraId="5A7C04B3" w14:textId="77777777" w:rsidR="005178B0" w:rsidRPr="00A61228" w:rsidRDefault="005178B0" w:rsidP="002C7B49">
      <w:pPr>
        <w:pBdr>
          <w:top w:val="single" w:sz="4" w:space="0" w:color="auto"/>
          <w:left w:val="single" w:sz="4" w:space="4" w:color="auto"/>
          <w:bottom w:val="single" w:sz="4" w:space="1" w:color="auto"/>
          <w:right w:val="single" w:sz="4" w:space="4" w:color="auto"/>
        </w:pBdr>
        <w:rPr>
          <w:rFonts w:ascii="Times New Roman" w:hAnsi="Times New Roman" w:cs="Times New Roman"/>
          <w:b/>
          <w:sz w:val="20"/>
          <w:szCs w:val="20"/>
        </w:rPr>
      </w:pPr>
      <w:r w:rsidRPr="00A61228">
        <w:rPr>
          <w:rFonts w:ascii="Times New Roman" w:hAnsi="Times New Roman" w:cs="Times New Roman"/>
          <w:b/>
          <w:sz w:val="20"/>
          <w:szCs w:val="20"/>
        </w:rPr>
        <w:lastRenderedPageBreak/>
        <w:t>Putting research into context</w:t>
      </w:r>
    </w:p>
    <w:p w14:paraId="62CD256F" w14:textId="77777777" w:rsidR="005178B0" w:rsidRPr="00A61228" w:rsidRDefault="005178B0" w:rsidP="002C7B49">
      <w:pPr>
        <w:pBdr>
          <w:top w:val="single" w:sz="4" w:space="0" w:color="auto"/>
          <w:left w:val="single" w:sz="4" w:space="4" w:color="auto"/>
          <w:bottom w:val="single" w:sz="4" w:space="1" w:color="auto"/>
          <w:right w:val="single" w:sz="4" w:space="4" w:color="auto"/>
        </w:pBdr>
        <w:rPr>
          <w:rFonts w:ascii="Times New Roman" w:hAnsi="Times New Roman" w:cs="Times New Roman"/>
          <w:i/>
          <w:sz w:val="20"/>
          <w:szCs w:val="20"/>
        </w:rPr>
      </w:pPr>
      <w:r w:rsidRPr="00A61228">
        <w:rPr>
          <w:rFonts w:ascii="Times New Roman" w:hAnsi="Times New Roman" w:cs="Times New Roman"/>
          <w:i/>
          <w:sz w:val="20"/>
          <w:szCs w:val="20"/>
        </w:rPr>
        <w:t>Evidence before this study</w:t>
      </w:r>
    </w:p>
    <w:p w14:paraId="73220E6E" w14:textId="7A8C4FD9" w:rsidR="005178B0" w:rsidRPr="00A61228" w:rsidRDefault="005178B0" w:rsidP="00546B47">
      <w:pPr>
        <w:pBdr>
          <w:top w:val="single" w:sz="4" w:space="0" w:color="auto"/>
          <w:left w:val="single" w:sz="4" w:space="4" w:color="auto"/>
          <w:bottom w:val="single" w:sz="4" w:space="1" w:color="auto"/>
          <w:right w:val="single" w:sz="4" w:space="4" w:color="auto"/>
        </w:pBdr>
        <w:rPr>
          <w:rFonts w:ascii="Times New Roman" w:hAnsi="Times New Roman" w:cs="Times New Roman"/>
          <w:sz w:val="20"/>
          <w:szCs w:val="20"/>
        </w:rPr>
      </w:pPr>
      <w:r w:rsidRPr="00A61228">
        <w:rPr>
          <w:rFonts w:ascii="Times New Roman" w:hAnsi="Times New Roman" w:cs="Times New Roman"/>
          <w:sz w:val="20"/>
          <w:szCs w:val="20"/>
        </w:rPr>
        <w:t xml:space="preserve">Frailty is associated with adverse clinical outcomes (e.g. delirium and functional decline) in older people admitted to hospital. </w:t>
      </w:r>
      <w:r w:rsidR="00546B47">
        <w:rPr>
          <w:rFonts w:ascii="Times New Roman" w:hAnsi="Times New Roman" w:cs="Times New Roman"/>
          <w:sz w:val="20"/>
          <w:szCs w:val="20"/>
        </w:rPr>
        <w:t xml:space="preserve">In preparing for this work, we </w:t>
      </w:r>
      <w:r w:rsidR="00546B47" w:rsidRPr="00546B47">
        <w:rPr>
          <w:rFonts w:ascii="Times New Roman" w:hAnsi="Times New Roman" w:cs="Times New Roman"/>
          <w:sz w:val="20"/>
          <w:szCs w:val="20"/>
          <w:lang w:val="en"/>
        </w:rPr>
        <w:t xml:space="preserve">searched for systematic reviews and meta-analyses describing </w:t>
      </w:r>
      <w:r w:rsidR="00CD0642">
        <w:rPr>
          <w:rFonts w:ascii="Times New Roman" w:hAnsi="Times New Roman" w:cs="Times New Roman"/>
          <w:sz w:val="20"/>
          <w:szCs w:val="20"/>
          <w:lang w:val="en"/>
        </w:rPr>
        <w:t>acute hospital ser</w:t>
      </w:r>
      <w:r w:rsidR="00546B47" w:rsidRPr="00546B47">
        <w:rPr>
          <w:rFonts w:ascii="Times New Roman" w:hAnsi="Times New Roman" w:cs="Times New Roman"/>
          <w:sz w:val="20"/>
          <w:szCs w:val="20"/>
          <w:lang w:val="en"/>
        </w:rPr>
        <w:t>vices in the Cochrane Database of Systematic Reviews, Database of Reviews of Effectiveness (DARE), MEDLINE and EMBASE and a range of other sources</w:t>
      </w:r>
      <w:r w:rsidR="00546B47">
        <w:rPr>
          <w:rFonts w:ascii="Times New Roman" w:hAnsi="Times New Roman" w:cs="Times New Roman"/>
          <w:sz w:val="20"/>
          <w:szCs w:val="20"/>
          <w:lang w:val="en"/>
        </w:rPr>
        <w:t xml:space="preserve"> </w:t>
      </w:r>
      <w:r w:rsidR="00546B47" w:rsidRPr="00546B47">
        <w:rPr>
          <w:rFonts w:ascii="Times New Roman" w:hAnsi="Times New Roman" w:cs="Times New Roman"/>
          <w:sz w:val="20"/>
          <w:szCs w:val="20"/>
          <w:lang w:val="en"/>
        </w:rPr>
        <w:t>from 2005 to February 2017</w:t>
      </w:r>
      <w:r w:rsidR="00546B47">
        <w:rPr>
          <w:rFonts w:ascii="Times New Roman" w:hAnsi="Times New Roman" w:cs="Times New Roman"/>
          <w:sz w:val="20"/>
          <w:szCs w:val="20"/>
          <w:lang w:val="en"/>
        </w:rPr>
        <w:t>.</w:t>
      </w:r>
      <w:r w:rsidR="00546B47" w:rsidRPr="00546B47">
        <w:t xml:space="preserve"> </w:t>
      </w:r>
      <w:r w:rsidR="00546B47" w:rsidRPr="00546B47">
        <w:rPr>
          <w:rFonts w:ascii="Times New Roman" w:hAnsi="Times New Roman" w:cs="Times New Roman"/>
          <w:sz w:val="20"/>
          <w:szCs w:val="20"/>
          <w:lang w:val="en"/>
        </w:rPr>
        <w:t>Search terms included: acute care</w:t>
      </w:r>
      <w:r w:rsidR="00CD0642" w:rsidRPr="00546B47">
        <w:rPr>
          <w:rFonts w:ascii="Times New Roman" w:hAnsi="Times New Roman" w:cs="Times New Roman"/>
          <w:sz w:val="20"/>
          <w:szCs w:val="20"/>
          <w:lang w:val="en"/>
        </w:rPr>
        <w:t xml:space="preserve">, frail elderly/ or frail, geriatric assessment, health services </w:t>
      </w:r>
      <w:r w:rsidR="00CD0642">
        <w:rPr>
          <w:rFonts w:ascii="Times New Roman" w:hAnsi="Times New Roman" w:cs="Times New Roman"/>
          <w:sz w:val="20"/>
          <w:szCs w:val="20"/>
          <w:lang w:val="en"/>
        </w:rPr>
        <w:t>for the aged, needs assessment and</w:t>
      </w:r>
      <w:r w:rsidR="00CD0642" w:rsidRPr="00546B47">
        <w:rPr>
          <w:rFonts w:ascii="Times New Roman" w:hAnsi="Times New Roman" w:cs="Times New Roman"/>
          <w:sz w:val="20"/>
          <w:szCs w:val="20"/>
          <w:lang w:val="en"/>
        </w:rPr>
        <w:t xml:space="preserve"> risk assessment</w:t>
      </w:r>
      <w:r w:rsidR="00CD0642">
        <w:rPr>
          <w:rFonts w:ascii="Times New Roman" w:hAnsi="Times New Roman" w:cs="Times New Roman"/>
          <w:sz w:val="20"/>
          <w:szCs w:val="20"/>
          <w:lang w:val="en"/>
        </w:rPr>
        <w:t>,</w:t>
      </w:r>
      <w:r w:rsidR="00CD0642" w:rsidRPr="00546B47">
        <w:rPr>
          <w:rFonts w:ascii="Times New Roman" w:hAnsi="Times New Roman" w:cs="Times New Roman"/>
          <w:sz w:val="20"/>
          <w:szCs w:val="20"/>
          <w:lang w:val="en"/>
        </w:rPr>
        <w:t xml:space="preserve"> amongst others</w:t>
      </w:r>
      <w:r w:rsidR="00546B47">
        <w:rPr>
          <w:rFonts w:ascii="Times New Roman" w:hAnsi="Times New Roman" w:cs="Times New Roman"/>
          <w:sz w:val="20"/>
          <w:szCs w:val="20"/>
        </w:rPr>
        <w:t xml:space="preserve">. </w:t>
      </w:r>
      <w:r w:rsidR="00CD0642" w:rsidRPr="00A61228">
        <w:rPr>
          <w:rFonts w:ascii="Times New Roman" w:hAnsi="Times New Roman" w:cs="Times New Roman"/>
          <w:sz w:val="20"/>
          <w:szCs w:val="20"/>
        </w:rPr>
        <w:t xml:space="preserve">Systematic reviews have shown that frailty or related risk scores focusing on older people, can identify those at risk of adverse outcomes. </w:t>
      </w:r>
      <w:r w:rsidRPr="00A61228">
        <w:rPr>
          <w:rFonts w:ascii="Times New Roman" w:hAnsi="Times New Roman" w:cs="Times New Roman"/>
          <w:sz w:val="20"/>
          <w:szCs w:val="20"/>
        </w:rPr>
        <w:t>Although most scales perform better than chance in predicting a range of poor outcomes, none has emerged as a globally recognised gold standard method for identifying risk</w:t>
      </w:r>
      <w:r>
        <w:rPr>
          <w:rFonts w:ascii="Times New Roman" w:hAnsi="Times New Roman" w:cs="Times New Roman"/>
          <w:sz w:val="20"/>
          <w:szCs w:val="20"/>
        </w:rPr>
        <w:t xml:space="preserve"> of adverse events</w:t>
      </w:r>
      <w:r w:rsidRPr="00A61228">
        <w:rPr>
          <w:rFonts w:ascii="Times New Roman" w:hAnsi="Times New Roman" w:cs="Times New Roman"/>
          <w:sz w:val="20"/>
          <w:szCs w:val="20"/>
        </w:rPr>
        <w:t>. Furthermore, frailty is not routinely captured in hospital coding systems, meaning frail older people remain anonymous at the system level (e.g. to commissioners), in contrast to specific diseases such as stroke.</w:t>
      </w:r>
    </w:p>
    <w:p w14:paraId="7C907C81" w14:textId="77777777" w:rsidR="005178B0" w:rsidRPr="00A61228" w:rsidRDefault="005178B0" w:rsidP="002C7B49">
      <w:pPr>
        <w:pBdr>
          <w:top w:val="single" w:sz="4" w:space="0" w:color="auto"/>
          <w:left w:val="single" w:sz="4" w:space="4" w:color="auto"/>
          <w:bottom w:val="single" w:sz="4" w:space="1" w:color="auto"/>
          <w:right w:val="single" w:sz="4" w:space="4" w:color="auto"/>
        </w:pBdr>
        <w:rPr>
          <w:rFonts w:ascii="Times New Roman" w:hAnsi="Times New Roman" w:cs="Times New Roman"/>
          <w:i/>
          <w:sz w:val="20"/>
          <w:szCs w:val="20"/>
        </w:rPr>
      </w:pPr>
      <w:r w:rsidRPr="00A61228">
        <w:rPr>
          <w:rFonts w:ascii="Times New Roman" w:hAnsi="Times New Roman" w:cs="Times New Roman"/>
          <w:i/>
          <w:sz w:val="20"/>
          <w:szCs w:val="20"/>
        </w:rPr>
        <w:t>Added value of this study</w:t>
      </w:r>
    </w:p>
    <w:p w14:paraId="4E056C74" w14:textId="77777777" w:rsidR="005178B0" w:rsidRPr="00A61228" w:rsidRDefault="005178B0" w:rsidP="002C7B49">
      <w:pPr>
        <w:pBdr>
          <w:top w:val="single" w:sz="4" w:space="0" w:color="auto"/>
          <w:left w:val="single" w:sz="4" w:space="4" w:color="auto"/>
          <w:bottom w:val="single" w:sz="4" w:space="1" w:color="auto"/>
          <w:right w:val="single" w:sz="4" w:space="4" w:color="auto"/>
        </w:pBdr>
        <w:rPr>
          <w:rFonts w:ascii="Times New Roman" w:hAnsi="Times New Roman" w:cs="Times New Roman"/>
          <w:sz w:val="20"/>
          <w:szCs w:val="20"/>
        </w:rPr>
      </w:pPr>
      <w:r w:rsidRPr="00A61228">
        <w:rPr>
          <w:rFonts w:ascii="Times New Roman" w:hAnsi="Times New Roman" w:cs="Times New Roman"/>
          <w:sz w:val="20"/>
          <w:szCs w:val="20"/>
        </w:rPr>
        <w:t xml:space="preserve">The Hospital Frailty Risk Score developed and validated in this work performs at least as well as existing frailty or risk stratification tools, and better than many. It has the advantage of being derived from International Classification of Diseases (ICD-10) codes, so can be used </w:t>
      </w:r>
      <w:r>
        <w:rPr>
          <w:rFonts w:ascii="Times New Roman" w:hAnsi="Times New Roman" w:cs="Times New Roman"/>
          <w:sz w:val="20"/>
          <w:szCs w:val="20"/>
        </w:rPr>
        <w:t>wherever</w:t>
      </w:r>
      <w:r w:rsidRPr="00A61228">
        <w:rPr>
          <w:rFonts w:ascii="Times New Roman" w:hAnsi="Times New Roman" w:cs="Times New Roman"/>
          <w:sz w:val="20"/>
          <w:szCs w:val="20"/>
        </w:rPr>
        <w:t xml:space="preserve"> ICD-10 coding systems are in place. A key advantage is that the score can be implemented into hospital information systems, removing the inter-operator variability and implementation burden associated with manual scoring systems.</w:t>
      </w:r>
    </w:p>
    <w:p w14:paraId="411E8744" w14:textId="77777777" w:rsidR="005178B0" w:rsidRPr="00A61228" w:rsidRDefault="005178B0" w:rsidP="002C7B49">
      <w:pPr>
        <w:pBdr>
          <w:top w:val="single" w:sz="4" w:space="0" w:color="auto"/>
          <w:left w:val="single" w:sz="4" w:space="4" w:color="auto"/>
          <w:bottom w:val="single" w:sz="4" w:space="1" w:color="auto"/>
          <w:right w:val="single" w:sz="4" w:space="4" w:color="auto"/>
        </w:pBdr>
        <w:rPr>
          <w:rFonts w:ascii="Times New Roman" w:hAnsi="Times New Roman" w:cs="Times New Roman"/>
          <w:i/>
          <w:sz w:val="20"/>
          <w:szCs w:val="20"/>
        </w:rPr>
      </w:pPr>
      <w:r w:rsidRPr="00A61228">
        <w:rPr>
          <w:rFonts w:ascii="Times New Roman" w:hAnsi="Times New Roman" w:cs="Times New Roman"/>
          <w:i/>
          <w:sz w:val="20"/>
          <w:szCs w:val="20"/>
        </w:rPr>
        <w:t>Implications of all the available evidence</w:t>
      </w:r>
    </w:p>
    <w:p w14:paraId="4B380F79" w14:textId="77777777" w:rsidR="005178B0" w:rsidRPr="00A61228" w:rsidRDefault="005178B0" w:rsidP="002C7B49">
      <w:pPr>
        <w:pBdr>
          <w:top w:val="single" w:sz="4" w:space="0" w:color="auto"/>
          <w:left w:val="single" w:sz="4" w:space="4" w:color="auto"/>
          <w:bottom w:val="single" w:sz="4" w:space="1" w:color="auto"/>
          <w:right w:val="single" w:sz="4" w:space="4" w:color="auto"/>
        </w:pBdr>
        <w:rPr>
          <w:rFonts w:ascii="Times New Roman" w:hAnsi="Times New Roman" w:cs="Times New Roman"/>
          <w:sz w:val="20"/>
          <w:szCs w:val="20"/>
        </w:rPr>
      </w:pPr>
      <w:r w:rsidRPr="00A61228">
        <w:rPr>
          <w:rFonts w:ascii="Times New Roman" w:hAnsi="Times New Roman" w:cs="Times New Roman"/>
          <w:sz w:val="20"/>
          <w:szCs w:val="20"/>
        </w:rPr>
        <w:t>There are clear potential benefits to routinely identifying older people at risk of adverse clinical and/or service outcomes in acute hospital settings, primarily the ability to tailor frailty attuned interventions from the point of arrival and throughout the hospital episode. Additional benefits include service mapping, commissioning and evaluation focusing upon older people with frailty. A globally accepted method of identifying frail older people in acute hospital settings can help highlight the magnitude of the issue, enable services to evolve to provide frailty attuned care, and improve patient and service outcomes.</w:t>
      </w:r>
    </w:p>
    <w:p w14:paraId="40B671A5" w14:textId="77777777" w:rsidR="005178B0" w:rsidRPr="00A61228" w:rsidRDefault="005178B0" w:rsidP="002C7B49">
      <w:pPr>
        <w:rPr>
          <w:rFonts w:ascii="Times New Roman" w:hAnsi="Times New Roman" w:cs="Times New Roman"/>
          <w:sz w:val="20"/>
          <w:szCs w:val="20"/>
        </w:rPr>
      </w:pPr>
    </w:p>
    <w:p w14:paraId="323294DE" w14:textId="77777777" w:rsidR="005178B0" w:rsidRPr="00A61228" w:rsidRDefault="005178B0" w:rsidP="002C7B49">
      <w:pPr>
        <w:tabs>
          <w:tab w:val="left" w:pos="2088"/>
        </w:tabs>
        <w:rPr>
          <w:rFonts w:ascii="Times New Roman" w:hAnsi="Times New Roman" w:cs="Times New Roman"/>
          <w:sz w:val="20"/>
          <w:szCs w:val="20"/>
        </w:rPr>
      </w:pPr>
      <w:r w:rsidRPr="00A61228">
        <w:rPr>
          <w:rFonts w:ascii="Times New Roman" w:hAnsi="Times New Roman" w:cs="Times New Roman"/>
          <w:sz w:val="20"/>
          <w:szCs w:val="20"/>
        </w:rPr>
        <w:tab/>
      </w:r>
    </w:p>
    <w:p w14:paraId="5985DEE4" w14:textId="77777777" w:rsidR="005178B0" w:rsidRPr="00A61228" w:rsidRDefault="005178B0" w:rsidP="002C7B49">
      <w:pPr>
        <w:tabs>
          <w:tab w:val="left" w:pos="2088"/>
        </w:tabs>
        <w:rPr>
          <w:rFonts w:ascii="Times New Roman" w:hAnsi="Times New Roman" w:cs="Times New Roman"/>
          <w:sz w:val="20"/>
          <w:szCs w:val="20"/>
        </w:rPr>
        <w:sectPr w:rsidR="005178B0" w:rsidRPr="00A61228">
          <w:pgSz w:w="11906" w:h="16838"/>
          <w:pgMar w:top="1440" w:right="1440" w:bottom="1440" w:left="1440" w:header="708" w:footer="708" w:gutter="0"/>
          <w:cols w:space="708"/>
          <w:docGrid w:linePitch="360"/>
        </w:sectPr>
      </w:pPr>
      <w:r w:rsidRPr="00A61228">
        <w:rPr>
          <w:rFonts w:ascii="Times New Roman" w:hAnsi="Times New Roman" w:cs="Times New Roman"/>
          <w:sz w:val="20"/>
          <w:szCs w:val="20"/>
        </w:rPr>
        <w:tab/>
      </w:r>
    </w:p>
    <w:p w14:paraId="7FC4AD49" w14:textId="4C8E913E" w:rsidR="005178B0" w:rsidRPr="00A61228" w:rsidRDefault="005178B0" w:rsidP="002C7B49">
      <w:pPr>
        <w:rPr>
          <w:rFonts w:ascii="Times New Roman" w:hAnsi="Times New Roman" w:cs="Times New Roman"/>
          <w:b/>
          <w:sz w:val="20"/>
          <w:szCs w:val="20"/>
        </w:rPr>
      </w:pPr>
      <w:r w:rsidRPr="00A61228">
        <w:rPr>
          <w:rFonts w:ascii="Times New Roman" w:hAnsi="Times New Roman" w:cs="Times New Roman"/>
          <w:b/>
          <w:sz w:val="20"/>
          <w:szCs w:val="20"/>
        </w:rPr>
        <w:lastRenderedPageBreak/>
        <w:t>Main paper</w:t>
      </w:r>
      <w:r>
        <w:rPr>
          <w:rFonts w:ascii="Times New Roman" w:hAnsi="Times New Roman" w:cs="Times New Roman"/>
          <w:b/>
          <w:sz w:val="20"/>
          <w:szCs w:val="20"/>
        </w:rPr>
        <w:t xml:space="preserve"> (n=</w:t>
      </w:r>
      <w:r w:rsidR="00BF3E22">
        <w:rPr>
          <w:rFonts w:ascii="Times New Roman" w:hAnsi="Times New Roman" w:cs="Times New Roman"/>
          <w:b/>
          <w:sz w:val="20"/>
          <w:szCs w:val="20"/>
        </w:rPr>
        <w:t>3679</w:t>
      </w:r>
      <w:r w:rsidR="0000465A" w:rsidDel="008C7AFE">
        <w:rPr>
          <w:rFonts w:ascii="Times New Roman" w:hAnsi="Times New Roman" w:cs="Times New Roman"/>
          <w:b/>
          <w:sz w:val="20"/>
          <w:szCs w:val="20"/>
        </w:rPr>
        <w:t>)</w:t>
      </w:r>
    </w:p>
    <w:p w14:paraId="3738CF44" w14:textId="77777777" w:rsidR="005178B0" w:rsidRPr="00A61228" w:rsidRDefault="005178B0" w:rsidP="002C7B49">
      <w:pPr>
        <w:rPr>
          <w:rFonts w:ascii="Times New Roman" w:hAnsi="Times New Roman" w:cs="Times New Roman"/>
          <w:b/>
          <w:sz w:val="20"/>
          <w:szCs w:val="20"/>
        </w:rPr>
      </w:pPr>
      <w:r w:rsidRPr="00A61228">
        <w:rPr>
          <w:rFonts w:ascii="Times New Roman" w:hAnsi="Times New Roman" w:cs="Times New Roman"/>
          <w:b/>
          <w:sz w:val="20"/>
          <w:szCs w:val="20"/>
        </w:rPr>
        <w:t>Introduction</w:t>
      </w:r>
    </w:p>
    <w:p w14:paraId="19744663"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Older people are major users of acute hospital care in Western countries</w:t>
      </w:r>
      <w:r w:rsidRPr="00A61228">
        <w:rPr>
          <w:rFonts w:ascii="Times New Roman" w:hAnsi="Times New Roman" w:cs="Times New Roman"/>
          <w:noProof/>
          <w:sz w:val="20"/>
          <w:szCs w:val="20"/>
          <w:vertAlign w:val="superscript"/>
        </w:rPr>
        <w:t>1,2</w:t>
      </w:r>
      <w:r w:rsidRPr="00A61228">
        <w:rPr>
          <w:rFonts w:ascii="Times New Roman" w:hAnsi="Times New Roman" w:cs="Times New Roman"/>
          <w:sz w:val="20"/>
          <w:szCs w:val="20"/>
        </w:rPr>
        <w:t>, and increasingly in the developing</w:t>
      </w:r>
      <w:r w:rsidRPr="00A61228" w:rsidDel="00E47620">
        <w:rPr>
          <w:rFonts w:ascii="Times New Roman" w:hAnsi="Times New Roman" w:cs="Times New Roman"/>
          <w:sz w:val="20"/>
          <w:szCs w:val="20"/>
        </w:rPr>
        <w:t xml:space="preserve"> </w:t>
      </w:r>
      <w:r w:rsidRPr="00A61228">
        <w:rPr>
          <w:rFonts w:ascii="Times New Roman" w:hAnsi="Times New Roman" w:cs="Times New Roman"/>
          <w:sz w:val="20"/>
          <w:szCs w:val="20"/>
        </w:rPr>
        <w:t>world.</w:t>
      </w:r>
      <w:r w:rsidRPr="00A61228">
        <w:rPr>
          <w:rFonts w:ascii="Times New Roman" w:hAnsi="Times New Roman" w:cs="Times New Roman"/>
          <w:noProof/>
          <w:sz w:val="20"/>
          <w:szCs w:val="20"/>
          <w:vertAlign w:val="superscript"/>
        </w:rPr>
        <w:t>3</w:t>
      </w:r>
      <w:r w:rsidRPr="00A61228">
        <w:rPr>
          <w:rFonts w:ascii="Times New Roman" w:hAnsi="Times New Roman" w:cs="Times New Roman"/>
          <w:sz w:val="20"/>
          <w:szCs w:val="20"/>
        </w:rPr>
        <w:t xml:space="preserve"> In England, a fifth of hospital admissions in 2014/15 were among people aged 75 years and over, accounting for around 40% of all days spent in hospital.</w:t>
      </w:r>
      <w:r w:rsidRPr="00A61228">
        <w:rPr>
          <w:rFonts w:ascii="Times New Roman" w:hAnsi="Times New Roman" w:cs="Times New Roman"/>
          <w:noProof/>
          <w:sz w:val="20"/>
          <w:szCs w:val="20"/>
          <w:vertAlign w:val="superscript"/>
        </w:rPr>
        <w:t>4</w:t>
      </w:r>
      <w:r w:rsidRPr="00A61228">
        <w:rPr>
          <w:rFonts w:ascii="Times New Roman" w:hAnsi="Times New Roman" w:cs="Times New Roman"/>
          <w:sz w:val="20"/>
          <w:szCs w:val="20"/>
        </w:rPr>
        <w:t xml:space="preserve"> For some older people, hospitalisation is associated with an increased risk of harm over and above the presenting clinical condition.</w:t>
      </w:r>
      <w:r w:rsidRPr="00A61228">
        <w:rPr>
          <w:rFonts w:ascii="Times New Roman" w:hAnsi="Times New Roman" w:cs="Times New Roman"/>
          <w:noProof/>
          <w:sz w:val="20"/>
          <w:szCs w:val="20"/>
          <w:vertAlign w:val="superscript"/>
        </w:rPr>
        <w:t>5</w:t>
      </w:r>
      <w:r w:rsidRPr="00A61228">
        <w:rPr>
          <w:rFonts w:ascii="Times New Roman" w:hAnsi="Times New Roman" w:cs="Times New Roman"/>
          <w:sz w:val="20"/>
          <w:szCs w:val="20"/>
        </w:rPr>
        <w:t xml:space="preserve"> Numerous efforts have been undertaken to identify those at high risk of poor outcomes, many focusing upon frailty.</w:t>
      </w:r>
      <w:r w:rsidRPr="00A61228">
        <w:rPr>
          <w:rFonts w:ascii="Times New Roman" w:hAnsi="Times New Roman" w:cs="Times New Roman"/>
          <w:noProof/>
          <w:sz w:val="20"/>
          <w:szCs w:val="20"/>
          <w:vertAlign w:val="superscript"/>
        </w:rPr>
        <w:t>5,6</w:t>
      </w:r>
      <w:r w:rsidRPr="00A61228">
        <w:rPr>
          <w:rFonts w:ascii="Times New Roman" w:hAnsi="Times New Roman" w:cs="Times New Roman"/>
          <w:sz w:val="20"/>
          <w:szCs w:val="20"/>
        </w:rPr>
        <w:t xml:space="preserve"> Frailty describes a decline in function across multiple organ systems, linked to ageing but progressing at different rates in different people; it is characterised by vulnerability to poor outcomes in individuals exposed to an apparently innocuous stressor.</w:t>
      </w:r>
      <w:r w:rsidRPr="00A61228">
        <w:rPr>
          <w:rFonts w:ascii="Times New Roman" w:hAnsi="Times New Roman" w:cs="Times New Roman"/>
          <w:noProof/>
          <w:sz w:val="20"/>
          <w:szCs w:val="20"/>
          <w:vertAlign w:val="superscript"/>
        </w:rPr>
        <w:t>7</w:t>
      </w:r>
      <w:r w:rsidRPr="00A61228">
        <w:rPr>
          <w:rFonts w:ascii="Times New Roman" w:hAnsi="Times New Roman" w:cs="Times New Roman"/>
          <w:sz w:val="20"/>
          <w:szCs w:val="20"/>
        </w:rPr>
        <w:fldChar w:fldCharType="begin"/>
      </w:r>
      <w:r w:rsidRPr="00A61228">
        <w:rPr>
          <w:rFonts w:ascii="Times New Roman" w:hAnsi="Times New Roman" w:cs="Times New Roman"/>
          <w:sz w:val="20"/>
          <w:szCs w:val="20"/>
        </w:rPr>
        <w:instrText xml:space="preserve"> ADDIN ZOTERO_ITEM CSL_CITATION {"citationID":"1du402311o","properties":{"formattedCitation":"{\\rtf \\super 11,12\\nosupersub{}}","plainCitation":"11,12"},"citationItems":[{"id":535,"uris":["http://zotero.org/users/831438/items/2R2V49M2"],"uri":["http://zotero.org/users/831438/items/2R2V49M2"],"itemData":{"id":535,"type":"article-journal","title":"Frailty in elderly people","container-title":"Lancet","page":"752-762","volume":"381","issue":"9868","source":"NCBI PubMed","abstract":"Frailty is the most problematic expression of population ageing. It is a state of vulnerability to poor resolution of homoeostasis after a stressor event and is a consequence of cumulative decline in many physiological systems during a lifetime. This cumulative decline depletes homoeostatic reserves until minor stressor events trigger disproportionate changes in health status. In landmark studies, investigators have developed valid models of frailty and these models have allowed epidemiological investigations that show the association between frailty and adverse health outcomes. We need to develop more efficient methods to detect frailty and measure its severity in routine clinical practice, especially methods that are useful for primary care. Such progress would greatly inform the appropriate selection of elderly people for invasive procedures or drug treatments and would be the basis for a shift in the care of frail elderly people towards more appropriate goal-directed care.","DOI":"10.1016/S0140-6736(12)62167-9","ISSN":"1474-547X","note":"PMID: 23395245","journalAbbreviation":"Lancet","language":"eng","author":[{"family":"Clegg","given":"Andrew"},{"family":"Young","given":"John"},{"family":"Iliffe","given":"Steve"},{"family":"Rikkert","given":"Marcel Olde"},{"family":"Rockwood","given":"Kenneth"}],"issued":{"date-parts":[["2013",3,2]]},"PMID":"23395245"}},{"id":1662,"uris":["http://zotero.org/users/831438/items/RZPPBUCC"],"uri":["http://zotero.org/users/831438/items/RZPPBUCC"],"itemData":{"id":1662,"type":"article-journal","title":"Frailty consensus: a call to action","container-title":"Journal of the American Medical Directors Association","page":"392-397","volume":"14","issue":"6","source":"PubMed","abstract":"Frailty is a clinical state in which there is an increase in an individual's vulnerability for developing increased dependency and/or mortality when exposed to a stressor. Frailty can occur as the result of a range of diseases and medical conditions. A consensus group consisting of delegates from 6 major international, European, and US societies created 4 major consensus points on a specific form of frailty: physical frailty. 1. Physical frailty is an important medical syndrome. The group defined physical frailty as \"a medical syndrome with multiple causes and contributors that is characterized by diminished strength, endurance, and reduced physiologic function that increases an individual's vulnerability for developing increased dependency and/or death.\" 2. Physical frailty can potentially be prevented or treated with specific modalities, such as exercise, protein-calorie supplementation, vitamin D, and reduction of polypharmacy. 3. Simple, rapid screening tests have been developed and validated, such as the simple FRAIL scale, to allow physicians to objectively recognize frail persons. 4. For the purposes of optimally managing individuals with physical frailty, all persons older than 70 years and all individuals with significant weight loss (&gt;5%) due to chronic disease should be screened for frailty.","DOI":"10.1016/j.jamda.2013.03.022","ISSN":"1538-9375","note":"PMID: 23764209\nPMCID: PMC4084863","shortTitle":"Frailty consensus","journalAbbreviation":"J Am Med Dir Assoc","language":"eng","author":[{"family":"Morley","given":"John E."},{"family":"Vellas","given":"Bruno"},{"family":"Kan","given":"G. Abellan","non-dropping-particle":"van"},{"family":"Anker","given":"Stefan D."},{"family":"Bauer","given":"Juergen M."},{"family":"Bernabei","given":"Roberto"},{"family":"Cesari","given":"Matteo"},{"family":"Chumlea","given":"W. C."},{"family":"Doehner","given":"Wolfram"},{"family":"Evans","given":"Jonathan"},{"family":"Fried","given":"Linda P."},{"family":"Guralnik","given":"Jack M."},{"family":"Katz","given":"Paul R."},{"family":"Malmstrom","given":"Theodore K."},{"family":"McCarter","given":"Roger J."},{"family":"Gutierrez Robledo","given":"Luis M."},{"family":"Rockwood","given":"Ken"},{"family":"Haehling","given":"Stephan","non-dropping-particle":"von"},{"family":"Vandewoude","given":"Maurits F."},{"family":"Walston","given":"Jeremy"}],"issued":{"date-parts":[["2013",6]]},"PMID":"23764209","PMCID":"PMC4084863"}}],"schema":"https://github.com/citation-style-language/schema/raw/master/csl-citation.json"} </w:instrText>
      </w:r>
      <w:r w:rsidRPr="00A61228">
        <w:rPr>
          <w:rFonts w:ascii="Times New Roman" w:hAnsi="Times New Roman" w:cs="Times New Roman"/>
          <w:sz w:val="20"/>
          <w:szCs w:val="20"/>
        </w:rPr>
        <w:fldChar w:fldCharType="end"/>
      </w:r>
    </w:p>
    <w:p w14:paraId="1CBCFFE9"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As frailty is potentially a determinant of the way care resources are used, the assessment of frailty should also inform processes of planning service provision and resource allocation; but there are major barriers to identification. Firstly, while there are multiple tools available to measure  frailty, commonly used measures show only moderate overlap in their identification of frailty</w:t>
      </w:r>
      <w:r w:rsidRPr="00A61228">
        <w:rPr>
          <w:rFonts w:ascii="Times New Roman" w:hAnsi="Times New Roman" w:cs="Times New Roman"/>
          <w:noProof/>
          <w:sz w:val="20"/>
          <w:szCs w:val="20"/>
          <w:vertAlign w:val="superscript"/>
        </w:rPr>
        <w:t>8</w:t>
      </w:r>
      <w:r>
        <w:rPr>
          <w:rFonts w:ascii="Times New Roman" w:hAnsi="Times New Roman" w:cs="Times New Roman"/>
          <w:sz w:val="20"/>
          <w:szCs w:val="20"/>
        </w:rPr>
        <w:t xml:space="preserve"> and </w:t>
      </w:r>
      <w:r w:rsidRPr="00A61228">
        <w:rPr>
          <w:rFonts w:ascii="Times New Roman" w:hAnsi="Times New Roman" w:cs="Times New Roman"/>
          <w:sz w:val="20"/>
          <w:szCs w:val="20"/>
        </w:rPr>
        <w:t xml:space="preserve"> there is significant variability in which tool is chosen, and when it is employed.</w:t>
      </w:r>
      <w:r w:rsidRPr="00A10A04">
        <w:rPr>
          <w:rFonts w:ascii="Times New Roman" w:hAnsi="Times New Roman" w:cs="Times New Roman"/>
          <w:noProof/>
          <w:sz w:val="20"/>
          <w:szCs w:val="20"/>
          <w:vertAlign w:val="superscript"/>
        </w:rPr>
        <w:t>9</w:t>
      </w:r>
      <w:r>
        <w:rPr>
          <w:rFonts w:ascii="Times New Roman" w:hAnsi="Times New Roman" w:cs="Times New Roman"/>
          <w:sz w:val="20"/>
          <w:szCs w:val="20"/>
        </w:rPr>
        <w:t xml:space="preserve"> </w:t>
      </w:r>
      <w:r w:rsidRPr="00A61228">
        <w:rPr>
          <w:rFonts w:ascii="Times New Roman" w:hAnsi="Times New Roman" w:cs="Times New Roman"/>
          <w:sz w:val="20"/>
          <w:szCs w:val="20"/>
        </w:rPr>
        <w:t>Secondly, most tools are too complicated for use in acute care settings, and even shorter tools such as the Clinical Frailty Scale</w:t>
      </w:r>
      <w:r w:rsidRPr="00A10A04">
        <w:rPr>
          <w:rFonts w:ascii="Times New Roman" w:hAnsi="Times New Roman" w:cs="Times New Roman"/>
          <w:noProof/>
          <w:sz w:val="20"/>
          <w:szCs w:val="20"/>
          <w:vertAlign w:val="superscript"/>
        </w:rPr>
        <w:t>10</w:t>
      </w:r>
      <w:r w:rsidRPr="00A61228">
        <w:rPr>
          <w:rFonts w:ascii="Times New Roman" w:hAnsi="Times New Roman" w:cs="Times New Roman"/>
          <w:sz w:val="20"/>
          <w:szCs w:val="20"/>
        </w:rPr>
        <w:t xml:space="preserve"> and Identification of Seniors at Risk</w:t>
      </w:r>
      <w:r w:rsidRPr="00A10A04">
        <w:rPr>
          <w:rFonts w:ascii="Times New Roman" w:hAnsi="Times New Roman" w:cs="Times New Roman"/>
          <w:noProof/>
          <w:sz w:val="20"/>
          <w:szCs w:val="20"/>
          <w:vertAlign w:val="superscript"/>
        </w:rPr>
        <w:t>11</w:t>
      </w:r>
      <w:r w:rsidRPr="00A61228">
        <w:rPr>
          <w:rFonts w:ascii="Times New Roman" w:hAnsi="Times New Roman" w:cs="Times New Roman"/>
          <w:sz w:val="20"/>
          <w:szCs w:val="20"/>
        </w:rPr>
        <w:t xml:space="preserve"> tool require some form of manual assessment process, which can be time-consuming and subject to inter-operator error. Finally, where frailty tools are used, </w:t>
      </w:r>
      <w:r>
        <w:rPr>
          <w:rFonts w:ascii="Times New Roman" w:hAnsi="Times New Roman" w:cs="Times New Roman"/>
          <w:sz w:val="20"/>
          <w:szCs w:val="20"/>
        </w:rPr>
        <w:t xml:space="preserve">they will be applied only for a subset of patients, with the majority of those hospitalised not having their frailty assessed at all. </w:t>
      </w:r>
    </w:p>
    <w:p w14:paraId="19B24D1D"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The aim of this work was to determine if a Hospital Frailty Risk </w:t>
      </w:r>
      <w:r>
        <w:rPr>
          <w:rFonts w:ascii="Times New Roman" w:hAnsi="Times New Roman" w:cs="Times New Roman"/>
          <w:sz w:val="20"/>
          <w:szCs w:val="20"/>
        </w:rPr>
        <w:t>Score</w:t>
      </w:r>
      <w:r w:rsidRPr="00A61228">
        <w:rPr>
          <w:rFonts w:ascii="Times New Roman" w:hAnsi="Times New Roman" w:cs="Times New Roman"/>
          <w:sz w:val="20"/>
          <w:szCs w:val="20"/>
        </w:rPr>
        <w:t xml:space="preserve"> </w:t>
      </w:r>
      <w:r>
        <w:rPr>
          <w:rFonts w:ascii="Times New Roman" w:hAnsi="Times New Roman" w:cs="Times New Roman"/>
          <w:sz w:val="20"/>
          <w:szCs w:val="20"/>
        </w:rPr>
        <w:t xml:space="preserve">(HFRS) </w:t>
      </w:r>
      <w:r w:rsidRPr="00A61228">
        <w:rPr>
          <w:rFonts w:ascii="Times New Roman" w:hAnsi="Times New Roman" w:cs="Times New Roman"/>
          <w:sz w:val="20"/>
          <w:szCs w:val="20"/>
        </w:rPr>
        <w:t>could be developed using the International Statistical Classification of Diseases and Related Health Problems, 10th Revision (ICD-10)</w:t>
      </w:r>
      <w:r w:rsidRPr="00A61228">
        <w:rPr>
          <w:rFonts w:ascii="Times New Roman" w:hAnsi="Times New Roman" w:cs="Times New Roman"/>
          <w:noProof/>
          <w:sz w:val="20"/>
          <w:szCs w:val="20"/>
          <w:vertAlign w:val="superscript"/>
        </w:rPr>
        <w:t>12</w:t>
      </w:r>
      <w:r w:rsidRPr="00A61228">
        <w:rPr>
          <w:rFonts w:ascii="Times New Roman" w:hAnsi="Times New Roman" w:cs="Times New Roman"/>
          <w:sz w:val="20"/>
          <w:szCs w:val="20"/>
        </w:rPr>
        <w:t xml:space="preserve"> coding system, implemented in administrative hospital databases in many countries worldwide. </w:t>
      </w:r>
    </w:p>
    <w:p w14:paraId="6844FF3D" w14:textId="77777777" w:rsidR="005178B0" w:rsidRPr="00A61228" w:rsidRDefault="005178B0" w:rsidP="002C7B49">
      <w:pPr>
        <w:rPr>
          <w:rFonts w:ascii="Times New Roman" w:hAnsi="Times New Roman" w:cs="Times New Roman"/>
          <w:b/>
          <w:sz w:val="20"/>
          <w:szCs w:val="20"/>
        </w:rPr>
      </w:pPr>
      <w:r w:rsidRPr="00A61228">
        <w:rPr>
          <w:rFonts w:ascii="Times New Roman" w:hAnsi="Times New Roman" w:cs="Times New Roman"/>
          <w:b/>
          <w:sz w:val="20"/>
          <w:szCs w:val="20"/>
        </w:rPr>
        <w:t>Methods</w:t>
      </w:r>
    </w:p>
    <w:p w14:paraId="3A00BFB8" w14:textId="77777777" w:rsidR="005178B0" w:rsidRPr="00A61228" w:rsidRDefault="005178B0" w:rsidP="002C7B49">
      <w:pPr>
        <w:rPr>
          <w:rFonts w:ascii="Times New Roman" w:hAnsi="Times New Roman" w:cs="Times New Roman"/>
          <w:i/>
          <w:sz w:val="20"/>
          <w:szCs w:val="20"/>
        </w:rPr>
      </w:pPr>
      <w:r w:rsidRPr="00A61228">
        <w:rPr>
          <w:rFonts w:ascii="Times New Roman" w:hAnsi="Times New Roman" w:cs="Times New Roman"/>
          <w:i/>
          <w:sz w:val="20"/>
          <w:szCs w:val="20"/>
        </w:rPr>
        <w:t>Study Design</w:t>
      </w:r>
      <w:r w:rsidRPr="00A61228">
        <w:rPr>
          <w:rFonts w:ascii="Times New Roman" w:hAnsi="Times New Roman" w:cs="Times New Roman"/>
          <w:sz w:val="20"/>
          <w:szCs w:val="20"/>
        </w:rPr>
        <w:t xml:space="preserve"> </w:t>
      </w:r>
    </w:p>
    <w:p w14:paraId="49C7D9A6"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We used a three-step approach to develop and validate </w:t>
      </w:r>
      <w:r>
        <w:rPr>
          <w:rFonts w:ascii="Times New Roman" w:hAnsi="Times New Roman" w:cs="Times New Roman"/>
          <w:sz w:val="20"/>
          <w:szCs w:val="20"/>
        </w:rPr>
        <w:t xml:space="preserve">the </w:t>
      </w:r>
      <w:r w:rsidRPr="00A61228">
        <w:rPr>
          <w:rFonts w:ascii="Times New Roman" w:hAnsi="Times New Roman" w:cs="Times New Roman"/>
          <w:sz w:val="20"/>
          <w:szCs w:val="20"/>
        </w:rPr>
        <w:t xml:space="preserve">Hospital Frailty Risk </w:t>
      </w:r>
      <w:r>
        <w:rPr>
          <w:rFonts w:ascii="Times New Roman" w:hAnsi="Times New Roman" w:cs="Times New Roman"/>
          <w:sz w:val="20"/>
          <w:szCs w:val="20"/>
        </w:rPr>
        <w:t>Score,</w:t>
      </w:r>
      <w:r w:rsidRPr="00A61228">
        <w:rPr>
          <w:rFonts w:ascii="Times New Roman" w:hAnsi="Times New Roman" w:cs="Times New Roman"/>
          <w:sz w:val="20"/>
          <w:szCs w:val="20"/>
        </w:rPr>
        <w:t xml:space="preserve"> based on ICD-10 codes. First, we carried out a cluster analysis to test whether a distinct group </w:t>
      </w:r>
      <w:r>
        <w:rPr>
          <w:rFonts w:ascii="Times New Roman" w:hAnsi="Times New Roman" w:cs="Times New Roman"/>
          <w:sz w:val="20"/>
          <w:szCs w:val="20"/>
        </w:rPr>
        <w:t xml:space="preserve">of older patients admitted to hospital </w:t>
      </w:r>
      <w:r w:rsidRPr="00A61228">
        <w:rPr>
          <w:rFonts w:ascii="Times New Roman" w:hAnsi="Times New Roman" w:cs="Times New Roman"/>
          <w:sz w:val="20"/>
          <w:szCs w:val="20"/>
        </w:rPr>
        <w:t>with characteristics of frailty could be identified based on their ICD-10 codes and resource</w:t>
      </w:r>
      <w:r>
        <w:rPr>
          <w:rFonts w:ascii="Times New Roman" w:hAnsi="Times New Roman" w:cs="Times New Roman"/>
          <w:sz w:val="20"/>
          <w:szCs w:val="20"/>
        </w:rPr>
        <w:t xml:space="preserve"> use.</w:t>
      </w:r>
      <w:r w:rsidRPr="00A61228">
        <w:rPr>
          <w:rFonts w:ascii="Times New Roman" w:hAnsi="Times New Roman" w:cs="Times New Roman"/>
          <w:sz w:val="20"/>
          <w:szCs w:val="20"/>
        </w:rPr>
        <w:t xml:space="preserve">. Second, we created </w:t>
      </w:r>
      <w:r>
        <w:rPr>
          <w:rFonts w:ascii="Times New Roman" w:hAnsi="Times New Roman" w:cs="Times New Roman"/>
          <w:sz w:val="20"/>
          <w:szCs w:val="20"/>
        </w:rPr>
        <w:t>the HFRS</w:t>
      </w:r>
      <w:r w:rsidRPr="00A61228">
        <w:rPr>
          <w:rFonts w:ascii="Times New Roman" w:hAnsi="Times New Roman" w:cs="Times New Roman"/>
          <w:sz w:val="20"/>
          <w:szCs w:val="20"/>
        </w:rPr>
        <w:t xml:space="preserve"> using ICD-10 codes over-represented in the group. Third, in two separate validation cohorts, we tested how well the </w:t>
      </w:r>
      <w:r>
        <w:rPr>
          <w:rFonts w:ascii="Times New Roman" w:hAnsi="Times New Roman" w:cs="Times New Roman"/>
          <w:sz w:val="20"/>
          <w:szCs w:val="20"/>
        </w:rPr>
        <w:t>HFRS</w:t>
      </w:r>
      <w:r w:rsidRPr="00A61228">
        <w:rPr>
          <w:rFonts w:ascii="Times New Roman" w:hAnsi="Times New Roman" w:cs="Times New Roman"/>
          <w:sz w:val="20"/>
          <w:szCs w:val="20"/>
        </w:rPr>
        <w:t xml:space="preserve"> predicted adverse outcomes following an emergency admission, and whether it identified similar </w:t>
      </w:r>
      <w:r>
        <w:rPr>
          <w:rFonts w:ascii="Times New Roman" w:hAnsi="Times New Roman" w:cs="Times New Roman"/>
          <w:sz w:val="20"/>
          <w:szCs w:val="20"/>
        </w:rPr>
        <w:t>people</w:t>
      </w:r>
      <w:r w:rsidRPr="00A61228">
        <w:rPr>
          <w:rFonts w:ascii="Times New Roman" w:hAnsi="Times New Roman" w:cs="Times New Roman"/>
          <w:sz w:val="20"/>
          <w:szCs w:val="20"/>
        </w:rPr>
        <w:t xml:space="preserve"> as other</w:t>
      </w:r>
      <w:r w:rsidRPr="00A61228" w:rsidDel="00E47620">
        <w:rPr>
          <w:rFonts w:ascii="Times New Roman" w:hAnsi="Times New Roman" w:cs="Times New Roman"/>
          <w:sz w:val="20"/>
          <w:szCs w:val="20"/>
        </w:rPr>
        <w:t xml:space="preserve"> </w:t>
      </w:r>
      <w:r w:rsidRPr="00A61228">
        <w:rPr>
          <w:rFonts w:ascii="Times New Roman" w:hAnsi="Times New Roman" w:cs="Times New Roman"/>
          <w:sz w:val="20"/>
          <w:szCs w:val="20"/>
        </w:rPr>
        <w:t xml:space="preserve">clinical frailty tools.  </w:t>
      </w:r>
    </w:p>
    <w:p w14:paraId="12F58D0C" w14:textId="77777777" w:rsidR="005178B0" w:rsidRPr="00A61228" w:rsidRDefault="005178B0" w:rsidP="002C7B49">
      <w:pPr>
        <w:rPr>
          <w:rFonts w:ascii="Times New Roman" w:hAnsi="Times New Roman" w:cs="Times New Roman"/>
          <w:i/>
          <w:sz w:val="20"/>
          <w:szCs w:val="20"/>
        </w:rPr>
      </w:pPr>
      <w:r w:rsidRPr="00A61228">
        <w:rPr>
          <w:rFonts w:ascii="Times New Roman" w:hAnsi="Times New Roman" w:cs="Times New Roman"/>
          <w:i/>
          <w:sz w:val="20"/>
          <w:szCs w:val="20"/>
        </w:rPr>
        <w:t>Data sources</w:t>
      </w:r>
    </w:p>
    <w:p w14:paraId="7130D3BB" w14:textId="77777777" w:rsidR="005178B0" w:rsidRPr="00A61228" w:rsidRDefault="005178B0" w:rsidP="002C7B49">
      <w:pPr>
        <w:rPr>
          <w:rFonts w:ascii="Times New Roman" w:hAnsi="Times New Roman" w:cs="Times New Roman"/>
          <w:sz w:val="20"/>
          <w:szCs w:val="20"/>
        </w:rPr>
      </w:pPr>
      <w:r>
        <w:rPr>
          <w:rFonts w:ascii="Times New Roman" w:hAnsi="Times New Roman" w:cs="Times New Roman"/>
          <w:sz w:val="20"/>
          <w:szCs w:val="20"/>
        </w:rPr>
        <w:t>We analysed t</w:t>
      </w:r>
      <w:r w:rsidRPr="00A61228">
        <w:rPr>
          <w:rFonts w:ascii="Times New Roman" w:hAnsi="Times New Roman" w:cs="Times New Roman"/>
          <w:sz w:val="20"/>
          <w:szCs w:val="20"/>
        </w:rPr>
        <w:t>he</w:t>
      </w:r>
      <w:r>
        <w:rPr>
          <w:rFonts w:ascii="Times New Roman" w:hAnsi="Times New Roman" w:cs="Times New Roman"/>
          <w:sz w:val="20"/>
          <w:szCs w:val="20"/>
        </w:rPr>
        <w:t xml:space="preserve"> 2013/14 and 2014/15</w:t>
      </w:r>
      <w:r w:rsidRPr="00A61228">
        <w:rPr>
          <w:rFonts w:ascii="Times New Roman" w:hAnsi="Times New Roman" w:cs="Times New Roman"/>
          <w:sz w:val="20"/>
          <w:szCs w:val="20"/>
        </w:rPr>
        <w:t xml:space="preserve"> Hospital Episode Statistics (HES) inpatient database</w:t>
      </w:r>
      <w:r>
        <w:rPr>
          <w:rFonts w:ascii="Times New Roman" w:hAnsi="Times New Roman" w:cs="Times New Roman"/>
          <w:sz w:val="20"/>
          <w:szCs w:val="20"/>
        </w:rPr>
        <w:t xml:space="preserve"> which</w:t>
      </w:r>
      <w:r w:rsidRPr="00A61228">
        <w:rPr>
          <w:rFonts w:ascii="Times New Roman" w:hAnsi="Times New Roman" w:cs="Times New Roman"/>
          <w:sz w:val="20"/>
          <w:szCs w:val="20"/>
        </w:rPr>
        <w:t xml:space="preserve"> </w:t>
      </w:r>
      <w:r>
        <w:rPr>
          <w:rFonts w:ascii="Times New Roman" w:hAnsi="Times New Roman" w:cs="Times New Roman"/>
          <w:sz w:val="20"/>
          <w:szCs w:val="20"/>
        </w:rPr>
        <w:t>contains</w:t>
      </w:r>
      <w:r w:rsidRPr="00A61228">
        <w:rPr>
          <w:rFonts w:ascii="Times New Roman" w:hAnsi="Times New Roman" w:cs="Times New Roman"/>
          <w:sz w:val="20"/>
          <w:szCs w:val="20"/>
        </w:rPr>
        <w:t xml:space="preserve"> information about all patients admitted to NHS hospitals in England. </w:t>
      </w:r>
      <w:r>
        <w:rPr>
          <w:rFonts w:ascii="Times New Roman" w:hAnsi="Times New Roman" w:cs="Times New Roman"/>
          <w:sz w:val="20"/>
          <w:szCs w:val="20"/>
        </w:rPr>
        <w:t>HES data</w:t>
      </w:r>
      <w:r w:rsidRPr="00A61228">
        <w:rPr>
          <w:rFonts w:ascii="Times New Roman" w:hAnsi="Times New Roman" w:cs="Times New Roman"/>
          <w:sz w:val="20"/>
          <w:szCs w:val="20"/>
        </w:rPr>
        <w:t xml:space="preserve"> capture illnesses and related conditions, with each electronic record containing up to 20 diagnosis fields coded using ICD-10.</w:t>
      </w:r>
      <w:r w:rsidRPr="00A61228">
        <w:rPr>
          <w:rFonts w:ascii="Times New Roman" w:hAnsi="Times New Roman" w:cs="Times New Roman"/>
          <w:noProof/>
          <w:sz w:val="20"/>
          <w:szCs w:val="20"/>
          <w:vertAlign w:val="superscript"/>
        </w:rPr>
        <w:t>12</w:t>
      </w:r>
      <w:r w:rsidRPr="00A61228">
        <w:rPr>
          <w:rFonts w:ascii="Times New Roman" w:hAnsi="Times New Roman" w:cs="Times New Roman"/>
          <w:sz w:val="20"/>
          <w:szCs w:val="20"/>
        </w:rPr>
        <w:t xml:space="preserve"> The diagnostic codes are entered by professional coders using information gathered retrospectively from medical records. A unique anonymised identifier (HESID) can be used to link multiple electronic records (including Emergency Department and outpatient attendances) for the same patient, and to Office for National Statistics (ONS) mortality data.</w:t>
      </w:r>
      <w:r w:rsidRPr="00A61228">
        <w:rPr>
          <w:rFonts w:ascii="Times New Roman" w:hAnsi="Times New Roman" w:cs="Times New Roman"/>
          <w:noProof/>
          <w:sz w:val="20"/>
          <w:szCs w:val="20"/>
          <w:vertAlign w:val="superscript"/>
        </w:rPr>
        <w:t>13</w:t>
      </w:r>
    </w:p>
    <w:p w14:paraId="7937ACFC"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For the validation work, HES data were linked to a cohort of people who had been studied during an acute hospital admission in the East Midlands, UK and who had been assessed for frailty using established scales. Records were linked by NHS Digital using deterministic linkage based on a hierarchy of patient identifiers (date of birth, postcode, gender &amp; NHS Number); de-identified data were provided for the analysis.</w:t>
      </w:r>
    </w:p>
    <w:p w14:paraId="67F429B8" w14:textId="77777777" w:rsidR="005178B0" w:rsidRPr="00A61228" w:rsidRDefault="005178B0" w:rsidP="002C7B49">
      <w:pPr>
        <w:rPr>
          <w:rFonts w:ascii="Times New Roman" w:hAnsi="Times New Roman" w:cs="Times New Roman"/>
          <w:i/>
          <w:sz w:val="20"/>
          <w:szCs w:val="20"/>
        </w:rPr>
      </w:pPr>
      <w:r w:rsidRPr="00A61228">
        <w:rPr>
          <w:rFonts w:ascii="Times New Roman" w:hAnsi="Times New Roman" w:cs="Times New Roman"/>
          <w:i/>
          <w:sz w:val="20"/>
          <w:szCs w:val="20"/>
        </w:rPr>
        <w:t>Governance and funding</w:t>
      </w:r>
    </w:p>
    <w:p w14:paraId="1CF16085"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lastRenderedPageBreak/>
        <w:t>Ethical approval was provided by Essex NRES Committee (East of England), reference: 15/EE/024. Funding for this project was provided by NIHR HS&amp;DR project 12/5003 (acute hospital care for frail older people).</w:t>
      </w:r>
      <w:r>
        <w:rPr>
          <w:rFonts w:ascii="Times New Roman" w:hAnsi="Times New Roman" w:cs="Times New Roman"/>
          <w:sz w:val="20"/>
          <w:szCs w:val="20"/>
        </w:rPr>
        <w:t xml:space="preserve"> The funder had no role in </w:t>
      </w:r>
      <w:r w:rsidRPr="00E6537A">
        <w:rPr>
          <w:rFonts w:ascii="Times New Roman" w:hAnsi="Times New Roman" w:cs="Times New Roman"/>
          <w:sz w:val="20"/>
          <w:szCs w:val="20"/>
        </w:rPr>
        <w:t>data collection, analysis, interpretation, writing of the manuscript and the decision to submit</w:t>
      </w:r>
      <w:r>
        <w:rPr>
          <w:rFonts w:ascii="Times New Roman" w:hAnsi="Times New Roman" w:cs="Times New Roman"/>
          <w:sz w:val="20"/>
          <w:szCs w:val="20"/>
        </w:rPr>
        <w:t>. TG, JN, JK, EK and MB had access to all of the data; all authors agreed upon the decision to submit the paper.</w:t>
      </w:r>
    </w:p>
    <w:p w14:paraId="73109EA3" w14:textId="77777777" w:rsidR="005178B0" w:rsidRPr="00A61228" w:rsidRDefault="005178B0" w:rsidP="002C7B49">
      <w:pPr>
        <w:rPr>
          <w:rFonts w:ascii="Times New Roman" w:hAnsi="Times New Roman" w:cs="Times New Roman"/>
          <w:i/>
          <w:sz w:val="20"/>
          <w:szCs w:val="20"/>
        </w:rPr>
      </w:pPr>
      <w:r w:rsidRPr="00A61228">
        <w:rPr>
          <w:rFonts w:ascii="Times New Roman" w:hAnsi="Times New Roman" w:cs="Times New Roman"/>
          <w:i/>
          <w:sz w:val="20"/>
          <w:szCs w:val="20"/>
        </w:rPr>
        <w:t xml:space="preserve">Development work </w:t>
      </w:r>
    </w:p>
    <w:p w14:paraId="5FA2C8A0"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Initial cluster analysis</w:t>
      </w:r>
    </w:p>
    <w:p w14:paraId="02F7943F"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We undertook a cluster analysis on anonymised patient-level HES data for a cohort of 22,139 people aged 75 years and older who were discharged from hospital between 1st April 2013 and 31st March 2015, excluding mental health and community hospitals (Table 1). Since cluster analysis is a computationally intensive process, the sample was restricted in size. Patients were selected from three areas from which clinical frailty data was potentially available – Southampton, Leicester and Nottingham.</w:t>
      </w:r>
    </w:p>
    <w:p w14:paraId="6EFEDA80"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In cluster analysis, patients are grouped together based on their similarity to each other across multiple characteristics. Three sets of variables were used to create the clustering matrix: ICD-10 diagnoses, bed-days and hospital costs. Diagnoses were based on the first three characters of all ICD-10 codes used in any of the 20 diagnostic fields of the patient´s records over a two year period. Rare diagnoses (less than 15,000 patients nationally) were excluded.</w:t>
      </w:r>
      <w:r w:rsidRPr="00A61228" w:rsidDel="00742440">
        <w:rPr>
          <w:rFonts w:ascii="Times New Roman" w:hAnsi="Times New Roman" w:cs="Times New Roman"/>
          <w:sz w:val="20"/>
          <w:szCs w:val="20"/>
        </w:rPr>
        <w:t xml:space="preserve"> </w:t>
      </w:r>
      <w:r w:rsidRPr="00A61228">
        <w:rPr>
          <w:rFonts w:ascii="Times New Roman" w:hAnsi="Times New Roman" w:cs="Times New Roman"/>
          <w:sz w:val="20"/>
          <w:szCs w:val="20"/>
        </w:rPr>
        <w:t>Bed days were calculated as the total number of days in hospital for the same period. Costs were calculated using 2014/15 Healthcare resource group (HRG) national tariffs and 2013/14 reference costs data.</w:t>
      </w:r>
      <w:r w:rsidRPr="00A61228">
        <w:rPr>
          <w:rFonts w:ascii="Times New Roman" w:hAnsi="Times New Roman" w:cs="Times New Roman"/>
          <w:noProof/>
          <w:sz w:val="20"/>
          <w:szCs w:val="20"/>
          <w:vertAlign w:val="superscript"/>
        </w:rPr>
        <w:t>14</w:t>
      </w:r>
    </w:p>
    <w:p w14:paraId="42114163"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To create a ‘similarity score’ that could be used to group patients, we used Gower’s method for combining binary (ICD-10 diagnoses) and continuous (bed-days and cost) variables.</w:t>
      </w:r>
      <w:r w:rsidRPr="00A61228">
        <w:rPr>
          <w:rFonts w:ascii="Times New Roman" w:hAnsi="Times New Roman" w:cs="Times New Roman"/>
          <w:noProof/>
          <w:sz w:val="20"/>
          <w:szCs w:val="20"/>
          <w:vertAlign w:val="superscript"/>
        </w:rPr>
        <w:t>15</w:t>
      </w:r>
      <w:r w:rsidRPr="00A61228">
        <w:rPr>
          <w:rFonts w:ascii="Times New Roman" w:hAnsi="Times New Roman" w:cs="Times New Roman"/>
          <w:sz w:val="20"/>
          <w:szCs w:val="20"/>
        </w:rPr>
        <w:t xml:space="preserve"> This involved range standardisation to convert the continuous variables to a scale from 0 to 1. Patients were then assigned to clusters using Ward’s hierarchical clustering method.</w:t>
      </w:r>
      <w:r w:rsidRPr="00A61228">
        <w:rPr>
          <w:rFonts w:ascii="Times New Roman" w:hAnsi="Times New Roman" w:cs="Times New Roman"/>
          <w:noProof/>
          <w:sz w:val="20"/>
          <w:szCs w:val="20"/>
          <w:vertAlign w:val="superscript"/>
        </w:rPr>
        <w:t>16</w:t>
      </w:r>
      <w:r w:rsidRPr="00A61228">
        <w:rPr>
          <w:rFonts w:ascii="Times New Roman" w:hAnsi="Times New Roman" w:cs="Times New Roman"/>
          <w:sz w:val="20"/>
          <w:szCs w:val="20"/>
        </w:rPr>
        <w:t xml:space="preserve"> This is an agglomerative (‘bottom-up’) process in which each patient starts in his or her own cluster, and pairs of clusters are merged step by step. The number of clusters was chosen pragmatically, to balance maximising the variance in similarity scores explained by the groups against producing a minimum number of clusters for clinically relevant interpretation.</w:t>
      </w:r>
    </w:p>
    <w:p w14:paraId="2B063820"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To identify a cluster of patients with characteristics of frailty, we used a small set of ICD-10 codes identified </w:t>
      </w:r>
      <w:r w:rsidRPr="00A61228">
        <w:rPr>
          <w:rFonts w:ascii="Times New Roman" w:hAnsi="Times New Roman" w:cs="Times New Roman"/>
          <w:i/>
          <w:sz w:val="20"/>
          <w:szCs w:val="20"/>
        </w:rPr>
        <w:t xml:space="preserve">a priori </w:t>
      </w:r>
      <w:r w:rsidRPr="00A61228">
        <w:rPr>
          <w:rFonts w:ascii="Times New Roman" w:hAnsi="Times New Roman" w:cs="Times New Roman"/>
          <w:sz w:val="20"/>
          <w:szCs w:val="20"/>
        </w:rPr>
        <w:t>as being candidate markers of frailty (Appendix 1). We calculated the prevalence of coded frailty syndromes (cognitive impairment, functional dependence, falls &amp; fractures, anxiety &amp; depression, incontinence, pressure ulcers and mobility problems) in each group, using a published model derived from ICD-10 codes.</w:t>
      </w:r>
      <w:r w:rsidRPr="00A61228">
        <w:rPr>
          <w:rFonts w:ascii="Times New Roman" w:hAnsi="Times New Roman" w:cs="Times New Roman"/>
          <w:noProof/>
          <w:sz w:val="20"/>
          <w:szCs w:val="20"/>
          <w:vertAlign w:val="superscript"/>
        </w:rPr>
        <w:t>17</w:t>
      </w:r>
      <w:r w:rsidRPr="00A61228">
        <w:rPr>
          <w:rFonts w:ascii="Times New Roman" w:hAnsi="Times New Roman" w:cs="Times New Roman"/>
          <w:sz w:val="20"/>
          <w:szCs w:val="20"/>
        </w:rPr>
        <w:t xml:space="preserve"> We also compared the admission history, the Charlson comorbidity index</w:t>
      </w:r>
      <w:r w:rsidRPr="00A61228">
        <w:rPr>
          <w:rFonts w:ascii="Times New Roman" w:hAnsi="Times New Roman" w:cs="Times New Roman"/>
          <w:noProof/>
          <w:sz w:val="20"/>
          <w:szCs w:val="20"/>
          <w:vertAlign w:val="superscript"/>
        </w:rPr>
        <w:t>18</w:t>
      </w:r>
      <w:r w:rsidRPr="00A61228">
        <w:rPr>
          <w:rFonts w:ascii="Times New Roman" w:hAnsi="Times New Roman" w:cs="Times New Roman"/>
          <w:sz w:val="20"/>
          <w:szCs w:val="20"/>
        </w:rPr>
        <w:t xml:space="preserve"> and two year mortality in each group. </w:t>
      </w:r>
    </w:p>
    <w:p w14:paraId="28A3F034"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Development of hospital frailty risk score</w:t>
      </w:r>
    </w:p>
    <w:p w14:paraId="3442C6CB"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Risk stratification using a clustering method is computationally intensive and not easily replicable by individual hospitals, so we created an algorithm that could be more easily implemented, guided by the results of the cluster analysis. We derived a score based on ICD-10 codes that were at least twice as prevalent in the frail cluster compared with the rest of the cohort. Points were awarded for each ICD-10 code that were proportional to how strongly they predicted membership of the cluster. Points were calculated using regression coefficients from a logistic regression model that included membership of the frail cluster as the binary dependent variable and the set of ICD-10 codes as binary predictor variables. Many of the ICD-10 codes were correlated with one another, so we included a penalty when fitting the model in order to shrink coefficients on individual predictor variables within correlated groups. A c-statistic was used to evaluate how well this model discriminated between the frail cluster and the rest of the cohort. The resulting score is referred to as the ‘Hospital Frailty Risk Score’. Three categories of “low risk”, “intermediate risk” and “high risk” were created to aid interpretation, with cut-points selected pragmatically to create categories that discriminated most strongly between individuals with different outcomes (see below). Further details are given in Appendix 2.</w:t>
      </w:r>
    </w:p>
    <w:p w14:paraId="00D133AA" w14:textId="77777777" w:rsidR="005178B0" w:rsidRPr="00A61228" w:rsidRDefault="005178B0" w:rsidP="002C7B49">
      <w:pPr>
        <w:rPr>
          <w:rFonts w:ascii="Times New Roman" w:hAnsi="Times New Roman" w:cs="Times New Roman"/>
          <w:i/>
          <w:sz w:val="20"/>
          <w:szCs w:val="20"/>
        </w:rPr>
      </w:pPr>
      <w:r w:rsidRPr="00A61228">
        <w:rPr>
          <w:rFonts w:ascii="Times New Roman" w:hAnsi="Times New Roman" w:cs="Times New Roman"/>
          <w:i/>
          <w:sz w:val="20"/>
          <w:szCs w:val="20"/>
        </w:rPr>
        <w:lastRenderedPageBreak/>
        <w:t>Validation</w:t>
      </w:r>
    </w:p>
    <w:p w14:paraId="74B7B308"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Predicting adverse outcomes in acute hospital settings</w:t>
      </w:r>
    </w:p>
    <w:p w14:paraId="465C358A" w14:textId="77777777" w:rsidR="005178B0"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In the first validation exercise, a national cohort was used to test how well the Hospital Frailty Risk Score predicted outcomes among 1,013,590 people aged 75 years or older, admitted to an acute hospital as an emergency between 1st April 2014 and 31st March 2015 (Table 1).</w:t>
      </w:r>
      <w:r>
        <w:rPr>
          <w:rFonts w:ascii="Times New Roman" w:hAnsi="Times New Roman" w:cs="Times New Roman"/>
          <w:sz w:val="20"/>
          <w:szCs w:val="20"/>
        </w:rPr>
        <w:t xml:space="preserve"> We undertook a sensitivity analysis to ascertain if including individuals also represented in the developmental cohort influenced the results.</w:t>
      </w:r>
    </w:p>
    <w:p w14:paraId="5A7EC945"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We fitted logistic regression models to estimate the associations of the Hospital Frailty Risk Score to three outcomes: 30-day mortality, long length of stay (&gt;10 days in hospital) and emergency readmission within 30 days of discharge (excluding patients who died in hospital). We estimated models with and without adjusting for the effects of patients’ age, sex, socioeconomic status, admission history and Charlson comorbidity index</w:t>
      </w:r>
      <w:r w:rsidRPr="00A61228">
        <w:rPr>
          <w:rFonts w:ascii="Times New Roman" w:hAnsi="Times New Roman" w:cs="Times New Roman"/>
          <w:noProof/>
          <w:sz w:val="20"/>
          <w:szCs w:val="20"/>
          <w:vertAlign w:val="superscript"/>
        </w:rPr>
        <w:t>19</w:t>
      </w:r>
      <w:r w:rsidRPr="00A61228">
        <w:rPr>
          <w:rFonts w:ascii="Times New Roman" w:hAnsi="Times New Roman" w:cs="Times New Roman"/>
          <w:sz w:val="20"/>
          <w:szCs w:val="20"/>
        </w:rPr>
        <w:t xml:space="preserve"> as important predictors of these outcomes. Hospitals were included as random effects in the models to account for similarities in outcomes among patients treated in the same hospital compared to the whole population. Associations between the categories and each outcome are presented using odds ratios (ORs) with their 95% confidence intervals (CIs). Model discrimination was summarised with a mean hospital-specific c-statistic. Details are given in Appendix 3.</w:t>
      </w:r>
    </w:p>
    <w:p w14:paraId="4CFC499C"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Testing agreement with clinical frailty scales</w:t>
      </w:r>
    </w:p>
    <w:p w14:paraId="05A0D4F2"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For the second validation exercise, we used a linked dataset on a local cohort of 569 patients who had complete clinical frailty scale data and a linked HES record (Table 1). These data were used to test agreement between frailty ratings based on our hospital frailty risk score and two prominent clinical measures of frailty; the Fried Phenotype and the Rockwood Frailty Index. The variables used to construct these two measures are described in Appendix 4. For the purpose of calculating agreement, patients were classified as either frail or non-frail using each scale. The Fried model is based on five items, and for this study frailty was defined as having three or more items present</w:t>
      </w:r>
      <w:r w:rsidRPr="00A61228">
        <w:rPr>
          <w:rFonts w:ascii="Times New Roman" w:hAnsi="Times New Roman" w:cs="Times New Roman"/>
          <w:noProof/>
          <w:sz w:val="20"/>
          <w:szCs w:val="20"/>
          <w:vertAlign w:val="superscript"/>
        </w:rPr>
        <w:t>20</w:t>
      </w:r>
      <w:r w:rsidRPr="00A61228">
        <w:rPr>
          <w:rFonts w:ascii="Times New Roman" w:hAnsi="Times New Roman" w:cs="Times New Roman"/>
          <w:sz w:val="20"/>
          <w:szCs w:val="20"/>
        </w:rPr>
        <w:t>. The Rockwood index is based on a cumulative deficit of items, presented as a proportion of total items. For this study, a threshold of 0·25 was used to indicate frailty, as this has been proposed as a useful operational cut-off.</w:t>
      </w:r>
      <w:r w:rsidRPr="00A61228">
        <w:rPr>
          <w:rFonts w:ascii="Times New Roman" w:hAnsi="Times New Roman" w:cs="Times New Roman"/>
          <w:noProof/>
          <w:sz w:val="20"/>
          <w:szCs w:val="20"/>
          <w:vertAlign w:val="superscript"/>
        </w:rPr>
        <w:t>21</w:t>
      </w:r>
      <w:r w:rsidRPr="00A61228">
        <w:rPr>
          <w:rFonts w:ascii="Times New Roman" w:hAnsi="Times New Roman" w:cs="Times New Roman"/>
          <w:sz w:val="20"/>
          <w:szCs w:val="20"/>
        </w:rPr>
        <w:t xml:space="preserve"> For our Hospital Frailty Risk Score, those in the intermediate and high risk categories were classified as frail. We assessed agreement using kappa coefficients with their 95% confidence intervals. In addition, Pearson’s correlation coefficient was used to describe the association between the continuous versions of the hospital frailty risk score and the Rockwood Index.</w:t>
      </w:r>
    </w:p>
    <w:p w14:paraId="0615F147"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Analyses were performed in SAS version 9·4 and R version 3·3·0.</w:t>
      </w:r>
    </w:p>
    <w:p w14:paraId="12D5EE76" w14:textId="77777777" w:rsidR="005178B0" w:rsidRPr="00A61228" w:rsidRDefault="005178B0" w:rsidP="002C7B49">
      <w:pPr>
        <w:rPr>
          <w:rFonts w:ascii="Times New Roman" w:hAnsi="Times New Roman" w:cs="Times New Roman"/>
          <w:b/>
          <w:sz w:val="20"/>
          <w:szCs w:val="20"/>
        </w:rPr>
      </w:pPr>
      <w:r w:rsidRPr="00A61228">
        <w:rPr>
          <w:rFonts w:ascii="Times New Roman" w:hAnsi="Times New Roman" w:cs="Times New Roman"/>
          <w:b/>
          <w:sz w:val="20"/>
          <w:szCs w:val="20"/>
        </w:rPr>
        <w:t>Results</w:t>
      </w:r>
    </w:p>
    <w:p w14:paraId="3429EB27"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Characteristics of the three cohorts used in the development and validation work are summarised in Table 1.</w:t>
      </w:r>
    </w:p>
    <w:p w14:paraId="472EF92E" w14:textId="77777777" w:rsidR="005178B0" w:rsidRPr="00A61228" w:rsidRDefault="005178B0" w:rsidP="002C7B49">
      <w:pPr>
        <w:rPr>
          <w:rFonts w:ascii="Times New Roman" w:hAnsi="Times New Roman" w:cs="Times New Roman"/>
          <w:i/>
          <w:sz w:val="20"/>
          <w:szCs w:val="20"/>
        </w:rPr>
      </w:pPr>
      <w:r w:rsidRPr="00A61228">
        <w:rPr>
          <w:rFonts w:ascii="Times New Roman" w:hAnsi="Times New Roman" w:cs="Times New Roman"/>
          <w:i/>
          <w:sz w:val="20"/>
          <w:szCs w:val="20"/>
        </w:rPr>
        <w:t>Development</w:t>
      </w:r>
    </w:p>
    <w:p w14:paraId="701A3485"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Initial cluster analysis</w:t>
      </w:r>
    </w:p>
    <w:p w14:paraId="385DD837"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Among the 22,139 patients included in the development study, the mean age was 83 years, over half (</w:t>
      </w:r>
      <w:r w:rsidR="00405599">
        <w:rPr>
          <w:rFonts w:ascii="Times New Roman" w:hAnsi="Times New Roman" w:cs="Times New Roman"/>
          <w:sz w:val="20"/>
          <w:szCs w:val="20"/>
        </w:rPr>
        <w:t xml:space="preserve">12,796 </w:t>
      </w:r>
      <w:r w:rsidR="00C33D9C">
        <w:rPr>
          <w:rFonts w:ascii="Times New Roman" w:hAnsi="Times New Roman" w:cs="Times New Roman"/>
          <w:sz w:val="20"/>
          <w:szCs w:val="20"/>
        </w:rPr>
        <w:t xml:space="preserve"> </w:t>
      </w:r>
      <w:r w:rsidR="00405599">
        <w:rPr>
          <w:rFonts w:ascii="Times New Roman" w:hAnsi="Times New Roman" w:cs="Times New Roman"/>
          <w:sz w:val="20"/>
          <w:szCs w:val="20"/>
        </w:rPr>
        <w:t xml:space="preserve">, </w:t>
      </w:r>
      <w:r w:rsidRPr="00A61228">
        <w:rPr>
          <w:rFonts w:ascii="Times New Roman" w:hAnsi="Times New Roman" w:cs="Times New Roman"/>
          <w:sz w:val="20"/>
          <w:szCs w:val="20"/>
        </w:rPr>
        <w:t>58%) were female (Table 1).</w:t>
      </w:r>
      <w:r>
        <w:rPr>
          <w:rFonts w:ascii="Times New Roman" w:hAnsi="Times New Roman" w:cs="Times New Roman"/>
          <w:sz w:val="20"/>
          <w:szCs w:val="20"/>
        </w:rPr>
        <w:t xml:space="preserve"> </w:t>
      </w:r>
      <w:r w:rsidR="00C33D9C">
        <w:rPr>
          <w:rFonts w:ascii="Times New Roman" w:hAnsi="Times New Roman" w:cs="Times New Roman"/>
          <w:sz w:val="20"/>
          <w:szCs w:val="20"/>
        </w:rPr>
        <w:t>10,029 (</w:t>
      </w:r>
      <w:r w:rsidRPr="00A61228">
        <w:rPr>
          <w:rFonts w:ascii="Times New Roman" w:hAnsi="Times New Roman" w:cs="Times New Roman"/>
          <w:sz w:val="20"/>
          <w:szCs w:val="20"/>
        </w:rPr>
        <w:t>45%</w:t>
      </w:r>
      <w:r w:rsidR="00C33D9C">
        <w:rPr>
          <w:rFonts w:ascii="Times New Roman" w:hAnsi="Times New Roman" w:cs="Times New Roman"/>
          <w:sz w:val="20"/>
          <w:szCs w:val="20"/>
        </w:rPr>
        <w:t>)</w:t>
      </w:r>
      <w:r>
        <w:rPr>
          <w:rFonts w:ascii="Times New Roman" w:hAnsi="Times New Roman" w:cs="Times New Roman"/>
          <w:sz w:val="20"/>
          <w:szCs w:val="20"/>
        </w:rPr>
        <w:t xml:space="preserve"> had just one hospital admission, the remainder admitted more than once </w:t>
      </w:r>
      <w:r w:rsidRPr="00A61228">
        <w:rPr>
          <w:rFonts w:ascii="Times New Roman" w:hAnsi="Times New Roman" w:cs="Times New Roman"/>
          <w:sz w:val="20"/>
          <w:szCs w:val="20"/>
        </w:rPr>
        <w:t>over a two year period. To characterise the different groups in this cohort, six clusters were selected. The characteristics of people in each of the clusters are summarised in Table 2. Box 1 lists the ICD-10 codes that were over-represented in each of these clusters.</w:t>
      </w:r>
    </w:p>
    <w:p w14:paraId="033C803D" w14:textId="1DD453FA"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One of the six clusters was identified as likely to represent frailty based on the high proportion (</w:t>
      </w:r>
      <w:r w:rsidR="00FC762A">
        <w:rPr>
          <w:rFonts w:ascii="Times New Roman" w:hAnsi="Times New Roman" w:cs="Times New Roman"/>
          <w:sz w:val="20"/>
          <w:szCs w:val="20"/>
        </w:rPr>
        <w:t>4</w:t>
      </w:r>
      <w:r w:rsidR="00C33D9C">
        <w:rPr>
          <w:rFonts w:ascii="Times New Roman" w:hAnsi="Times New Roman" w:cs="Times New Roman"/>
          <w:sz w:val="20"/>
          <w:szCs w:val="20"/>
        </w:rPr>
        <w:t>,073</w:t>
      </w:r>
      <w:r w:rsidR="00405599">
        <w:rPr>
          <w:rFonts w:ascii="Times New Roman" w:hAnsi="Times New Roman" w:cs="Times New Roman"/>
          <w:sz w:val="20"/>
          <w:szCs w:val="20"/>
        </w:rPr>
        <w:t xml:space="preserve"> out of </w:t>
      </w:r>
      <w:r w:rsidR="00FC762A">
        <w:rPr>
          <w:rFonts w:ascii="Times New Roman" w:hAnsi="Times New Roman" w:cs="Times New Roman"/>
          <w:sz w:val="20"/>
          <w:szCs w:val="20"/>
        </w:rPr>
        <w:t>4,907</w:t>
      </w:r>
      <w:r w:rsidR="00C33D9C">
        <w:rPr>
          <w:rFonts w:ascii="Times New Roman" w:hAnsi="Times New Roman" w:cs="Times New Roman"/>
          <w:sz w:val="20"/>
          <w:szCs w:val="20"/>
        </w:rPr>
        <w:t xml:space="preserve">, </w:t>
      </w:r>
      <w:r w:rsidRPr="00A61228">
        <w:rPr>
          <w:rFonts w:ascii="Times New Roman" w:hAnsi="Times New Roman" w:cs="Times New Roman"/>
          <w:sz w:val="20"/>
          <w:szCs w:val="20"/>
        </w:rPr>
        <w:t xml:space="preserve">83%) with at least one frailty marker from </w:t>
      </w:r>
      <w:r>
        <w:rPr>
          <w:rFonts w:ascii="Times New Roman" w:hAnsi="Times New Roman" w:cs="Times New Roman"/>
          <w:sz w:val="20"/>
          <w:szCs w:val="20"/>
        </w:rPr>
        <w:t>the</w:t>
      </w:r>
      <w:r w:rsidRPr="00A61228">
        <w:rPr>
          <w:rFonts w:ascii="Times New Roman" w:hAnsi="Times New Roman" w:cs="Times New Roman"/>
          <w:sz w:val="20"/>
          <w:szCs w:val="20"/>
        </w:rPr>
        <w:t xml:space="preserve"> pre-defined list of ICD-10 codes (Appendix 1), compared to 29% </w:t>
      </w:r>
      <w:r w:rsidR="00FC762A">
        <w:rPr>
          <w:rFonts w:ascii="Times New Roman" w:hAnsi="Times New Roman" w:cs="Times New Roman"/>
          <w:sz w:val="20"/>
          <w:szCs w:val="20"/>
        </w:rPr>
        <w:t>(4,997</w:t>
      </w:r>
      <w:r w:rsidR="00405599">
        <w:rPr>
          <w:rFonts w:ascii="Times New Roman" w:hAnsi="Times New Roman" w:cs="Times New Roman"/>
          <w:sz w:val="20"/>
          <w:szCs w:val="20"/>
        </w:rPr>
        <w:t xml:space="preserve"> out of </w:t>
      </w:r>
      <w:r w:rsidR="00FC762A">
        <w:rPr>
          <w:rFonts w:ascii="Times New Roman" w:hAnsi="Times New Roman" w:cs="Times New Roman"/>
          <w:sz w:val="20"/>
          <w:szCs w:val="20"/>
        </w:rPr>
        <w:t xml:space="preserve">17,232) </w:t>
      </w:r>
      <w:r w:rsidRPr="00A61228">
        <w:rPr>
          <w:rFonts w:ascii="Times New Roman" w:hAnsi="Times New Roman" w:cs="Times New Roman"/>
          <w:sz w:val="20"/>
          <w:szCs w:val="20"/>
        </w:rPr>
        <w:t>in the rest of the cohort. The proportions with at least one frailty syndrome</w:t>
      </w:r>
      <w:r w:rsidRPr="00A61228">
        <w:rPr>
          <w:rFonts w:ascii="Times New Roman" w:hAnsi="Times New Roman" w:cs="Times New Roman"/>
          <w:noProof/>
          <w:sz w:val="20"/>
          <w:szCs w:val="20"/>
          <w:vertAlign w:val="superscript"/>
        </w:rPr>
        <w:t>17</w:t>
      </w:r>
      <w:r w:rsidRPr="00A61228">
        <w:rPr>
          <w:rFonts w:ascii="Times New Roman" w:hAnsi="Times New Roman" w:cs="Times New Roman"/>
          <w:sz w:val="20"/>
          <w:szCs w:val="20"/>
        </w:rPr>
        <w:t xml:space="preserve"> documented were </w:t>
      </w:r>
      <w:r w:rsidR="00405599">
        <w:rPr>
          <w:rFonts w:ascii="Times New Roman" w:hAnsi="Times New Roman" w:cs="Times New Roman"/>
          <w:sz w:val="20"/>
          <w:szCs w:val="20"/>
        </w:rPr>
        <w:t>4,259 (</w:t>
      </w:r>
      <w:r w:rsidRPr="00A61228">
        <w:rPr>
          <w:rFonts w:ascii="Times New Roman" w:hAnsi="Times New Roman" w:cs="Times New Roman"/>
          <w:sz w:val="20"/>
          <w:szCs w:val="20"/>
        </w:rPr>
        <w:t>87%</w:t>
      </w:r>
      <w:r w:rsidR="00405599">
        <w:rPr>
          <w:rFonts w:ascii="Times New Roman" w:hAnsi="Times New Roman" w:cs="Times New Roman"/>
          <w:sz w:val="20"/>
          <w:szCs w:val="20"/>
        </w:rPr>
        <w:t>) out of 4,907 and 6,031(</w:t>
      </w:r>
      <w:r w:rsidRPr="00A61228">
        <w:rPr>
          <w:rFonts w:ascii="Times New Roman" w:hAnsi="Times New Roman" w:cs="Times New Roman"/>
          <w:sz w:val="20"/>
          <w:szCs w:val="20"/>
        </w:rPr>
        <w:t>35%</w:t>
      </w:r>
      <w:r w:rsidR="00405599">
        <w:rPr>
          <w:rFonts w:ascii="Times New Roman" w:hAnsi="Times New Roman" w:cs="Times New Roman"/>
          <w:sz w:val="20"/>
          <w:szCs w:val="20"/>
        </w:rPr>
        <w:t>) out of 17,232</w:t>
      </w:r>
      <w:r w:rsidR="00FC762A">
        <w:rPr>
          <w:rFonts w:ascii="Times New Roman" w:hAnsi="Times New Roman" w:cs="Times New Roman"/>
          <w:sz w:val="20"/>
          <w:szCs w:val="20"/>
        </w:rPr>
        <w:t xml:space="preserve"> </w:t>
      </w:r>
      <w:r w:rsidRPr="00A61228">
        <w:rPr>
          <w:rFonts w:ascii="Times New Roman" w:hAnsi="Times New Roman" w:cs="Times New Roman"/>
          <w:sz w:val="20"/>
          <w:szCs w:val="20"/>
        </w:rPr>
        <w:t>respectively. This frail cluster made up a fifth of the cohort</w:t>
      </w:r>
      <w:r w:rsidR="00FC762A">
        <w:rPr>
          <w:rFonts w:ascii="Times New Roman" w:hAnsi="Times New Roman" w:cs="Times New Roman"/>
          <w:sz w:val="20"/>
          <w:szCs w:val="20"/>
        </w:rPr>
        <w:t xml:space="preserve"> (4,907</w:t>
      </w:r>
      <w:r w:rsidR="00405599">
        <w:rPr>
          <w:rFonts w:ascii="Times New Roman" w:hAnsi="Times New Roman" w:cs="Times New Roman"/>
          <w:sz w:val="20"/>
          <w:szCs w:val="20"/>
        </w:rPr>
        <w:t xml:space="preserve"> out of 22,139</w:t>
      </w:r>
      <w:r w:rsidR="00FC762A">
        <w:rPr>
          <w:rFonts w:ascii="Times New Roman" w:hAnsi="Times New Roman" w:cs="Times New Roman"/>
          <w:sz w:val="20"/>
          <w:szCs w:val="20"/>
        </w:rPr>
        <w:t>)</w:t>
      </w:r>
      <w:r w:rsidRPr="00A61228">
        <w:rPr>
          <w:rFonts w:ascii="Times New Roman" w:hAnsi="Times New Roman" w:cs="Times New Roman"/>
          <w:sz w:val="20"/>
          <w:szCs w:val="20"/>
        </w:rPr>
        <w:t xml:space="preserve">, but accounted for half of all days spent in hospital over the </w:t>
      </w:r>
      <w:r w:rsidRPr="00A61228">
        <w:rPr>
          <w:rFonts w:ascii="Times New Roman" w:hAnsi="Times New Roman" w:cs="Times New Roman"/>
          <w:sz w:val="20"/>
          <w:szCs w:val="20"/>
        </w:rPr>
        <w:lastRenderedPageBreak/>
        <w:t xml:space="preserve">two years. Half </w:t>
      </w:r>
      <w:r w:rsidR="00FC762A">
        <w:rPr>
          <w:rFonts w:ascii="Times New Roman" w:hAnsi="Times New Roman" w:cs="Times New Roman"/>
          <w:sz w:val="20"/>
          <w:szCs w:val="20"/>
        </w:rPr>
        <w:t>(2,350</w:t>
      </w:r>
      <w:r w:rsidR="00405599">
        <w:rPr>
          <w:rFonts w:ascii="Times New Roman" w:hAnsi="Times New Roman" w:cs="Times New Roman"/>
          <w:sz w:val="20"/>
          <w:szCs w:val="20"/>
        </w:rPr>
        <w:t xml:space="preserve"> out of 4,907</w:t>
      </w:r>
      <w:r w:rsidR="00FC762A">
        <w:rPr>
          <w:rFonts w:ascii="Times New Roman" w:hAnsi="Times New Roman" w:cs="Times New Roman"/>
          <w:sz w:val="20"/>
          <w:szCs w:val="20"/>
        </w:rPr>
        <w:t xml:space="preserve">) </w:t>
      </w:r>
      <w:r w:rsidRPr="00A61228">
        <w:rPr>
          <w:rFonts w:ascii="Times New Roman" w:hAnsi="Times New Roman" w:cs="Times New Roman"/>
          <w:sz w:val="20"/>
          <w:szCs w:val="20"/>
        </w:rPr>
        <w:t>of those in the frail cluster died over this period, compared to less than a quarter of others in the cohort (Table 2).</w:t>
      </w:r>
    </w:p>
    <w:p w14:paraId="431057DC"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Development of </w:t>
      </w:r>
      <w:r>
        <w:rPr>
          <w:rFonts w:ascii="Times New Roman" w:hAnsi="Times New Roman" w:cs="Times New Roman"/>
          <w:sz w:val="20"/>
          <w:szCs w:val="20"/>
        </w:rPr>
        <w:t>the</w:t>
      </w:r>
      <w:r w:rsidRPr="00A61228">
        <w:rPr>
          <w:rFonts w:ascii="Times New Roman" w:hAnsi="Times New Roman" w:cs="Times New Roman"/>
          <w:sz w:val="20"/>
          <w:szCs w:val="20"/>
        </w:rPr>
        <w:t xml:space="preserve"> Hospital Frailty Risk Score</w:t>
      </w:r>
    </w:p>
    <w:p w14:paraId="65077980"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In the cluster analysis, there were 109 three-character ICD-10 diagnostic codes that were at least twice as prevalent in the frail cluster compared to other clusters in the development cohort (Box 1 shows the top 36). The list included measures of acuity relevant to the hospital context, such as acute infections, hospital acquired problems and cerebrovascular disease, as well as recognised frailty syndromes such as falls, fractures and cognitive impairment. The model including these ICD-10 codes as predictors discriminated strongly between patients in the frail vs other non-frail groups, with a c-statistic of 0·94. </w:t>
      </w:r>
    </w:p>
    <w:p w14:paraId="6ACD0787" w14:textId="77777777" w:rsidR="005178B0" w:rsidRPr="00A61228" w:rsidRDefault="005178B0" w:rsidP="002C7B49">
      <w:pPr>
        <w:rPr>
          <w:rFonts w:ascii="Times New Roman" w:hAnsi="Times New Roman" w:cs="Times New Roman"/>
          <w:i/>
          <w:sz w:val="20"/>
          <w:szCs w:val="20"/>
        </w:rPr>
      </w:pPr>
      <w:r w:rsidRPr="00A61228">
        <w:rPr>
          <w:rFonts w:ascii="Times New Roman" w:hAnsi="Times New Roman" w:cs="Times New Roman"/>
          <w:i/>
          <w:sz w:val="20"/>
          <w:szCs w:val="20"/>
        </w:rPr>
        <w:t>Validation</w:t>
      </w:r>
    </w:p>
    <w:p w14:paraId="56A6B2B0"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Ability of hospital frailty risk score to predict outcomes following emergency admission</w:t>
      </w:r>
    </w:p>
    <w:p w14:paraId="5421F276" w14:textId="7C4D161A"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In the national validation cohort of over a million patients, </w:t>
      </w:r>
      <w:r w:rsidR="00405599">
        <w:rPr>
          <w:rFonts w:ascii="Times New Roman" w:hAnsi="Times New Roman" w:cs="Times New Roman"/>
          <w:sz w:val="20"/>
          <w:szCs w:val="20"/>
        </w:rPr>
        <w:t>629,440</w:t>
      </w:r>
      <w:r w:rsidRPr="00A61228">
        <w:rPr>
          <w:rFonts w:ascii="Times New Roman" w:hAnsi="Times New Roman" w:cs="Times New Roman"/>
          <w:sz w:val="20"/>
          <w:szCs w:val="20"/>
        </w:rPr>
        <w:t xml:space="preserve"> (59·</w:t>
      </w:r>
      <w:r w:rsidR="00FC762A">
        <w:rPr>
          <w:rFonts w:ascii="Times New Roman" w:hAnsi="Times New Roman" w:cs="Times New Roman"/>
          <w:sz w:val="20"/>
          <w:szCs w:val="20"/>
        </w:rPr>
        <w:t>9</w:t>
      </w:r>
      <w:r w:rsidRPr="00A61228">
        <w:rPr>
          <w:rFonts w:ascii="Times New Roman" w:hAnsi="Times New Roman" w:cs="Times New Roman"/>
          <w:sz w:val="20"/>
          <w:szCs w:val="20"/>
        </w:rPr>
        <w:t xml:space="preserve">%) had at least one previous admission over the two years before their index emergency admission, and </w:t>
      </w:r>
      <w:r w:rsidR="00405599">
        <w:rPr>
          <w:rFonts w:ascii="Times New Roman" w:hAnsi="Times New Roman" w:cs="Times New Roman"/>
          <w:sz w:val="20"/>
          <w:szCs w:val="20"/>
        </w:rPr>
        <w:t>263,533</w:t>
      </w:r>
      <w:r w:rsidRPr="00A61228">
        <w:rPr>
          <w:rFonts w:ascii="Times New Roman" w:hAnsi="Times New Roman" w:cs="Times New Roman"/>
          <w:sz w:val="20"/>
          <w:szCs w:val="20"/>
        </w:rPr>
        <w:t xml:space="preserve"> (26·0%</w:t>
      </w:r>
      <w:r w:rsidR="00405599">
        <w:rPr>
          <w:rFonts w:ascii="Times New Roman" w:hAnsi="Times New Roman" w:cs="Times New Roman"/>
          <w:sz w:val="20"/>
          <w:szCs w:val="20"/>
        </w:rPr>
        <w:t>)</w:t>
      </w:r>
      <w:r w:rsidR="00FC762A">
        <w:rPr>
          <w:rFonts w:ascii="Times New Roman" w:hAnsi="Times New Roman" w:cs="Times New Roman"/>
          <w:sz w:val="20"/>
          <w:szCs w:val="20"/>
        </w:rPr>
        <w:t xml:space="preserve"> </w:t>
      </w:r>
      <w:r w:rsidRPr="00A61228">
        <w:rPr>
          <w:rFonts w:ascii="Times New Roman" w:hAnsi="Times New Roman" w:cs="Times New Roman"/>
          <w:sz w:val="20"/>
          <w:szCs w:val="20"/>
        </w:rPr>
        <w:t>had three or more previous admissions. In common with the development cohort, over half (57·</w:t>
      </w:r>
      <w:r w:rsidR="00FC762A">
        <w:rPr>
          <w:rFonts w:ascii="Times New Roman" w:hAnsi="Times New Roman" w:cs="Times New Roman"/>
          <w:sz w:val="20"/>
          <w:szCs w:val="20"/>
        </w:rPr>
        <w:t>4</w:t>
      </w:r>
      <w:r w:rsidRPr="00A61228">
        <w:rPr>
          <w:rFonts w:ascii="Times New Roman" w:hAnsi="Times New Roman" w:cs="Times New Roman"/>
          <w:sz w:val="20"/>
          <w:szCs w:val="20"/>
        </w:rPr>
        <w:t>%</w:t>
      </w:r>
      <w:r w:rsidR="00FC762A">
        <w:rPr>
          <w:rFonts w:ascii="Times New Roman" w:hAnsi="Times New Roman" w:cs="Times New Roman"/>
          <w:sz w:val="20"/>
          <w:szCs w:val="20"/>
        </w:rPr>
        <w:t>, 581,801</w:t>
      </w:r>
      <w:r w:rsidRPr="00A61228">
        <w:rPr>
          <w:rFonts w:ascii="Times New Roman" w:hAnsi="Times New Roman" w:cs="Times New Roman"/>
          <w:sz w:val="20"/>
          <w:szCs w:val="20"/>
        </w:rPr>
        <w:t>) were women and the mean age was 84 years (Table 1).</w:t>
      </w:r>
    </w:p>
    <w:p w14:paraId="355F819E"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Patients had Hospital Frailty Risk Scores ranging from 0-99, but this was heavily skewed to the right: two-fifths</w:t>
      </w:r>
      <w:r w:rsidR="00FC762A">
        <w:rPr>
          <w:rFonts w:ascii="Times New Roman" w:hAnsi="Times New Roman" w:cs="Times New Roman"/>
          <w:sz w:val="20"/>
          <w:szCs w:val="20"/>
        </w:rPr>
        <w:t xml:space="preserve"> (429,762)</w:t>
      </w:r>
      <w:r w:rsidRPr="00A61228">
        <w:rPr>
          <w:rFonts w:ascii="Times New Roman" w:hAnsi="Times New Roman" w:cs="Times New Roman"/>
          <w:sz w:val="20"/>
          <w:szCs w:val="20"/>
        </w:rPr>
        <w:t xml:space="preserve"> were categorised as low risk using a cut-point of &lt;5, </w:t>
      </w:r>
      <w:r w:rsidR="00FC762A">
        <w:rPr>
          <w:rFonts w:ascii="Times New Roman" w:hAnsi="Times New Roman" w:cs="Times New Roman"/>
          <w:sz w:val="20"/>
          <w:szCs w:val="20"/>
        </w:rPr>
        <w:t xml:space="preserve">nearly </w:t>
      </w:r>
      <w:r w:rsidRPr="00A61228">
        <w:rPr>
          <w:rFonts w:ascii="Times New Roman" w:hAnsi="Times New Roman" w:cs="Times New Roman"/>
          <w:sz w:val="20"/>
          <w:szCs w:val="20"/>
        </w:rPr>
        <w:t xml:space="preserve">two-fifths </w:t>
      </w:r>
      <w:r w:rsidR="00FC762A">
        <w:rPr>
          <w:rFonts w:ascii="Times New Roman" w:hAnsi="Times New Roman" w:cs="Times New Roman"/>
          <w:sz w:val="20"/>
          <w:szCs w:val="20"/>
        </w:rPr>
        <w:t xml:space="preserve">(381,110) </w:t>
      </w:r>
      <w:r w:rsidRPr="00A61228">
        <w:rPr>
          <w:rFonts w:ascii="Times New Roman" w:hAnsi="Times New Roman" w:cs="Times New Roman"/>
          <w:sz w:val="20"/>
          <w:szCs w:val="20"/>
        </w:rPr>
        <w:t xml:space="preserve">as intermediate risk (5-15) and one fifth </w:t>
      </w:r>
      <w:r w:rsidR="00FC762A">
        <w:rPr>
          <w:rFonts w:ascii="Times New Roman" w:hAnsi="Times New Roman" w:cs="Times New Roman"/>
          <w:sz w:val="20"/>
          <w:szCs w:val="20"/>
        </w:rPr>
        <w:t xml:space="preserve">(202,718) </w:t>
      </w:r>
      <w:r w:rsidRPr="00A61228">
        <w:rPr>
          <w:rFonts w:ascii="Times New Roman" w:hAnsi="Times New Roman" w:cs="Times New Roman"/>
          <w:sz w:val="20"/>
          <w:szCs w:val="20"/>
        </w:rPr>
        <w:t>as high-risk (&gt;15). The proportion of patients with poor outcomes increased with increasing values of the score, but the association with mortality flattened out above a score of 15. The association with having a long stay reduced for the very small group of patients with a score &gt;30</w:t>
      </w:r>
      <w:r w:rsidRPr="00A61228" w:rsidDel="007E2C84">
        <w:rPr>
          <w:rFonts w:ascii="Times New Roman" w:hAnsi="Times New Roman" w:cs="Times New Roman"/>
          <w:sz w:val="20"/>
          <w:szCs w:val="20"/>
        </w:rPr>
        <w:t xml:space="preserve"> </w:t>
      </w:r>
      <w:r w:rsidRPr="00A61228">
        <w:rPr>
          <w:rFonts w:ascii="Times New Roman" w:hAnsi="Times New Roman" w:cs="Times New Roman"/>
          <w:sz w:val="20"/>
          <w:szCs w:val="20"/>
        </w:rPr>
        <w:t>(Figure 1).</w:t>
      </w:r>
    </w:p>
    <w:p w14:paraId="2BFC61B1"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Across the three categories of increasing frailty risk, the mean Charlson comorbidity index increased from 2·0 to 4·5 and the proportion with three or more past admissions increased from 8·0%</w:t>
      </w:r>
      <w:r w:rsidR="000E42A1">
        <w:rPr>
          <w:rFonts w:ascii="Times New Roman" w:hAnsi="Times New Roman" w:cs="Times New Roman"/>
          <w:sz w:val="20"/>
          <w:szCs w:val="20"/>
        </w:rPr>
        <w:t xml:space="preserve"> (34,380 </w:t>
      </w:r>
      <w:r w:rsidR="00405599">
        <w:rPr>
          <w:rFonts w:ascii="Times New Roman" w:hAnsi="Times New Roman" w:cs="Times New Roman"/>
          <w:sz w:val="20"/>
          <w:szCs w:val="20"/>
        </w:rPr>
        <w:t>out of</w:t>
      </w:r>
      <w:r w:rsidR="000E42A1">
        <w:rPr>
          <w:rFonts w:ascii="Times New Roman" w:hAnsi="Times New Roman" w:cs="Times New Roman"/>
          <w:sz w:val="20"/>
          <w:szCs w:val="20"/>
        </w:rPr>
        <w:t xml:space="preserve"> 429,762)</w:t>
      </w:r>
      <w:r w:rsidRPr="00A61228">
        <w:rPr>
          <w:rFonts w:ascii="Times New Roman" w:hAnsi="Times New Roman" w:cs="Times New Roman"/>
          <w:sz w:val="20"/>
          <w:szCs w:val="20"/>
        </w:rPr>
        <w:t xml:space="preserve"> to 49·6%</w:t>
      </w:r>
      <w:r w:rsidR="000E42A1">
        <w:rPr>
          <w:rFonts w:ascii="Times New Roman" w:hAnsi="Times New Roman" w:cs="Times New Roman"/>
          <w:sz w:val="20"/>
          <w:szCs w:val="20"/>
        </w:rPr>
        <w:t xml:space="preserve"> ( 100,548 </w:t>
      </w:r>
      <w:r w:rsidR="00405599">
        <w:rPr>
          <w:rFonts w:ascii="Times New Roman" w:hAnsi="Times New Roman" w:cs="Times New Roman"/>
          <w:sz w:val="20"/>
          <w:szCs w:val="20"/>
        </w:rPr>
        <w:t>out of</w:t>
      </w:r>
      <w:r w:rsidR="000E42A1">
        <w:rPr>
          <w:rFonts w:ascii="Times New Roman" w:hAnsi="Times New Roman" w:cs="Times New Roman"/>
          <w:sz w:val="20"/>
          <w:szCs w:val="20"/>
        </w:rPr>
        <w:t xml:space="preserve"> 202,718)</w:t>
      </w:r>
      <w:r w:rsidRPr="00A61228">
        <w:rPr>
          <w:rFonts w:ascii="Times New Roman" w:hAnsi="Times New Roman" w:cs="Times New Roman"/>
          <w:sz w:val="20"/>
          <w:szCs w:val="20"/>
        </w:rPr>
        <w:t xml:space="preserve">. The proportions with at least one frailty syndrome increased from 22·9% </w:t>
      </w:r>
      <w:r w:rsidR="00405599">
        <w:rPr>
          <w:rFonts w:ascii="Times New Roman" w:hAnsi="Times New Roman" w:cs="Times New Roman"/>
          <w:sz w:val="20"/>
          <w:szCs w:val="20"/>
        </w:rPr>
        <w:t>(98,415 out of</w:t>
      </w:r>
      <w:r w:rsidR="000E42A1">
        <w:rPr>
          <w:rFonts w:ascii="Times New Roman" w:hAnsi="Times New Roman" w:cs="Times New Roman"/>
          <w:sz w:val="20"/>
          <w:szCs w:val="20"/>
        </w:rPr>
        <w:t xml:space="preserve"> 429,762) </w:t>
      </w:r>
      <w:r w:rsidRPr="00A61228">
        <w:rPr>
          <w:rFonts w:ascii="Times New Roman" w:hAnsi="Times New Roman" w:cs="Times New Roman"/>
          <w:sz w:val="20"/>
          <w:szCs w:val="20"/>
        </w:rPr>
        <w:t>to 94·7%</w:t>
      </w:r>
      <w:r w:rsidR="000E42A1">
        <w:rPr>
          <w:rFonts w:ascii="Times New Roman" w:hAnsi="Times New Roman" w:cs="Times New Roman"/>
          <w:sz w:val="20"/>
          <w:szCs w:val="20"/>
        </w:rPr>
        <w:t xml:space="preserve"> (</w:t>
      </w:r>
      <w:r w:rsidR="00405599">
        <w:rPr>
          <w:rFonts w:ascii="Times New Roman" w:hAnsi="Times New Roman" w:cs="Times New Roman"/>
          <w:sz w:val="20"/>
          <w:szCs w:val="20"/>
        </w:rPr>
        <w:t>191,973 out of</w:t>
      </w:r>
      <w:r w:rsidR="000E42A1">
        <w:rPr>
          <w:rFonts w:ascii="Times New Roman" w:hAnsi="Times New Roman" w:cs="Times New Roman"/>
          <w:sz w:val="20"/>
          <w:szCs w:val="20"/>
        </w:rPr>
        <w:t xml:space="preserve"> 202,718)</w:t>
      </w:r>
      <w:r w:rsidRPr="00A61228">
        <w:rPr>
          <w:rFonts w:ascii="Times New Roman" w:hAnsi="Times New Roman" w:cs="Times New Roman"/>
          <w:sz w:val="20"/>
          <w:szCs w:val="20"/>
        </w:rPr>
        <w:t xml:space="preserve">, with the most striking gradient for cognitive impairment, increasing from 4·6% </w:t>
      </w:r>
      <w:r w:rsidR="00405599">
        <w:rPr>
          <w:rFonts w:ascii="Times New Roman" w:hAnsi="Times New Roman" w:cs="Times New Roman"/>
          <w:sz w:val="20"/>
          <w:szCs w:val="20"/>
        </w:rPr>
        <w:t>(19,769 out of</w:t>
      </w:r>
      <w:r w:rsidR="000E42A1">
        <w:rPr>
          <w:rFonts w:ascii="Times New Roman" w:hAnsi="Times New Roman" w:cs="Times New Roman"/>
          <w:sz w:val="20"/>
          <w:szCs w:val="20"/>
        </w:rPr>
        <w:t xml:space="preserve"> 429,762) </w:t>
      </w:r>
      <w:r w:rsidRPr="00A61228">
        <w:rPr>
          <w:rFonts w:ascii="Times New Roman" w:hAnsi="Times New Roman" w:cs="Times New Roman"/>
          <w:sz w:val="20"/>
          <w:szCs w:val="20"/>
        </w:rPr>
        <w:t>to 67·0%</w:t>
      </w:r>
      <w:r w:rsidR="00405599">
        <w:rPr>
          <w:rFonts w:ascii="Times New Roman" w:hAnsi="Times New Roman" w:cs="Times New Roman"/>
          <w:sz w:val="20"/>
          <w:szCs w:val="20"/>
        </w:rPr>
        <w:t xml:space="preserve"> (135,821 out of</w:t>
      </w:r>
      <w:r w:rsidR="000E42A1">
        <w:rPr>
          <w:rFonts w:ascii="Times New Roman" w:hAnsi="Times New Roman" w:cs="Times New Roman"/>
          <w:sz w:val="20"/>
          <w:szCs w:val="20"/>
        </w:rPr>
        <w:t xml:space="preserve"> 202,718)</w:t>
      </w:r>
      <w:r w:rsidRPr="00A61228">
        <w:rPr>
          <w:rFonts w:ascii="Times New Roman" w:hAnsi="Times New Roman" w:cs="Times New Roman"/>
          <w:sz w:val="20"/>
          <w:szCs w:val="20"/>
        </w:rPr>
        <w:t>.</w:t>
      </w:r>
      <w:r>
        <w:rPr>
          <w:rFonts w:ascii="Times New Roman" w:hAnsi="Times New Roman" w:cs="Times New Roman"/>
          <w:sz w:val="20"/>
          <w:szCs w:val="20"/>
        </w:rPr>
        <w:t xml:space="preserve"> T</w:t>
      </w:r>
      <w:r w:rsidRPr="00AD0663">
        <w:rPr>
          <w:rFonts w:ascii="Times New Roman" w:hAnsi="Times New Roman" w:cs="Times New Roman"/>
          <w:sz w:val="20"/>
          <w:szCs w:val="20"/>
        </w:rPr>
        <w:t xml:space="preserve">he results of the analysis </w:t>
      </w:r>
      <w:r>
        <w:rPr>
          <w:rFonts w:ascii="Times New Roman" w:hAnsi="Times New Roman" w:cs="Times New Roman"/>
          <w:sz w:val="20"/>
          <w:szCs w:val="20"/>
        </w:rPr>
        <w:t>were</w:t>
      </w:r>
      <w:r w:rsidRPr="00AD0663">
        <w:rPr>
          <w:rFonts w:ascii="Times New Roman" w:hAnsi="Times New Roman" w:cs="Times New Roman"/>
          <w:sz w:val="20"/>
          <w:szCs w:val="20"/>
        </w:rPr>
        <w:t xml:space="preserve"> not sensitive to the inclusion or exclusion of people included in the development cohort</w:t>
      </w:r>
      <w:r>
        <w:rPr>
          <w:rFonts w:ascii="Times New Roman" w:hAnsi="Times New Roman" w:cs="Times New Roman"/>
          <w:sz w:val="20"/>
          <w:szCs w:val="20"/>
        </w:rPr>
        <w:t xml:space="preserve"> (Appendix 5).</w:t>
      </w:r>
    </w:p>
    <w:p w14:paraId="0C3C8E3C"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Those with high frailty risk had 70% higher adjusted odds of 30-day mortality compared to those in the low risk group (OR 1·71, 95% CI 1·68 to 1·75). They had six times the adjusted odds of a long stay in hospital (OR 6·03, 95% CI 5·92 to 6·10) and 50% increased odds of emergency readmission within 30 days (OR 1·48, 95% CI 1·46 to 1·50).</w:t>
      </w:r>
    </w:p>
    <w:p w14:paraId="0A29397D"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The hospital frailty risk score discriminated weakly between individuals with different outcomes within hospitals; the c-statistics were 0·60 for 30-day mortality, 0·68 for a long stay and 0·56 for 30-day readmission. The inclusion of patients’ other characteristics (age, sex, deprivation, admission history, comorbidity) improved discrimination to 0·69 for mortality, 0·73 for long length of stay and 0·61 for readmission.</w:t>
      </w:r>
    </w:p>
    <w:p w14:paraId="6A8F31E5"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Testing agreement with clinical frailty scales</w:t>
      </w:r>
    </w:p>
    <w:p w14:paraId="127A14F5" w14:textId="5AC3CED0"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In the second validation cohort, the mean age was 80 years, </w:t>
      </w:r>
      <w:r w:rsidR="00405599">
        <w:rPr>
          <w:rFonts w:ascii="Times New Roman" w:hAnsi="Times New Roman" w:cs="Times New Roman"/>
          <w:sz w:val="20"/>
          <w:szCs w:val="20"/>
        </w:rPr>
        <w:t>317</w:t>
      </w:r>
      <w:r w:rsidRPr="00A61228">
        <w:rPr>
          <w:rFonts w:ascii="Times New Roman" w:hAnsi="Times New Roman" w:cs="Times New Roman"/>
          <w:sz w:val="20"/>
          <w:szCs w:val="20"/>
        </w:rPr>
        <w:t xml:space="preserve"> (56%) were female and </w:t>
      </w:r>
      <w:r w:rsidR="00405599">
        <w:rPr>
          <w:rFonts w:ascii="Times New Roman" w:hAnsi="Times New Roman" w:cs="Times New Roman"/>
          <w:sz w:val="20"/>
          <w:szCs w:val="20"/>
        </w:rPr>
        <w:t>227 (</w:t>
      </w:r>
      <w:r w:rsidRPr="00A61228">
        <w:rPr>
          <w:rFonts w:ascii="Times New Roman" w:hAnsi="Times New Roman" w:cs="Times New Roman"/>
          <w:sz w:val="20"/>
          <w:szCs w:val="20"/>
        </w:rPr>
        <w:t>40%</w:t>
      </w:r>
      <w:r w:rsidR="000E42A1">
        <w:rPr>
          <w:rFonts w:ascii="Times New Roman" w:hAnsi="Times New Roman" w:cs="Times New Roman"/>
          <w:sz w:val="20"/>
          <w:szCs w:val="20"/>
        </w:rPr>
        <w:t xml:space="preserve">) </w:t>
      </w:r>
      <w:r w:rsidRPr="00A61228">
        <w:rPr>
          <w:rFonts w:ascii="Times New Roman" w:hAnsi="Times New Roman" w:cs="Times New Roman"/>
          <w:sz w:val="20"/>
          <w:szCs w:val="20"/>
        </w:rPr>
        <w:t>had a Hospital Frailty Risk Score above five (“intermediate” or “high” risk) (Table 1).</w:t>
      </w:r>
    </w:p>
    <w:p w14:paraId="7082AAA8" w14:textId="24E1F002"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When compared to a dichotomised version of Fried (≥3 items present); the kappa score was 0·22 (95% CI 0·15 to 0·30), and 0·30 (95% CI 0·22 to 0·38) compared to the Rockwood classification (using a cut-off of 0·25). There was a positive linear association between the Rockwood index and Hospital Frailty Risk Score (Pearson’s correlation coefficient 0·41, 95% CI 0·38 to 0·47). The largest group for whom ratings differed were those with </w:t>
      </w:r>
      <w:r w:rsidRPr="00A61228">
        <w:rPr>
          <w:rFonts w:ascii="Times New Roman" w:hAnsi="Times New Roman" w:cs="Times New Roman"/>
          <w:sz w:val="20"/>
          <w:szCs w:val="20"/>
        </w:rPr>
        <w:lastRenderedPageBreak/>
        <w:t>Hospital Frailty Risk Scores between 5 and 1</w:t>
      </w:r>
      <w:r w:rsidR="000E42A1">
        <w:rPr>
          <w:rFonts w:ascii="Times New Roman" w:hAnsi="Times New Roman" w:cs="Times New Roman"/>
          <w:sz w:val="20"/>
          <w:szCs w:val="20"/>
        </w:rPr>
        <w:t>5</w:t>
      </w:r>
      <w:r w:rsidRPr="00A61228">
        <w:rPr>
          <w:rFonts w:ascii="Times New Roman" w:hAnsi="Times New Roman" w:cs="Times New Roman"/>
          <w:sz w:val="20"/>
          <w:szCs w:val="20"/>
        </w:rPr>
        <w:t xml:space="preserve"> (Figure 2), of whom only 40% were classified as frail by Rockwood.</w:t>
      </w:r>
    </w:p>
    <w:p w14:paraId="5FD9DCF3" w14:textId="77777777" w:rsidR="005178B0" w:rsidRPr="00A61228" w:rsidRDefault="005178B0" w:rsidP="002C7B49">
      <w:pPr>
        <w:rPr>
          <w:rFonts w:ascii="Times New Roman" w:hAnsi="Times New Roman" w:cs="Times New Roman"/>
          <w:b/>
          <w:sz w:val="20"/>
          <w:szCs w:val="20"/>
        </w:rPr>
      </w:pPr>
      <w:r w:rsidRPr="00A61228">
        <w:rPr>
          <w:rFonts w:ascii="Times New Roman" w:hAnsi="Times New Roman" w:cs="Times New Roman"/>
          <w:b/>
          <w:sz w:val="20"/>
          <w:szCs w:val="20"/>
        </w:rPr>
        <w:t>Discussion</w:t>
      </w:r>
    </w:p>
    <w:p w14:paraId="43FE4219" w14:textId="77777777" w:rsidR="005178B0" w:rsidRPr="00A61228" w:rsidRDefault="005178B0" w:rsidP="002C7B49">
      <w:pPr>
        <w:rPr>
          <w:rFonts w:ascii="Times New Roman" w:hAnsi="Times New Roman" w:cs="Times New Roman"/>
          <w:i/>
          <w:sz w:val="20"/>
          <w:szCs w:val="20"/>
        </w:rPr>
      </w:pPr>
      <w:r w:rsidRPr="00A61228">
        <w:rPr>
          <w:rFonts w:ascii="Times New Roman" w:hAnsi="Times New Roman" w:cs="Times New Roman"/>
          <w:i/>
          <w:sz w:val="20"/>
          <w:szCs w:val="20"/>
        </w:rPr>
        <w:t>Summary</w:t>
      </w:r>
    </w:p>
    <w:p w14:paraId="0C3AA189"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The aim of this work was to determine if a Hospital Frailty Risk Score for predicting adverse outcomes amongst hospitalised older people could be developed using the ICD-10 system, which is commonly used to code diagnoses in administrative hospital databases throughout the world.</w:t>
      </w:r>
    </w:p>
    <w:p w14:paraId="4053C030"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From an initial cluster analysis, we identified a group which when compared to other older people had a higher incidence of ICD-10 codes judged </w:t>
      </w:r>
      <w:r w:rsidRPr="00A61228">
        <w:rPr>
          <w:rFonts w:ascii="Times New Roman" w:hAnsi="Times New Roman" w:cs="Times New Roman"/>
          <w:i/>
          <w:sz w:val="20"/>
          <w:szCs w:val="20"/>
        </w:rPr>
        <w:t>a priori</w:t>
      </w:r>
      <w:r w:rsidRPr="00A61228">
        <w:rPr>
          <w:rFonts w:ascii="Times New Roman" w:hAnsi="Times New Roman" w:cs="Times New Roman"/>
          <w:sz w:val="20"/>
          <w:szCs w:val="20"/>
        </w:rPr>
        <w:t xml:space="preserve"> to be indicative of frailty, as well as higher hospital use and associated resource use. A hospital frailty risk score was derived from a broad set of ICD-10 codes that were over-represented in this cluster, including measures of acuity. </w:t>
      </w:r>
    </w:p>
    <w:p w14:paraId="6800CCD9"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In a national validation cohort of more than a million patients, those with higher frailty risk had higher risk of 30-day mortality, a prolonged stay in hospital and 30-day readmission. Although predictive at the group level, the ability of the score to discriminate between individuals with different outcomes was low. Using various thresholds to categorise patients as frail, the Hospital Frailty Risk Score exhibited </w:t>
      </w:r>
      <w:r>
        <w:rPr>
          <w:rFonts w:ascii="Times New Roman" w:hAnsi="Times New Roman" w:cs="Times New Roman"/>
          <w:sz w:val="20"/>
          <w:szCs w:val="20"/>
        </w:rPr>
        <w:t>fair to moderate</w:t>
      </w:r>
      <w:r w:rsidRPr="00A61228">
        <w:rPr>
          <w:rFonts w:ascii="Times New Roman" w:hAnsi="Times New Roman" w:cs="Times New Roman"/>
          <w:sz w:val="20"/>
          <w:szCs w:val="20"/>
        </w:rPr>
        <w:t xml:space="preserve"> overlap with ratings based on Fried and Rockwood frailty scales.</w:t>
      </w:r>
    </w:p>
    <w:p w14:paraId="01BF91C1" w14:textId="77777777" w:rsidR="005178B0" w:rsidRPr="00A61228" w:rsidRDefault="005178B0" w:rsidP="002C7B49">
      <w:pPr>
        <w:rPr>
          <w:rFonts w:ascii="Times New Roman" w:hAnsi="Times New Roman" w:cs="Times New Roman"/>
          <w:i/>
          <w:sz w:val="20"/>
          <w:szCs w:val="20"/>
        </w:rPr>
      </w:pPr>
      <w:r w:rsidRPr="00A61228">
        <w:rPr>
          <w:rFonts w:ascii="Times New Roman" w:hAnsi="Times New Roman" w:cs="Times New Roman"/>
          <w:i/>
          <w:sz w:val="20"/>
          <w:szCs w:val="20"/>
        </w:rPr>
        <w:t>Strengths &amp; limitations</w:t>
      </w:r>
    </w:p>
    <w:p w14:paraId="2D474253" w14:textId="77777777" w:rsidR="005178B0" w:rsidRPr="00A61228" w:rsidRDefault="005178B0" w:rsidP="002C7B49">
      <w:pPr>
        <w:rPr>
          <w:rFonts w:ascii="Times New Roman" w:hAnsi="Times New Roman" w:cs="Times New Roman"/>
          <w:bCs/>
          <w:iCs/>
          <w:sz w:val="20"/>
          <w:szCs w:val="20"/>
        </w:rPr>
      </w:pPr>
      <w:r w:rsidRPr="00A61228">
        <w:rPr>
          <w:rFonts w:ascii="Times New Roman" w:hAnsi="Times New Roman" w:cs="Times New Roman"/>
          <w:sz w:val="20"/>
          <w:szCs w:val="20"/>
        </w:rPr>
        <w:t xml:space="preserve">The advantage of using administrative hospital data to identify frailty risk is that it </w:t>
      </w:r>
      <w:r>
        <w:rPr>
          <w:rFonts w:ascii="Times New Roman" w:hAnsi="Times New Roman" w:cs="Times New Roman"/>
          <w:sz w:val="20"/>
          <w:szCs w:val="20"/>
        </w:rPr>
        <w:t xml:space="preserve">can be calculated using routine data for all hospitalised patients and </w:t>
      </w:r>
      <w:r w:rsidRPr="00A61228">
        <w:rPr>
          <w:rFonts w:ascii="Times New Roman" w:hAnsi="Times New Roman" w:cs="Times New Roman"/>
          <w:sz w:val="20"/>
          <w:szCs w:val="20"/>
        </w:rPr>
        <w:t>removes the need to apply a manual score. Although scores such as the Clinical Frailty Scale can be quick and simple to calculate,</w:t>
      </w:r>
      <w:r w:rsidRPr="00A61228">
        <w:rPr>
          <w:rFonts w:ascii="Times New Roman" w:hAnsi="Times New Roman" w:cs="Times New Roman"/>
          <w:noProof/>
          <w:sz w:val="20"/>
          <w:szCs w:val="20"/>
          <w:vertAlign w:val="superscript"/>
        </w:rPr>
        <w:t>22</w:t>
      </w:r>
      <w:r w:rsidRPr="00A61228">
        <w:rPr>
          <w:rFonts w:ascii="Times New Roman" w:hAnsi="Times New Roman" w:cs="Times New Roman"/>
          <w:sz w:val="20"/>
          <w:szCs w:val="20"/>
        </w:rPr>
        <w:t xml:space="preserve"> they are fraught with inter-operator reliability issues and impose a significant implementation burden. </w:t>
      </w:r>
      <w:r>
        <w:rPr>
          <w:rFonts w:ascii="Times New Roman" w:hAnsi="Times New Roman" w:cs="Times New Roman"/>
          <w:sz w:val="20"/>
          <w:szCs w:val="20"/>
        </w:rPr>
        <w:t>A</w:t>
      </w:r>
      <w:r w:rsidRPr="00A61228">
        <w:rPr>
          <w:rFonts w:ascii="Times New Roman" w:hAnsi="Times New Roman" w:cs="Times New Roman"/>
          <w:sz w:val="20"/>
          <w:szCs w:val="20"/>
        </w:rPr>
        <w:t xml:space="preserve"> potential weakness </w:t>
      </w:r>
      <w:r>
        <w:rPr>
          <w:rFonts w:ascii="Times New Roman" w:hAnsi="Times New Roman" w:cs="Times New Roman"/>
          <w:sz w:val="20"/>
          <w:szCs w:val="20"/>
        </w:rPr>
        <w:t xml:space="preserve">of our score </w:t>
      </w:r>
      <w:r w:rsidRPr="00A61228">
        <w:rPr>
          <w:rFonts w:ascii="Times New Roman" w:hAnsi="Times New Roman" w:cs="Times New Roman"/>
          <w:sz w:val="20"/>
          <w:szCs w:val="20"/>
        </w:rPr>
        <w:t>is that frailty among older people with few or no past admissions may be missed; although they are likely to be less frail,</w:t>
      </w:r>
      <w:r w:rsidRPr="00A61228">
        <w:rPr>
          <w:rFonts w:ascii="Times New Roman" w:hAnsi="Times New Roman" w:cs="Times New Roman"/>
          <w:noProof/>
          <w:sz w:val="20"/>
          <w:szCs w:val="20"/>
          <w:vertAlign w:val="superscript"/>
        </w:rPr>
        <w:t>23</w:t>
      </w:r>
      <w:r w:rsidRPr="00A61228">
        <w:rPr>
          <w:rFonts w:ascii="Times New Roman" w:hAnsi="Times New Roman" w:cs="Times New Roman"/>
          <w:sz w:val="20"/>
          <w:szCs w:val="20"/>
        </w:rPr>
        <w:t xml:space="preserve"> there may be exceptions particularly in care home settings or areas with successful admissions avoidance schemes.</w:t>
      </w:r>
      <w:r>
        <w:rPr>
          <w:rFonts w:ascii="Times New Roman" w:hAnsi="Times New Roman" w:cs="Times New Roman"/>
          <w:sz w:val="20"/>
          <w:szCs w:val="20"/>
        </w:rPr>
        <w:t xml:space="preserve"> </w:t>
      </w:r>
      <w:r w:rsidRPr="00A61228">
        <w:rPr>
          <w:rFonts w:ascii="Times New Roman" w:hAnsi="Times New Roman" w:cs="Times New Roman"/>
          <w:bCs/>
          <w:iCs/>
          <w:sz w:val="20"/>
          <w:szCs w:val="20"/>
        </w:rPr>
        <w:t xml:space="preserve">In the national cohort used to test the score, two thirds of patients had been admitted in the previous two years. </w:t>
      </w:r>
    </w:p>
    <w:p w14:paraId="21C84040"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The value of using administrative data has previously been shown in primary care</w:t>
      </w:r>
      <w:r>
        <w:rPr>
          <w:rFonts w:ascii="Times New Roman" w:hAnsi="Times New Roman" w:cs="Times New Roman"/>
          <w:sz w:val="20"/>
          <w:szCs w:val="20"/>
        </w:rPr>
        <w:t>,</w:t>
      </w:r>
      <w:r w:rsidRPr="00A61228">
        <w:rPr>
          <w:rFonts w:ascii="Times New Roman" w:hAnsi="Times New Roman" w:cs="Times New Roman"/>
          <w:sz w:val="20"/>
          <w:szCs w:val="20"/>
        </w:rPr>
        <w:t xml:space="preserve"> with the development and dissemination of the electronic frailty index, based on Read codes used in the majority of UK general practices.</w:t>
      </w:r>
      <w:r w:rsidRPr="00A61228">
        <w:rPr>
          <w:rFonts w:ascii="Times New Roman" w:hAnsi="Times New Roman" w:cs="Times New Roman"/>
          <w:noProof/>
          <w:sz w:val="20"/>
          <w:szCs w:val="20"/>
          <w:vertAlign w:val="superscript"/>
        </w:rPr>
        <w:t>24</w:t>
      </w:r>
      <w:r>
        <w:rPr>
          <w:rFonts w:ascii="Times New Roman" w:hAnsi="Times New Roman" w:cs="Times New Roman"/>
          <w:sz w:val="20"/>
          <w:szCs w:val="20"/>
        </w:rPr>
        <w:t xml:space="preserve"> </w:t>
      </w:r>
      <w:r w:rsidRPr="00A61228">
        <w:rPr>
          <w:rFonts w:ascii="Times New Roman" w:hAnsi="Times New Roman" w:cs="Times New Roman"/>
          <w:sz w:val="20"/>
          <w:szCs w:val="20"/>
        </w:rPr>
        <w:t xml:space="preserve">The use of ICD-10 codes routinely entered in administrative databases provides hospitals with a systematic method to screen for frailty risk. In the present study, rather than </w:t>
      </w:r>
      <w:r>
        <w:rPr>
          <w:rFonts w:ascii="Times New Roman" w:hAnsi="Times New Roman" w:cs="Times New Roman"/>
          <w:sz w:val="20"/>
          <w:szCs w:val="20"/>
        </w:rPr>
        <w:t>relying exclusively on</w:t>
      </w:r>
      <w:r w:rsidRPr="00A61228">
        <w:rPr>
          <w:rFonts w:ascii="Times New Roman" w:hAnsi="Times New Roman" w:cs="Times New Roman"/>
          <w:sz w:val="20"/>
          <w:szCs w:val="20"/>
        </w:rPr>
        <w:t xml:space="preserve"> a pre-defined list of ICD-10 codes to identify frailty, we identified a wider set of codes using well-established cluster analysis methods.</w:t>
      </w:r>
      <w:r w:rsidRPr="00A61228">
        <w:rPr>
          <w:rFonts w:ascii="Times New Roman" w:hAnsi="Times New Roman" w:cs="Times New Roman"/>
          <w:noProof/>
          <w:sz w:val="20"/>
          <w:szCs w:val="20"/>
          <w:vertAlign w:val="superscript"/>
        </w:rPr>
        <w:t>25</w:t>
      </w:r>
      <w:r w:rsidRPr="00A61228">
        <w:rPr>
          <w:rFonts w:ascii="Times New Roman" w:hAnsi="Times New Roman" w:cs="Times New Roman"/>
          <w:sz w:val="20"/>
          <w:szCs w:val="20"/>
        </w:rPr>
        <w:t xml:space="preserve"> This approach allowed us to pick out the codes that are in routine use, rather than relying solely on opinion about which codes are most closely related to frailty. </w:t>
      </w:r>
    </w:p>
    <w:p w14:paraId="1A55966B"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Some diagnoses included in our score were associated with acute conditions such as aspiration pneumonia, delirium and hospital-acquired or nosocomial infections. </w:t>
      </w:r>
      <w:r>
        <w:rPr>
          <w:rFonts w:ascii="Times New Roman" w:hAnsi="Times New Roman" w:cs="Times New Roman"/>
          <w:sz w:val="20"/>
          <w:szCs w:val="20"/>
        </w:rPr>
        <w:t>Arguably t</w:t>
      </w:r>
      <w:r w:rsidRPr="00A61228">
        <w:rPr>
          <w:rFonts w:ascii="Times New Roman" w:hAnsi="Times New Roman" w:cs="Times New Roman"/>
          <w:sz w:val="20"/>
          <w:szCs w:val="20"/>
        </w:rPr>
        <w:t xml:space="preserve">his could reflect frailty given that these patients are likely to have swallowing problems, risk dehydration, and be more vulnerable towards hospital-acquired conditions and sepsis. However, it may also identify other groups at risk of harm. A limitation of using ICD-10 is that the codes </w:t>
      </w:r>
      <w:r w:rsidRPr="00A61228">
        <w:rPr>
          <w:rFonts w:ascii="Times New Roman" w:hAnsi="Times New Roman" w:cs="Times New Roman"/>
          <w:bCs/>
          <w:iCs/>
          <w:sz w:val="20"/>
          <w:szCs w:val="20"/>
        </w:rPr>
        <w:t xml:space="preserve">do not fully capture disease severity, and might also miss out important elements of frailty such as weakness, polypharmacy and need for support in everyday living. Some of the ICD-10 “Z” codes reflect dependency or isolation, but these are typically only used when health care delivery is adversely affected. </w:t>
      </w:r>
    </w:p>
    <w:p w14:paraId="60783F11"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Another limitation of using ICD-10 is that variation in documentation and coding of diagnoses could contribute to measurement error.</w:t>
      </w:r>
      <w:r w:rsidRPr="00A61228">
        <w:rPr>
          <w:rFonts w:ascii="Times New Roman" w:hAnsi="Times New Roman" w:cs="Times New Roman"/>
          <w:noProof/>
          <w:sz w:val="20"/>
          <w:szCs w:val="20"/>
          <w:vertAlign w:val="superscript"/>
        </w:rPr>
        <w:t>26</w:t>
      </w:r>
      <w:r w:rsidRPr="00A61228">
        <w:rPr>
          <w:rFonts w:ascii="Times New Roman" w:hAnsi="Times New Roman" w:cs="Times New Roman"/>
          <w:sz w:val="20"/>
          <w:szCs w:val="20"/>
        </w:rPr>
        <w:t xml:space="preserve"> For example, routine diagnosis and documentation of conditions such as delirium may vary between physicians, departments and hospitals. </w:t>
      </w:r>
      <w:r>
        <w:rPr>
          <w:rFonts w:ascii="Times New Roman" w:hAnsi="Times New Roman" w:cs="Times New Roman"/>
          <w:sz w:val="20"/>
          <w:szCs w:val="20"/>
        </w:rPr>
        <w:t>To examine this w</w:t>
      </w:r>
      <w:r w:rsidRPr="00A61228">
        <w:rPr>
          <w:rFonts w:ascii="Times New Roman" w:hAnsi="Times New Roman" w:cs="Times New Roman"/>
          <w:sz w:val="20"/>
          <w:szCs w:val="20"/>
        </w:rPr>
        <w:t>e explored the impact of hospital coding depth (mean number of secondary ICD-10 diagnoses coded) as a measure of coding quality.</w:t>
      </w:r>
      <w:r w:rsidRPr="0043491E">
        <w:rPr>
          <w:rFonts w:ascii="Times New Roman" w:hAnsi="Times New Roman" w:cs="Times New Roman"/>
          <w:noProof/>
          <w:sz w:val="20"/>
          <w:szCs w:val="20"/>
          <w:vertAlign w:val="superscript"/>
        </w:rPr>
        <w:t>27</w:t>
      </w:r>
      <w:r w:rsidRPr="00A61228">
        <w:rPr>
          <w:rFonts w:ascii="Times New Roman" w:hAnsi="Times New Roman" w:cs="Times New Roman"/>
          <w:sz w:val="20"/>
          <w:szCs w:val="20"/>
        </w:rPr>
        <w:t xml:space="preserve"> Among hospitals with better coding depth, a higher proportion of patients were classified as frail; nevertheless, the Hospital Frailty Risk Score was strongly predictive of poor outcomes even in hospitals with lower coding depth. In England, routinely collected data are sufficiently robust and accurate to be used in research or for health services </w:t>
      </w:r>
      <w:r w:rsidRPr="00A61228">
        <w:rPr>
          <w:rFonts w:ascii="Times New Roman" w:hAnsi="Times New Roman" w:cs="Times New Roman"/>
          <w:sz w:val="20"/>
          <w:szCs w:val="20"/>
        </w:rPr>
        <w:lastRenderedPageBreak/>
        <w:t>planning,</w:t>
      </w:r>
      <w:r w:rsidRPr="0043491E">
        <w:rPr>
          <w:rFonts w:ascii="Times New Roman" w:hAnsi="Times New Roman" w:cs="Times New Roman"/>
          <w:noProof/>
          <w:sz w:val="20"/>
          <w:szCs w:val="20"/>
          <w:vertAlign w:val="superscript"/>
        </w:rPr>
        <w:t>28</w:t>
      </w:r>
      <w:r w:rsidRPr="00A61228">
        <w:rPr>
          <w:rFonts w:ascii="Times New Roman" w:hAnsi="Times New Roman" w:cs="Times New Roman"/>
          <w:sz w:val="20"/>
          <w:szCs w:val="20"/>
        </w:rPr>
        <w:t xml:space="preserve"> </w:t>
      </w:r>
      <w:r>
        <w:rPr>
          <w:rFonts w:ascii="Times New Roman" w:hAnsi="Times New Roman" w:cs="Times New Roman"/>
          <w:sz w:val="20"/>
          <w:szCs w:val="20"/>
        </w:rPr>
        <w:t>and the score guards against the problem of coding depth by the</w:t>
      </w:r>
      <w:r w:rsidRPr="00A61228">
        <w:rPr>
          <w:rFonts w:ascii="Times New Roman" w:hAnsi="Times New Roman" w:cs="Times New Roman"/>
          <w:sz w:val="20"/>
          <w:szCs w:val="20"/>
        </w:rPr>
        <w:t xml:space="preserve"> use of 3-character </w:t>
      </w:r>
      <w:r>
        <w:rPr>
          <w:rFonts w:ascii="Times New Roman" w:hAnsi="Times New Roman" w:cs="Times New Roman"/>
          <w:sz w:val="20"/>
          <w:szCs w:val="20"/>
        </w:rPr>
        <w:t xml:space="preserve">rather than 4-character </w:t>
      </w:r>
      <w:r w:rsidRPr="00A61228">
        <w:rPr>
          <w:rFonts w:ascii="Times New Roman" w:hAnsi="Times New Roman" w:cs="Times New Roman"/>
          <w:sz w:val="20"/>
          <w:szCs w:val="20"/>
        </w:rPr>
        <w:t>ICD-10 codes.</w:t>
      </w:r>
      <w:r w:rsidRPr="0043491E">
        <w:rPr>
          <w:rFonts w:ascii="Times New Roman" w:hAnsi="Times New Roman" w:cs="Times New Roman"/>
          <w:noProof/>
          <w:sz w:val="20"/>
          <w:szCs w:val="20"/>
          <w:vertAlign w:val="superscript"/>
        </w:rPr>
        <w:t>28</w:t>
      </w:r>
      <w:r w:rsidRPr="00A61228">
        <w:rPr>
          <w:rFonts w:ascii="Times New Roman" w:hAnsi="Times New Roman" w:cs="Times New Roman"/>
          <w:sz w:val="20"/>
          <w:szCs w:val="20"/>
        </w:rPr>
        <w:t xml:space="preserve"> </w:t>
      </w:r>
      <w:r>
        <w:rPr>
          <w:rFonts w:ascii="Times New Roman" w:hAnsi="Times New Roman" w:cs="Times New Roman"/>
          <w:sz w:val="20"/>
          <w:szCs w:val="20"/>
        </w:rPr>
        <w:t>Nevertheless</w:t>
      </w:r>
      <w:r w:rsidRPr="00A61228">
        <w:rPr>
          <w:rFonts w:ascii="Times New Roman" w:hAnsi="Times New Roman" w:cs="Times New Roman"/>
          <w:sz w:val="20"/>
          <w:szCs w:val="20"/>
        </w:rPr>
        <w:t xml:space="preserve"> coding accuracy could vary in other countries, and further validation work would need to be undertaken in systems wishing to test our approach.</w:t>
      </w:r>
    </w:p>
    <w:p w14:paraId="001851DC"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Agreement between frailty ratings based on our Hospital Frailty Risk Score and other clinical frailty scales ranged between fair and moderate. This is </w:t>
      </w:r>
      <w:r>
        <w:rPr>
          <w:rFonts w:ascii="Times New Roman" w:hAnsi="Times New Roman" w:cs="Times New Roman"/>
          <w:sz w:val="20"/>
          <w:szCs w:val="20"/>
        </w:rPr>
        <w:t>a common finding with frailty scales</w:t>
      </w:r>
      <w:r w:rsidRPr="00A61228">
        <w:rPr>
          <w:rFonts w:ascii="Times New Roman" w:hAnsi="Times New Roman" w:cs="Times New Roman"/>
          <w:sz w:val="20"/>
          <w:szCs w:val="20"/>
        </w:rPr>
        <w:t>, with for example</w:t>
      </w:r>
      <w:r>
        <w:rPr>
          <w:rFonts w:ascii="Times New Roman" w:hAnsi="Times New Roman" w:cs="Times New Roman"/>
          <w:sz w:val="20"/>
          <w:szCs w:val="20"/>
        </w:rPr>
        <w:t>,</w:t>
      </w:r>
      <w:r w:rsidRPr="00A61228">
        <w:rPr>
          <w:rFonts w:ascii="Times New Roman" w:hAnsi="Times New Roman" w:cs="Times New Roman"/>
          <w:sz w:val="20"/>
          <w:szCs w:val="20"/>
        </w:rPr>
        <w:t xml:space="preserve"> kappa coefficients comparing Fried to Rockwood rang</w:t>
      </w:r>
      <w:r>
        <w:rPr>
          <w:rFonts w:ascii="Times New Roman" w:hAnsi="Times New Roman" w:cs="Times New Roman"/>
          <w:sz w:val="20"/>
          <w:szCs w:val="20"/>
        </w:rPr>
        <w:t>ing</w:t>
      </w:r>
      <w:r w:rsidRPr="00A61228">
        <w:rPr>
          <w:rFonts w:ascii="Times New Roman" w:hAnsi="Times New Roman" w:cs="Times New Roman"/>
          <w:sz w:val="20"/>
          <w:szCs w:val="20"/>
        </w:rPr>
        <w:t xml:space="preserve"> from 0·3-0·5, depending on the measurement approach.</w:t>
      </w:r>
      <w:r w:rsidRPr="00A61228">
        <w:rPr>
          <w:rFonts w:ascii="Times New Roman" w:hAnsi="Times New Roman" w:cs="Times New Roman"/>
          <w:noProof/>
          <w:sz w:val="20"/>
          <w:szCs w:val="20"/>
          <w:vertAlign w:val="superscript"/>
        </w:rPr>
        <w:t>29</w:t>
      </w:r>
      <w:r w:rsidRPr="00A61228">
        <w:rPr>
          <w:rFonts w:ascii="Times New Roman" w:hAnsi="Times New Roman" w:cs="Times New Roman"/>
          <w:sz w:val="20"/>
          <w:szCs w:val="20"/>
        </w:rPr>
        <w:t xml:space="preserve"> This demonstrates the challenge in using any individual frailty scale to diagnose an individual as frail.</w:t>
      </w:r>
    </w:p>
    <w:p w14:paraId="400920DD"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Our score is comparable to tools specifically designed for risk stratification in emergency care settings, which also do not discriminate strongly, reflecting the fact that individual outcomes are inherently unpredictable in acute settings. For example, the Identification of Seniors at Risk (ISAR) tool</w:t>
      </w:r>
      <w:r w:rsidRPr="00A10A04">
        <w:rPr>
          <w:rFonts w:ascii="Times New Roman" w:hAnsi="Times New Roman" w:cs="Times New Roman"/>
          <w:noProof/>
          <w:sz w:val="20"/>
          <w:szCs w:val="20"/>
          <w:vertAlign w:val="superscript"/>
        </w:rPr>
        <w:t>11</w:t>
      </w:r>
      <w:r w:rsidRPr="00A61228">
        <w:rPr>
          <w:rFonts w:ascii="Times New Roman" w:hAnsi="Times New Roman" w:cs="Times New Roman"/>
          <w:sz w:val="20"/>
          <w:szCs w:val="20"/>
        </w:rPr>
        <w:t xml:space="preserve"> predicted six month mortality and readmission with c-statistics ranging from 0·54 to 0·65. Our score performed similarly or slightly better than models including ICD-10 coded frailty syndromes as predictors of 30-day mortality and readmission.</w:t>
      </w:r>
      <w:r w:rsidRPr="00A61228">
        <w:rPr>
          <w:rFonts w:ascii="Times New Roman" w:hAnsi="Times New Roman" w:cs="Times New Roman"/>
          <w:noProof/>
          <w:sz w:val="20"/>
          <w:szCs w:val="20"/>
          <w:vertAlign w:val="superscript"/>
        </w:rPr>
        <w:t>17</w:t>
      </w:r>
      <w:r w:rsidRPr="00A61228">
        <w:rPr>
          <w:rFonts w:ascii="Times New Roman" w:hAnsi="Times New Roman" w:cs="Times New Roman"/>
          <w:sz w:val="20"/>
          <w:szCs w:val="20"/>
        </w:rPr>
        <w:t xml:space="preserve"> The c-statistics ranged from 0·57 to 0·66 for models including frailty syndromes, age, sex and admission history.</w:t>
      </w:r>
    </w:p>
    <w:p w14:paraId="393EA41D" w14:textId="77777777" w:rsidR="005178B0" w:rsidRPr="00A61228" w:rsidRDefault="005178B0" w:rsidP="002C7B49">
      <w:pPr>
        <w:rPr>
          <w:rFonts w:ascii="Times New Roman" w:hAnsi="Times New Roman" w:cs="Times New Roman"/>
          <w:i/>
          <w:sz w:val="20"/>
          <w:szCs w:val="20"/>
        </w:rPr>
      </w:pPr>
      <w:r w:rsidRPr="00A61228">
        <w:rPr>
          <w:rFonts w:ascii="Times New Roman" w:hAnsi="Times New Roman" w:cs="Times New Roman"/>
          <w:i/>
          <w:sz w:val="20"/>
          <w:szCs w:val="20"/>
        </w:rPr>
        <w:t>Implications</w:t>
      </w:r>
    </w:p>
    <w:p w14:paraId="332ACE3E" w14:textId="77777777" w:rsidR="005178B0" w:rsidRPr="004B1235" w:rsidRDefault="005178B0" w:rsidP="002C7B49">
      <w:pPr>
        <w:rPr>
          <w:rFonts w:ascii="Times New Roman" w:hAnsi="Times New Roman" w:cs="Times New Roman"/>
          <w:sz w:val="20"/>
          <w:szCs w:val="20"/>
        </w:rPr>
      </w:pPr>
      <w:r w:rsidRPr="004B1235">
        <w:rPr>
          <w:rFonts w:ascii="Times New Roman" w:hAnsi="Times New Roman" w:cs="Times New Roman"/>
          <w:sz w:val="20"/>
          <w:szCs w:val="20"/>
        </w:rPr>
        <w:t>The ICD-10 codes and methods to derive the score and risk categories are provided as an excel spreadsheet and SAS program file which can be implemented by hospitals and public health teams (Appendix 2) to facilitate routine identification of frail cohorts who are at risk of poor clinical and/or service outcomes in acute hospital settings. In a hospital admitting 1,000 older people per month, 200 would be classified as high risk and a further 400 as intermediate risk, amongst whom mortality would be expected to be double that of other older patients.  Identifying this group of patients would allow targeted screening for frailty syndromes, and the delivery of frailty attuned approaches to care. Examples include Compreh</w:t>
      </w:r>
      <w:r>
        <w:rPr>
          <w:rFonts w:ascii="Times New Roman" w:hAnsi="Times New Roman" w:cs="Times New Roman"/>
          <w:sz w:val="20"/>
          <w:szCs w:val="20"/>
        </w:rPr>
        <w:t>ensive Geriatric Assessment</w:t>
      </w:r>
      <w:r w:rsidRPr="004B1235">
        <w:rPr>
          <w:rFonts w:ascii="Times New Roman" w:hAnsi="Times New Roman" w:cs="Times New Roman"/>
          <w:noProof/>
          <w:sz w:val="20"/>
          <w:szCs w:val="20"/>
          <w:vertAlign w:val="superscript"/>
        </w:rPr>
        <w:t>30,31</w:t>
      </w:r>
      <w:r w:rsidRPr="004B1235">
        <w:rPr>
          <w:rFonts w:ascii="Times New Roman" w:hAnsi="Times New Roman" w:cs="Times New Roman"/>
          <w:sz w:val="20"/>
          <w:szCs w:val="20"/>
        </w:rPr>
        <w:t>; prevention of delirium</w:t>
      </w:r>
      <w:r w:rsidRPr="004B1235">
        <w:rPr>
          <w:rFonts w:ascii="Times New Roman" w:hAnsi="Times New Roman" w:cs="Times New Roman"/>
          <w:noProof/>
          <w:sz w:val="20"/>
          <w:szCs w:val="20"/>
          <w:vertAlign w:val="superscript"/>
        </w:rPr>
        <w:t>32</w:t>
      </w:r>
      <w:r>
        <w:rPr>
          <w:rFonts w:ascii="Times New Roman" w:hAnsi="Times New Roman" w:cs="Times New Roman"/>
          <w:sz w:val="20"/>
          <w:szCs w:val="20"/>
        </w:rPr>
        <w:t xml:space="preserve"> and functional deterioration</w:t>
      </w:r>
      <w:r w:rsidRPr="004B1235">
        <w:rPr>
          <w:rFonts w:ascii="Times New Roman" w:hAnsi="Times New Roman" w:cs="Times New Roman"/>
          <w:noProof/>
          <w:sz w:val="20"/>
          <w:szCs w:val="20"/>
          <w:vertAlign w:val="superscript"/>
        </w:rPr>
        <w:t>33</w:t>
      </w:r>
      <w:r w:rsidRPr="004B1235">
        <w:rPr>
          <w:rFonts w:ascii="Times New Roman" w:hAnsi="Times New Roman" w:cs="Times New Roman"/>
          <w:sz w:val="20"/>
          <w:szCs w:val="20"/>
        </w:rPr>
        <w:t xml:space="preserve"> and identification of end of life care needs</w:t>
      </w:r>
      <w:r w:rsidRPr="004B1235">
        <w:rPr>
          <w:rFonts w:ascii="Times New Roman" w:hAnsi="Times New Roman" w:cs="Times New Roman"/>
          <w:noProof/>
          <w:sz w:val="20"/>
          <w:szCs w:val="20"/>
          <w:vertAlign w:val="superscript"/>
        </w:rPr>
        <w:t>34</w:t>
      </w:r>
      <w:r w:rsidRPr="004B1235">
        <w:rPr>
          <w:rFonts w:ascii="Times New Roman" w:hAnsi="Times New Roman" w:cs="Times New Roman"/>
          <w:sz w:val="20"/>
          <w:szCs w:val="20"/>
        </w:rPr>
        <w:t xml:space="preserve"> on a hospital wide basis.</w:t>
      </w:r>
      <w:r w:rsidRPr="004B1235">
        <w:rPr>
          <w:rFonts w:ascii="Times New Roman" w:hAnsi="Times New Roman" w:cs="Times New Roman"/>
          <w:noProof/>
          <w:sz w:val="20"/>
          <w:szCs w:val="20"/>
          <w:vertAlign w:val="superscript"/>
        </w:rPr>
        <w:t>35</w:t>
      </w:r>
      <w:r w:rsidRPr="004B1235">
        <w:rPr>
          <w:rFonts w:ascii="Times New Roman" w:hAnsi="Times New Roman" w:cs="Times New Roman"/>
          <w:sz w:val="20"/>
          <w:szCs w:val="20"/>
        </w:rPr>
        <w:t xml:space="preserve">   </w:t>
      </w:r>
    </w:p>
    <w:p w14:paraId="0C36F4F9" w14:textId="77777777" w:rsidR="005178B0" w:rsidRPr="00A61228" w:rsidRDefault="005178B0">
      <w:pPr>
        <w:rPr>
          <w:rFonts w:ascii="Times New Roman" w:hAnsi="Times New Roman" w:cs="Times New Roman"/>
          <w:sz w:val="20"/>
          <w:szCs w:val="20"/>
        </w:rPr>
      </w:pPr>
      <w:r w:rsidRPr="004B1235" w:rsidDel="004B1235">
        <w:rPr>
          <w:rFonts w:ascii="Times New Roman" w:hAnsi="Times New Roman" w:cs="Times New Roman"/>
          <w:sz w:val="20"/>
          <w:szCs w:val="20"/>
        </w:rPr>
        <w:t xml:space="preserve"> </w:t>
      </w:r>
      <w:r w:rsidRPr="00A61228">
        <w:rPr>
          <w:rFonts w:ascii="Times New Roman" w:hAnsi="Times New Roman" w:cs="Times New Roman"/>
          <w:sz w:val="20"/>
          <w:szCs w:val="20"/>
        </w:rPr>
        <w:t xml:space="preserve">Further research could examine how well the frailty risk score performs in </w:t>
      </w:r>
      <w:r>
        <w:rPr>
          <w:rFonts w:ascii="Times New Roman" w:hAnsi="Times New Roman" w:cs="Times New Roman"/>
          <w:sz w:val="20"/>
          <w:szCs w:val="20"/>
        </w:rPr>
        <w:t>predicting outcomes other than mortality</w:t>
      </w:r>
      <w:r w:rsidRPr="00A61228">
        <w:rPr>
          <w:rFonts w:ascii="Times New Roman" w:hAnsi="Times New Roman" w:cs="Times New Roman"/>
          <w:sz w:val="20"/>
          <w:szCs w:val="20"/>
        </w:rPr>
        <w:t>, the long-term relationship with interventions, health and service utilisation outcomes and the inter-relationship with primary care frailty scores, such as the electronic Frailty Index.</w:t>
      </w:r>
      <w:r w:rsidRPr="00A61228">
        <w:rPr>
          <w:rFonts w:ascii="Times New Roman" w:hAnsi="Times New Roman" w:cs="Times New Roman"/>
          <w:noProof/>
          <w:sz w:val="20"/>
          <w:szCs w:val="20"/>
          <w:vertAlign w:val="superscript"/>
        </w:rPr>
        <w:t>24</w:t>
      </w:r>
      <w:r>
        <w:rPr>
          <w:rFonts w:ascii="Times New Roman" w:hAnsi="Times New Roman" w:cs="Times New Roman"/>
          <w:sz w:val="20"/>
          <w:szCs w:val="20"/>
        </w:rPr>
        <w:t xml:space="preserve"> Additional studies might improve the accuracy of the score by examining the role of additional variables, such as physiological parameters of disease severity.</w:t>
      </w:r>
      <w:r w:rsidRPr="0043491E">
        <w:rPr>
          <w:rFonts w:ascii="Times New Roman" w:hAnsi="Times New Roman" w:cs="Times New Roman"/>
          <w:noProof/>
          <w:sz w:val="20"/>
          <w:szCs w:val="20"/>
          <w:vertAlign w:val="superscript"/>
        </w:rPr>
        <w:t>36</w:t>
      </w:r>
      <w:r>
        <w:rPr>
          <w:rFonts w:ascii="Times New Roman" w:hAnsi="Times New Roman" w:cs="Times New Roman"/>
          <w:sz w:val="20"/>
          <w:szCs w:val="20"/>
        </w:rPr>
        <w:t xml:space="preserve"> Additional work should explore the impact of the score on clinical decision making, in particular that it does not have the perverse effect of increasing therapeutic nihilism.</w:t>
      </w:r>
    </w:p>
    <w:p w14:paraId="33609CC5"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 xml:space="preserve">Declaration of interests: </w:t>
      </w:r>
      <w:r>
        <w:rPr>
          <w:rFonts w:ascii="Times New Roman" w:hAnsi="Times New Roman" w:cs="Times New Roman"/>
          <w:sz w:val="20"/>
          <w:szCs w:val="20"/>
        </w:rPr>
        <w:t xml:space="preserve">Professor </w:t>
      </w:r>
      <w:r w:rsidRPr="009C5862">
        <w:rPr>
          <w:rFonts w:ascii="Times New Roman" w:hAnsi="Times New Roman" w:cs="Times New Roman"/>
          <w:sz w:val="20"/>
          <w:szCs w:val="20"/>
        </w:rPr>
        <w:t>Parker reports grants from Nationa</w:t>
      </w:r>
      <w:r>
        <w:rPr>
          <w:rFonts w:ascii="Times New Roman" w:hAnsi="Times New Roman" w:cs="Times New Roman"/>
          <w:sz w:val="20"/>
          <w:szCs w:val="20"/>
        </w:rPr>
        <w:t xml:space="preserve">l Institute for Health Research and other funders </w:t>
      </w:r>
      <w:r w:rsidRPr="009C5862">
        <w:rPr>
          <w:rFonts w:ascii="Times New Roman" w:hAnsi="Times New Roman" w:cs="Times New Roman"/>
          <w:sz w:val="20"/>
          <w:szCs w:val="20"/>
        </w:rPr>
        <w:t>d</w:t>
      </w:r>
      <w:r>
        <w:rPr>
          <w:rFonts w:ascii="Times New Roman" w:hAnsi="Times New Roman" w:cs="Times New Roman"/>
          <w:sz w:val="20"/>
          <w:szCs w:val="20"/>
        </w:rPr>
        <w:t xml:space="preserve">uring the conduct of the study, </w:t>
      </w:r>
      <w:r w:rsidRPr="009C5862">
        <w:rPr>
          <w:rFonts w:ascii="Times New Roman" w:hAnsi="Times New Roman" w:cs="Times New Roman"/>
          <w:sz w:val="20"/>
          <w:szCs w:val="20"/>
        </w:rPr>
        <w:t>outside</w:t>
      </w:r>
      <w:r>
        <w:rPr>
          <w:rFonts w:ascii="Times New Roman" w:hAnsi="Times New Roman" w:cs="Times New Roman"/>
          <w:sz w:val="20"/>
          <w:szCs w:val="20"/>
        </w:rPr>
        <w:t xml:space="preserve"> the submitted work; all other authors - </w:t>
      </w:r>
      <w:r w:rsidRPr="00A61228">
        <w:rPr>
          <w:rFonts w:ascii="Times New Roman" w:hAnsi="Times New Roman" w:cs="Times New Roman"/>
          <w:sz w:val="20"/>
          <w:szCs w:val="20"/>
        </w:rPr>
        <w:t>none to declare.</w:t>
      </w:r>
    </w:p>
    <w:p w14:paraId="1C6B00C5" w14:textId="77777777" w:rsidR="005178B0" w:rsidRDefault="005178B0" w:rsidP="002C7B49">
      <w:pPr>
        <w:rPr>
          <w:rFonts w:ascii="Times New Roman" w:hAnsi="Times New Roman" w:cs="Times New Roman"/>
          <w:color w:val="000000" w:themeColor="text1"/>
          <w:sz w:val="20"/>
          <w:szCs w:val="20"/>
        </w:rPr>
      </w:pPr>
      <w:r w:rsidRPr="00A61228">
        <w:rPr>
          <w:rFonts w:ascii="Times New Roman" w:hAnsi="Times New Roman" w:cs="Times New Roman"/>
          <w:sz w:val="20"/>
          <w:szCs w:val="20"/>
        </w:rPr>
        <w:t>Funding: </w:t>
      </w:r>
      <w:r w:rsidRPr="00A61228">
        <w:rPr>
          <w:rFonts w:ascii="Times New Roman" w:hAnsi="Times New Roman" w:cs="Times New Roman"/>
          <w:color w:val="000000" w:themeColor="text1"/>
          <w:sz w:val="20"/>
          <w:szCs w:val="20"/>
        </w:rPr>
        <w:t>National Institute for Health research (NIHR) (HSDR 12/5003/02). The views expressed are those of the author(s) and not necessarily those of the NHS, the NIHR or the Department of Health.</w:t>
      </w:r>
    </w:p>
    <w:p w14:paraId="500938D1" w14:textId="77777777" w:rsidR="005178B0" w:rsidRPr="00A61228" w:rsidRDefault="005178B0" w:rsidP="002C7B49">
      <w:pPr>
        <w:rPr>
          <w:rFonts w:ascii="Times New Roman" w:hAnsi="Times New Roman" w:cs="Times New Roman"/>
          <w:color w:val="000000" w:themeColor="text1"/>
          <w:sz w:val="20"/>
          <w:szCs w:val="20"/>
        </w:rPr>
        <w:sectPr w:rsidR="005178B0" w:rsidRPr="00A61228">
          <w:footerReference w:type="default" r:id="rId9"/>
          <w:pgSz w:w="11906" w:h="16838"/>
          <w:pgMar w:top="1440" w:right="1440" w:bottom="1440" w:left="1440" w:header="708" w:footer="708" w:gutter="0"/>
          <w:cols w:space="708"/>
          <w:docGrid w:linePitch="360"/>
        </w:sectPr>
      </w:pPr>
    </w:p>
    <w:p w14:paraId="0CD58D0F" w14:textId="0AC14C87" w:rsidR="005178B0" w:rsidRDefault="005178B0" w:rsidP="002C7B49">
      <w:pPr>
        <w:rPr>
          <w:rFonts w:ascii="Times New Roman" w:hAnsi="Times New Roman" w:cs="Times New Roman"/>
          <w:b/>
          <w:sz w:val="20"/>
          <w:szCs w:val="20"/>
        </w:rPr>
      </w:pPr>
      <w:r>
        <w:rPr>
          <w:rFonts w:ascii="Times New Roman" w:hAnsi="Times New Roman" w:cs="Times New Roman"/>
          <w:b/>
          <w:sz w:val="20"/>
          <w:szCs w:val="20"/>
        </w:rPr>
        <w:lastRenderedPageBreak/>
        <w:t>Contributions</w:t>
      </w:r>
    </w:p>
    <w:p w14:paraId="2280E45B" w14:textId="2759B762" w:rsidR="0082238D" w:rsidRPr="00285943" w:rsidRDefault="0082238D" w:rsidP="002C7B49">
      <w:pPr>
        <w:rPr>
          <w:rFonts w:ascii="Times New Roman" w:hAnsi="Times New Roman" w:cs="Times New Roman"/>
          <w:sz w:val="20"/>
          <w:szCs w:val="20"/>
        </w:rPr>
      </w:pPr>
      <w:r w:rsidRPr="00285943">
        <w:rPr>
          <w:rFonts w:ascii="Times New Roman" w:hAnsi="Times New Roman" w:cs="Times New Roman"/>
          <w:sz w:val="20"/>
          <w:szCs w:val="20"/>
        </w:rPr>
        <w:t xml:space="preserve">TG: study design, data acquisition, analysis, interpretation, writing and revision of manuscript. JN: </w:t>
      </w:r>
      <w:r w:rsidRPr="00285943">
        <w:rPr>
          <w:rFonts w:ascii="Times New Roman" w:hAnsi="Times New Roman" w:cs="Times New Roman"/>
          <w:sz w:val="20"/>
          <w:szCs w:val="20"/>
        </w:rPr>
        <w:t>study design, data acquisition, analysis, interpretation, writing and revision of manuscript.</w:t>
      </w:r>
      <w:r w:rsidRPr="00285943">
        <w:rPr>
          <w:rFonts w:ascii="Times New Roman" w:hAnsi="Times New Roman" w:cs="Times New Roman"/>
          <w:sz w:val="20"/>
          <w:szCs w:val="20"/>
        </w:rPr>
        <w:t xml:space="preserve"> EK: </w:t>
      </w:r>
      <w:r w:rsidRPr="00285943">
        <w:rPr>
          <w:rFonts w:ascii="Times New Roman" w:hAnsi="Times New Roman" w:cs="Times New Roman"/>
          <w:sz w:val="20"/>
          <w:szCs w:val="20"/>
        </w:rPr>
        <w:t>data acquisition, analysis, interpretation, writing and revision of manuscript.</w:t>
      </w:r>
      <w:r w:rsidRPr="00285943">
        <w:rPr>
          <w:rFonts w:ascii="Times New Roman" w:hAnsi="Times New Roman" w:cs="Times New Roman"/>
          <w:sz w:val="20"/>
          <w:szCs w:val="20"/>
        </w:rPr>
        <w:t xml:space="preserve"> JK: </w:t>
      </w:r>
      <w:r w:rsidRPr="00285943">
        <w:rPr>
          <w:rFonts w:ascii="Times New Roman" w:hAnsi="Times New Roman" w:cs="Times New Roman"/>
          <w:sz w:val="20"/>
          <w:szCs w:val="20"/>
        </w:rPr>
        <w:t>data acquisition, analysis, interpretation, writing and revision of manuscript.</w:t>
      </w:r>
      <w:r w:rsidRPr="00285943">
        <w:rPr>
          <w:rFonts w:ascii="Times New Roman" w:hAnsi="Times New Roman" w:cs="Times New Roman"/>
          <w:sz w:val="20"/>
          <w:szCs w:val="20"/>
        </w:rPr>
        <w:t xml:space="preserve"> PS: </w:t>
      </w:r>
      <w:r w:rsidRPr="00285943">
        <w:rPr>
          <w:rFonts w:ascii="Times New Roman" w:hAnsi="Times New Roman" w:cs="Times New Roman"/>
          <w:sz w:val="20"/>
          <w:szCs w:val="20"/>
        </w:rPr>
        <w:t>study design, data acquisition, analysis, interpretation, writing and revision of manuscript.</w:t>
      </w:r>
      <w:r w:rsidRPr="00285943">
        <w:rPr>
          <w:rFonts w:ascii="Times New Roman" w:hAnsi="Times New Roman" w:cs="Times New Roman"/>
          <w:sz w:val="20"/>
          <w:szCs w:val="20"/>
        </w:rPr>
        <w:t xml:space="preserve"> CA: </w:t>
      </w:r>
      <w:r w:rsidRPr="00285943">
        <w:rPr>
          <w:rFonts w:ascii="Times New Roman" w:hAnsi="Times New Roman" w:cs="Times New Roman"/>
          <w:sz w:val="20"/>
          <w:szCs w:val="20"/>
        </w:rPr>
        <w:t>study design, data acquisition, analysis, interpretation, writing and revision of manuscript.</w:t>
      </w:r>
      <w:r w:rsidRPr="00285943">
        <w:rPr>
          <w:rFonts w:ascii="Times New Roman" w:hAnsi="Times New Roman" w:cs="Times New Roman"/>
          <w:sz w:val="20"/>
          <w:szCs w:val="20"/>
        </w:rPr>
        <w:t xml:space="preserve"> SA:</w:t>
      </w:r>
      <w:r w:rsidRPr="00285943">
        <w:rPr>
          <w:rFonts w:ascii="Times New Roman" w:hAnsi="Times New Roman" w:cs="Times New Roman"/>
          <w:sz w:val="20"/>
          <w:szCs w:val="20"/>
        </w:rPr>
        <w:t xml:space="preserve"> interpretation, writing and revision of manuscript.</w:t>
      </w:r>
      <w:r w:rsidRPr="00285943">
        <w:rPr>
          <w:rFonts w:ascii="Times New Roman" w:hAnsi="Times New Roman" w:cs="Times New Roman"/>
          <w:sz w:val="20"/>
          <w:szCs w:val="20"/>
        </w:rPr>
        <w:t xml:space="preserve"> AS: </w:t>
      </w:r>
      <w:r w:rsidRPr="00285943">
        <w:rPr>
          <w:rFonts w:ascii="Times New Roman" w:hAnsi="Times New Roman" w:cs="Times New Roman"/>
          <w:sz w:val="20"/>
          <w:szCs w:val="20"/>
        </w:rPr>
        <w:t>study design, interpretation, writing and revision of manuscript.</w:t>
      </w:r>
      <w:r w:rsidRPr="00285943">
        <w:rPr>
          <w:rFonts w:ascii="Times New Roman" w:hAnsi="Times New Roman" w:cs="Times New Roman"/>
          <w:sz w:val="20"/>
          <w:szCs w:val="20"/>
        </w:rPr>
        <w:t xml:space="preserve"> SP: </w:t>
      </w:r>
      <w:r w:rsidRPr="00285943">
        <w:rPr>
          <w:rFonts w:ascii="Times New Roman" w:hAnsi="Times New Roman" w:cs="Times New Roman"/>
          <w:sz w:val="20"/>
          <w:szCs w:val="20"/>
        </w:rPr>
        <w:t>study design, interpretation, writing and revision of manuscript.</w:t>
      </w:r>
      <w:r w:rsidRPr="00285943">
        <w:rPr>
          <w:rFonts w:ascii="Times New Roman" w:hAnsi="Times New Roman" w:cs="Times New Roman"/>
          <w:sz w:val="20"/>
          <w:szCs w:val="20"/>
        </w:rPr>
        <w:t xml:space="preserve"> HR: </w:t>
      </w:r>
      <w:r w:rsidRPr="00285943">
        <w:rPr>
          <w:rFonts w:ascii="Times New Roman" w:hAnsi="Times New Roman" w:cs="Times New Roman"/>
          <w:sz w:val="20"/>
          <w:szCs w:val="20"/>
        </w:rPr>
        <w:t>study design, interpretation, writing and revision of manuscript.</w:t>
      </w:r>
      <w:r w:rsidR="008228CE" w:rsidRPr="00285943">
        <w:rPr>
          <w:rFonts w:ascii="Times New Roman" w:hAnsi="Times New Roman" w:cs="Times New Roman"/>
          <w:sz w:val="20"/>
          <w:szCs w:val="20"/>
        </w:rPr>
        <w:t xml:space="preserve"> SC: </w:t>
      </w:r>
      <w:r w:rsidR="008228CE" w:rsidRPr="00285943">
        <w:rPr>
          <w:rFonts w:ascii="Times New Roman" w:hAnsi="Times New Roman" w:cs="Times New Roman"/>
          <w:sz w:val="20"/>
          <w:szCs w:val="20"/>
        </w:rPr>
        <w:t>study design, interpretation, writing and revision of manuscript.</w:t>
      </w:r>
    </w:p>
    <w:p w14:paraId="528C370A" w14:textId="77777777" w:rsidR="005178B0" w:rsidRPr="00A61228" w:rsidRDefault="005178B0" w:rsidP="002C7B49">
      <w:pPr>
        <w:rPr>
          <w:rFonts w:ascii="Times New Roman" w:hAnsi="Times New Roman" w:cs="Times New Roman"/>
          <w:sz w:val="20"/>
          <w:szCs w:val="20"/>
        </w:rPr>
      </w:pPr>
    </w:p>
    <w:p w14:paraId="682854B2" w14:textId="77777777" w:rsidR="005178B0" w:rsidRPr="00A61228" w:rsidRDefault="005178B0" w:rsidP="002C7B49">
      <w:pPr>
        <w:rPr>
          <w:rFonts w:ascii="Times New Roman" w:hAnsi="Times New Roman" w:cs="Times New Roman"/>
          <w:sz w:val="20"/>
          <w:szCs w:val="20"/>
        </w:rPr>
        <w:sectPr w:rsidR="005178B0" w:rsidRPr="00A61228">
          <w:pgSz w:w="11906" w:h="16838"/>
          <w:pgMar w:top="1440" w:right="1440" w:bottom="1440" w:left="1440" w:header="708" w:footer="708" w:gutter="0"/>
          <w:cols w:space="708"/>
          <w:docGrid w:linePitch="360"/>
        </w:sectPr>
      </w:pPr>
      <w:r w:rsidRPr="00A61228">
        <w:rPr>
          <w:rFonts w:ascii="Times New Roman" w:hAnsi="Times New Roman" w:cs="Times New Roman"/>
          <w:sz w:val="20"/>
          <w:szCs w:val="20"/>
        </w:rPr>
        <w:t>Acknowledgements: the team are grateful to the support of Theo Georghiou, Chris</w:t>
      </w:r>
      <w:r>
        <w:rPr>
          <w:rFonts w:ascii="Times New Roman" w:hAnsi="Times New Roman" w:cs="Times New Roman"/>
          <w:sz w:val="20"/>
          <w:szCs w:val="20"/>
        </w:rPr>
        <w:t xml:space="preserve"> Sherlaw-Johnson</w:t>
      </w:r>
      <w:r w:rsidRPr="00A61228">
        <w:rPr>
          <w:rFonts w:ascii="Times New Roman" w:hAnsi="Times New Roman" w:cs="Times New Roman"/>
          <w:sz w:val="20"/>
          <w:szCs w:val="20"/>
        </w:rPr>
        <w:t>, Miranda Davies and Robert Atherton at the Nuffield Trust and Kay Phelps, Emma Regen and Janet Hood at the University of Leicester.</w:t>
      </w:r>
    </w:p>
    <w:p w14:paraId="6E46173D" w14:textId="77777777" w:rsidR="005178B0" w:rsidRPr="00A61228" w:rsidRDefault="005178B0" w:rsidP="002C7B49">
      <w:pPr>
        <w:pStyle w:val="Caption"/>
        <w:keepNext/>
        <w:rPr>
          <w:rFonts w:ascii="Times New Roman" w:hAnsi="Times New Roman" w:cs="Times New Roman"/>
          <w:sz w:val="20"/>
          <w:szCs w:val="20"/>
        </w:rPr>
      </w:pPr>
      <w:bookmarkStart w:id="1" w:name="_Ref487710582"/>
      <w:r w:rsidRPr="00A61228">
        <w:rPr>
          <w:rFonts w:ascii="Times New Roman" w:hAnsi="Times New Roman" w:cs="Times New Roman"/>
          <w:b/>
          <w:i w:val="0"/>
          <w:color w:val="000000" w:themeColor="text1"/>
          <w:sz w:val="20"/>
          <w:szCs w:val="20"/>
        </w:rPr>
        <w:lastRenderedPageBreak/>
        <w:t xml:space="preserve">Box </w:t>
      </w:r>
      <w:r w:rsidRPr="00A61228">
        <w:rPr>
          <w:rFonts w:ascii="Times New Roman" w:hAnsi="Times New Roman" w:cs="Times New Roman"/>
          <w:b/>
          <w:i w:val="0"/>
          <w:color w:val="000000" w:themeColor="text1"/>
          <w:sz w:val="20"/>
          <w:szCs w:val="20"/>
        </w:rPr>
        <w:fldChar w:fldCharType="begin"/>
      </w:r>
      <w:r w:rsidRPr="00A61228">
        <w:rPr>
          <w:rFonts w:ascii="Times New Roman" w:hAnsi="Times New Roman" w:cs="Times New Roman"/>
          <w:b/>
          <w:i w:val="0"/>
          <w:color w:val="000000" w:themeColor="text1"/>
          <w:sz w:val="20"/>
          <w:szCs w:val="20"/>
        </w:rPr>
        <w:instrText xml:space="preserve"> SEQ Box \* ARABIC </w:instrText>
      </w:r>
      <w:r w:rsidRPr="00A61228">
        <w:rPr>
          <w:rFonts w:ascii="Times New Roman" w:hAnsi="Times New Roman" w:cs="Times New Roman"/>
          <w:b/>
          <w:i w:val="0"/>
          <w:color w:val="000000" w:themeColor="text1"/>
          <w:sz w:val="20"/>
          <w:szCs w:val="20"/>
        </w:rPr>
        <w:fldChar w:fldCharType="separate"/>
      </w:r>
      <w:r w:rsidRPr="00A61228">
        <w:rPr>
          <w:rFonts w:ascii="Times New Roman" w:hAnsi="Times New Roman" w:cs="Times New Roman"/>
          <w:b/>
          <w:i w:val="0"/>
          <w:noProof/>
          <w:color w:val="000000" w:themeColor="text1"/>
          <w:sz w:val="20"/>
          <w:szCs w:val="20"/>
        </w:rPr>
        <w:t>1</w:t>
      </w:r>
      <w:r w:rsidRPr="00A61228">
        <w:rPr>
          <w:rFonts w:ascii="Times New Roman" w:hAnsi="Times New Roman" w:cs="Times New Roman"/>
          <w:b/>
          <w:i w:val="0"/>
          <w:noProof/>
          <w:color w:val="000000" w:themeColor="text1"/>
          <w:sz w:val="20"/>
          <w:szCs w:val="20"/>
        </w:rPr>
        <w:fldChar w:fldCharType="end"/>
      </w:r>
      <w:bookmarkEnd w:id="1"/>
      <w:r w:rsidRPr="00A61228">
        <w:rPr>
          <w:rFonts w:ascii="Times New Roman" w:hAnsi="Times New Roman" w:cs="Times New Roman"/>
          <w:i w:val="0"/>
          <w:color w:val="000000" w:themeColor="text1"/>
          <w:sz w:val="20"/>
          <w:szCs w:val="20"/>
        </w:rPr>
        <w:t xml:space="preserve"> Breakdown of ICD-10 codes at least twice as prevalent in each cluster compared to overall cohort (% prevalence in group, ratio to overall cohort).</w:t>
      </w:r>
    </w:p>
    <w:tbl>
      <w:tblPr>
        <w:tblStyle w:val="TableGrid"/>
        <w:tblW w:w="6460" w:type="pct"/>
        <w:tblInd w:w="-1281" w:type="dxa"/>
        <w:tblBorders>
          <w:insideV w:val="none" w:sz="0" w:space="0" w:color="auto"/>
        </w:tblBorders>
        <w:tblLayout w:type="fixed"/>
        <w:tblLook w:val="04A0" w:firstRow="1" w:lastRow="0" w:firstColumn="1" w:lastColumn="0" w:noHBand="0" w:noVBand="1"/>
      </w:tblPr>
      <w:tblGrid>
        <w:gridCol w:w="5671"/>
        <w:gridCol w:w="5978"/>
      </w:tblGrid>
      <w:tr w:rsidR="005178B0" w:rsidRPr="00A61228" w14:paraId="1C28FC7D" w14:textId="77777777" w:rsidTr="0000465A">
        <w:trPr>
          <w:trHeight w:val="13189"/>
        </w:trPr>
        <w:tc>
          <w:tcPr>
            <w:tcW w:w="2434" w:type="pct"/>
            <w:tcBorders>
              <w:top w:val="single" w:sz="4" w:space="0" w:color="auto"/>
              <w:left w:val="single" w:sz="4" w:space="0" w:color="auto"/>
              <w:bottom w:val="single" w:sz="4" w:space="0" w:color="auto"/>
              <w:right w:val="nil"/>
            </w:tcBorders>
            <w:hideMark/>
          </w:tcPr>
          <w:p w14:paraId="11F6728E" w14:textId="77777777" w:rsidR="005178B0" w:rsidRPr="00A61228" w:rsidRDefault="005178B0" w:rsidP="0000465A">
            <w:pPr>
              <w:shd w:val="clear" w:color="auto" w:fill="D2BDE1"/>
              <w:spacing w:line="240" w:lineRule="auto"/>
              <w:ind w:right="-108"/>
              <w:rPr>
                <w:rFonts w:ascii="Times New Roman" w:hAnsi="Times New Roman" w:cs="Times New Roman"/>
                <w:b/>
                <w:sz w:val="20"/>
                <w:szCs w:val="20"/>
              </w:rPr>
            </w:pPr>
            <w:r w:rsidRPr="00A61228">
              <w:rPr>
                <w:rFonts w:ascii="Times New Roman" w:hAnsi="Times New Roman" w:cs="Times New Roman"/>
                <w:b/>
                <w:sz w:val="20"/>
                <w:szCs w:val="20"/>
              </w:rPr>
              <w:t>“Frailty” cluster</w:t>
            </w:r>
          </w:p>
          <w:tbl>
            <w:tblPr>
              <w:tblW w:w="4890" w:type="dxa"/>
              <w:tblLayout w:type="fixed"/>
              <w:tblLook w:val="04A0" w:firstRow="1" w:lastRow="0" w:firstColumn="1" w:lastColumn="0" w:noHBand="0" w:noVBand="1"/>
            </w:tblPr>
            <w:tblGrid>
              <w:gridCol w:w="599"/>
              <w:gridCol w:w="4291"/>
            </w:tblGrid>
            <w:tr w:rsidR="005178B0" w:rsidRPr="00A61228" w14:paraId="55FF791A" w14:textId="77777777" w:rsidTr="002C7B49">
              <w:trPr>
                <w:trHeight w:val="550"/>
              </w:trPr>
              <w:tc>
                <w:tcPr>
                  <w:tcW w:w="612" w:type="pct"/>
                </w:tcPr>
                <w:p w14:paraId="1AC07A98"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F00</w:t>
                  </w:r>
                </w:p>
              </w:tc>
              <w:tc>
                <w:tcPr>
                  <w:tcW w:w="4388" w:type="pct"/>
                </w:tcPr>
                <w:p w14:paraId="5C80D886"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Dementia in Alzheimer's disease (11·5%, 3·8)</w:t>
                  </w:r>
                </w:p>
              </w:tc>
            </w:tr>
            <w:tr w:rsidR="005178B0" w:rsidRPr="00A61228" w14:paraId="79CED67B" w14:textId="77777777" w:rsidTr="002C7B49">
              <w:trPr>
                <w:trHeight w:val="262"/>
              </w:trPr>
              <w:tc>
                <w:tcPr>
                  <w:tcW w:w="612" w:type="pct"/>
                  <w:hideMark/>
                </w:tcPr>
                <w:p w14:paraId="44D5ADEA"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F05</w:t>
                  </w:r>
                </w:p>
              </w:tc>
              <w:tc>
                <w:tcPr>
                  <w:tcW w:w="4388" w:type="pct"/>
                  <w:hideMark/>
                </w:tcPr>
                <w:p w14:paraId="547DD12F"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Delirium (18·8%, 3·1)</w:t>
                  </w:r>
                </w:p>
              </w:tc>
            </w:tr>
            <w:tr w:rsidR="005178B0" w:rsidRPr="00A61228" w14:paraId="1046216A" w14:textId="77777777" w:rsidTr="002C7B49">
              <w:trPr>
                <w:trHeight w:val="262"/>
              </w:trPr>
              <w:tc>
                <w:tcPr>
                  <w:tcW w:w="612" w:type="pct"/>
                  <w:hideMark/>
                </w:tcPr>
                <w:p w14:paraId="0F0727CB"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G30</w:t>
                  </w:r>
                </w:p>
              </w:tc>
              <w:tc>
                <w:tcPr>
                  <w:tcW w:w="4388" w:type="pct"/>
                  <w:hideMark/>
                </w:tcPr>
                <w:p w14:paraId="208E5B02"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Alzheimer's disease (15·3%, 3·1)</w:t>
                  </w:r>
                </w:p>
              </w:tc>
            </w:tr>
            <w:tr w:rsidR="005178B0" w:rsidRPr="00A61228" w14:paraId="7CB848E2" w14:textId="77777777" w:rsidTr="002C7B49">
              <w:trPr>
                <w:trHeight w:val="262"/>
              </w:trPr>
              <w:tc>
                <w:tcPr>
                  <w:tcW w:w="612" w:type="pct"/>
                  <w:hideMark/>
                </w:tcPr>
                <w:p w14:paraId="6D7C9022"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I69</w:t>
                  </w:r>
                </w:p>
              </w:tc>
              <w:tc>
                <w:tcPr>
                  <w:tcW w:w="4388" w:type="pct"/>
                  <w:hideMark/>
                </w:tcPr>
                <w:p w14:paraId="5EB26422"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Sequelae of cerebrovascular disease (7·0%, 3·1)</w:t>
                  </w:r>
                </w:p>
              </w:tc>
            </w:tr>
            <w:tr w:rsidR="005178B0" w:rsidRPr="00A61228" w14:paraId="58CE70C4" w14:textId="77777777" w:rsidTr="002C7B49">
              <w:trPr>
                <w:trHeight w:val="220"/>
              </w:trPr>
              <w:tc>
                <w:tcPr>
                  <w:tcW w:w="612" w:type="pct"/>
                  <w:hideMark/>
                </w:tcPr>
                <w:p w14:paraId="44D112D1"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Z75</w:t>
                  </w:r>
                </w:p>
              </w:tc>
              <w:tc>
                <w:tcPr>
                  <w:tcW w:w="4388" w:type="pct"/>
                  <w:hideMark/>
                </w:tcPr>
                <w:p w14:paraId="23CBBA90"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 xml:space="preserve">Problems related to medical facilities &amp; </w:t>
                  </w:r>
                </w:p>
                <w:p w14:paraId="59C0E999"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health care (8·9%,3·1)</w:t>
                  </w:r>
                </w:p>
              </w:tc>
            </w:tr>
            <w:tr w:rsidR="005178B0" w:rsidRPr="00A61228" w14:paraId="0337E57A" w14:textId="77777777" w:rsidTr="002C7B49">
              <w:trPr>
                <w:trHeight w:val="419"/>
              </w:trPr>
              <w:tc>
                <w:tcPr>
                  <w:tcW w:w="612" w:type="pct"/>
                  <w:hideMark/>
                </w:tcPr>
                <w:p w14:paraId="02C8F569"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B96</w:t>
                  </w:r>
                </w:p>
              </w:tc>
              <w:tc>
                <w:tcPr>
                  <w:tcW w:w="4388" w:type="pct"/>
                  <w:hideMark/>
                </w:tcPr>
                <w:p w14:paraId="727B6754"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bacterial agents as the cause of diseases classified to other chapters (18·7%, 3·0)</w:t>
                  </w:r>
                </w:p>
              </w:tc>
            </w:tr>
            <w:tr w:rsidR="005178B0" w:rsidRPr="00A61228" w14:paraId="039A6515" w14:textId="77777777" w:rsidTr="002C7B49">
              <w:trPr>
                <w:trHeight w:val="262"/>
              </w:trPr>
              <w:tc>
                <w:tcPr>
                  <w:tcW w:w="612" w:type="pct"/>
                  <w:hideMark/>
                </w:tcPr>
                <w:p w14:paraId="126B295A"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S00</w:t>
                  </w:r>
                </w:p>
              </w:tc>
              <w:tc>
                <w:tcPr>
                  <w:tcW w:w="4388" w:type="pct"/>
                  <w:hideMark/>
                </w:tcPr>
                <w:p w14:paraId="341E25BC"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Superficial injury of head (11·6%, 2·9)</w:t>
                  </w:r>
                </w:p>
              </w:tc>
            </w:tr>
            <w:tr w:rsidR="005178B0" w:rsidRPr="00A61228" w14:paraId="37D3E76B" w14:textId="77777777" w:rsidTr="002C7B49">
              <w:trPr>
                <w:trHeight w:val="262"/>
              </w:trPr>
              <w:tc>
                <w:tcPr>
                  <w:tcW w:w="612" w:type="pct"/>
                  <w:hideMark/>
                </w:tcPr>
                <w:p w14:paraId="55248A8E"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G31</w:t>
                  </w:r>
                </w:p>
              </w:tc>
              <w:tc>
                <w:tcPr>
                  <w:tcW w:w="4388" w:type="pct"/>
                  <w:hideMark/>
                </w:tcPr>
                <w:p w14:paraId="75E43EB4"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 xml:space="preserve">Other degenerative diseases of nervous system </w:t>
                  </w:r>
                </w:p>
                <w:p w14:paraId="5046666B"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(8·5%, 2·7)</w:t>
                  </w:r>
                </w:p>
              </w:tc>
            </w:tr>
            <w:tr w:rsidR="005178B0" w:rsidRPr="00A61228" w14:paraId="460CBB87" w14:textId="77777777" w:rsidTr="002C7B49">
              <w:trPr>
                <w:trHeight w:val="419"/>
              </w:trPr>
              <w:tc>
                <w:tcPr>
                  <w:tcW w:w="612" w:type="pct"/>
                  <w:hideMark/>
                </w:tcPr>
                <w:p w14:paraId="5761D7D3"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R41</w:t>
                  </w:r>
                </w:p>
              </w:tc>
              <w:tc>
                <w:tcPr>
                  <w:tcW w:w="4388" w:type="pct"/>
                  <w:hideMark/>
                </w:tcPr>
                <w:p w14:paraId="5FA19F54"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symptoms &amp; signs involving cognitive</w:t>
                  </w:r>
                </w:p>
                <w:p w14:paraId="566A4603"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 xml:space="preserve">functions &amp; awareness (24·9%, 2·7) </w:t>
                  </w:r>
                </w:p>
              </w:tc>
            </w:tr>
            <w:tr w:rsidR="005178B0" w:rsidRPr="00A61228" w14:paraId="7B0353F1" w14:textId="77777777" w:rsidTr="002C7B49">
              <w:trPr>
                <w:trHeight w:val="262"/>
              </w:trPr>
              <w:tc>
                <w:tcPr>
                  <w:tcW w:w="612" w:type="pct"/>
                  <w:hideMark/>
                </w:tcPr>
                <w:p w14:paraId="71830D18"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L89</w:t>
                  </w:r>
                </w:p>
              </w:tc>
              <w:tc>
                <w:tcPr>
                  <w:tcW w:w="4388" w:type="pct"/>
                  <w:hideMark/>
                </w:tcPr>
                <w:p w14:paraId="4B9A56DE"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Decubitus ulcer (9·4%, 2·7)</w:t>
                  </w:r>
                </w:p>
              </w:tc>
            </w:tr>
            <w:tr w:rsidR="005178B0" w:rsidRPr="00A61228" w14:paraId="7C8AFAEC" w14:textId="77777777" w:rsidTr="002C7B49">
              <w:trPr>
                <w:trHeight w:val="262"/>
              </w:trPr>
              <w:tc>
                <w:tcPr>
                  <w:tcW w:w="612" w:type="pct"/>
                  <w:hideMark/>
                </w:tcPr>
                <w:p w14:paraId="49B847D3"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R26</w:t>
                  </w:r>
                </w:p>
              </w:tc>
              <w:tc>
                <w:tcPr>
                  <w:tcW w:w="4388" w:type="pct"/>
                  <w:hideMark/>
                </w:tcPr>
                <w:p w14:paraId="3DA84C7C"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 xml:space="preserve">Abnormalities of gait &amp; mobility (22·7%, 2·7) </w:t>
                  </w:r>
                </w:p>
              </w:tc>
            </w:tr>
            <w:tr w:rsidR="005178B0" w:rsidRPr="00A61228" w14:paraId="4402EECA" w14:textId="77777777" w:rsidTr="002C7B49">
              <w:trPr>
                <w:trHeight w:val="262"/>
              </w:trPr>
              <w:tc>
                <w:tcPr>
                  <w:tcW w:w="612" w:type="pct"/>
                  <w:hideMark/>
                </w:tcPr>
                <w:p w14:paraId="7AC933AE"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Y95</w:t>
                  </w:r>
                </w:p>
              </w:tc>
              <w:tc>
                <w:tcPr>
                  <w:tcW w:w="4388" w:type="pct"/>
                  <w:hideMark/>
                </w:tcPr>
                <w:p w14:paraId="13D09579"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Nosocomial condition (9·1%, 2·7)</w:t>
                  </w:r>
                </w:p>
              </w:tc>
            </w:tr>
            <w:tr w:rsidR="005178B0" w:rsidRPr="00A61228" w14:paraId="213058AF" w14:textId="77777777" w:rsidTr="002C7B49">
              <w:trPr>
                <w:trHeight w:val="262"/>
              </w:trPr>
              <w:tc>
                <w:tcPr>
                  <w:tcW w:w="612" w:type="pct"/>
                  <w:hideMark/>
                </w:tcPr>
                <w:p w14:paraId="3F8F9F30"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Z73</w:t>
                  </w:r>
                </w:p>
              </w:tc>
              <w:tc>
                <w:tcPr>
                  <w:tcW w:w="4388" w:type="pct"/>
                  <w:hideMark/>
                </w:tcPr>
                <w:p w14:paraId="03DACC2F"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 xml:space="preserve">Problems related to life-management difficulty </w:t>
                  </w:r>
                </w:p>
                <w:p w14:paraId="7BD7CF15"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(5·1%, 2·7)</w:t>
                  </w:r>
                </w:p>
              </w:tc>
            </w:tr>
            <w:tr w:rsidR="005178B0" w:rsidRPr="00A61228" w14:paraId="5CC2293E" w14:textId="77777777" w:rsidTr="002C7B49">
              <w:trPr>
                <w:trHeight w:val="419"/>
              </w:trPr>
              <w:tc>
                <w:tcPr>
                  <w:tcW w:w="612" w:type="pct"/>
                  <w:hideMark/>
                </w:tcPr>
                <w:p w14:paraId="56C6F562"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R29</w:t>
                  </w:r>
                </w:p>
              </w:tc>
              <w:tc>
                <w:tcPr>
                  <w:tcW w:w="4388" w:type="pct"/>
                  <w:hideMark/>
                </w:tcPr>
                <w:p w14:paraId="29C09934"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symptoms &amp; signs involving the nervous &amp; musculoskeletal systems (49·5%, 2·7)</w:t>
                  </w:r>
                </w:p>
              </w:tc>
            </w:tr>
            <w:tr w:rsidR="005178B0" w:rsidRPr="00A61228" w14:paraId="669E87A4" w14:textId="77777777" w:rsidTr="002C7B49">
              <w:trPr>
                <w:trHeight w:val="262"/>
              </w:trPr>
              <w:tc>
                <w:tcPr>
                  <w:tcW w:w="612" w:type="pct"/>
                  <w:hideMark/>
                </w:tcPr>
                <w:p w14:paraId="1FB5290F"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N39</w:t>
                  </w:r>
                </w:p>
              </w:tc>
              <w:tc>
                <w:tcPr>
                  <w:tcW w:w="4388" w:type="pct"/>
                  <w:hideMark/>
                </w:tcPr>
                <w:p w14:paraId="03F4EFC2"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disorders of urinary system (45·5%, 2·6)</w:t>
                  </w:r>
                </w:p>
              </w:tc>
            </w:tr>
            <w:tr w:rsidR="005178B0" w:rsidRPr="00A61228" w14:paraId="460479AD" w14:textId="77777777" w:rsidTr="002C7B49">
              <w:trPr>
                <w:trHeight w:val="262"/>
              </w:trPr>
              <w:tc>
                <w:tcPr>
                  <w:tcW w:w="612" w:type="pct"/>
                  <w:hideMark/>
                </w:tcPr>
                <w:p w14:paraId="6AC6982F"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R45</w:t>
                  </w:r>
                </w:p>
              </w:tc>
              <w:tc>
                <w:tcPr>
                  <w:tcW w:w="4388" w:type="pct"/>
                  <w:hideMark/>
                </w:tcPr>
                <w:p w14:paraId="5FC93BB5"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Symptoms involving emotional state (5·3%, 2·6)</w:t>
                  </w:r>
                </w:p>
              </w:tc>
            </w:tr>
            <w:tr w:rsidR="005178B0" w:rsidRPr="00A61228" w14:paraId="6B3974CC" w14:textId="77777777" w:rsidTr="002C7B49">
              <w:trPr>
                <w:trHeight w:val="262"/>
              </w:trPr>
              <w:tc>
                <w:tcPr>
                  <w:tcW w:w="612" w:type="pct"/>
                  <w:hideMark/>
                </w:tcPr>
                <w:p w14:paraId="34BCC368"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E86</w:t>
                  </w:r>
                </w:p>
              </w:tc>
              <w:tc>
                <w:tcPr>
                  <w:tcW w:w="4388" w:type="pct"/>
                  <w:hideMark/>
                </w:tcPr>
                <w:p w14:paraId="48A1334A"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Volume depletion (18·2%, 2·6)</w:t>
                  </w:r>
                </w:p>
              </w:tc>
            </w:tr>
            <w:tr w:rsidR="005178B0" w:rsidRPr="00A61228" w14:paraId="2CB2C22D" w14:textId="77777777" w:rsidTr="002C7B49">
              <w:trPr>
                <w:trHeight w:val="262"/>
              </w:trPr>
              <w:tc>
                <w:tcPr>
                  <w:tcW w:w="612" w:type="pct"/>
                  <w:hideMark/>
                </w:tcPr>
                <w:p w14:paraId="1642AAED"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I67</w:t>
                  </w:r>
                </w:p>
              </w:tc>
              <w:tc>
                <w:tcPr>
                  <w:tcW w:w="4388" w:type="pct"/>
                  <w:hideMark/>
                </w:tcPr>
                <w:p w14:paraId="16A40078"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cerebrovascular diseases (21·4%, 2·6)</w:t>
                  </w:r>
                </w:p>
              </w:tc>
            </w:tr>
            <w:tr w:rsidR="005178B0" w:rsidRPr="00A61228" w14:paraId="3B4A9AA8" w14:textId="77777777" w:rsidTr="002C7B49">
              <w:trPr>
                <w:trHeight w:val="262"/>
              </w:trPr>
              <w:tc>
                <w:tcPr>
                  <w:tcW w:w="612" w:type="pct"/>
                  <w:hideMark/>
                </w:tcPr>
                <w:p w14:paraId="60D0163B"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F01</w:t>
                  </w:r>
                </w:p>
              </w:tc>
              <w:tc>
                <w:tcPr>
                  <w:tcW w:w="4388" w:type="pct"/>
                  <w:hideMark/>
                </w:tcPr>
                <w:p w14:paraId="29F1C621"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Vascular dementia (10·0%, 2·6)</w:t>
                  </w:r>
                </w:p>
              </w:tc>
            </w:tr>
            <w:tr w:rsidR="005178B0" w:rsidRPr="00A61228" w14:paraId="1D8A2864" w14:textId="77777777" w:rsidTr="002C7B49">
              <w:trPr>
                <w:trHeight w:val="234"/>
              </w:trPr>
              <w:tc>
                <w:tcPr>
                  <w:tcW w:w="612" w:type="pct"/>
                  <w:hideMark/>
                </w:tcPr>
                <w:p w14:paraId="381C017D"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W19</w:t>
                  </w:r>
                </w:p>
              </w:tc>
              <w:tc>
                <w:tcPr>
                  <w:tcW w:w="4388" w:type="pct"/>
                  <w:hideMark/>
                </w:tcPr>
                <w:p w14:paraId="2571E5D0"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Unspecified fall (29·8%, 2·6)</w:t>
                  </w:r>
                </w:p>
              </w:tc>
            </w:tr>
            <w:tr w:rsidR="005178B0" w:rsidRPr="00A61228" w14:paraId="26872DB2" w14:textId="77777777" w:rsidTr="002C7B49">
              <w:trPr>
                <w:trHeight w:val="247"/>
              </w:trPr>
              <w:tc>
                <w:tcPr>
                  <w:tcW w:w="612" w:type="pct"/>
                  <w:hideMark/>
                </w:tcPr>
                <w:p w14:paraId="583C5746"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W18</w:t>
                  </w:r>
                </w:p>
              </w:tc>
              <w:tc>
                <w:tcPr>
                  <w:tcW w:w="4388" w:type="pct"/>
                  <w:hideMark/>
                </w:tcPr>
                <w:p w14:paraId="1DECF531"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fall on same level (7·4%, 2·5)</w:t>
                  </w:r>
                </w:p>
              </w:tc>
            </w:tr>
            <w:tr w:rsidR="005178B0" w:rsidRPr="00A61228" w14:paraId="49E0AB6C" w14:textId="77777777" w:rsidTr="002C7B49">
              <w:trPr>
                <w:trHeight w:val="262"/>
              </w:trPr>
              <w:tc>
                <w:tcPr>
                  <w:tcW w:w="612" w:type="pct"/>
                  <w:hideMark/>
                </w:tcPr>
                <w:p w14:paraId="2AF0D7C9"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R32</w:t>
                  </w:r>
                </w:p>
              </w:tc>
              <w:tc>
                <w:tcPr>
                  <w:tcW w:w="4388" w:type="pct"/>
                  <w:hideMark/>
                </w:tcPr>
                <w:p w14:paraId="749316DA"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Urinary incontinence (9·4%, 2·5)</w:t>
                  </w:r>
                </w:p>
              </w:tc>
            </w:tr>
            <w:tr w:rsidR="005178B0" w:rsidRPr="00A61228" w14:paraId="689383D9" w14:textId="77777777" w:rsidTr="002C7B49">
              <w:trPr>
                <w:trHeight w:val="262"/>
              </w:trPr>
              <w:tc>
                <w:tcPr>
                  <w:tcW w:w="612" w:type="pct"/>
                  <w:hideMark/>
                </w:tcPr>
                <w:p w14:paraId="4B1D1C62"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A41</w:t>
                  </w:r>
                </w:p>
              </w:tc>
              <w:tc>
                <w:tcPr>
                  <w:tcW w:w="4388" w:type="pct"/>
                  <w:hideMark/>
                </w:tcPr>
                <w:p w14:paraId="36D6C6C0"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septicaemia (10·5%, 2·4)</w:t>
                  </w:r>
                </w:p>
              </w:tc>
            </w:tr>
            <w:tr w:rsidR="005178B0" w:rsidRPr="00A61228" w14:paraId="42613D44" w14:textId="77777777" w:rsidTr="002C7B49">
              <w:trPr>
                <w:trHeight w:val="262"/>
              </w:trPr>
              <w:tc>
                <w:tcPr>
                  <w:tcW w:w="612" w:type="pct"/>
                  <w:hideMark/>
                </w:tcPr>
                <w:p w14:paraId="7E35FC56"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S01</w:t>
                  </w:r>
                </w:p>
              </w:tc>
              <w:tc>
                <w:tcPr>
                  <w:tcW w:w="4388" w:type="pct"/>
                  <w:hideMark/>
                </w:tcPr>
                <w:p w14:paraId="781E6DA5"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Wound of the head (8·3%, 2·4)</w:t>
                  </w:r>
                </w:p>
              </w:tc>
            </w:tr>
            <w:tr w:rsidR="005178B0" w:rsidRPr="00A61228" w14:paraId="19C2B202" w14:textId="77777777" w:rsidTr="002C7B49">
              <w:trPr>
                <w:trHeight w:val="262"/>
              </w:trPr>
              <w:tc>
                <w:tcPr>
                  <w:tcW w:w="612" w:type="pct"/>
                  <w:hideMark/>
                </w:tcPr>
                <w:p w14:paraId="277829F4"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F03</w:t>
                  </w:r>
                </w:p>
              </w:tc>
              <w:tc>
                <w:tcPr>
                  <w:tcW w:w="4388" w:type="pct"/>
                  <w:hideMark/>
                </w:tcPr>
                <w:p w14:paraId="47EE3DB9"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Unspecified dementia (29·2%, 2·4)</w:t>
                  </w:r>
                </w:p>
              </w:tc>
            </w:tr>
            <w:tr w:rsidR="005178B0" w:rsidRPr="00A61228" w14:paraId="4DD64CAA" w14:textId="77777777" w:rsidTr="002C7B49">
              <w:trPr>
                <w:trHeight w:val="262"/>
              </w:trPr>
              <w:tc>
                <w:tcPr>
                  <w:tcW w:w="612" w:type="pct"/>
                  <w:hideMark/>
                </w:tcPr>
                <w:p w14:paraId="5D33BB5C"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M25</w:t>
                  </w:r>
                </w:p>
              </w:tc>
              <w:tc>
                <w:tcPr>
                  <w:tcW w:w="4388" w:type="pct"/>
                  <w:hideMark/>
                </w:tcPr>
                <w:p w14:paraId="24A7A0F3"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joint disorders (13·2%, 2·3)</w:t>
                  </w:r>
                </w:p>
              </w:tc>
            </w:tr>
            <w:tr w:rsidR="005178B0" w:rsidRPr="00A61228" w14:paraId="3E0090B8" w14:textId="77777777" w:rsidTr="002C7B49">
              <w:trPr>
                <w:trHeight w:val="222"/>
              </w:trPr>
              <w:tc>
                <w:tcPr>
                  <w:tcW w:w="612" w:type="pct"/>
                  <w:hideMark/>
                </w:tcPr>
                <w:p w14:paraId="3147ED0D"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J69</w:t>
                  </w:r>
                </w:p>
              </w:tc>
              <w:tc>
                <w:tcPr>
                  <w:tcW w:w="4388" w:type="pct"/>
                  <w:hideMark/>
                </w:tcPr>
                <w:p w14:paraId="2F5DD6A7"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Pneumonitis due to solids &amp; liquids (5·1%, 2·3)</w:t>
                  </w:r>
                </w:p>
              </w:tc>
            </w:tr>
            <w:tr w:rsidR="005178B0" w:rsidRPr="00A61228" w14:paraId="66523ED4" w14:textId="77777777" w:rsidTr="002C7B49">
              <w:trPr>
                <w:trHeight w:val="262"/>
              </w:trPr>
              <w:tc>
                <w:tcPr>
                  <w:tcW w:w="612" w:type="pct"/>
                  <w:hideMark/>
                </w:tcPr>
                <w:p w14:paraId="36BCCAB2"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L97</w:t>
                  </w:r>
                </w:p>
              </w:tc>
              <w:tc>
                <w:tcPr>
                  <w:tcW w:w="4388" w:type="pct"/>
                  <w:hideMark/>
                </w:tcPr>
                <w:p w14:paraId="03B8DF11"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Ulcer of lower limb, NEC (8·3%, 2·3)</w:t>
                  </w:r>
                </w:p>
              </w:tc>
            </w:tr>
            <w:tr w:rsidR="005178B0" w:rsidRPr="00A61228" w14:paraId="354C06AC" w14:textId="77777777" w:rsidTr="002C7B49">
              <w:trPr>
                <w:trHeight w:val="262"/>
              </w:trPr>
              <w:tc>
                <w:tcPr>
                  <w:tcW w:w="612" w:type="pct"/>
                  <w:hideMark/>
                </w:tcPr>
                <w:p w14:paraId="7C4138EF"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K59</w:t>
                  </w:r>
                </w:p>
              </w:tc>
              <w:tc>
                <w:tcPr>
                  <w:tcW w:w="4388" w:type="pct"/>
                  <w:hideMark/>
                </w:tcPr>
                <w:p w14:paraId="6D321492"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functional intestinal disorders (26·6%, 2·3)</w:t>
                  </w:r>
                </w:p>
              </w:tc>
            </w:tr>
            <w:tr w:rsidR="005178B0" w:rsidRPr="00A61228" w14:paraId="2482FCFA" w14:textId="77777777" w:rsidTr="002C7B49">
              <w:trPr>
                <w:trHeight w:val="262"/>
              </w:trPr>
              <w:tc>
                <w:tcPr>
                  <w:tcW w:w="612" w:type="pct"/>
                  <w:hideMark/>
                </w:tcPr>
                <w:p w14:paraId="40A8C209"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N17</w:t>
                  </w:r>
                </w:p>
              </w:tc>
              <w:tc>
                <w:tcPr>
                  <w:tcW w:w="4388" w:type="pct"/>
                  <w:hideMark/>
                </w:tcPr>
                <w:p w14:paraId="2528AD09"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Acute renal failure (34·9%, 2·2)</w:t>
                  </w:r>
                </w:p>
              </w:tc>
            </w:tr>
            <w:tr w:rsidR="005178B0" w:rsidRPr="00A61228" w14:paraId="1F0F0F31" w14:textId="77777777" w:rsidTr="002C7B49">
              <w:trPr>
                <w:trHeight w:val="262"/>
              </w:trPr>
              <w:tc>
                <w:tcPr>
                  <w:tcW w:w="612" w:type="pct"/>
                  <w:hideMark/>
                </w:tcPr>
                <w:p w14:paraId="502FB9F8"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H54</w:t>
                  </w:r>
                </w:p>
              </w:tc>
              <w:tc>
                <w:tcPr>
                  <w:tcW w:w="4388" w:type="pct"/>
                  <w:hideMark/>
                </w:tcPr>
                <w:p w14:paraId="51FE2CF2"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Blindness &amp; low vision (6·4%, 2·2)</w:t>
                  </w:r>
                </w:p>
              </w:tc>
            </w:tr>
            <w:tr w:rsidR="005178B0" w:rsidRPr="00A61228" w14:paraId="190E5D3D" w14:textId="77777777" w:rsidTr="002C7B49">
              <w:trPr>
                <w:trHeight w:val="274"/>
              </w:trPr>
              <w:tc>
                <w:tcPr>
                  <w:tcW w:w="612" w:type="pct"/>
                  <w:hideMark/>
                </w:tcPr>
                <w:p w14:paraId="1FC68506"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E87</w:t>
                  </w:r>
                </w:p>
              </w:tc>
              <w:tc>
                <w:tcPr>
                  <w:tcW w:w="4388" w:type="pct"/>
                  <w:hideMark/>
                </w:tcPr>
                <w:p w14:paraId="1DE9EFD4"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 xml:space="preserve">Other disorders of fluid, electrolyte </w:t>
                  </w:r>
                </w:p>
                <w:p w14:paraId="32A257C8"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&amp; acid-base balance (25·5%, 2·2)</w:t>
                  </w:r>
                </w:p>
              </w:tc>
            </w:tr>
            <w:tr w:rsidR="005178B0" w:rsidRPr="00A61228" w14:paraId="00FD9B16" w14:textId="77777777" w:rsidTr="002C7B49">
              <w:trPr>
                <w:trHeight w:val="262"/>
              </w:trPr>
              <w:tc>
                <w:tcPr>
                  <w:tcW w:w="612" w:type="pct"/>
                  <w:hideMark/>
                </w:tcPr>
                <w:p w14:paraId="571BAEDF"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I95</w:t>
                  </w:r>
                </w:p>
              </w:tc>
              <w:tc>
                <w:tcPr>
                  <w:tcW w:w="4388" w:type="pct"/>
                  <w:hideMark/>
                </w:tcPr>
                <w:p w14:paraId="5C108650"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Hypotension (17·2%, 2·2)</w:t>
                  </w:r>
                </w:p>
              </w:tc>
            </w:tr>
            <w:tr w:rsidR="005178B0" w:rsidRPr="00A61228" w14:paraId="199713A3" w14:textId="77777777" w:rsidTr="002C7B49">
              <w:trPr>
                <w:trHeight w:val="239"/>
              </w:trPr>
              <w:tc>
                <w:tcPr>
                  <w:tcW w:w="612" w:type="pct"/>
                  <w:hideMark/>
                </w:tcPr>
                <w:p w14:paraId="1C333D50"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L03</w:t>
                  </w:r>
                </w:p>
              </w:tc>
              <w:tc>
                <w:tcPr>
                  <w:tcW w:w="4388" w:type="pct"/>
                  <w:hideMark/>
                </w:tcPr>
                <w:p w14:paraId="74C3E0E1"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Cellulitis (8·6%, 2·2)</w:t>
                  </w:r>
                </w:p>
              </w:tc>
            </w:tr>
            <w:tr w:rsidR="005178B0" w:rsidRPr="00A61228" w14:paraId="21F72C98" w14:textId="77777777" w:rsidTr="002C7B49">
              <w:trPr>
                <w:trHeight w:val="241"/>
              </w:trPr>
              <w:tc>
                <w:tcPr>
                  <w:tcW w:w="612" w:type="pct"/>
                  <w:hideMark/>
                </w:tcPr>
                <w:p w14:paraId="53D901B2"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R33</w:t>
                  </w:r>
                </w:p>
              </w:tc>
              <w:tc>
                <w:tcPr>
                  <w:tcW w:w="4388" w:type="pct"/>
                  <w:hideMark/>
                </w:tcPr>
                <w:p w14:paraId="4722ED52"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Retention of urine (16·8%, 2·2)</w:t>
                  </w:r>
                </w:p>
              </w:tc>
            </w:tr>
            <w:tr w:rsidR="005178B0" w:rsidRPr="00A61228" w14:paraId="6A47275A" w14:textId="77777777" w:rsidTr="002C7B49">
              <w:trPr>
                <w:trHeight w:val="407"/>
              </w:trPr>
              <w:tc>
                <w:tcPr>
                  <w:tcW w:w="612" w:type="pct"/>
                  <w:hideMark/>
                </w:tcPr>
                <w:p w14:paraId="227699D7"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S72</w:t>
                  </w:r>
                </w:p>
              </w:tc>
              <w:tc>
                <w:tcPr>
                  <w:tcW w:w="4388" w:type="pct"/>
                  <w:hideMark/>
                </w:tcPr>
                <w:p w14:paraId="3AF87FAF"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Fracture of femur (10·8%, 2·2)</w:t>
                  </w:r>
                </w:p>
              </w:tc>
            </w:tr>
          </w:tbl>
          <w:p w14:paraId="46BD8C2D" w14:textId="77777777" w:rsidR="005178B0" w:rsidRPr="00A61228" w:rsidRDefault="005178B0" w:rsidP="002C7B49">
            <w:pPr>
              <w:shd w:val="clear" w:color="auto" w:fill="D2BDE1"/>
              <w:ind w:right="-108"/>
              <w:rPr>
                <w:rFonts w:ascii="Times New Roman" w:hAnsi="Times New Roman" w:cs="Times New Roman"/>
                <w:b/>
                <w:sz w:val="20"/>
                <w:szCs w:val="20"/>
              </w:rPr>
            </w:pPr>
            <w:r w:rsidRPr="00A61228">
              <w:rPr>
                <w:rFonts w:ascii="Times New Roman" w:eastAsia="Times New Roman" w:hAnsi="Times New Roman" w:cs="Times New Roman"/>
                <w:b/>
                <w:color w:val="000000"/>
                <w:sz w:val="20"/>
                <w:szCs w:val="20"/>
                <w:lang w:eastAsia="en-GB"/>
              </w:rPr>
              <w:t xml:space="preserve"> </w:t>
            </w:r>
            <w:r w:rsidRPr="00A61228">
              <w:rPr>
                <w:rFonts w:ascii="Times New Roman" w:hAnsi="Times New Roman" w:cs="Times New Roman"/>
                <w:b/>
                <w:sz w:val="20"/>
                <w:szCs w:val="20"/>
              </w:rPr>
              <w:t>Chronic heart problems”</w:t>
            </w:r>
          </w:p>
          <w:tbl>
            <w:tblPr>
              <w:tblW w:w="4786" w:type="dxa"/>
              <w:tblLayout w:type="fixed"/>
              <w:tblLook w:val="04A0" w:firstRow="1" w:lastRow="0" w:firstColumn="1" w:lastColumn="0" w:noHBand="0" w:noVBand="1"/>
            </w:tblPr>
            <w:tblGrid>
              <w:gridCol w:w="585"/>
              <w:gridCol w:w="4201"/>
            </w:tblGrid>
            <w:tr w:rsidR="005178B0" w:rsidRPr="00A61228" w14:paraId="49534825" w14:textId="77777777" w:rsidTr="002C7B49">
              <w:trPr>
                <w:trHeight w:val="283"/>
              </w:trPr>
              <w:tc>
                <w:tcPr>
                  <w:tcW w:w="585" w:type="dxa"/>
                </w:tcPr>
                <w:p w14:paraId="70B76413"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Z95</w:t>
                  </w:r>
                </w:p>
              </w:tc>
              <w:tc>
                <w:tcPr>
                  <w:tcW w:w="4201" w:type="dxa"/>
                </w:tcPr>
                <w:p w14:paraId="468722EA"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Presence of cardiac &amp; vascular implants &amp; grafts (31·9%, 2·6)</w:t>
                  </w:r>
                </w:p>
              </w:tc>
            </w:tr>
            <w:tr w:rsidR="005178B0" w:rsidRPr="00A61228" w14:paraId="4E8FE4C2" w14:textId="77777777" w:rsidTr="002C7B49">
              <w:trPr>
                <w:trHeight w:val="283"/>
              </w:trPr>
              <w:tc>
                <w:tcPr>
                  <w:tcW w:w="585" w:type="dxa"/>
                  <w:hideMark/>
                </w:tcPr>
                <w:p w14:paraId="1B0384D1"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I25</w:t>
                  </w:r>
                </w:p>
              </w:tc>
              <w:tc>
                <w:tcPr>
                  <w:tcW w:w="4201" w:type="dxa"/>
                  <w:hideMark/>
                </w:tcPr>
                <w:p w14:paraId="710B0370"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Chronic ischaemic heart disease (53·4%, 2·4)</w:t>
                  </w:r>
                </w:p>
              </w:tc>
            </w:tr>
            <w:tr w:rsidR="005178B0" w:rsidRPr="00A61228" w14:paraId="5533183C" w14:textId="77777777" w:rsidTr="002C7B49">
              <w:trPr>
                <w:trHeight w:val="283"/>
              </w:trPr>
              <w:tc>
                <w:tcPr>
                  <w:tcW w:w="585" w:type="dxa"/>
                  <w:hideMark/>
                </w:tcPr>
                <w:p w14:paraId="0147D719"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I20</w:t>
                  </w:r>
                </w:p>
              </w:tc>
              <w:tc>
                <w:tcPr>
                  <w:tcW w:w="4201" w:type="dxa"/>
                  <w:hideMark/>
                </w:tcPr>
                <w:p w14:paraId="3C138DC8"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Angina pectoris (27·6%, 2·4)</w:t>
                  </w:r>
                </w:p>
              </w:tc>
            </w:tr>
            <w:tr w:rsidR="005178B0" w:rsidRPr="00A61228" w14:paraId="679738D2" w14:textId="77777777" w:rsidTr="002C7B49">
              <w:trPr>
                <w:trHeight w:val="283"/>
              </w:trPr>
              <w:tc>
                <w:tcPr>
                  <w:tcW w:w="585" w:type="dxa"/>
                  <w:hideMark/>
                </w:tcPr>
                <w:p w14:paraId="24358E4A"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Z92</w:t>
                  </w:r>
                </w:p>
              </w:tc>
              <w:tc>
                <w:tcPr>
                  <w:tcW w:w="4201" w:type="dxa"/>
                  <w:hideMark/>
                </w:tcPr>
                <w:p w14:paraId="35A07437"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Personal history of medical treatment (47·8%, 2·3)</w:t>
                  </w:r>
                </w:p>
              </w:tc>
            </w:tr>
            <w:tr w:rsidR="005178B0" w:rsidRPr="00A61228" w14:paraId="2506EE98" w14:textId="77777777" w:rsidTr="002C7B49">
              <w:trPr>
                <w:trHeight w:val="273"/>
              </w:trPr>
              <w:tc>
                <w:tcPr>
                  <w:tcW w:w="585" w:type="dxa"/>
                  <w:hideMark/>
                </w:tcPr>
                <w:p w14:paraId="2F6BBE23" w14:textId="77777777" w:rsidR="005178B0" w:rsidRPr="00A61228" w:rsidRDefault="005178B0" w:rsidP="002C7B49">
                  <w:pPr>
                    <w:spacing w:after="0" w:line="240" w:lineRule="auto"/>
                    <w:ind w:right="-108"/>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I48</w:t>
                  </w:r>
                </w:p>
              </w:tc>
              <w:tc>
                <w:tcPr>
                  <w:tcW w:w="4201" w:type="dxa"/>
                  <w:hideMark/>
                </w:tcPr>
                <w:p w14:paraId="536A0321" w14:textId="77777777" w:rsidR="005178B0" w:rsidRPr="00A61228" w:rsidRDefault="005178B0" w:rsidP="002C7B49">
                  <w:pPr>
                    <w:spacing w:after="0" w:line="240" w:lineRule="auto"/>
                    <w:ind w:right="-108"/>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Atrial fibrillation &amp; flutter (51·3%, 2·1)</w:t>
                  </w:r>
                </w:p>
              </w:tc>
            </w:tr>
          </w:tbl>
          <w:p w14:paraId="15FBFC63" w14:textId="77777777" w:rsidR="005178B0" w:rsidRPr="00A61228" w:rsidRDefault="005178B0" w:rsidP="002C7B49">
            <w:pPr>
              <w:ind w:right="-108"/>
              <w:jc w:val="both"/>
              <w:rPr>
                <w:rFonts w:ascii="Times New Roman" w:hAnsi="Times New Roman" w:cs="Times New Roman"/>
                <w:sz w:val="20"/>
                <w:szCs w:val="20"/>
              </w:rPr>
            </w:pPr>
          </w:p>
        </w:tc>
        <w:tc>
          <w:tcPr>
            <w:tcW w:w="2566" w:type="pct"/>
            <w:tcBorders>
              <w:top w:val="single" w:sz="4" w:space="0" w:color="auto"/>
              <w:left w:val="nil"/>
              <w:bottom w:val="single" w:sz="4" w:space="0" w:color="auto"/>
              <w:right w:val="single" w:sz="4" w:space="0" w:color="auto"/>
            </w:tcBorders>
          </w:tcPr>
          <w:p w14:paraId="7F0E1A28" w14:textId="77777777" w:rsidR="005178B0" w:rsidRPr="00A61228" w:rsidRDefault="005178B0" w:rsidP="0000465A">
            <w:pPr>
              <w:shd w:val="clear" w:color="auto" w:fill="D2BDE1"/>
              <w:spacing w:line="240" w:lineRule="auto"/>
              <w:rPr>
                <w:rFonts w:ascii="Times New Roman" w:hAnsi="Times New Roman" w:cs="Times New Roman"/>
                <w:b/>
                <w:sz w:val="20"/>
                <w:szCs w:val="20"/>
              </w:rPr>
            </w:pPr>
            <w:r w:rsidRPr="00A61228">
              <w:rPr>
                <w:rFonts w:ascii="Times New Roman" w:hAnsi="Times New Roman" w:cs="Times New Roman"/>
                <w:b/>
                <w:sz w:val="20"/>
                <w:szCs w:val="20"/>
              </w:rPr>
              <w:t>“Elective cataracts”</w:t>
            </w:r>
          </w:p>
          <w:tbl>
            <w:tblPr>
              <w:tblW w:w="5092" w:type="dxa"/>
              <w:tblLayout w:type="fixed"/>
              <w:tblLook w:val="04A0" w:firstRow="1" w:lastRow="0" w:firstColumn="1" w:lastColumn="0" w:noHBand="0" w:noVBand="1"/>
            </w:tblPr>
            <w:tblGrid>
              <w:gridCol w:w="599"/>
              <w:gridCol w:w="4493"/>
            </w:tblGrid>
            <w:tr w:rsidR="005178B0" w:rsidRPr="00A61228" w14:paraId="6D6991ED" w14:textId="77777777" w:rsidTr="002C7B49">
              <w:trPr>
                <w:trHeight w:val="262"/>
              </w:trPr>
              <w:tc>
                <w:tcPr>
                  <w:tcW w:w="599" w:type="dxa"/>
                </w:tcPr>
                <w:p w14:paraId="555ADEC8" w14:textId="77777777" w:rsidR="005178B0" w:rsidRPr="00A61228" w:rsidRDefault="005178B0" w:rsidP="002C7B49">
                  <w:pPr>
                    <w:spacing w:after="0" w:line="240" w:lineRule="auto"/>
                    <w:jc w:val="both"/>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H25</w:t>
                  </w:r>
                </w:p>
              </w:tc>
              <w:tc>
                <w:tcPr>
                  <w:tcW w:w="4493" w:type="dxa"/>
                </w:tcPr>
                <w:p w14:paraId="13EFB118" w14:textId="77777777" w:rsidR="005178B0" w:rsidRPr="00A61228" w:rsidRDefault="005178B0" w:rsidP="002C7B49">
                  <w:pPr>
                    <w:spacing w:after="0" w:line="240" w:lineRule="auto"/>
                    <w:jc w:val="both"/>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Senile cataract (12·0%, 3·2)</w:t>
                  </w:r>
                </w:p>
              </w:tc>
            </w:tr>
            <w:tr w:rsidR="005178B0" w:rsidRPr="00A61228" w14:paraId="553AC5C7" w14:textId="77777777" w:rsidTr="002C7B49">
              <w:trPr>
                <w:trHeight w:val="262"/>
              </w:trPr>
              <w:tc>
                <w:tcPr>
                  <w:tcW w:w="599" w:type="dxa"/>
                  <w:hideMark/>
                </w:tcPr>
                <w:p w14:paraId="06101162" w14:textId="77777777" w:rsidR="005178B0" w:rsidRPr="00A61228" w:rsidRDefault="005178B0" w:rsidP="002C7B49">
                  <w:pPr>
                    <w:spacing w:after="0" w:line="240" w:lineRule="auto"/>
                    <w:jc w:val="both"/>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H26</w:t>
                  </w:r>
                </w:p>
              </w:tc>
              <w:tc>
                <w:tcPr>
                  <w:tcW w:w="4493" w:type="dxa"/>
                  <w:hideMark/>
                </w:tcPr>
                <w:p w14:paraId="31779FD0" w14:textId="77777777" w:rsidR="005178B0" w:rsidRPr="00A61228" w:rsidRDefault="005178B0" w:rsidP="002C7B49">
                  <w:pPr>
                    <w:spacing w:after="0" w:line="240" w:lineRule="auto"/>
                    <w:jc w:val="both"/>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cataract (24·6%, 2·6)</w:t>
                  </w:r>
                </w:p>
              </w:tc>
            </w:tr>
          </w:tbl>
          <w:p w14:paraId="4AC24D9E" w14:textId="77777777" w:rsidR="005178B0" w:rsidRPr="00A61228" w:rsidRDefault="005178B0" w:rsidP="002C7B49">
            <w:pPr>
              <w:shd w:val="clear" w:color="auto" w:fill="D2BDE1"/>
              <w:rPr>
                <w:rFonts w:ascii="Times New Roman" w:hAnsi="Times New Roman" w:cs="Times New Roman"/>
                <w:b/>
                <w:sz w:val="20"/>
                <w:szCs w:val="20"/>
              </w:rPr>
            </w:pPr>
            <w:r w:rsidRPr="00A61228">
              <w:rPr>
                <w:rFonts w:ascii="Times New Roman" w:hAnsi="Times New Roman" w:cs="Times New Roman"/>
                <w:b/>
                <w:sz w:val="20"/>
                <w:szCs w:val="20"/>
              </w:rPr>
              <w:t xml:space="preserve">  “Acute heart problems” </w:t>
            </w:r>
          </w:p>
          <w:tbl>
            <w:tblPr>
              <w:tblW w:w="5302" w:type="dxa"/>
              <w:tblLayout w:type="fixed"/>
              <w:tblLook w:val="04A0" w:firstRow="1" w:lastRow="0" w:firstColumn="1" w:lastColumn="0" w:noHBand="0" w:noVBand="1"/>
            </w:tblPr>
            <w:tblGrid>
              <w:gridCol w:w="601"/>
              <w:gridCol w:w="4701"/>
            </w:tblGrid>
            <w:tr w:rsidR="005178B0" w:rsidRPr="00A61228" w14:paraId="1F1104E7" w14:textId="77777777" w:rsidTr="002C7B49">
              <w:trPr>
                <w:trHeight w:val="471"/>
              </w:trPr>
              <w:tc>
                <w:tcPr>
                  <w:tcW w:w="601" w:type="dxa"/>
                </w:tcPr>
                <w:p w14:paraId="7A59A683"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I08</w:t>
                  </w:r>
                </w:p>
              </w:tc>
              <w:tc>
                <w:tcPr>
                  <w:tcW w:w="4701" w:type="dxa"/>
                </w:tcPr>
                <w:p w14:paraId="66F9FAA2"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Multiple valve disease (31·2%, 5·3)</w:t>
                  </w:r>
                </w:p>
              </w:tc>
            </w:tr>
            <w:tr w:rsidR="005178B0" w:rsidRPr="00A61228" w14:paraId="246F6255" w14:textId="77777777" w:rsidTr="002C7B49">
              <w:trPr>
                <w:trHeight w:val="421"/>
              </w:trPr>
              <w:tc>
                <w:tcPr>
                  <w:tcW w:w="601" w:type="dxa"/>
                  <w:hideMark/>
                </w:tcPr>
                <w:p w14:paraId="6AF5C28B"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Z82</w:t>
                  </w:r>
                </w:p>
              </w:tc>
              <w:tc>
                <w:tcPr>
                  <w:tcW w:w="4701" w:type="dxa"/>
                  <w:hideMark/>
                </w:tcPr>
                <w:p w14:paraId="71354A46"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Family history of certain disabilities &amp; chronic diseases leading to disablement (9·4%, 5·3)</w:t>
                  </w:r>
                </w:p>
              </w:tc>
            </w:tr>
            <w:tr w:rsidR="005178B0" w:rsidRPr="00A61228" w14:paraId="5E985AF4" w14:textId="77777777" w:rsidTr="002C7B49">
              <w:trPr>
                <w:trHeight w:val="263"/>
              </w:trPr>
              <w:tc>
                <w:tcPr>
                  <w:tcW w:w="601" w:type="dxa"/>
                  <w:hideMark/>
                </w:tcPr>
                <w:p w14:paraId="601C16F1"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I24</w:t>
                  </w:r>
                </w:p>
              </w:tc>
              <w:tc>
                <w:tcPr>
                  <w:tcW w:w="4701" w:type="dxa"/>
                  <w:hideMark/>
                </w:tcPr>
                <w:p w14:paraId="30A90101"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acute ischaemic heart diseases (5·0%, 5·2)</w:t>
                  </w:r>
                </w:p>
              </w:tc>
            </w:tr>
            <w:tr w:rsidR="005178B0" w:rsidRPr="00A61228" w14:paraId="16E24789" w14:textId="77777777" w:rsidTr="002C7B49">
              <w:trPr>
                <w:trHeight w:val="421"/>
              </w:trPr>
              <w:tc>
                <w:tcPr>
                  <w:tcW w:w="601" w:type="dxa"/>
                  <w:hideMark/>
                </w:tcPr>
                <w:p w14:paraId="15E62972"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I51</w:t>
                  </w:r>
                </w:p>
              </w:tc>
              <w:tc>
                <w:tcPr>
                  <w:tcW w:w="4701" w:type="dxa"/>
                  <w:hideMark/>
                </w:tcPr>
                <w:p w14:paraId="39D0B5FC"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Complications &amp; ill-defined descriptions of heart disease (46·4%, 4·9)</w:t>
                  </w:r>
                </w:p>
              </w:tc>
            </w:tr>
            <w:tr w:rsidR="005178B0" w:rsidRPr="00A61228" w14:paraId="2403DDB2" w14:textId="77777777" w:rsidTr="002C7B49">
              <w:trPr>
                <w:trHeight w:val="263"/>
              </w:trPr>
              <w:tc>
                <w:tcPr>
                  <w:tcW w:w="601" w:type="dxa"/>
                  <w:hideMark/>
                </w:tcPr>
                <w:p w14:paraId="01DF1516"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I21</w:t>
                  </w:r>
                </w:p>
              </w:tc>
              <w:tc>
                <w:tcPr>
                  <w:tcW w:w="4701" w:type="dxa"/>
                  <w:hideMark/>
                </w:tcPr>
                <w:p w14:paraId="663896F3"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Acute myocardial infarction (20·4%, 4·8)</w:t>
                  </w:r>
                </w:p>
              </w:tc>
            </w:tr>
            <w:tr w:rsidR="005178B0" w:rsidRPr="00A61228" w14:paraId="5CC5BD3C" w14:textId="77777777" w:rsidTr="002C7B49">
              <w:trPr>
                <w:trHeight w:val="263"/>
              </w:trPr>
              <w:tc>
                <w:tcPr>
                  <w:tcW w:w="601" w:type="dxa"/>
                  <w:hideMark/>
                </w:tcPr>
                <w:p w14:paraId="435CB1FB"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I34</w:t>
                  </w:r>
                </w:p>
              </w:tc>
              <w:tc>
                <w:tcPr>
                  <w:tcW w:w="4701" w:type="dxa"/>
                  <w:hideMark/>
                </w:tcPr>
                <w:p w14:paraId="5624CC7D"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Nonrheumatic mitral valve disorder (8·5%, 3·9)</w:t>
                  </w:r>
                </w:p>
              </w:tc>
            </w:tr>
            <w:tr w:rsidR="005178B0" w:rsidRPr="00A61228" w14:paraId="3FF5D24B" w14:textId="77777777" w:rsidTr="002C7B49">
              <w:trPr>
                <w:trHeight w:val="263"/>
              </w:trPr>
              <w:tc>
                <w:tcPr>
                  <w:tcW w:w="601" w:type="dxa"/>
                  <w:hideMark/>
                </w:tcPr>
                <w:p w14:paraId="28F9A13B"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J90</w:t>
                  </w:r>
                </w:p>
              </w:tc>
              <w:tc>
                <w:tcPr>
                  <w:tcW w:w="4701" w:type="dxa"/>
                  <w:hideMark/>
                </w:tcPr>
                <w:p w14:paraId="0BAB26A2"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pleural effusion (26·3%, 3·7)</w:t>
                  </w:r>
                </w:p>
              </w:tc>
            </w:tr>
            <w:tr w:rsidR="005178B0" w:rsidRPr="00A61228" w14:paraId="5E5D7035" w14:textId="77777777" w:rsidTr="002C7B49">
              <w:trPr>
                <w:trHeight w:val="263"/>
              </w:trPr>
              <w:tc>
                <w:tcPr>
                  <w:tcW w:w="601" w:type="dxa"/>
                  <w:hideMark/>
                </w:tcPr>
                <w:p w14:paraId="54915EFC"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I27</w:t>
                  </w:r>
                </w:p>
              </w:tc>
              <w:tc>
                <w:tcPr>
                  <w:tcW w:w="4701" w:type="dxa"/>
                  <w:hideMark/>
                </w:tcPr>
                <w:p w14:paraId="67F5DE48"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pulmonary heart diseases (6·6%, 3·6)</w:t>
                  </w:r>
                </w:p>
              </w:tc>
            </w:tr>
            <w:tr w:rsidR="005178B0" w:rsidRPr="00A61228" w14:paraId="0F105F13" w14:textId="77777777" w:rsidTr="002C7B49">
              <w:trPr>
                <w:trHeight w:val="263"/>
              </w:trPr>
              <w:tc>
                <w:tcPr>
                  <w:tcW w:w="601" w:type="dxa"/>
                  <w:hideMark/>
                </w:tcPr>
                <w:p w14:paraId="41A68B5A"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I44</w:t>
                  </w:r>
                </w:p>
              </w:tc>
              <w:tc>
                <w:tcPr>
                  <w:tcW w:w="4701" w:type="dxa"/>
                  <w:hideMark/>
                </w:tcPr>
                <w:p w14:paraId="2D3CDD54"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 xml:space="preserve">Atrioventricular &amp; left bundle branch block </w:t>
                  </w:r>
                </w:p>
                <w:p w14:paraId="1303ACFF"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(23·9%, 3·6)</w:t>
                  </w:r>
                </w:p>
              </w:tc>
            </w:tr>
            <w:tr w:rsidR="005178B0" w:rsidRPr="00A61228" w14:paraId="41276F1C" w14:textId="77777777" w:rsidTr="002C7B49">
              <w:trPr>
                <w:trHeight w:val="263"/>
              </w:trPr>
              <w:tc>
                <w:tcPr>
                  <w:tcW w:w="601" w:type="dxa"/>
                  <w:hideMark/>
                </w:tcPr>
                <w:p w14:paraId="021C045E"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I49</w:t>
                  </w:r>
                </w:p>
              </w:tc>
              <w:tc>
                <w:tcPr>
                  <w:tcW w:w="4701" w:type="dxa"/>
                  <w:hideMark/>
                </w:tcPr>
                <w:p w14:paraId="07E040ED"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cardiac arrhythmias (6·7%, 3·5)</w:t>
                  </w:r>
                </w:p>
              </w:tc>
            </w:tr>
            <w:tr w:rsidR="005178B0" w:rsidRPr="00A61228" w14:paraId="1F7E1DCF" w14:textId="77777777" w:rsidTr="002C7B49">
              <w:trPr>
                <w:trHeight w:val="263"/>
              </w:trPr>
              <w:tc>
                <w:tcPr>
                  <w:tcW w:w="601" w:type="dxa"/>
                  <w:hideMark/>
                </w:tcPr>
                <w:p w14:paraId="20DE59AF"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I50</w:t>
                  </w:r>
                </w:p>
              </w:tc>
              <w:tc>
                <w:tcPr>
                  <w:tcW w:w="4701" w:type="dxa"/>
                  <w:hideMark/>
                </w:tcPr>
                <w:p w14:paraId="0D2354EF"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Heart failure (49·8%, 3·3)</w:t>
                  </w:r>
                </w:p>
              </w:tc>
            </w:tr>
            <w:tr w:rsidR="005178B0" w:rsidRPr="00A61228" w14:paraId="1024774D" w14:textId="77777777" w:rsidTr="002C7B49">
              <w:trPr>
                <w:trHeight w:val="263"/>
              </w:trPr>
              <w:tc>
                <w:tcPr>
                  <w:tcW w:w="601" w:type="dxa"/>
                  <w:hideMark/>
                </w:tcPr>
                <w:p w14:paraId="444A3E87"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I35</w:t>
                  </w:r>
                </w:p>
              </w:tc>
              <w:tc>
                <w:tcPr>
                  <w:tcW w:w="4701" w:type="dxa"/>
                  <w:hideMark/>
                </w:tcPr>
                <w:p w14:paraId="6F4DA0F3"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Nonrheumatic aortic valve disorder (12·4%, 3·2)</w:t>
                  </w:r>
                </w:p>
              </w:tc>
            </w:tr>
            <w:tr w:rsidR="005178B0" w:rsidRPr="00A61228" w14:paraId="3C6B3DFC" w14:textId="77777777" w:rsidTr="002C7B49">
              <w:trPr>
                <w:trHeight w:val="263"/>
              </w:trPr>
              <w:tc>
                <w:tcPr>
                  <w:tcW w:w="601" w:type="dxa"/>
                  <w:hideMark/>
                </w:tcPr>
                <w:p w14:paraId="62018389"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Z95</w:t>
                  </w:r>
                </w:p>
              </w:tc>
              <w:tc>
                <w:tcPr>
                  <w:tcW w:w="4701" w:type="dxa"/>
                  <w:hideMark/>
                </w:tcPr>
                <w:p w14:paraId="6F20124E"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Presence of cardiac &amp; vascular implants &amp; grafts (39·5%, 3·2)</w:t>
                  </w:r>
                </w:p>
              </w:tc>
            </w:tr>
            <w:tr w:rsidR="005178B0" w:rsidRPr="00A61228" w14:paraId="07BC0384" w14:textId="77777777" w:rsidTr="002C7B49">
              <w:trPr>
                <w:trHeight w:val="263"/>
              </w:trPr>
              <w:tc>
                <w:tcPr>
                  <w:tcW w:w="601" w:type="dxa"/>
                  <w:hideMark/>
                </w:tcPr>
                <w:p w14:paraId="7935CBED"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I20</w:t>
                  </w:r>
                </w:p>
              </w:tc>
              <w:tc>
                <w:tcPr>
                  <w:tcW w:w="4701" w:type="dxa"/>
                  <w:hideMark/>
                </w:tcPr>
                <w:p w14:paraId="1FDD4C12"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Angina pectoris (35·6%, 3·1)</w:t>
                  </w:r>
                </w:p>
              </w:tc>
            </w:tr>
            <w:tr w:rsidR="005178B0" w:rsidRPr="00A61228" w14:paraId="79AEA9BB" w14:textId="77777777" w:rsidTr="002C7B49">
              <w:trPr>
                <w:trHeight w:val="263"/>
              </w:trPr>
              <w:tc>
                <w:tcPr>
                  <w:tcW w:w="601" w:type="dxa"/>
                  <w:hideMark/>
                </w:tcPr>
                <w:p w14:paraId="52DFA28A"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R06</w:t>
                  </w:r>
                </w:p>
              </w:tc>
              <w:tc>
                <w:tcPr>
                  <w:tcW w:w="4701" w:type="dxa"/>
                  <w:hideMark/>
                </w:tcPr>
                <w:p w14:paraId="686B5BD3"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Abnormalities in breathing (13·8%, 3·0)</w:t>
                  </w:r>
                </w:p>
              </w:tc>
            </w:tr>
            <w:tr w:rsidR="005178B0" w:rsidRPr="00A61228" w14:paraId="08885D9A" w14:textId="77777777" w:rsidTr="002C7B49">
              <w:trPr>
                <w:trHeight w:val="263"/>
              </w:trPr>
              <w:tc>
                <w:tcPr>
                  <w:tcW w:w="601" w:type="dxa"/>
                  <w:hideMark/>
                </w:tcPr>
                <w:p w14:paraId="3CB26358"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I71</w:t>
                  </w:r>
                </w:p>
              </w:tc>
              <w:tc>
                <w:tcPr>
                  <w:tcW w:w="4701" w:type="dxa"/>
                  <w:hideMark/>
                </w:tcPr>
                <w:p w14:paraId="2299FCEA"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Aortic aneurysm &amp; dissection (7·3%, 3·0)</w:t>
                  </w:r>
                </w:p>
              </w:tc>
            </w:tr>
            <w:tr w:rsidR="005178B0" w:rsidRPr="00A61228" w14:paraId="67168181" w14:textId="77777777" w:rsidTr="002C7B49">
              <w:trPr>
                <w:trHeight w:val="263"/>
              </w:trPr>
              <w:tc>
                <w:tcPr>
                  <w:tcW w:w="601" w:type="dxa"/>
                  <w:hideMark/>
                </w:tcPr>
                <w:p w14:paraId="727B8015"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I25</w:t>
                  </w:r>
                </w:p>
              </w:tc>
              <w:tc>
                <w:tcPr>
                  <w:tcW w:w="4701" w:type="dxa"/>
                  <w:hideMark/>
                </w:tcPr>
                <w:p w14:paraId="06EDAD1A"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Chronic ischaemic heart disease (65·0%, 2·9)</w:t>
                  </w:r>
                </w:p>
              </w:tc>
            </w:tr>
            <w:tr w:rsidR="005178B0" w:rsidRPr="00A61228" w14:paraId="0622FF64" w14:textId="77777777" w:rsidTr="002C7B49">
              <w:trPr>
                <w:trHeight w:val="263"/>
              </w:trPr>
              <w:tc>
                <w:tcPr>
                  <w:tcW w:w="601" w:type="dxa"/>
                  <w:hideMark/>
                </w:tcPr>
                <w:p w14:paraId="65732181"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I45</w:t>
                  </w:r>
                </w:p>
              </w:tc>
              <w:tc>
                <w:tcPr>
                  <w:tcW w:w="4701" w:type="dxa"/>
                  <w:hideMark/>
                </w:tcPr>
                <w:p w14:paraId="0CD9446F"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conduction disorders (10·4%, 2·7)</w:t>
                  </w:r>
                </w:p>
              </w:tc>
            </w:tr>
            <w:tr w:rsidR="005178B0" w:rsidRPr="00A61228" w14:paraId="3A0C086C" w14:textId="77777777" w:rsidTr="002C7B49">
              <w:trPr>
                <w:trHeight w:val="263"/>
              </w:trPr>
              <w:tc>
                <w:tcPr>
                  <w:tcW w:w="601" w:type="dxa"/>
                  <w:hideMark/>
                </w:tcPr>
                <w:p w14:paraId="07AC4120"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I73</w:t>
                  </w:r>
                </w:p>
              </w:tc>
              <w:tc>
                <w:tcPr>
                  <w:tcW w:w="4701" w:type="dxa"/>
                  <w:hideMark/>
                </w:tcPr>
                <w:p w14:paraId="764B1907"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peripheral vascular diseases (9·3%, 2·7)</w:t>
                  </w:r>
                </w:p>
              </w:tc>
            </w:tr>
            <w:tr w:rsidR="005178B0" w:rsidRPr="00A61228" w14:paraId="4AB8A1B0" w14:textId="77777777" w:rsidTr="002C7B49">
              <w:trPr>
                <w:trHeight w:val="263"/>
              </w:trPr>
              <w:tc>
                <w:tcPr>
                  <w:tcW w:w="601" w:type="dxa"/>
                  <w:hideMark/>
                </w:tcPr>
                <w:p w14:paraId="7AABD9D8"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R07</w:t>
                  </w:r>
                </w:p>
              </w:tc>
              <w:tc>
                <w:tcPr>
                  <w:tcW w:w="4701" w:type="dxa"/>
                  <w:hideMark/>
                </w:tcPr>
                <w:p w14:paraId="2DD11FAB"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Pain in throat &amp; chest (17·9%, 2·7)</w:t>
                  </w:r>
                </w:p>
              </w:tc>
            </w:tr>
            <w:tr w:rsidR="005178B0" w:rsidRPr="00A61228" w14:paraId="35A91299" w14:textId="77777777" w:rsidTr="002C7B49">
              <w:trPr>
                <w:trHeight w:val="263"/>
              </w:trPr>
              <w:tc>
                <w:tcPr>
                  <w:tcW w:w="601" w:type="dxa"/>
                  <w:hideMark/>
                </w:tcPr>
                <w:p w14:paraId="281FAA1E"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R00</w:t>
                  </w:r>
                </w:p>
              </w:tc>
              <w:tc>
                <w:tcPr>
                  <w:tcW w:w="4701" w:type="dxa"/>
                  <w:hideMark/>
                </w:tcPr>
                <w:p w14:paraId="61CDF7D2"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Abnormalities of heart beat (15·0%, 2·6)</w:t>
                  </w:r>
                </w:p>
              </w:tc>
            </w:tr>
            <w:tr w:rsidR="005178B0" w:rsidRPr="00A61228" w14:paraId="43B2240C" w14:textId="77777777" w:rsidTr="002C7B49">
              <w:trPr>
                <w:trHeight w:val="263"/>
              </w:trPr>
              <w:tc>
                <w:tcPr>
                  <w:tcW w:w="601" w:type="dxa"/>
                  <w:hideMark/>
                </w:tcPr>
                <w:p w14:paraId="323B5338"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R60</w:t>
                  </w:r>
                </w:p>
              </w:tc>
              <w:tc>
                <w:tcPr>
                  <w:tcW w:w="4701" w:type="dxa"/>
                  <w:hideMark/>
                </w:tcPr>
                <w:p w14:paraId="28F46ACE"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Oedema (10·1%, 2·5)</w:t>
                  </w:r>
                </w:p>
              </w:tc>
            </w:tr>
            <w:tr w:rsidR="005178B0" w:rsidRPr="00A61228" w14:paraId="7B0FEBBE" w14:textId="77777777" w:rsidTr="002C7B49">
              <w:trPr>
                <w:trHeight w:val="263"/>
              </w:trPr>
              <w:tc>
                <w:tcPr>
                  <w:tcW w:w="601" w:type="dxa"/>
                  <w:hideMark/>
                </w:tcPr>
                <w:p w14:paraId="241DB794"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J98</w:t>
                  </w:r>
                </w:p>
              </w:tc>
              <w:tc>
                <w:tcPr>
                  <w:tcW w:w="4701" w:type="dxa"/>
                  <w:hideMark/>
                </w:tcPr>
                <w:p w14:paraId="23186CBA"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respiratory disorders (10·8%, 2·5)</w:t>
                  </w:r>
                </w:p>
              </w:tc>
            </w:tr>
            <w:tr w:rsidR="005178B0" w:rsidRPr="00A61228" w14:paraId="3D50845D" w14:textId="77777777" w:rsidTr="002C7B49">
              <w:trPr>
                <w:trHeight w:val="263"/>
              </w:trPr>
              <w:tc>
                <w:tcPr>
                  <w:tcW w:w="601" w:type="dxa"/>
                  <w:hideMark/>
                </w:tcPr>
                <w:p w14:paraId="2CD3BF80"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Z92</w:t>
                  </w:r>
                </w:p>
              </w:tc>
              <w:tc>
                <w:tcPr>
                  <w:tcW w:w="4701" w:type="dxa"/>
                  <w:hideMark/>
                </w:tcPr>
                <w:p w14:paraId="5266657E"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Personal history of medical treatment (47·1%, 2·3)</w:t>
                  </w:r>
                </w:p>
              </w:tc>
            </w:tr>
            <w:tr w:rsidR="005178B0" w:rsidRPr="00A61228" w14:paraId="548052F1" w14:textId="77777777" w:rsidTr="002C7B49">
              <w:trPr>
                <w:trHeight w:val="263"/>
              </w:trPr>
              <w:tc>
                <w:tcPr>
                  <w:tcW w:w="601" w:type="dxa"/>
                  <w:hideMark/>
                </w:tcPr>
                <w:p w14:paraId="54F2CBB6"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R42</w:t>
                  </w:r>
                </w:p>
              </w:tc>
              <w:tc>
                <w:tcPr>
                  <w:tcW w:w="4701" w:type="dxa"/>
                  <w:hideMark/>
                </w:tcPr>
                <w:p w14:paraId="017DDC7D"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Dizziness &amp; giddiness (6·8%, 2·2)</w:t>
                  </w:r>
                </w:p>
              </w:tc>
            </w:tr>
            <w:tr w:rsidR="005178B0" w:rsidRPr="00A61228" w14:paraId="74E7F0C0" w14:textId="77777777" w:rsidTr="002C7B49">
              <w:trPr>
                <w:trHeight w:val="263"/>
              </w:trPr>
              <w:tc>
                <w:tcPr>
                  <w:tcW w:w="601" w:type="dxa"/>
                  <w:hideMark/>
                </w:tcPr>
                <w:p w14:paraId="59FAD5D8"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I48</w:t>
                  </w:r>
                </w:p>
              </w:tc>
              <w:tc>
                <w:tcPr>
                  <w:tcW w:w="4701" w:type="dxa"/>
                  <w:hideMark/>
                </w:tcPr>
                <w:p w14:paraId="06EAB329"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Atrial fibrillation &amp; flutter (51·3%, 2·1)</w:t>
                  </w:r>
                </w:p>
              </w:tc>
            </w:tr>
            <w:tr w:rsidR="005178B0" w:rsidRPr="00A61228" w14:paraId="51B23F3D" w14:textId="77777777" w:rsidTr="002C7B49">
              <w:trPr>
                <w:trHeight w:val="263"/>
              </w:trPr>
              <w:tc>
                <w:tcPr>
                  <w:tcW w:w="601" w:type="dxa"/>
                  <w:hideMark/>
                </w:tcPr>
                <w:p w14:paraId="010BF32F"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E78</w:t>
                  </w:r>
                </w:p>
              </w:tc>
              <w:tc>
                <w:tcPr>
                  <w:tcW w:w="4701" w:type="dxa"/>
                  <w:hideMark/>
                </w:tcPr>
                <w:p w14:paraId="427D083F"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Disorders of lipoprotein metabolism (35·2%, 2·1)</w:t>
                  </w:r>
                </w:p>
              </w:tc>
            </w:tr>
            <w:tr w:rsidR="005178B0" w:rsidRPr="00A61228" w14:paraId="7500FC31" w14:textId="77777777" w:rsidTr="002C7B49">
              <w:trPr>
                <w:trHeight w:val="518"/>
              </w:trPr>
              <w:tc>
                <w:tcPr>
                  <w:tcW w:w="601" w:type="dxa"/>
                  <w:hideMark/>
                </w:tcPr>
                <w:p w14:paraId="3E30F11C"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R79</w:t>
                  </w:r>
                </w:p>
              </w:tc>
              <w:tc>
                <w:tcPr>
                  <w:tcW w:w="4701" w:type="dxa"/>
                  <w:hideMark/>
                </w:tcPr>
                <w:p w14:paraId="769E92DD"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 xml:space="preserve">Other abnormal findings of blood chemistry </w:t>
                  </w:r>
                </w:p>
                <w:p w14:paraId="3C75245E"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(7·5%, 2·0)</w:t>
                  </w:r>
                </w:p>
              </w:tc>
            </w:tr>
          </w:tbl>
          <w:p w14:paraId="41D7E008" w14:textId="77777777" w:rsidR="005178B0" w:rsidRPr="00A61228" w:rsidRDefault="005178B0" w:rsidP="002C7B49">
            <w:pPr>
              <w:shd w:val="clear" w:color="auto" w:fill="D2BDE1"/>
              <w:jc w:val="both"/>
              <w:rPr>
                <w:rFonts w:ascii="Times New Roman" w:hAnsi="Times New Roman" w:cs="Times New Roman"/>
                <w:b/>
                <w:sz w:val="20"/>
                <w:szCs w:val="20"/>
              </w:rPr>
            </w:pPr>
            <w:r w:rsidRPr="00A61228">
              <w:rPr>
                <w:rStyle w:val="CommentReference"/>
                <w:rFonts w:ascii="Times New Roman" w:hAnsi="Times New Roman" w:cs="Times New Roman"/>
                <w:b/>
                <w:sz w:val="20"/>
                <w:szCs w:val="20"/>
              </w:rPr>
              <w:t xml:space="preserve"> </w:t>
            </w:r>
            <w:r w:rsidRPr="00A61228">
              <w:rPr>
                <w:rFonts w:ascii="Times New Roman" w:hAnsi="Times New Roman" w:cs="Times New Roman"/>
                <w:b/>
                <w:sz w:val="20"/>
                <w:szCs w:val="20"/>
              </w:rPr>
              <w:t>“Cancer &amp; lung disease”</w:t>
            </w:r>
          </w:p>
          <w:tbl>
            <w:tblPr>
              <w:tblW w:w="5302" w:type="dxa"/>
              <w:tblLayout w:type="fixed"/>
              <w:tblLook w:val="04A0" w:firstRow="1" w:lastRow="0" w:firstColumn="1" w:lastColumn="0" w:noHBand="0" w:noVBand="1"/>
            </w:tblPr>
            <w:tblGrid>
              <w:gridCol w:w="585"/>
              <w:gridCol w:w="4717"/>
            </w:tblGrid>
            <w:tr w:rsidR="005178B0" w:rsidRPr="00A61228" w14:paraId="7E3DE45C" w14:textId="77777777" w:rsidTr="002C7B49">
              <w:trPr>
                <w:trHeight w:val="252"/>
              </w:trPr>
              <w:tc>
                <w:tcPr>
                  <w:tcW w:w="585" w:type="dxa"/>
                  <w:hideMark/>
                </w:tcPr>
                <w:p w14:paraId="11BA730B"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C79</w:t>
                  </w:r>
                </w:p>
              </w:tc>
              <w:tc>
                <w:tcPr>
                  <w:tcW w:w="4717" w:type="dxa"/>
                  <w:hideMark/>
                </w:tcPr>
                <w:p w14:paraId="38DC2232"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 xml:space="preserve">Secondary malignant neoplasm of other sites </w:t>
                  </w:r>
                </w:p>
                <w:p w14:paraId="7018B0A7"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(9·3%,4·2)</w:t>
                  </w:r>
                </w:p>
              </w:tc>
            </w:tr>
            <w:tr w:rsidR="005178B0" w:rsidRPr="00A61228" w14:paraId="5BB53181" w14:textId="77777777" w:rsidTr="002C7B49">
              <w:trPr>
                <w:trHeight w:val="405"/>
              </w:trPr>
              <w:tc>
                <w:tcPr>
                  <w:tcW w:w="585" w:type="dxa"/>
                  <w:hideMark/>
                </w:tcPr>
                <w:p w14:paraId="276E9AA1"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C78</w:t>
                  </w:r>
                </w:p>
              </w:tc>
              <w:tc>
                <w:tcPr>
                  <w:tcW w:w="4717" w:type="dxa"/>
                  <w:hideMark/>
                </w:tcPr>
                <w:p w14:paraId="592EDA0B"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 xml:space="preserve">Secondary malignant neoplasm of respiratory </w:t>
                  </w:r>
                </w:p>
                <w:p w14:paraId="756FC3BD"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&amp; digestive organs (10·5%,4·0)</w:t>
                  </w:r>
                </w:p>
              </w:tc>
            </w:tr>
            <w:tr w:rsidR="005178B0" w:rsidRPr="00A61228" w14:paraId="4541137D" w14:textId="77777777" w:rsidTr="002C7B49">
              <w:trPr>
                <w:trHeight w:val="252"/>
              </w:trPr>
              <w:tc>
                <w:tcPr>
                  <w:tcW w:w="585" w:type="dxa"/>
                  <w:hideMark/>
                </w:tcPr>
                <w:p w14:paraId="513907D7"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C34</w:t>
                  </w:r>
                </w:p>
              </w:tc>
              <w:tc>
                <w:tcPr>
                  <w:tcW w:w="4717" w:type="dxa"/>
                  <w:hideMark/>
                </w:tcPr>
                <w:p w14:paraId="13EEA51D"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Malignant neoplasm of bronchus &amp; lung (5·7%, 3·2)</w:t>
                  </w:r>
                </w:p>
              </w:tc>
            </w:tr>
            <w:tr w:rsidR="005178B0" w:rsidRPr="00A61228" w14:paraId="01038191" w14:textId="77777777" w:rsidTr="002C7B49">
              <w:trPr>
                <w:trHeight w:val="252"/>
              </w:trPr>
              <w:tc>
                <w:tcPr>
                  <w:tcW w:w="585" w:type="dxa"/>
                  <w:hideMark/>
                </w:tcPr>
                <w:p w14:paraId="6C9586F6"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Z51</w:t>
                  </w:r>
                </w:p>
              </w:tc>
              <w:tc>
                <w:tcPr>
                  <w:tcW w:w="4717" w:type="dxa"/>
                  <w:hideMark/>
                </w:tcPr>
                <w:p w14:paraId="3F67826E"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Other medical care (26·9%, 2·4)</w:t>
                  </w:r>
                </w:p>
              </w:tc>
            </w:tr>
            <w:tr w:rsidR="005178B0" w:rsidRPr="00A61228" w14:paraId="52EAB7B1" w14:textId="77777777" w:rsidTr="002C7B49">
              <w:trPr>
                <w:trHeight w:val="252"/>
              </w:trPr>
              <w:tc>
                <w:tcPr>
                  <w:tcW w:w="585" w:type="dxa"/>
                  <w:hideMark/>
                </w:tcPr>
                <w:p w14:paraId="7E8E55B7"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J43</w:t>
                  </w:r>
                </w:p>
              </w:tc>
              <w:tc>
                <w:tcPr>
                  <w:tcW w:w="4717" w:type="dxa"/>
                  <w:hideMark/>
                </w:tcPr>
                <w:p w14:paraId="357B369B"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Emphysema (5·3%, 2·2)</w:t>
                  </w:r>
                </w:p>
              </w:tc>
            </w:tr>
            <w:tr w:rsidR="005178B0" w:rsidRPr="00A61228" w14:paraId="61519558" w14:textId="77777777" w:rsidTr="002C7B49">
              <w:trPr>
                <w:trHeight w:val="252"/>
              </w:trPr>
              <w:tc>
                <w:tcPr>
                  <w:tcW w:w="585" w:type="dxa"/>
                  <w:hideMark/>
                </w:tcPr>
                <w:p w14:paraId="1195E3E9"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J47</w:t>
                  </w:r>
                </w:p>
              </w:tc>
              <w:tc>
                <w:tcPr>
                  <w:tcW w:w="4717" w:type="dxa"/>
                  <w:hideMark/>
                </w:tcPr>
                <w:p w14:paraId="3E55169F"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Bronchiectasis (5·2%, 2·1)</w:t>
                  </w:r>
                </w:p>
              </w:tc>
            </w:tr>
            <w:tr w:rsidR="005178B0" w:rsidRPr="00A61228" w14:paraId="5F3AD962" w14:textId="77777777" w:rsidTr="002C7B49">
              <w:trPr>
                <w:trHeight w:val="252"/>
              </w:trPr>
              <w:tc>
                <w:tcPr>
                  <w:tcW w:w="585" w:type="dxa"/>
                  <w:hideMark/>
                </w:tcPr>
                <w:p w14:paraId="11DB4B08" w14:textId="77777777" w:rsidR="005178B0" w:rsidRPr="00A61228" w:rsidRDefault="005178B0" w:rsidP="002C7B49">
                  <w:pPr>
                    <w:spacing w:after="0" w:line="240" w:lineRule="auto"/>
                    <w:rPr>
                      <w:rFonts w:ascii="Times New Roman" w:eastAsia="Times New Roman" w:hAnsi="Times New Roman" w:cs="Times New Roman"/>
                      <w:b/>
                      <w:bCs/>
                      <w:color w:val="000000"/>
                      <w:sz w:val="20"/>
                      <w:szCs w:val="20"/>
                      <w:lang w:eastAsia="en-GB"/>
                    </w:rPr>
                  </w:pPr>
                  <w:r w:rsidRPr="00A61228">
                    <w:rPr>
                      <w:rFonts w:ascii="Times New Roman" w:eastAsia="Times New Roman" w:hAnsi="Times New Roman" w:cs="Times New Roman"/>
                      <w:b/>
                      <w:bCs/>
                      <w:color w:val="000000"/>
                      <w:sz w:val="20"/>
                      <w:szCs w:val="20"/>
                      <w:lang w:eastAsia="en-GB"/>
                    </w:rPr>
                    <w:t>J96</w:t>
                  </w:r>
                </w:p>
              </w:tc>
              <w:tc>
                <w:tcPr>
                  <w:tcW w:w="4717" w:type="dxa"/>
                  <w:hideMark/>
                </w:tcPr>
                <w:p w14:paraId="24DA2143" w14:textId="77777777" w:rsidR="005178B0" w:rsidRPr="00A61228" w:rsidRDefault="005178B0" w:rsidP="002C7B49">
                  <w:pPr>
                    <w:spacing w:after="0"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Respiratory failure (6·2%, 2·0)</w:t>
                  </w:r>
                </w:p>
              </w:tc>
            </w:tr>
          </w:tbl>
          <w:p w14:paraId="0A26A2B1" w14:textId="32AA325D" w:rsidR="0000465A" w:rsidRPr="00A61228" w:rsidRDefault="0000465A" w:rsidP="0000465A">
            <w:pPr>
              <w:shd w:val="clear" w:color="auto" w:fill="D2BDE1"/>
              <w:jc w:val="both"/>
              <w:rPr>
                <w:rFonts w:ascii="Times New Roman" w:hAnsi="Times New Roman" w:cs="Times New Roman"/>
                <w:b/>
                <w:sz w:val="20"/>
                <w:szCs w:val="20"/>
              </w:rPr>
            </w:pPr>
            <w:r w:rsidRPr="00A61228">
              <w:rPr>
                <w:rFonts w:ascii="Times New Roman" w:hAnsi="Times New Roman" w:cs="Times New Roman"/>
                <w:b/>
                <w:sz w:val="20"/>
                <w:szCs w:val="20"/>
              </w:rPr>
              <w:t>“</w:t>
            </w:r>
            <w:r>
              <w:rPr>
                <w:rFonts w:ascii="Times New Roman" w:hAnsi="Times New Roman" w:cs="Times New Roman"/>
                <w:b/>
                <w:sz w:val="20"/>
                <w:szCs w:val="20"/>
              </w:rPr>
              <w:t>Mixed</w:t>
            </w:r>
            <w:r w:rsidRPr="00A61228">
              <w:rPr>
                <w:rFonts w:ascii="Times New Roman" w:hAnsi="Times New Roman" w:cs="Times New Roman"/>
                <w:b/>
                <w:sz w:val="20"/>
                <w:szCs w:val="20"/>
              </w:rPr>
              <w:t>”</w:t>
            </w:r>
          </w:p>
          <w:p w14:paraId="2E054B5D" w14:textId="465AF2CD" w:rsidR="005178B0" w:rsidRPr="00A61228" w:rsidRDefault="005178B0" w:rsidP="0000465A">
            <w:pPr>
              <w:keepNext/>
              <w:spacing w:line="240" w:lineRule="auto"/>
              <w:rPr>
                <w:rFonts w:ascii="Times New Roman" w:eastAsia="Times New Roman" w:hAnsi="Times New Roman" w:cs="Times New Roman"/>
                <w:color w:val="000000"/>
                <w:sz w:val="20"/>
                <w:szCs w:val="20"/>
                <w:lang w:eastAsia="en-GB"/>
              </w:rPr>
            </w:pPr>
            <w:r w:rsidRPr="00A61228">
              <w:rPr>
                <w:rFonts w:ascii="Times New Roman" w:eastAsia="Times New Roman" w:hAnsi="Times New Roman" w:cs="Times New Roman"/>
                <w:color w:val="000000"/>
                <w:sz w:val="20"/>
                <w:szCs w:val="20"/>
                <w:lang w:eastAsia="en-GB"/>
              </w:rPr>
              <w:t>No individual code with ratio &gt;2</w:t>
            </w:r>
          </w:p>
        </w:tc>
      </w:tr>
    </w:tbl>
    <w:p w14:paraId="6B6B08BF"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br w:type="page"/>
      </w:r>
      <w:r w:rsidRPr="00A61228">
        <w:rPr>
          <w:rFonts w:ascii="Times New Roman" w:hAnsi="Times New Roman" w:cs="Times New Roman"/>
          <w:b/>
          <w:sz w:val="20"/>
          <w:szCs w:val="20"/>
        </w:rPr>
        <w:lastRenderedPageBreak/>
        <w:t>FIGURES AND TABLES</w:t>
      </w:r>
    </w:p>
    <w:p w14:paraId="043B7037"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b/>
          <w:sz w:val="20"/>
          <w:szCs w:val="20"/>
        </w:rPr>
        <w:t xml:space="preserve">FIGURE 1 </w:t>
      </w:r>
      <w:r w:rsidRPr="00A61228">
        <w:rPr>
          <w:rFonts w:ascii="Times New Roman" w:hAnsi="Times New Roman" w:cs="Times New Roman"/>
          <w:sz w:val="20"/>
          <w:szCs w:val="20"/>
        </w:rPr>
        <w:t>Relationship of hospital frailty risk score to outcomes following emergency</w:t>
      </w:r>
      <w:r>
        <w:rPr>
          <w:rFonts w:ascii="Times New Roman" w:hAnsi="Times New Roman" w:cs="Times New Roman"/>
          <w:sz w:val="20"/>
          <w:szCs w:val="20"/>
        </w:rPr>
        <w:t xml:space="preserve"> admission</w:t>
      </w:r>
      <w:r w:rsidRPr="00A61228">
        <w:rPr>
          <w:rFonts w:ascii="Times New Roman" w:hAnsi="Times New Roman" w:cs="Times New Roman"/>
          <w:sz w:val="20"/>
          <w:szCs w:val="20"/>
        </w:rPr>
        <w:t xml:space="preserve"> in national validation cohort (n = 1,013,590)</w:t>
      </w:r>
    </w:p>
    <w:p w14:paraId="774CA5F3" w14:textId="77777777" w:rsidR="005178B0" w:rsidRPr="00A61228" w:rsidRDefault="005178B0" w:rsidP="002C7B49">
      <w:pPr>
        <w:pStyle w:val="BodyA"/>
        <w:tabs>
          <w:tab w:val="left" w:pos="1080"/>
          <w:tab w:val="left" w:pos="2160"/>
          <w:tab w:val="left" w:pos="3240"/>
          <w:tab w:val="left" w:pos="4320"/>
          <w:tab w:val="left" w:pos="5400"/>
          <w:tab w:val="left" w:pos="6480"/>
          <w:tab w:val="left" w:pos="7560"/>
          <w:tab w:val="left" w:pos="8640"/>
          <w:tab w:val="left" w:pos="9630"/>
        </w:tabs>
        <w:spacing w:line="360" w:lineRule="auto"/>
        <w:rPr>
          <w:rFonts w:ascii="Times New Roman" w:hAnsi="Times New Roman" w:cs="Times New Roman"/>
          <w:sz w:val="20"/>
          <w:szCs w:val="20"/>
          <w:lang w:val="en-GB"/>
        </w:rPr>
      </w:pPr>
      <w:r w:rsidRPr="00A61228">
        <w:rPr>
          <w:rFonts w:ascii="Times New Roman" w:hAnsi="Times New Roman" w:cs="Times New Roman"/>
          <w:noProof/>
          <w:sz w:val="20"/>
          <w:szCs w:val="20"/>
          <w:lang w:val="en-GB"/>
        </w:rPr>
        <w:drawing>
          <wp:inline distT="0" distB="0" distL="0" distR="0" wp14:anchorId="51008856" wp14:editId="1C7B1FC4">
            <wp:extent cx="5760720" cy="2880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tif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52874F6A" w14:textId="77777777" w:rsidR="005178B0" w:rsidRPr="00A61228" w:rsidRDefault="005178B0" w:rsidP="002C7B49">
      <w:pPr>
        <w:rPr>
          <w:rFonts w:ascii="Times New Roman" w:hAnsi="Times New Roman" w:cs="Times New Roman"/>
          <w:b/>
          <w:sz w:val="20"/>
          <w:szCs w:val="20"/>
        </w:rPr>
      </w:pPr>
      <w:r w:rsidRPr="00A61228">
        <w:rPr>
          <w:rFonts w:ascii="Times New Roman" w:hAnsi="Times New Roman" w:cs="Times New Roman"/>
          <w:sz w:val="20"/>
          <w:szCs w:val="20"/>
        </w:rPr>
        <w:t>The vertical dashed lines indicate thresholds for categorising patients as either “low frailty risk” (score &lt;5), “intermediate frailty risk” (score 5-15) and “high frailty risk” (score &gt;15).</w:t>
      </w:r>
    </w:p>
    <w:p w14:paraId="2BFE8454" w14:textId="77777777" w:rsidR="005178B0" w:rsidRPr="00A61228" w:rsidRDefault="005178B0">
      <w:pPr>
        <w:rPr>
          <w:rFonts w:ascii="Times New Roman" w:hAnsi="Times New Roman" w:cs="Times New Roman"/>
          <w:b/>
          <w:sz w:val="20"/>
          <w:szCs w:val="20"/>
        </w:rPr>
      </w:pPr>
      <w:r w:rsidRPr="00A61228">
        <w:rPr>
          <w:rFonts w:ascii="Times New Roman" w:hAnsi="Times New Roman" w:cs="Times New Roman"/>
          <w:b/>
          <w:sz w:val="20"/>
          <w:szCs w:val="20"/>
        </w:rPr>
        <w:br w:type="page"/>
      </w:r>
    </w:p>
    <w:p w14:paraId="5E2756CB"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b/>
          <w:sz w:val="20"/>
          <w:szCs w:val="20"/>
        </w:rPr>
        <w:lastRenderedPageBreak/>
        <w:t xml:space="preserve">FIGURE 2 </w:t>
      </w:r>
      <w:r w:rsidRPr="00A61228">
        <w:rPr>
          <w:rFonts w:ascii="Times New Roman" w:hAnsi="Times New Roman" w:cs="Times New Roman"/>
          <w:sz w:val="20"/>
          <w:szCs w:val="20"/>
        </w:rPr>
        <w:t>Distribution of hospital frailty risk scores among patients identified as frail and non-frail by the Fried and Rockwood scales</w:t>
      </w:r>
    </w:p>
    <w:p w14:paraId="26398024"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noProof/>
          <w:sz w:val="20"/>
          <w:szCs w:val="20"/>
          <w:lang w:eastAsia="en-GB"/>
        </w:rPr>
        <w:drawing>
          <wp:inline distT="0" distB="0" distL="0" distR="0" wp14:anchorId="3A7E517C" wp14:editId="1B08CD21">
            <wp:extent cx="6400800" cy="3200400"/>
            <wp:effectExtent l="0" t="0" r="0" b="0"/>
            <wp:docPr id="2" name="Picture 2" descr="C:\Users\spc3\AppData\Local\Microsoft\Windows\Temporary Internet Files\Content.Word\Figure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c3\AppData\Local\Microsoft\Windows\Temporary Internet Files\Content.Word\Figure2.ti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r w:rsidRPr="00A61228">
        <w:rPr>
          <w:rFonts w:ascii="Times New Roman" w:hAnsi="Times New Roman" w:cs="Times New Roman"/>
          <w:sz w:val="20"/>
          <w:szCs w:val="20"/>
        </w:rPr>
        <w:t xml:space="preserve">The distributions of hospital frailty risk scores for those rated as non-frail by either Fried or Rockwood are drawn with dashed lines, and the distributions for those rated as frail are drawn with solid lines.  </w:t>
      </w:r>
    </w:p>
    <w:p w14:paraId="06F5A91E" w14:textId="77777777" w:rsidR="005178B0" w:rsidRPr="00A61228" w:rsidRDefault="005178B0" w:rsidP="002C7B49">
      <w:pPr>
        <w:rPr>
          <w:rFonts w:ascii="Times New Roman" w:hAnsi="Times New Roman" w:cs="Times New Roman"/>
          <w:b/>
          <w:sz w:val="20"/>
          <w:szCs w:val="20"/>
        </w:rPr>
      </w:pPr>
      <w:r w:rsidRPr="00A61228">
        <w:rPr>
          <w:rFonts w:ascii="Times New Roman" w:hAnsi="Times New Roman" w:cs="Times New Roman"/>
          <w:b/>
          <w:sz w:val="20"/>
          <w:szCs w:val="20"/>
        </w:rPr>
        <w:t xml:space="preserve"> </w:t>
      </w:r>
      <w:r w:rsidRPr="00A61228">
        <w:rPr>
          <w:rFonts w:ascii="Times New Roman" w:hAnsi="Times New Roman" w:cs="Times New Roman"/>
          <w:b/>
          <w:sz w:val="20"/>
          <w:szCs w:val="20"/>
        </w:rPr>
        <w:br w:type="page"/>
      </w:r>
    </w:p>
    <w:p w14:paraId="196594AE"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b/>
          <w:sz w:val="20"/>
          <w:szCs w:val="20"/>
        </w:rPr>
        <w:lastRenderedPageBreak/>
        <w:t xml:space="preserve">Table 1 </w:t>
      </w:r>
      <w:r w:rsidRPr="00A61228">
        <w:rPr>
          <w:rFonts w:ascii="Times New Roman" w:hAnsi="Times New Roman" w:cs="Times New Roman"/>
          <w:sz w:val="20"/>
          <w:szCs w:val="20"/>
        </w:rPr>
        <w:t>Characteristics of three cohorts of hospitalised older people used in development and validation work, Hospital Episode Statistics (HES)</w:t>
      </w:r>
    </w:p>
    <w:tbl>
      <w:tblPr>
        <w:tblStyle w:val="LightShading"/>
        <w:tblW w:w="9468" w:type="dxa"/>
        <w:tblLook w:val="04A0" w:firstRow="1" w:lastRow="0" w:firstColumn="1" w:lastColumn="0" w:noHBand="0" w:noVBand="1"/>
      </w:tblPr>
      <w:tblGrid>
        <w:gridCol w:w="2988"/>
        <w:gridCol w:w="2160"/>
        <w:gridCol w:w="2160"/>
        <w:gridCol w:w="2160"/>
      </w:tblGrid>
      <w:tr w:rsidR="005178B0" w:rsidRPr="00A61228" w14:paraId="5A0CF059" w14:textId="77777777" w:rsidTr="002C7B49">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tcPr>
          <w:p w14:paraId="69059433" w14:textId="77777777" w:rsidR="005178B0" w:rsidRPr="00A61228" w:rsidRDefault="005178B0" w:rsidP="002C7B49">
            <w:pPr>
              <w:jc w:val="center"/>
              <w:rPr>
                <w:rFonts w:ascii="Times New Roman" w:hAnsi="Times New Roman" w:cs="Times New Roman"/>
                <w:b w:val="0"/>
                <w:sz w:val="20"/>
                <w:szCs w:val="20"/>
              </w:rPr>
            </w:pPr>
          </w:p>
        </w:tc>
        <w:tc>
          <w:tcPr>
            <w:tcW w:w="2160" w:type="dxa"/>
            <w:shd w:val="clear" w:color="auto" w:fill="auto"/>
          </w:tcPr>
          <w:p w14:paraId="16136330" w14:textId="77777777" w:rsidR="005178B0" w:rsidRPr="00A61228" w:rsidRDefault="005178B0" w:rsidP="002C7B4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61228">
              <w:rPr>
                <w:rFonts w:ascii="Times New Roman" w:hAnsi="Times New Roman" w:cs="Times New Roman"/>
                <w:b w:val="0"/>
                <w:sz w:val="20"/>
                <w:szCs w:val="20"/>
              </w:rPr>
              <w:t>Development cohortᵃ</w:t>
            </w:r>
          </w:p>
          <w:p w14:paraId="00D0E92E" w14:textId="77777777" w:rsidR="005178B0" w:rsidRPr="00A61228" w:rsidRDefault="005178B0" w:rsidP="002C7B4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61228">
              <w:rPr>
                <w:rFonts w:ascii="Times New Roman" w:hAnsi="Times New Roman" w:cs="Times New Roman"/>
                <w:b w:val="0"/>
                <w:sz w:val="20"/>
                <w:szCs w:val="20"/>
              </w:rPr>
              <w:t>(n = 22,139)</w:t>
            </w:r>
          </w:p>
        </w:tc>
        <w:tc>
          <w:tcPr>
            <w:tcW w:w="2160" w:type="dxa"/>
            <w:shd w:val="clear" w:color="auto" w:fill="auto"/>
          </w:tcPr>
          <w:p w14:paraId="698E3AC9" w14:textId="77777777" w:rsidR="005178B0" w:rsidRPr="00A61228" w:rsidRDefault="005178B0" w:rsidP="002C7B4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61228">
              <w:rPr>
                <w:rFonts w:ascii="Times New Roman" w:hAnsi="Times New Roman" w:cs="Times New Roman"/>
                <w:b w:val="0"/>
                <w:sz w:val="20"/>
                <w:szCs w:val="20"/>
              </w:rPr>
              <w:t>National validation cohortᵇ</w:t>
            </w:r>
          </w:p>
          <w:p w14:paraId="10723041" w14:textId="77777777" w:rsidR="005178B0" w:rsidRPr="00A61228" w:rsidRDefault="005178B0" w:rsidP="002C7B4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61228">
              <w:rPr>
                <w:rFonts w:ascii="Times New Roman" w:hAnsi="Times New Roman" w:cs="Times New Roman"/>
                <w:b w:val="0"/>
                <w:sz w:val="20"/>
                <w:szCs w:val="20"/>
              </w:rPr>
              <w:t>(n = 1,013,590)</w:t>
            </w:r>
          </w:p>
        </w:tc>
        <w:tc>
          <w:tcPr>
            <w:tcW w:w="2160" w:type="dxa"/>
            <w:shd w:val="clear" w:color="auto" w:fill="auto"/>
          </w:tcPr>
          <w:p w14:paraId="07B1D687" w14:textId="77777777" w:rsidR="005178B0" w:rsidRPr="00A61228" w:rsidRDefault="005178B0" w:rsidP="002C7B4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61228">
              <w:rPr>
                <w:rFonts w:ascii="Times New Roman" w:hAnsi="Times New Roman" w:cs="Times New Roman"/>
                <w:b w:val="0"/>
                <w:sz w:val="20"/>
                <w:szCs w:val="20"/>
              </w:rPr>
              <w:t>Local validation cohortᶜ</w:t>
            </w:r>
          </w:p>
          <w:p w14:paraId="4C7FB343" w14:textId="77777777" w:rsidR="005178B0" w:rsidRPr="00A61228" w:rsidRDefault="005178B0" w:rsidP="002C7B4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61228">
              <w:rPr>
                <w:rFonts w:ascii="Times New Roman" w:hAnsi="Times New Roman" w:cs="Times New Roman"/>
                <w:b w:val="0"/>
                <w:sz w:val="20"/>
                <w:szCs w:val="20"/>
              </w:rPr>
              <w:t>(n = 569)</w:t>
            </w:r>
          </w:p>
        </w:tc>
      </w:tr>
      <w:tr w:rsidR="005178B0" w:rsidRPr="00A61228" w14:paraId="42DB7F23"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nil"/>
            </w:tcBorders>
            <w:shd w:val="clear" w:color="auto" w:fill="auto"/>
            <w:vAlign w:val="center"/>
          </w:tcPr>
          <w:p w14:paraId="3D6D6C76" w14:textId="77777777" w:rsidR="005178B0" w:rsidRPr="00A61228" w:rsidRDefault="005178B0" w:rsidP="002C7B49">
            <w:pPr>
              <w:rPr>
                <w:rFonts w:ascii="Times New Roman" w:hAnsi="Times New Roman" w:cs="Times New Roman"/>
                <w:b w:val="0"/>
                <w:sz w:val="20"/>
                <w:szCs w:val="20"/>
              </w:rPr>
            </w:pPr>
            <w:r w:rsidRPr="00A61228">
              <w:rPr>
                <w:rFonts w:ascii="Times New Roman" w:hAnsi="Times New Roman" w:cs="Times New Roman"/>
                <w:b w:val="0"/>
                <w:sz w:val="20"/>
                <w:szCs w:val="20"/>
              </w:rPr>
              <w:t>Age  in years</w:t>
            </w:r>
          </w:p>
        </w:tc>
        <w:tc>
          <w:tcPr>
            <w:tcW w:w="2160" w:type="dxa"/>
            <w:tcBorders>
              <w:top w:val="single" w:sz="4" w:space="0" w:color="auto"/>
              <w:bottom w:val="nil"/>
            </w:tcBorders>
            <w:shd w:val="clear" w:color="auto" w:fill="auto"/>
            <w:vAlign w:val="center"/>
          </w:tcPr>
          <w:p w14:paraId="29E6B473"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82·5 (5·6)</w:t>
            </w:r>
          </w:p>
        </w:tc>
        <w:tc>
          <w:tcPr>
            <w:tcW w:w="2160" w:type="dxa"/>
            <w:tcBorders>
              <w:top w:val="single" w:sz="4" w:space="0" w:color="auto"/>
              <w:bottom w:val="nil"/>
            </w:tcBorders>
            <w:shd w:val="clear" w:color="auto" w:fill="auto"/>
            <w:vAlign w:val="center"/>
          </w:tcPr>
          <w:p w14:paraId="12A5617E"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84·1 (5·9)</w:t>
            </w:r>
          </w:p>
        </w:tc>
        <w:tc>
          <w:tcPr>
            <w:tcW w:w="2160" w:type="dxa"/>
            <w:tcBorders>
              <w:top w:val="single" w:sz="4" w:space="0" w:color="auto"/>
              <w:bottom w:val="nil"/>
            </w:tcBorders>
            <w:shd w:val="clear" w:color="auto" w:fill="auto"/>
            <w:vAlign w:val="center"/>
          </w:tcPr>
          <w:p w14:paraId="6D99DDB6"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79·9 (6·4)</w:t>
            </w:r>
          </w:p>
        </w:tc>
      </w:tr>
      <w:tr w:rsidR="005178B0" w:rsidRPr="00A61228" w14:paraId="08811348"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nil"/>
            </w:tcBorders>
            <w:shd w:val="clear" w:color="auto" w:fill="auto"/>
            <w:vAlign w:val="center"/>
          </w:tcPr>
          <w:p w14:paraId="79A92A78" w14:textId="77777777" w:rsidR="005178B0" w:rsidRPr="00A61228" w:rsidRDefault="005178B0" w:rsidP="002C7B49">
            <w:pPr>
              <w:rPr>
                <w:rFonts w:ascii="Times New Roman" w:hAnsi="Times New Roman" w:cs="Times New Roman"/>
                <w:b w:val="0"/>
                <w:sz w:val="20"/>
                <w:szCs w:val="20"/>
              </w:rPr>
            </w:pPr>
            <w:r w:rsidRPr="00A61228">
              <w:rPr>
                <w:rFonts w:ascii="Times New Roman" w:hAnsi="Times New Roman" w:cs="Times New Roman"/>
                <w:b w:val="0"/>
                <w:sz w:val="20"/>
                <w:szCs w:val="20"/>
              </w:rPr>
              <w:t>Gender</w:t>
            </w:r>
          </w:p>
        </w:tc>
        <w:tc>
          <w:tcPr>
            <w:tcW w:w="2160" w:type="dxa"/>
            <w:tcBorders>
              <w:top w:val="nil"/>
            </w:tcBorders>
            <w:shd w:val="clear" w:color="auto" w:fill="auto"/>
            <w:vAlign w:val="center"/>
          </w:tcPr>
          <w:p w14:paraId="69CF25BE"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0" w:type="dxa"/>
            <w:tcBorders>
              <w:top w:val="nil"/>
            </w:tcBorders>
            <w:shd w:val="clear" w:color="auto" w:fill="auto"/>
            <w:vAlign w:val="center"/>
          </w:tcPr>
          <w:p w14:paraId="4AE7D672"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0" w:type="dxa"/>
            <w:tcBorders>
              <w:top w:val="nil"/>
            </w:tcBorders>
            <w:shd w:val="clear" w:color="auto" w:fill="auto"/>
            <w:vAlign w:val="center"/>
          </w:tcPr>
          <w:p w14:paraId="3B1AA6E3"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178B0" w:rsidRPr="00A61228" w14:paraId="0F13F678"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vAlign w:val="center"/>
          </w:tcPr>
          <w:p w14:paraId="5ACD6934" w14:textId="34A19BAE" w:rsidR="005178B0" w:rsidRPr="00A61228" w:rsidRDefault="00C33D9C" w:rsidP="002C7B49">
            <w:pPr>
              <w:ind w:left="180"/>
              <w:rPr>
                <w:rFonts w:ascii="Times New Roman" w:hAnsi="Times New Roman" w:cs="Times New Roman"/>
                <w:b w:val="0"/>
                <w:sz w:val="20"/>
                <w:szCs w:val="20"/>
              </w:rPr>
            </w:pPr>
            <w:r>
              <w:rPr>
                <w:rFonts w:ascii="Times New Roman" w:hAnsi="Times New Roman" w:cs="Times New Roman"/>
                <w:b w:val="0"/>
                <w:sz w:val="20"/>
                <w:szCs w:val="20"/>
              </w:rPr>
              <w:t>Fem</w:t>
            </w:r>
            <w:r w:rsidR="005178B0" w:rsidRPr="00A61228">
              <w:rPr>
                <w:rFonts w:ascii="Times New Roman" w:hAnsi="Times New Roman" w:cs="Times New Roman"/>
                <w:b w:val="0"/>
                <w:sz w:val="20"/>
                <w:szCs w:val="20"/>
              </w:rPr>
              <w:t>ale</w:t>
            </w:r>
          </w:p>
        </w:tc>
        <w:tc>
          <w:tcPr>
            <w:tcW w:w="2160" w:type="dxa"/>
            <w:shd w:val="clear" w:color="auto" w:fill="auto"/>
            <w:vAlign w:val="center"/>
          </w:tcPr>
          <w:p w14:paraId="1549C4A3" w14:textId="77777777" w:rsidR="005178B0" w:rsidRPr="00A61228" w:rsidRDefault="002C7B49"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7B49">
              <w:rPr>
                <w:rFonts w:ascii="Times New Roman" w:hAnsi="Times New Roman" w:cs="Times New Roman"/>
                <w:sz w:val="20"/>
                <w:szCs w:val="20"/>
              </w:rPr>
              <w:t xml:space="preserve">12,796 </w:t>
            </w:r>
            <w:r>
              <w:rPr>
                <w:rFonts w:ascii="Times New Roman" w:hAnsi="Times New Roman" w:cs="Times New Roman"/>
                <w:sz w:val="20"/>
                <w:szCs w:val="20"/>
              </w:rPr>
              <w:t>(</w:t>
            </w:r>
            <w:r w:rsidR="005178B0" w:rsidRPr="00A61228">
              <w:rPr>
                <w:rFonts w:ascii="Times New Roman" w:hAnsi="Times New Roman" w:cs="Times New Roman"/>
                <w:sz w:val="20"/>
                <w:szCs w:val="20"/>
              </w:rPr>
              <w:t>57·8%</w:t>
            </w:r>
            <w:r>
              <w:rPr>
                <w:rFonts w:ascii="Times New Roman" w:hAnsi="Times New Roman" w:cs="Times New Roman"/>
                <w:sz w:val="20"/>
                <w:szCs w:val="20"/>
              </w:rPr>
              <w:t>)</w:t>
            </w:r>
          </w:p>
        </w:tc>
        <w:tc>
          <w:tcPr>
            <w:tcW w:w="2160" w:type="dxa"/>
            <w:shd w:val="clear" w:color="auto" w:fill="auto"/>
            <w:vAlign w:val="center"/>
          </w:tcPr>
          <w:p w14:paraId="4A096566" w14:textId="77777777" w:rsidR="005178B0" w:rsidRPr="00A61228" w:rsidRDefault="002C7B49"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7B49">
              <w:rPr>
                <w:rFonts w:ascii="Times New Roman" w:hAnsi="Times New Roman" w:cs="Times New Roman"/>
                <w:sz w:val="20"/>
                <w:szCs w:val="20"/>
              </w:rPr>
              <w:t xml:space="preserve">581,801 </w:t>
            </w:r>
            <w:r>
              <w:rPr>
                <w:rFonts w:ascii="Times New Roman" w:hAnsi="Times New Roman" w:cs="Times New Roman"/>
                <w:sz w:val="20"/>
                <w:szCs w:val="20"/>
              </w:rPr>
              <w:t>(</w:t>
            </w:r>
            <w:r w:rsidR="005178B0" w:rsidRPr="00A61228">
              <w:rPr>
                <w:rFonts w:ascii="Times New Roman" w:hAnsi="Times New Roman" w:cs="Times New Roman"/>
                <w:sz w:val="20"/>
                <w:szCs w:val="20"/>
              </w:rPr>
              <w:t>57·4%</w:t>
            </w:r>
            <w:r>
              <w:rPr>
                <w:rFonts w:ascii="Times New Roman" w:hAnsi="Times New Roman" w:cs="Times New Roman"/>
                <w:sz w:val="20"/>
                <w:szCs w:val="20"/>
              </w:rPr>
              <w:t>)</w:t>
            </w:r>
          </w:p>
        </w:tc>
        <w:tc>
          <w:tcPr>
            <w:tcW w:w="2160" w:type="dxa"/>
            <w:shd w:val="clear" w:color="auto" w:fill="auto"/>
            <w:vAlign w:val="center"/>
          </w:tcPr>
          <w:p w14:paraId="6583DF22" w14:textId="77777777" w:rsidR="005178B0" w:rsidRPr="00A61228" w:rsidRDefault="002C7B49"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C7B49">
              <w:rPr>
                <w:rFonts w:ascii="Times New Roman" w:hAnsi="Times New Roman" w:cs="Times New Roman"/>
                <w:sz w:val="20"/>
                <w:szCs w:val="20"/>
              </w:rPr>
              <w:t xml:space="preserve">317 </w:t>
            </w:r>
            <w:r>
              <w:rPr>
                <w:rFonts w:ascii="Times New Roman" w:hAnsi="Times New Roman" w:cs="Times New Roman"/>
                <w:sz w:val="20"/>
                <w:szCs w:val="20"/>
              </w:rPr>
              <w:t>(</w:t>
            </w:r>
            <w:r w:rsidR="005178B0" w:rsidRPr="00A61228">
              <w:rPr>
                <w:rFonts w:ascii="Times New Roman" w:hAnsi="Times New Roman" w:cs="Times New Roman"/>
                <w:sz w:val="20"/>
                <w:szCs w:val="20"/>
              </w:rPr>
              <w:t>55·7%</w:t>
            </w:r>
            <w:r>
              <w:rPr>
                <w:rFonts w:ascii="Times New Roman" w:hAnsi="Times New Roman" w:cs="Times New Roman"/>
                <w:sz w:val="20"/>
                <w:szCs w:val="20"/>
              </w:rPr>
              <w:t>)</w:t>
            </w:r>
          </w:p>
        </w:tc>
      </w:tr>
      <w:tr w:rsidR="005178B0" w:rsidRPr="00A61228" w14:paraId="61FE60C7"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tcBorders>
              <w:bottom w:val="single" w:sz="4" w:space="0" w:color="auto"/>
            </w:tcBorders>
            <w:shd w:val="clear" w:color="auto" w:fill="auto"/>
            <w:vAlign w:val="center"/>
          </w:tcPr>
          <w:p w14:paraId="0BE30847" w14:textId="36DE2460" w:rsidR="005178B0" w:rsidRPr="00A61228" w:rsidRDefault="00C33D9C" w:rsidP="002C7B49">
            <w:pPr>
              <w:ind w:left="180"/>
              <w:rPr>
                <w:rFonts w:ascii="Times New Roman" w:hAnsi="Times New Roman" w:cs="Times New Roman"/>
                <w:b w:val="0"/>
                <w:sz w:val="20"/>
                <w:szCs w:val="20"/>
              </w:rPr>
            </w:pPr>
            <w:r>
              <w:rPr>
                <w:rFonts w:ascii="Times New Roman" w:hAnsi="Times New Roman" w:cs="Times New Roman"/>
                <w:b w:val="0"/>
                <w:sz w:val="20"/>
                <w:szCs w:val="20"/>
              </w:rPr>
              <w:t>M</w:t>
            </w:r>
            <w:r w:rsidR="005178B0" w:rsidRPr="00A61228">
              <w:rPr>
                <w:rFonts w:ascii="Times New Roman" w:hAnsi="Times New Roman" w:cs="Times New Roman"/>
                <w:b w:val="0"/>
                <w:sz w:val="20"/>
                <w:szCs w:val="20"/>
              </w:rPr>
              <w:t>ale</w:t>
            </w:r>
          </w:p>
        </w:tc>
        <w:tc>
          <w:tcPr>
            <w:tcW w:w="2160" w:type="dxa"/>
            <w:tcBorders>
              <w:bottom w:val="single" w:sz="4" w:space="0" w:color="auto"/>
            </w:tcBorders>
            <w:shd w:val="clear" w:color="auto" w:fill="auto"/>
            <w:vAlign w:val="center"/>
          </w:tcPr>
          <w:p w14:paraId="1FC1457D" w14:textId="77777777" w:rsidR="005178B0" w:rsidRPr="00A61228" w:rsidRDefault="002C7B49"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C7B49">
              <w:rPr>
                <w:rFonts w:ascii="Times New Roman" w:hAnsi="Times New Roman" w:cs="Times New Roman"/>
                <w:sz w:val="20"/>
                <w:szCs w:val="20"/>
              </w:rPr>
              <w:t xml:space="preserve">9,343 </w:t>
            </w:r>
            <w:r>
              <w:rPr>
                <w:rFonts w:ascii="Times New Roman" w:hAnsi="Times New Roman" w:cs="Times New Roman"/>
                <w:sz w:val="20"/>
                <w:szCs w:val="20"/>
              </w:rPr>
              <w:t>(</w:t>
            </w:r>
            <w:r w:rsidR="005178B0" w:rsidRPr="00A61228">
              <w:rPr>
                <w:rFonts w:ascii="Times New Roman" w:hAnsi="Times New Roman" w:cs="Times New Roman"/>
                <w:sz w:val="20"/>
                <w:szCs w:val="20"/>
              </w:rPr>
              <w:t>42·2%</w:t>
            </w:r>
            <w:r w:rsidR="000C342F">
              <w:rPr>
                <w:rFonts w:ascii="Times New Roman" w:hAnsi="Times New Roman" w:cs="Times New Roman"/>
                <w:sz w:val="20"/>
                <w:szCs w:val="20"/>
              </w:rPr>
              <w:t>)</w:t>
            </w:r>
          </w:p>
        </w:tc>
        <w:tc>
          <w:tcPr>
            <w:tcW w:w="2160" w:type="dxa"/>
            <w:tcBorders>
              <w:bottom w:val="single" w:sz="4" w:space="0" w:color="auto"/>
            </w:tcBorders>
            <w:shd w:val="clear" w:color="auto" w:fill="auto"/>
            <w:vAlign w:val="center"/>
          </w:tcPr>
          <w:p w14:paraId="5493A101" w14:textId="77777777" w:rsidR="005178B0" w:rsidRPr="00A61228" w:rsidRDefault="000C342F"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C342F">
              <w:rPr>
                <w:rFonts w:ascii="Times New Roman" w:hAnsi="Times New Roman" w:cs="Times New Roman"/>
                <w:sz w:val="20"/>
                <w:szCs w:val="20"/>
              </w:rPr>
              <w:t xml:space="preserve">431,789 </w:t>
            </w:r>
            <w:r>
              <w:rPr>
                <w:rFonts w:ascii="Times New Roman" w:hAnsi="Times New Roman" w:cs="Times New Roman"/>
                <w:sz w:val="20"/>
                <w:szCs w:val="20"/>
              </w:rPr>
              <w:t>(</w:t>
            </w:r>
            <w:r w:rsidR="005178B0" w:rsidRPr="00A61228">
              <w:rPr>
                <w:rFonts w:ascii="Times New Roman" w:hAnsi="Times New Roman" w:cs="Times New Roman"/>
                <w:sz w:val="20"/>
                <w:szCs w:val="20"/>
              </w:rPr>
              <w:t>42·6%</w:t>
            </w:r>
            <w:r>
              <w:rPr>
                <w:rFonts w:ascii="Times New Roman" w:hAnsi="Times New Roman" w:cs="Times New Roman"/>
                <w:sz w:val="20"/>
                <w:szCs w:val="20"/>
              </w:rPr>
              <w:t>)</w:t>
            </w:r>
          </w:p>
        </w:tc>
        <w:tc>
          <w:tcPr>
            <w:tcW w:w="2160" w:type="dxa"/>
            <w:tcBorders>
              <w:bottom w:val="single" w:sz="4" w:space="0" w:color="auto"/>
            </w:tcBorders>
            <w:shd w:val="clear" w:color="auto" w:fill="auto"/>
            <w:vAlign w:val="center"/>
          </w:tcPr>
          <w:p w14:paraId="3E947FFA" w14:textId="77777777" w:rsidR="005178B0" w:rsidRPr="00A61228" w:rsidRDefault="000C342F"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C342F">
              <w:rPr>
                <w:rFonts w:ascii="Times New Roman" w:hAnsi="Times New Roman" w:cs="Times New Roman"/>
                <w:sz w:val="20"/>
                <w:szCs w:val="20"/>
              </w:rPr>
              <w:t xml:space="preserve">252 </w:t>
            </w:r>
            <w:r>
              <w:rPr>
                <w:rFonts w:ascii="Times New Roman" w:hAnsi="Times New Roman" w:cs="Times New Roman"/>
                <w:sz w:val="20"/>
                <w:szCs w:val="20"/>
              </w:rPr>
              <w:t>(</w:t>
            </w:r>
            <w:r w:rsidR="005178B0" w:rsidRPr="00A61228">
              <w:rPr>
                <w:rFonts w:ascii="Times New Roman" w:hAnsi="Times New Roman" w:cs="Times New Roman"/>
                <w:sz w:val="20"/>
                <w:szCs w:val="20"/>
              </w:rPr>
              <w:t>44·3%</w:t>
            </w:r>
            <w:r>
              <w:rPr>
                <w:rFonts w:ascii="Times New Roman" w:hAnsi="Times New Roman" w:cs="Times New Roman"/>
                <w:sz w:val="20"/>
                <w:szCs w:val="20"/>
              </w:rPr>
              <w:t>)</w:t>
            </w:r>
          </w:p>
        </w:tc>
      </w:tr>
      <w:tr w:rsidR="005178B0" w:rsidRPr="00A61228" w14:paraId="2257B1EE"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nil"/>
            </w:tcBorders>
            <w:shd w:val="clear" w:color="auto" w:fill="auto"/>
            <w:vAlign w:val="center"/>
          </w:tcPr>
          <w:p w14:paraId="76D38CA7" w14:textId="77777777" w:rsidR="005178B0" w:rsidRPr="00A61228" w:rsidRDefault="005178B0" w:rsidP="002C7B49">
            <w:pPr>
              <w:rPr>
                <w:rFonts w:ascii="Times New Roman" w:hAnsi="Times New Roman" w:cs="Times New Roman"/>
                <w:b w:val="0"/>
                <w:sz w:val="20"/>
                <w:szCs w:val="20"/>
              </w:rPr>
            </w:pPr>
            <w:r w:rsidRPr="00A61228">
              <w:rPr>
                <w:rFonts w:ascii="Times New Roman" w:hAnsi="Times New Roman" w:cs="Times New Roman"/>
                <w:b w:val="0"/>
                <w:sz w:val="20"/>
                <w:szCs w:val="20"/>
              </w:rPr>
              <w:t>HES frailty risk score</w:t>
            </w:r>
          </w:p>
        </w:tc>
        <w:tc>
          <w:tcPr>
            <w:tcW w:w="2160" w:type="dxa"/>
            <w:tcBorders>
              <w:top w:val="single" w:sz="4" w:space="0" w:color="auto"/>
              <w:bottom w:val="nil"/>
            </w:tcBorders>
            <w:shd w:val="clear" w:color="auto" w:fill="auto"/>
            <w:vAlign w:val="center"/>
          </w:tcPr>
          <w:p w14:paraId="2CC7E51F"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8·9 (9·8)</w:t>
            </w:r>
          </w:p>
        </w:tc>
        <w:tc>
          <w:tcPr>
            <w:tcW w:w="2160" w:type="dxa"/>
            <w:tcBorders>
              <w:top w:val="single" w:sz="4" w:space="0" w:color="auto"/>
              <w:bottom w:val="nil"/>
            </w:tcBorders>
            <w:shd w:val="clear" w:color="auto" w:fill="auto"/>
            <w:vAlign w:val="center"/>
          </w:tcPr>
          <w:p w14:paraId="0BAD92E2"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9·0 (8·7)</w:t>
            </w:r>
          </w:p>
        </w:tc>
        <w:tc>
          <w:tcPr>
            <w:tcW w:w="2160" w:type="dxa"/>
            <w:tcBorders>
              <w:top w:val="single" w:sz="4" w:space="0" w:color="auto"/>
              <w:bottom w:val="nil"/>
            </w:tcBorders>
            <w:shd w:val="clear" w:color="auto" w:fill="auto"/>
            <w:vAlign w:val="center"/>
          </w:tcPr>
          <w:p w14:paraId="1CE8998F"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5·6 (6·6)</w:t>
            </w:r>
          </w:p>
        </w:tc>
      </w:tr>
      <w:tr w:rsidR="005178B0" w:rsidRPr="00A61228" w14:paraId="45A63587"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shd w:val="clear" w:color="auto" w:fill="auto"/>
            <w:vAlign w:val="center"/>
          </w:tcPr>
          <w:p w14:paraId="1951CD08" w14:textId="77777777" w:rsidR="005178B0" w:rsidRPr="00A61228" w:rsidRDefault="005178B0" w:rsidP="002C7B49">
            <w:pPr>
              <w:rPr>
                <w:rFonts w:ascii="Times New Roman" w:hAnsi="Times New Roman" w:cs="Times New Roman"/>
                <w:b w:val="0"/>
                <w:sz w:val="20"/>
                <w:szCs w:val="20"/>
              </w:rPr>
            </w:pPr>
            <w:r w:rsidRPr="00A61228">
              <w:rPr>
                <w:rFonts w:ascii="Times New Roman" w:hAnsi="Times New Roman" w:cs="Times New Roman"/>
                <w:b w:val="0"/>
                <w:sz w:val="20"/>
                <w:szCs w:val="20"/>
              </w:rPr>
              <w:t>HES frailty risk category:</w:t>
            </w:r>
          </w:p>
        </w:tc>
        <w:tc>
          <w:tcPr>
            <w:tcW w:w="2160" w:type="dxa"/>
            <w:tcBorders>
              <w:top w:val="nil"/>
              <w:bottom w:val="nil"/>
            </w:tcBorders>
            <w:shd w:val="clear" w:color="auto" w:fill="auto"/>
            <w:vAlign w:val="center"/>
          </w:tcPr>
          <w:p w14:paraId="72337003"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0" w:type="dxa"/>
            <w:tcBorders>
              <w:top w:val="nil"/>
              <w:bottom w:val="nil"/>
            </w:tcBorders>
            <w:shd w:val="clear" w:color="auto" w:fill="auto"/>
            <w:vAlign w:val="center"/>
          </w:tcPr>
          <w:p w14:paraId="3A5D2790"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160" w:type="dxa"/>
            <w:tcBorders>
              <w:top w:val="nil"/>
              <w:bottom w:val="nil"/>
            </w:tcBorders>
            <w:shd w:val="clear" w:color="auto" w:fill="auto"/>
            <w:vAlign w:val="center"/>
          </w:tcPr>
          <w:p w14:paraId="22C39E8C"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178B0" w:rsidRPr="00A61228" w14:paraId="4075B853"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shd w:val="clear" w:color="auto" w:fill="auto"/>
            <w:vAlign w:val="center"/>
          </w:tcPr>
          <w:p w14:paraId="14605FA0" w14:textId="77777777" w:rsidR="005178B0" w:rsidRPr="00A61228" w:rsidRDefault="005178B0" w:rsidP="002C7B49">
            <w:pPr>
              <w:ind w:left="180"/>
              <w:rPr>
                <w:rFonts w:ascii="Times New Roman" w:hAnsi="Times New Roman" w:cs="Times New Roman"/>
                <w:b w:val="0"/>
                <w:sz w:val="20"/>
                <w:szCs w:val="20"/>
              </w:rPr>
            </w:pPr>
            <w:r w:rsidRPr="00A61228">
              <w:rPr>
                <w:rFonts w:ascii="Times New Roman" w:hAnsi="Times New Roman" w:cs="Times New Roman"/>
                <w:b w:val="0"/>
                <w:sz w:val="20"/>
                <w:szCs w:val="20"/>
              </w:rPr>
              <w:t>Low risk (&lt; 5)</w:t>
            </w:r>
          </w:p>
        </w:tc>
        <w:tc>
          <w:tcPr>
            <w:tcW w:w="2160" w:type="dxa"/>
            <w:tcBorders>
              <w:top w:val="nil"/>
              <w:bottom w:val="nil"/>
            </w:tcBorders>
            <w:shd w:val="clear" w:color="auto" w:fill="auto"/>
            <w:vAlign w:val="center"/>
          </w:tcPr>
          <w:p w14:paraId="50413FF6" w14:textId="77777777" w:rsidR="005178B0" w:rsidRPr="00A61228" w:rsidRDefault="001C6026"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14,612 </w:t>
            </w:r>
            <w:r>
              <w:rPr>
                <w:rFonts w:ascii="Times New Roman" w:hAnsi="Times New Roman" w:cs="Times New Roman"/>
                <w:sz w:val="20"/>
                <w:szCs w:val="20"/>
              </w:rPr>
              <w:t>(</w:t>
            </w:r>
            <w:r w:rsidR="005178B0" w:rsidRPr="00A61228">
              <w:rPr>
                <w:rFonts w:ascii="Times New Roman" w:hAnsi="Times New Roman" w:cs="Times New Roman"/>
                <w:sz w:val="20"/>
                <w:szCs w:val="20"/>
              </w:rPr>
              <w:t>66·0%</w:t>
            </w:r>
            <w:r>
              <w:rPr>
                <w:rFonts w:ascii="Times New Roman" w:hAnsi="Times New Roman" w:cs="Times New Roman"/>
                <w:sz w:val="20"/>
                <w:szCs w:val="20"/>
              </w:rPr>
              <w:t>)</w:t>
            </w:r>
          </w:p>
        </w:tc>
        <w:tc>
          <w:tcPr>
            <w:tcW w:w="2160" w:type="dxa"/>
            <w:tcBorders>
              <w:top w:val="nil"/>
              <w:bottom w:val="nil"/>
            </w:tcBorders>
            <w:shd w:val="clear" w:color="auto" w:fill="auto"/>
            <w:vAlign w:val="center"/>
          </w:tcPr>
          <w:p w14:paraId="723F9B1A" w14:textId="77777777" w:rsidR="005178B0" w:rsidRPr="00A61228" w:rsidRDefault="001C6026"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429,762 </w:t>
            </w:r>
            <w:r>
              <w:rPr>
                <w:rFonts w:ascii="Times New Roman" w:hAnsi="Times New Roman" w:cs="Times New Roman"/>
                <w:sz w:val="20"/>
                <w:szCs w:val="20"/>
              </w:rPr>
              <w:t>(</w:t>
            </w:r>
            <w:r w:rsidR="005178B0" w:rsidRPr="00A61228">
              <w:rPr>
                <w:rFonts w:ascii="Times New Roman" w:hAnsi="Times New Roman" w:cs="Times New Roman"/>
                <w:sz w:val="20"/>
                <w:szCs w:val="20"/>
              </w:rPr>
              <w:t>42·4%</w:t>
            </w:r>
            <w:r>
              <w:rPr>
                <w:rFonts w:ascii="Times New Roman" w:hAnsi="Times New Roman" w:cs="Times New Roman"/>
                <w:sz w:val="20"/>
                <w:szCs w:val="20"/>
              </w:rPr>
              <w:t>)</w:t>
            </w:r>
          </w:p>
        </w:tc>
        <w:tc>
          <w:tcPr>
            <w:tcW w:w="2160" w:type="dxa"/>
            <w:tcBorders>
              <w:top w:val="nil"/>
              <w:bottom w:val="nil"/>
            </w:tcBorders>
            <w:shd w:val="clear" w:color="auto" w:fill="auto"/>
            <w:vAlign w:val="center"/>
          </w:tcPr>
          <w:p w14:paraId="0D2E3361" w14:textId="77777777" w:rsidR="005178B0" w:rsidRPr="00A61228" w:rsidRDefault="001C6026"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342 </w:t>
            </w:r>
            <w:r>
              <w:rPr>
                <w:rFonts w:ascii="Times New Roman" w:hAnsi="Times New Roman" w:cs="Times New Roman"/>
                <w:sz w:val="20"/>
                <w:szCs w:val="20"/>
              </w:rPr>
              <w:t>(</w:t>
            </w:r>
            <w:r w:rsidR="005178B0" w:rsidRPr="00A61228">
              <w:rPr>
                <w:rFonts w:ascii="Times New Roman" w:hAnsi="Times New Roman" w:cs="Times New Roman"/>
                <w:sz w:val="20"/>
                <w:szCs w:val="20"/>
              </w:rPr>
              <w:t>60·1%</w:t>
            </w:r>
            <w:r>
              <w:rPr>
                <w:rFonts w:ascii="Times New Roman" w:hAnsi="Times New Roman" w:cs="Times New Roman"/>
                <w:sz w:val="20"/>
                <w:szCs w:val="20"/>
              </w:rPr>
              <w:t>)</w:t>
            </w:r>
          </w:p>
        </w:tc>
      </w:tr>
      <w:tr w:rsidR="005178B0" w:rsidRPr="00A61228" w14:paraId="750D5086"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shd w:val="clear" w:color="auto" w:fill="auto"/>
            <w:vAlign w:val="center"/>
          </w:tcPr>
          <w:p w14:paraId="7F2D28CE" w14:textId="77777777" w:rsidR="005178B0" w:rsidRPr="00A61228" w:rsidRDefault="005178B0" w:rsidP="002C7B49">
            <w:pPr>
              <w:ind w:left="180"/>
              <w:rPr>
                <w:rFonts w:ascii="Times New Roman" w:hAnsi="Times New Roman" w:cs="Times New Roman"/>
                <w:b w:val="0"/>
                <w:sz w:val="20"/>
                <w:szCs w:val="20"/>
              </w:rPr>
            </w:pPr>
            <w:r w:rsidRPr="00A61228">
              <w:rPr>
                <w:rFonts w:ascii="Times New Roman" w:hAnsi="Times New Roman" w:cs="Times New Roman"/>
                <w:b w:val="0"/>
                <w:sz w:val="20"/>
                <w:szCs w:val="20"/>
              </w:rPr>
              <w:t>Intermediate risk (5-15)</w:t>
            </w:r>
          </w:p>
        </w:tc>
        <w:tc>
          <w:tcPr>
            <w:tcW w:w="2160" w:type="dxa"/>
            <w:tcBorders>
              <w:top w:val="nil"/>
              <w:bottom w:val="nil"/>
            </w:tcBorders>
            <w:shd w:val="clear" w:color="auto" w:fill="auto"/>
            <w:vAlign w:val="center"/>
          </w:tcPr>
          <w:p w14:paraId="0283732E" w14:textId="77777777" w:rsidR="005178B0" w:rsidRPr="00A61228" w:rsidRDefault="001C6026"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4,494 </w:t>
            </w:r>
            <w:r>
              <w:rPr>
                <w:rFonts w:ascii="Times New Roman" w:hAnsi="Times New Roman" w:cs="Times New Roman"/>
                <w:sz w:val="20"/>
                <w:szCs w:val="20"/>
              </w:rPr>
              <w:t>(</w:t>
            </w:r>
            <w:r w:rsidR="005178B0" w:rsidRPr="00A61228">
              <w:rPr>
                <w:rFonts w:ascii="Times New Roman" w:hAnsi="Times New Roman" w:cs="Times New Roman"/>
                <w:sz w:val="20"/>
                <w:szCs w:val="20"/>
              </w:rPr>
              <w:t>20·3%</w:t>
            </w:r>
            <w:r>
              <w:rPr>
                <w:rFonts w:ascii="Times New Roman" w:hAnsi="Times New Roman" w:cs="Times New Roman"/>
                <w:sz w:val="20"/>
                <w:szCs w:val="20"/>
              </w:rPr>
              <w:t>)</w:t>
            </w:r>
          </w:p>
        </w:tc>
        <w:tc>
          <w:tcPr>
            <w:tcW w:w="2160" w:type="dxa"/>
            <w:tcBorders>
              <w:top w:val="nil"/>
              <w:bottom w:val="nil"/>
            </w:tcBorders>
            <w:shd w:val="clear" w:color="auto" w:fill="auto"/>
            <w:vAlign w:val="center"/>
          </w:tcPr>
          <w:p w14:paraId="07E6676F" w14:textId="77777777" w:rsidR="005178B0" w:rsidRPr="00A61228" w:rsidRDefault="001C6026"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381,110 </w:t>
            </w:r>
            <w:r>
              <w:rPr>
                <w:rFonts w:ascii="Times New Roman" w:hAnsi="Times New Roman" w:cs="Times New Roman"/>
                <w:sz w:val="20"/>
                <w:szCs w:val="20"/>
              </w:rPr>
              <w:t>(</w:t>
            </w:r>
            <w:r w:rsidR="005178B0" w:rsidRPr="00A61228">
              <w:rPr>
                <w:rFonts w:ascii="Times New Roman" w:hAnsi="Times New Roman" w:cs="Times New Roman"/>
                <w:sz w:val="20"/>
                <w:szCs w:val="20"/>
              </w:rPr>
              <w:t>37·6%</w:t>
            </w:r>
            <w:r>
              <w:rPr>
                <w:rFonts w:ascii="Times New Roman" w:hAnsi="Times New Roman" w:cs="Times New Roman"/>
                <w:sz w:val="20"/>
                <w:szCs w:val="20"/>
              </w:rPr>
              <w:t>)</w:t>
            </w:r>
          </w:p>
        </w:tc>
        <w:tc>
          <w:tcPr>
            <w:tcW w:w="2160" w:type="dxa"/>
            <w:tcBorders>
              <w:top w:val="nil"/>
              <w:bottom w:val="nil"/>
            </w:tcBorders>
            <w:shd w:val="clear" w:color="auto" w:fill="auto"/>
            <w:vAlign w:val="center"/>
          </w:tcPr>
          <w:p w14:paraId="2D1AB7E3" w14:textId="77777777" w:rsidR="005178B0" w:rsidRPr="00A61228" w:rsidRDefault="001C6026"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176 </w:t>
            </w:r>
            <w:r>
              <w:rPr>
                <w:rFonts w:ascii="Times New Roman" w:hAnsi="Times New Roman" w:cs="Times New Roman"/>
                <w:sz w:val="20"/>
                <w:szCs w:val="20"/>
              </w:rPr>
              <w:t>(</w:t>
            </w:r>
            <w:r w:rsidR="005178B0" w:rsidRPr="00A61228">
              <w:rPr>
                <w:rFonts w:ascii="Times New Roman" w:hAnsi="Times New Roman" w:cs="Times New Roman"/>
                <w:sz w:val="20"/>
                <w:szCs w:val="20"/>
              </w:rPr>
              <w:t>30·9%</w:t>
            </w:r>
            <w:r>
              <w:rPr>
                <w:rFonts w:ascii="Times New Roman" w:hAnsi="Times New Roman" w:cs="Times New Roman"/>
                <w:sz w:val="20"/>
                <w:szCs w:val="20"/>
              </w:rPr>
              <w:t>)</w:t>
            </w:r>
          </w:p>
        </w:tc>
      </w:tr>
      <w:tr w:rsidR="005178B0" w:rsidRPr="00A61228" w14:paraId="6C01D0D2"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single" w:sz="4" w:space="0" w:color="auto"/>
            </w:tcBorders>
            <w:shd w:val="clear" w:color="auto" w:fill="auto"/>
            <w:vAlign w:val="center"/>
          </w:tcPr>
          <w:p w14:paraId="1AD72A2B" w14:textId="77777777" w:rsidR="005178B0" w:rsidRPr="00A61228" w:rsidRDefault="005178B0" w:rsidP="002C7B49">
            <w:pPr>
              <w:ind w:left="180"/>
              <w:rPr>
                <w:rFonts w:ascii="Times New Roman" w:hAnsi="Times New Roman" w:cs="Times New Roman"/>
                <w:b w:val="0"/>
                <w:sz w:val="20"/>
                <w:szCs w:val="20"/>
              </w:rPr>
            </w:pPr>
            <w:r w:rsidRPr="00A61228">
              <w:rPr>
                <w:rFonts w:ascii="Times New Roman" w:hAnsi="Times New Roman" w:cs="Times New Roman"/>
                <w:b w:val="0"/>
                <w:sz w:val="20"/>
                <w:szCs w:val="20"/>
              </w:rPr>
              <w:t>High risk (&gt;15)</w:t>
            </w:r>
          </w:p>
        </w:tc>
        <w:tc>
          <w:tcPr>
            <w:tcW w:w="2160" w:type="dxa"/>
            <w:tcBorders>
              <w:top w:val="nil"/>
              <w:bottom w:val="single" w:sz="4" w:space="0" w:color="auto"/>
            </w:tcBorders>
            <w:shd w:val="clear" w:color="auto" w:fill="auto"/>
            <w:vAlign w:val="center"/>
          </w:tcPr>
          <w:p w14:paraId="4B796AB1" w14:textId="77777777" w:rsidR="005178B0" w:rsidRPr="00A61228" w:rsidRDefault="001C6026"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3,033 </w:t>
            </w:r>
            <w:r>
              <w:rPr>
                <w:rFonts w:ascii="Times New Roman" w:hAnsi="Times New Roman" w:cs="Times New Roman"/>
                <w:sz w:val="20"/>
                <w:szCs w:val="20"/>
              </w:rPr>
              <w:t>(</w:t>
            </w:r>
            <w:r w:rsidR="005178B0" w:rsidRPr="00A61228">
              <w:rPr>
                <w:rFonts w:ascii="Times New Roman" w:hAnsi="Times New Roman" w:cs="Times New Roman"/>
                <w:sz w:val="20"/>
                <w:szCs w:val="20"/>
              </w:rPr>
              <w:t>13·7%</w:t>
            </w:r>
            <w:r>
              <w:rPr>
                <w:rFonts w:ascii="Times New Roman" w:hAnsi="Times New Roman" w:cs="Times New Roman"/>
                <w:sz w:val="20"/>
                <w:szCs w:val="20"/>
              </w:rPr>
              <w:t>)</w:t>
            </w:r>
          </w:p>
        </w:tc>
        <w:tc>
          <w:tcPr>
            <w:tcW w:w="2160" w:type="dxa"/>
            <w:tcBorders>
              <w:top w:val="nil"/>
              <w:bottom w:val="single" w:sz="4" w:space="0" w:color="auto"/>
            </w:tcBorders>
            <w:shd w:val="clear" w:color="auto" w:fill="auto"/>
            <w:vAlign w:val="center"/>
          </w:tcPr>
          <w:p w14:paraId="0BFEF58D" w14:textId="77777777" w:rsidR="005178B0" w:rsidRPr="00A61228" w:rsidRDefault="001C6026"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202,718 </w:t>
            </w:r>
            <w:r>
              <w:rPr>
                <w:rFonts w:ascii="Times New Roman" w:hAnsi="Times New Roman" w:cs="Times New Roman"/>
                <w:sz w:val="20"/>
                <w:szCs w:val="20"/>
              </w:rPr>
              <w:t>(</w:t>
            </w:r>
            <w:r w:rsidR="005178B0" w:rsidRPr="00A61228">
              <w:rPr>
                <w:rFonts w:ascii="Times New Roman" w:hAnsi="Times New Roman" w:cs="Times New Roman"/>
                <w:sz w:val="20"/>
                <w:szCs w:val="20"/>
              </w:rPr>
              <w:t>20·0%</w:t>
            </w:r>
            <w:r>
              <w:rPr>
                <w:rFonts w:ascii="Times New Roman" w:hAnsi="Times New Roman" w:cs="Times New Roman"/>
                <w:sz w:val="20"/>
                <w:szCs w:val="20"/>
              </w:rPr>
              <w:t>)</w:t>
            </w:r>
          </w:p>
        </w:tc>
        <w:tc>
          <w:tcPr>
            <w:tcW w:w="2160" w:type="dxa"/>
            <w:tcBorders>
              <w:top w:val="nil"/>
              <w:bottom w:val="single" w:sz="4" w:space="0" w:color="auto"/>
            </w:tcBorders>
            <w:shd w:val="clear" w:color="auto" w:fill="auto"/>
            <w:vAlign w:val="center"/>
          </w:tcPr>
          <w:p w14:paraId="4F1ECF41" w14:textId="77777777" w:rsidR="005178B0" w:rsidRPr="00A61228" w:rsidRDefault="001C6026"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51 </w:t>
            </w:r>
            <w:r>
              <w:rPr>
                <w:rFonts w:ascii="Times New Roman" w:hAnsi="Times New Roman" w:cs="Times New Roman"/>
                <w:sz w:val="20"/>
                <w:szCs w:val="20"/>
              </w:rPr>
              <w:t>(</w:t>
            </w:r>
            <w:r w:rsidR="005178B0" w:rsidRPr="00A61228">
              <w:rPr>
                <w:rFonts w:ascii="Times New Roman" w:hAnsi="Times New Roman" w:cs="Times New Roman"/>
                <w:sz w:val="20"/>
                <w:szCs w:val="20"/>
              </w:rPr>
              <w:t>9·0%</w:t>
            </w:r>
            <w:r>
              <w:rPr>
                <w:rFonts w:ascii="Times New Roman" w:hAnsi="Times New Roman" w:cs="Times New Roman"/>
                <w:sz w:val="20"/>
                <w:szCs w:val="20"/>
              </w:rPr>
              <w:t>)</w:t>
            </w:r>
          </w:p>
        </w:tc>
      </w:tr>
      <w:tr w:rsidR="005178B0" w:rsidRPr="00A61228" w14:paraId="47CA19A5"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tcBorders>
            <w:shd w:val="clear" w:color="auto" w:fill="auto"/>
            <w:vAlign w:val="center"/>
          </w:tcPr>
          <w:p w14:paraId="1CB4EAD2" w14:textId="77777777" w:rsidR="005178B0" w:rsidRPr="00A61228" w:rsidRDefault="005178B0" w:rsidP="002C7B49">
            <w:pPr>
              <w:rPr>
                <w:rFonts w:ascii="Times New Roman" w:hAnsi="Times New Roman" w:cs="Times New Roman"/>
                <w:b w:val="0"/>
                <w:sz w:val="20"/>
                <w:szCs w:val="20"/>
              </w:rPr>
            </w:pPr>
            <w:r w:rsidRPr="00A61228">
              <w:rPr>
                <w:rFonts w:ascii="Times New Roman" w:hAnsi="Times New Roman" w:cs="Times New Roman"/>
                <w:b w:val="0"/>
                <w:sz w:val="20"/>
                <w:szCs w:val="20"/>
              </w:rPr>
              <w:t>Charlson comorbidity index</w:t>
            </w:r>
          </w:p>
        </w:tc>
        <w:tc>
          <w:tcPr>
            <w:tcW w:w="2160" w:type="dxa"/>
            <w:tcBorders>
              <w:top w:val="single" w:sz="4" w:space="0" w:color="auto"/>
            </w:tcBorders>
            <w:shd w:val="clear" w:color="auto" w:fill="auto"/>
            <w:vAlign w:val="center"/>
          </w:tcPr>
          <w:p w14:paraId="63A14EBB"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2·8 (2·9)</w:t>
            </w:r>
          </w:p>
        </w:tc>
        <w:tc>
          <w:tcPr>
            <w:tcW w:w="2160" w:type="dxa"/>
            <w:tcBorders>
              <w:top w:val="single" w:sz="4" w:space="0" w:color="auto"/>
            </w:tcBorders>
            <w:shd w:val="clear" w:color="auto" w:fill="auto"/>
            <w:vAlign w:val="center"/>
          </w:tcPr>
          <w:p w14:paraId="3E5650F9"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2·9 (2·6)</w:t>
            </w:r>
          </w:p>
        </w:tc>
        <w:tc>
          <w:tcPr>
            <w:tcW w:w="2160" w:type="dxa"/>
            <w:tcBorders>
              <w:top w:val="single" w:sz="4" w:space="0" w:color="auto"/>
            </w:tcBorders>
            <w:shd w:val="clear" w:color="auto" w:fill="auto"/>
            <w:vAlign w:val="center"/>
          </w:tcPr>
          <w:p w14:paraId="106D2FA9"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1·9 (2·1)</w:t>
            </w:r>
          </w:p>
        </w:tc>
      </w:tr>
      <w:tr w:rsidR="005178B0" w:rsidRPr="00A61228" w14:paraId="19D4E3BD"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vAlign w:val="center"/>
          </w:tcPr>
          <w:p w14:paraId="2F46B213" w14:textId="77777777" w:rsidR="005178B0" w:rsidRPr="00A61228" w:rsidRDefault="005178B0" w:rsidP="002C7B49">
            <w:pPr>
              <w:rPr>
                <w:rFonts w:ascii="Times New Roman" w:hAnsi="Times New Roman" w:cs="Times New Roman"/>
                <w:b w:val="0"/>
                <w:sz w:val="20"/>
                <w:szCs w:val="20"/>
              </w:rPr>
            </w:pPr>
            <w:r w:rsidRPr="00A61228">
              <w:rPr>
                <w:rFonts w:ascii="Times New Roman" w:hAnsi="Times New Roman" w:cs="Times New Roman"/>
                <w:b w:val="0"/>
                <w:sz w:val="20"/>
                <w:szCs w:val="20"/>
              </w:rPr>
              <w:t>No of admissions over 2 years, including current admission:</w:t>
            </w:r>
          </w:p>
        </w:tc>
        <w:tc>
          <w:tcPr>
            <w:tcW w:w="2160" w:type="dxa"/>
            <w:shd w:val="clear" w:color="auto" w:fill="auto"/>
            <w:vAlign w:val="center"/>
          </w:tcPr>
          <w:p w14:paraId="462A424B"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60" w:type="dxa"/>
            <w:shd w:val="clear" w:color="auto" w:fill="auto"/>
            <w:vAlign w:val="center"/>
          </w:tcPr>
          <w:p w14:paraId="5E3E0459"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60" w:type="dxa"/>
            <w:shd w:val="clear" w:color="auto" w:fill="auto"/>
            <w:vAlign w:val="center"/>
          </w:tcPr>
          <w:p w14:paraId="0C39A0A7"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178B0" w:rsidRPr="00A61228" w14:paraId="74E48948"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vAlign w:val="center"/>
          </w:tcPr>
          <w:p w14:paraId="17317E90" w14:textId="77777777" w:rsidR="005178B0" w:rsidRPr="00A61228" w:rsidRDefault="005178B0" w:rsidP="002C7B49">
            <w:pPr>
              <w:ind w:left="180"/>
              <w:rPr>
                <w:rFonts w:ascii="Times New Roman" w:hAnsi="Times New Roman" w:cs="Times New Roman"/>
                <w:b w:val="0"/>
                <w:sz w:val="20"/>
                <w:szCs w:val="20"/>
              </w:rPr>
            </w:pPr>
            <w:r w:rsidRPr="00A61228">
              <w:rPr>
                <w:rFonts w:ascii="Times New Roman" w:hAnsi="Times New Roman" w:cs="Times New Roman"/>
                <w:b w:val="0"/>
                <w:sz w:val="20"/>
                <w:szCs w:val="20"/>
              </w:rPr>
              <w:t>1</w:t>
            </w:r>
          </w:p>
        </w:tc>
        <w:tc>
          <w:tcPr>
            <w:tcW w:w="2160" w:type="dxa"/>
            <w:shd w:val="clear" w:color="auto" w:fill="auto"/>
            <w:vAlign w:val="center"/>
          </w:tcPr>
          <w:p w14:paraId="60D116EE" w14:textId="77777777" w:rsidR="005178B0" w:rsidRPr="00A61228" w:rsidRDefault="001C6026"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10,029 </w:t>
            </w:r>
            <w:r>
              <w:rPr>
                <w:rFonts w:ascii="Times New Roman" w:hAnsi="Times New Roman" w:cs="Times New Roman"/>
                <w:sz w:val="20"/>
                <w:szCs w:val="20"/>
              </w:rPr>
              <w:t>(</w:t>
            </w:r>
            <w:r w:rsidR="005178B0" w:rsidRPr="00A61228">
              <w:rPr>
                <w:rFonts w:ascii="Times New Roman" w:hAnsi="Times New Roman" w:cs="Times New Roman"/>
                <w:sz w:val="20"/>
                <w:szCs w:val="20"/>
              </w:rPr>
              <w:t>45·3%</w:t>
            </w:r>
            <w:r>
              <w:rPr>
                <w:rFonts w:ascii="Times New Roman" w:hAnsi="Times New Roman" w:cs="Times New Roman"/>
                <w:sz w:val="20"/>
                <w:szCs w:val="20"/>
              </w:rPr>
              <w:t>)</w:t>
            </w:r>
          </w:p>
        </w:tc>
        <w:tc>
          <w:tcPr>
            <w:tcW w:w="2160" w:type="dxa"/>
            <w:shd w:val="clear" w:color="auto" w:fill="auto"/>
            <w:vAlign w:val="center"/>
          </w:tcPr>
          <w:p w14:paraId="50698047" w14:textId="77777777" w:rsidR="005178B0" w:rsidRPr="00A61228" w:rsidRDefault="001C6026"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384,151 </w:t>
            </w:r>
            <w:r>
              <w:rPr>
                <w:rFonts w:ascii="Times New Roman" w:hAnsi="Times New Roman" w:cs="Times New Roman"/>
                <w:sz w:val="20"/>
                <w:szCs w:val="20"/>
              </w:rPr>
              <w:t>(</w:t>
            </w:r>
            <w:r w:rsidR="005178B0" w:rsidRPr="00A61228">
              <w:rPr>
                <w:rFonts w:ascii="Times New Roman" w:hAnsi="Times New Roman" w:cs="Times New Roman"/>
                <w:sz w:val="20"/>
                <w:szCs w:val="20"/>
              </w:rPr>
              <w:t>37·9%</w:t>
            </w:r>
            <w:r>
              <w:rPr>
                <w:rFonts w:ascii="Times New Roman" w:hAnsi="Times New Roman" w:cs="Times New Roman"/>
                <w:sz w:val="20"/>
                <w:szCs w:val="20"/>
              </w:rPr>
              <w:t>)</w:t>
            </w:r>
          </w:p>
        </w:tc>
        <w:tc>
          <w:tcPr>
            <w:tcW w:w="2160" w:type="dxa"/>
            <w:shd w:val="clear" w:color="auto" w:fill="auto"/>
            <w:vAlign w:val="center"/>
          </w:tcPr>
          <w:p w14:paraId="7A6AF922" w14:textId="77777777" w:rsidR="005178B0" w:rsidRPr="00A61228" w:rsidRDefault="00405599"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161 (</w:t>
            </w:r>
            <w:r w:rsidR="005178B0" w:rsidRPr="00A61228">
              <w:rPr>
                <w:rFonts w:ascii="Times New Roman" w:hAnsi="Times New Roman" w:cs="Times New Roman"/>
                <w:sz w:val="20"/>
                <w:szCs w:val="20"/>
              </w:rPr>
              <w:t>28·3%</w:t>
            </w:r>
            <w:r>
              <w:rPr>
                <w:rFonts w:ascii="Times New Roman" w:hAnsi="Times New Roman" w:cs="Times New Roman"/>
                <w:sz w:val="20"/>
                <w:szCs w:val="20"/>
              </w:rPr>
              <w:t>)</w:t>
            </w:r>
          </w:p>
        </w:tc>
      </w:tr>
      <w:tr w:rsidR="005178B0" w:rsidRPr="00A61228" w14:paraId="117ACCA2"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vAlign w:val="center"/>
          </w:tcPr>
          <w:p w14:paraId="7E7379C7" w14:textId="77777777" w:rsidR="005178B0" w:rsidRPr="00A61228" w:rsidRDefault="005178B0" w:rsidP="002C7B49">
            <w:pPr>
              <w:ind w:left="180"/>
              <w:rPr>
                <w:rFonts w:ascii="Times New Roman" w:hAnsi="Times New Roman" w:cs="Times New Roman"/>
                <w:b w:val="0"/>
                <w:sz w:val="20"/>
                <w:szCs w:val="20"/>
              </w:rPr>
            </w:pPr>
            <w:r w:rsidRPr="00A61228">
              <w:rPr>
                <w:rFonts w:ascii="Times New Roman" w:hAnsi="Times New Roman" w:cs="Times New Roman"/>
                <w:b w:val="0"/>
                <w:sz w:val="20"/>
                <w:szCs w:val="20"/>
              </w:rPr>
              <w:t>2</w:t>
            </w:r>
          </w:p>
        </w:tc>
        <w:tc>
          <w:tcPr>
            <w:tcW w:w="2160" w:type="dxa"/>
            <w:shd w:val="clear" w:color="auto" w:fill="auto"/>
            <w:vAlign w:val="center"/>
          </w:tcPr>
          <w:p w14:paraId="2F13B36A" w14:textId="77777777" w:rsidR="005178B0" w:rsidRPr="00A61228" w:rsidRDefault="001C6026"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5,313 </w:t>
            </w:r>
            <w:r>
              <w:rPr>
                <w:rFonts w:ascii="Times New Roman" w:hAnsi="Times New Roman" w:cs="Times New Roman"/>
                <w:sz w:val="20"/>
                <w:szCs w:val="20"/>
              </w:rPr>
              <w:t>(</w:t>
            </w:r>
            <w:r w:rsidR="005178B0" w:rsidRPr="00A61228">
              <w:rPr>
                <w:rFonts w:ascii="Times New Roman" w:hAnsi="Times New Roman" w:cs="Times New Roman"/>
                <w:sz w:val="20"/>
                <w:szCs w:val="20"/>
              </w:rPr>
              <w:t>24·0%</w:t>
            </w:r>
            <w:r>
              <w:rPr>
                <w:rFonts w:ascii="Times New Roman" w:hAnsi="Times New Roman" w:cs="Times New Roman"/>
                <w:sz w:val="20"/>
                <w:szCs w:val="20"/>
              </w:rPr>
              <w:t>)</w:t>
            </w:r>
          </w:p>
        </w:tc>
        <w:tc>
          <w:tcPr>
            <w:tcW w:w="2160" w:type="dxa"/>
            <w:shd w:val="clear" w:color="auto" w:fill="auto"/>
            <w:vAlign w:val="center"/>
          </w:tcPr>
          <w:p w14:paraId="21D6C78C" w14:textId="77777777" w:rsidR="005178B0" w:rsidRPr="00A61228" w:rsidRDefault="001C6026"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222,990 </w:t>
            </w:r>
            <w:r>
              <w:rPr>
                <w:rFonts w:ascii="Times New Roman" w:hAnsi="Times New Roman" w:cs="Times New Roman"/>
                <w:sz w:val="20"/>
                <w:szCs w:val="20"/>
              </w:rPr>
              <w:t>(</w:t>
            </w:r>
            <w:r w:rsidR="005178B0" w:rsidRPr="00A61228">
              <w:rPr>
                <w:rFonts w:ascii="Times New Roman" w:hAnsi="Times New Roman" w:cs="Times New Roman"/>
                <w:sz w:val="20"/>
                <w:szCs w:val="20"/>
              </w:rPr>
              <w:t>22·0%</w:t>
            </w:r>
            <w:r>
              <w:rPr>
                <w:rFonts w:ascii="Times New Roman" w:hAnsi="Times New Roman" w:cs="Times New Roman"/>
                <w:sz w:val="20"/>
                <w:szCs w:val="20"/>
              </w:rPr>
              <w:t>)</w:t>
            </w:r>
          </w:p>
        </w:tc>
        <w:tc>
          <w:tcPr>
            <w:tcW w:w="2160" w:type="dxa"/>
            <w:shd w:val="clear" w:color="auto" w:fill="auto"/>
            <w:vAlign w:val="center"/>
          </w:tcPr>
          <w:p w14:paraId="47B1F7C3" w14:textId="03263944" w:rsidR="005178B0" w:rsidRPr="00A61228" w:rsidRDefault="00A453DE" w:rsidP="002C7B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128</w:t>
            </w:r>
            <w:r w:rsidR="00405599">
              <w:rPr>
                <w:rFonts w:ascii="Times New Roman" w:hAnsi="Times New Roman" w:cs="Times New Roman"/>
                <w:sz w:val="20"/>
                <w:szCs w:val="20"/>
              </w:rPr>
              <w:t xml:space="preserve"> (22.5%)</w:t>
            </w:r>
          </w:p>
        </w:tc>
      </w:tr>
      <w:tr w:rsidR="005178B0" w:rsidRPr="00A61228" w14:paraId="3FC47E67"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vAlign w:val="center"/>
          </w:tcPr>
          <w:p w14:paraId="2F091FB2" w14:textId="77777777" w:rsidR="005178B0" w:rsidRPr="00A61228" w:rsidRDefault="005178B0" w:rsidP="002C7B49">
            <w:pPr>
              <w:ind w:left="180"/>
              <w:rPr>
                <w:rFonts w:ascii="Times New Roman" w:hAnsi="Times New Roman" w:cs="Times New Roman"/>
                <w:b w:val="0"/>
                <w:sz w:val="20"/>
                <w:szCs w:val="20"/>
              </w:rPr>
            </w:pPr>
            <w:r w:rsidRPr="00A61228">
              <w:rPr>
                <w:rFonts w:ascii="Times New Roman" w:hAnsi="Times New Roman" w:cs="Times New Roman"/>
                <w:b w:val="0"/>
                <w:sz w:val="20"/>
                <w:szCs w:val="20"/>
              </w:rPr>
              <w:t>≥ 3</w:t>
            </w:r>
          </w:p>
        </w:tc>
        <w:tc>
          <w:tcPr>
            <w:tcW w:w="2160" w:type="dxa"/>
            <w:shd w:val="clear" w:color="auto" w:fill="auto"/>
            <w:vAlign w:val="center"/>
          </w:tcPr>
          <w:p w14:paraId="0C11B606" w14:textId="77777777" w:rsidR="005178B0" w:rsidRPr="00A61228" w:rsidRDefault="001C6026"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6,797 </w:t>
            </w:r>
            <w:r>
              <w:rPr>
                <w:rFonts w:ascii="Times New Roman" w:hAnsi="Times New Roman" w:cs="Times New Roman"/>
                <w:sz w:val="20"/>
                <w:szCs w:val="20"/>
              </w:rPr>
              <w:t>(</w:t>
            </w:r>
            <w:r w:rsidR="005178B0" w:rsidRPr="00A61228">
              <w:rPr>
                <w:rFonts w:ascii="Times New Roman" w:hAnsi="Times New Roman" w:cs="Times New Roman"/>
                <w:sz w:val="20"/>
                <w:szCs w:val="20"/>
              </w:rPr>
              <w:t>30·7%</w:t>
            </w:r>
            <w:r>
              <w:rPr>
                <w:rFonts w:ascii="Times New Roman" w:hAnsi="Times New Roman" w:cs="Times New Roman"/>
                <w:sz w:val="20"/>
                <w:szCs w:val="20"/>
              </w:rPr>
              <w:t>)</w:t>
            </w:r>
          </w:p>
        </w:tc>
        <w:tc>
          <w:tcPr>
            <w:tcW w:w="2160" w:type="dxa"/>
            <w:shd w:val="clear" w:color="auto" w:fill="auto"/>
            <w:vAlign w:val="center"/>
          </w:tcPr>
          <w:p w14:paraId="1E80CD2A" w14:textId="77777777" w:rsidR="005178B0" w:rsidRPr="00A61228" w:rsidRDefault="001C6026"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6026">
              <w:rPr>
                <w:rFonts w:ascii="Times New Roman" w:hAnsi="Times New Roman" w:cs="Times New Roman"/>
                <w:sz w:val="20"/>
                <w:szCs w:val="20"/>
              </w:rPr>
              <w:t xml:space="preserve">406,450 </w:t>
            </w:r>
            <w:r>
              <w:rPr>
                <w:rFonts w:ascii="Times New Roman" w:hAnsi="Times New Roman" w:cs="Times New Roman"/>
                <w:sz w:val="20"/>
                <w:szCs w:val="20"/>
              </w:rPr>
              <w:t>(</w:t>
            </w:r>
            <w:r w:rsidR="005178B0" w:rsidRPr="00A61228">
              <w:rPr>
                <w:rFonts w:ascii="Times New Roman" w:hAnsi="Times New Roman" w:cs="Times New Roman"/>
                <w:sz w:val="20"/>
                <w:szCs w:val="20"/>
              </w:rPr>
              <w:t>40·1%</w:t>
            </w:r>
            <w:r>
              <w:rPr>
                <w:rFonts w:ascii="Times New Roman" w:hAnsi="Times New Roman" w:cs="Times New Roman"/>
                <w:sz w:val="20"/>
                <w:szCs w:val="20"/>
              </w:rPr>
              <w:t>)</w:t>
            </w:r>
          </w:p>
        </w:tc>
        <w:tc>
          <w:tcPr>
            <w:tcW w:w="2160" w:type="dxa"/>
            <w:shd w:val="clear" w:color="auto" w:fill="auto"/>
            <w:vAlign w:val="center"/>
          </w:tcPr>
          <w:p w14:paraId="4E4B7496" w14:textId="77777777" w:rsidR="005178B0" w:rsidRPr="00A61228" w:rsidRDefault="00405599" w:rsidP="002C7B4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280 (</w:t>
            </w:r>
            <w:r w:rsidR="005178B0" w:rsidRPr="00A61228">
              <w:rPr>
                <w:rFonts w:ascii="Times New Roman" w:hAnsi="Times New Roman" w:cs="Times New Roman"/>
                <w:sz w:val="20"/>
                <w:szCs w:val="20"/>
              </w:rPr>
              <w:t>49·2%</w:t>
            </w:r>
            <w:r>
              <w:rPr>
                <w:rFonts w:ascii="Times New Roman" w:hAnsi="Times New Roman" w:cs="Times New Roman"/>
                <w:sz w:val="20"/>
                <w:szCs w:val="20"/>
              </w:rPr>
              <w:t>)</w:t>
            </w:r>
          </w:p>
        </w:tc>
      </w:tr>
    </w:tbl>
    <w:p w14:paraId="7031FC13" w14:textId="77777777" w:rsidR="005178B0" w:rsidRPr="00A61228" w:rsidRDefault="005178B0" w:rsidP="002C7B49">
      <w:pPr>
        <w:spacing w:after="0" w:line="240" w:lineRule="auto"/>
        <w:rPr>
          <w:rFonts w:ascii="Times New Roman" w:hAnsi="Times New Roman" w:cs="Times New Roman"/>
          <w:sz w:val="20"/>
          <w:szCs w:val="20"/>
        </w:rPr>
      </w:pPr>
      <w:r w:rsidRPr="00A61228">
        <w:rPr>
          <w:rFonts w:ascii="Times New Roman" w:hAnsi="Times New Roman" w:cs="Times New Roman"/>
          <w:sz w:val="20"/>
          <w:szCs w:val="20"/>
        </w:rPr>
        <w:t xml:space="preserve">Values are means (SDs) for continuous variables, and </w:t>
      </w:r>
      <w:r w:rsidR="001C6026">
        <w:rPr>
          <w:rFonts w:ascii="Times New Roman" w:hAnsi="Times New Roman" w:cs="Times New Roman"/>
          <w:sz w:val="20"/>
          <w:szCs w:val="20"/>
        </w:rPr>
        <w:t xml:space="preserve">absolute numbers </w:t>
      </w:r>
      <w:r w:rsidR="000C342F">
        <w:rPr>
          <w:rFonts w:ascii="Times New Roman" w:hAnsi="Times New Roman" w:cs="Times New Roman"/>
          <w:sz w:val="20"/>
          <w:szCs w:val="20"/>
        </w:rPr>
        <w:t>(</w:t>
      </w:r>
      <w:r w:rsidRPr="00A61228">
        <w:rPr>
          <w:rFonts w:ascii="Times New Roman" w:hAnsi="Times New Roman" w:cs="Times New Roman"/>
          <w:sz w:val="20"/>
          <w:szCs w:val="20"/>
        </w:rPr>
        <w:t>percentages</w:t>
      </w:r>
      <w:r w:rsidR="000C342F">
        <w:rPr>
          <w:rFonts w:ascii="Times New Roman" w:hAnsi="Times New Roman" w:cs="Times New Roman"/>
          <w:sz w:val="20"/>
          <w:szCs w:val="20"/>
        </w:rPr>
        <w:t>)</w:t>
      </w:r>
      <w:r w:rsidRPr="00A61228">
        <w:rPr>
          <w:rFonts w:ascii="Times New Roman" w:hAnsi="Times New Roman" w:cs="Times New Roman"/>
          <w:sz w:val="20"/>
          <w:szCs w:val="20"/>
        </w:rPr>
        <w:t xml:space="preserve"> </w:t>
      </w:r>
      <w:r w:rsidR="001C6026">
        <w:rPr>
          <w:rFonts w:ascii="Times New Roman" w:hAnsi="Times New Roman" w:cs="Times New Roman"/>
          <w:sz w:val="20"/>
          <w:szCs w:val="20"/>
        </w:rPr>
        <w:t xml:space="preserve">of people with the </w:t>
      </w:r>
      <w:r w:rsidR="0005649A">
        <w:rPr>
          <w:rFonts w:ascii="Times New Roman" w:hAnsi="Times New Roman" w:cs="Times New Roman"/>
          <w:sz w:val="20"/>
          <w:szCs w:val="20"/>
        </w:rPr>
        <w:t xml:space="preserve">specified </w:t>
      </w:r>
      <w:r w:rsidR="001C6026">
        <w:rPr>
          <w:rFonts w:ascii="Times New Roman" w:hAnsi="Times New Roman" w:cs="Times New Roman"/>
          <w:sz w:val="20"/>
          <w:szCs w:val="20"/>
        </w:rPr>
        <w:t xml:space="preserve">characteristic </w:t>
      </w:r>
      <w:r w:rsidRPr="00A61228">
        <w:rPr>
          <w:rFonts w:ascii="Times New Roman" w:hAnsi="Times New Roman" w:cs="Times New Roman"/>
          <w:sz w:val="20"/>
          <w:szCs w:val="20"/>
        </w:rPr>
        <w:t xml:space="preserve">for binary variables· </w:t>
      </w:r>
    </w:p>
    <w:p w14:paraId="48A049C1" w14:textId="77777777" w:rsidR="005178B0" w:rsidRPr="00A61228" w:rsidRDefault="005178B0" w:rsidP="002C7B49">
      <w:pPr>
        <w:spacing w:before="120" w:after="0" w:line="240" w:lineRule="auto"/>
        <w:rPr>
          <w:rFonts w:ascii="Times New Roman" w:hAnsi="Times New Roman" w:cs="Times New Roman"/>
          <w:sz w:val="20"/>
          <w:szCs w:val="20"/>
        </w:rPr>
      </w:pPr>
      <w:r w:rsidRPr="00A61228">
        <w:rPr>
          <w:rFonts w:ascii="Times New Roman" w:hAnsi="Times New Roman" w:cs="Times New Roman"/>
          <w:sz w:val="20"/>
          <w:szCs w:val="20"/>
        </w:rPr>
        <w:t xml:space="preserve">a The development cohort included older people aged 75 years+ living in one of three local authorities with </w:t>
      </w:r>
      <w:r w:rsidRPr="00A61228">
        <w:rPr>
          <w:rFonts w:ascii="Times New Roman" w:hAnsi="Times New Roman" w:cs="Times New Roman"/>
          <w:i/>
          <w:sz w:val="20"/>
          <w:szCs w:val="20"/>
        </w:rPr>
        <w:t>at least one hospital admission</w:t>
      </w:r>
      <w:r w:rsidRPr="00A61228">
        <w:rPr>
          <w:rFonts w:ascii="Times New Roman" w:hAnsi="Times New Roman" w:cs="Times New Roman"/>
          <w:sz w:val="20"/>
          <w:szCs w:val="20"/>
        </w:rPr>
        <w:t xml:space="preserve"> over the period 1</w:t>
      </w:r>
      <w:r w:rsidRPr="00A61228">
        <w:rPr>
          <w:rFonts w:ascii="Times New Roman" w:hAnsi="Times New Roman" w:cs="Times New Roman"/>
          <w:sz w:val="20"/>
          <w:szCs w:val="20"/>
          <w:vertAlign w:val="superscript"/>
        </w:rPr>
        <w:t>st</w:t>
      </w:r>
      <w:r w:rsidRPr="00A61228">
        <w:rPr>
          <w:rFonts w:ascii="Times New Roman" w:hAnsi="Times New Roman" w:cs="Times New Roman"/>
          <w:sz w:val="20"/>
          <w:szCs w:val="20"/>
        </w:rPr>
        <w:t xml:space="preserve"> April 2013 and 31</w:t>
      </w:r>
      <w:r w:rsidRPr="00A61228">
        <w:rPr>
          <w:rFonts w:ascii="Times New Roman" w:hAnsi="Times New Roman" w:cs="Times New Roman"/>
          <w:sz w:val="20"/>
          <w:szCs w:val="20"/>
          <w:vertAlign w:val="superscript"/>
        </w:rPr>
        <w:t>st</w:t>
      </w:r>
      <w:r w:rsidRPr="00A61228">
        <w:rPr>
          <w:rFonts w:ascii="Times New Roman" w:hAnsi="Times New Roman" w:cs="Times New Roman"/>
          <w:sz w:val="20"/>
          <w:szCs w:val="20"/>
        </w:rPr>
        <w:t xml:space="preserve"> March 2015· </w:t>
      </w:r>
    </w:p>
    <w:p w14:paraId="483A5DD6" w14:textId="77777777" w:rsidR="005178B0" w:rsidRPr="00A61228" w:rsidRDefault="005178B0" w:rsidP="002C7B49">
      <w:pPr>
        <w:spacing w:before="120" w:after="0" w:line="240" w:lineRule="auto"/>
        <w:rPr>
          <w:rFonts w:ascii="Times New Roman" w:hAnsi="Times New Roman" w:cs="Times New Roman"/>
          <w:sz w:val="20"/>
          <w:szCs w:val="20"/>
        </w:rPr>
      </w:pPr>
      <w:r w:rsidRPr="00A61228">
        <w:rPr>
          <w:rFonts w:ascii="Times New Roman" w:hAnsi="Times New Roman" w:cs="Times New Roman"/>
          <w:sz w:val="20"/>
          <w:szCs w:val="20"/>
        </w:rPr>
        <w:t xml:space="preserve">b The national validation cohort included all older people aged 75 years+ who had an </w:t>
      </w:r>
      <w:r w:rsidRPr="00A61228">
        <w:rPr>
          <w:rFonts w:ascii="Times New Roman" w:hAnsi="Times New Roman" w:cs="Times New Roman"/>
          <w:i/>
          <w:sz w:val="20"/>
          <w:szCs w:val="20"/>
        </w:rPr>
        <w:t>emergency hospital admission</w:t>
      </w:r>
      <w:r w:rsidRPr="00A61228">
        <w:rPr>
          <w:rFonts w:ascii="Times New Roman" w:hAnsi="Times New Roman" w:cs="Times New Roman"/>
          <w:sz w:val="20"/>
          <w:szCs w:val="20"/>
        </w:rPr>
        <w:t xml:space="preserve"> in England between 1</w:t>
      </w:r>
      <w:r w:rsidRPr="00A61228">
        <w:rPr>
          <w:rFonts w:ascii="Times New Roman" w:hAnsi="Times New Roman" w:cs="Times New Roman"/>
          <w:sz w:val="20"/>
          <w:szCs w:val="20"/>
          <w:vertAlign w:val="superscript"/>
        </w:rPr>
        <w:t>st</w:t>
      </w:r>
      <w:r w:rsidRPr="00A61228">
        <w:rPr>
          <w:rFonts w:ascii="Times New Roman" w:hAnsi="Times New Roman" w:cs="Times New Roman"/>
          <w:sz w:val="20"/>
          <w:szCs w:val="20"/>
        </w:rPr>
        <w:t xml:space="preserve"> April 2014 and 31</w:t>
      </w:r>
      <w:r w:rsidRPr="00A61228">
        <w:rPr>
          <w:rFonts w:ascii="Times New Roman" w:hAnsi="Times New Roman" w:cs="Times New Roman"/>
          <w:sz w:val="20"/>
          <w:szCs w:val="20"/>
          <w:vertAlign w:val="superscript"/>
        </w:rPr>
        <w:t>st</w:t>
      </w:r>
      <w:r w:rsidRPr="00A61228">
        <w:rPr>
          <w:rFonts w:ascii="Times New Roman" w:hAnsi="Times New Roman" w:cs="Times New Roman"/>
          <w:sz w:val="20"/>
          <w:szCs w:val="20"/>
        </w:rPr>
        <w:t xml:space="preserve"> March 2015· </w:t>
      </w:r>
    </w:p>
    <w:p w14:paraId="022EA3BA" w14:textId="77777777" w:rsidR="005178B0" w:rsidRPr="00A61228" w:rsidRDefault="005178B0" w:rsidP="002C7B49">
      <w:pPr>
        <w:spacing w:before="120" w:after="0" w:line="240" w:lineRule="auto"/>
        <w:rPr>
          <w:rFonts w:ascii="Times New Roman" w:hAnsi="Times New Roman" w:cs="Times New Roman"/>
          <w:sz w:val="20"/>
          <w:szCs w:val="20"/>
        </w:rPr>
      </w:pPr>
      <w:r w:rsidRPr="00A61228">
        <w:rPr>
          <w:rFonts w:ascii="Times New Roman" w:hAnsi="Times New Roman" w:cs="Times New Roman"/>
          <w:sz w:val="20"/>
          <w:szCs w:val="20"/>
        </w:rPr>
        <w:t>c The local validation cohort included 569 older people aged 70 years+ recruited following a short-stay acute hospital admission to one of two hospitals who had complete linked data on their frailty measured using the Fried model and Rockwood Index.</w:t>
      </w:r>
    </w:p>
    <w:p w14:paraId="524BC6E6" w14:textId="77777777" w:rsidR="005178B0" w:rsidRPr="00A61228" w:rsidRDefault="005178B0" w:rsidP="002C7B49">
      <w:pPr>
        <w:pStyle w:val="Caption"/>
        <w:keepNext/>
        <w:rPr>
          <w:rFonts w:ascii="Times New Roman" w:hAnsi="Times New Roman" w:cs="Times New Roman"/>
          <w:b/>
          <w:i w:val="0"/>
          <w:color w:val="000000" w:themeColor="text1"/>
          <w:sz w:val="20"/>
          <w:szCs w:val="20"/>
        </w:rPr>
        <w:sectPr w:rsidR="005178B0" w:rsidRPr="00A61228" w:rsidSect="0000465A">
          <w:headerReference w:type="default" r:id="rId12"/>
          <w:pgSz w:w="11906" w:h="16838"/>
          <w:pgMar w:top="1135" w:right="1440" w:bottom="1135" w:left="1440" w:header="708" w:footer="708" w:gutter="0"/>
          <w:cols w:space="708"/>
          <w:docGrid w:linePitch="360"/>
        </w:sectPr>
      </w:pPr>
    </w:p>
    <w:p w14:paraId="401A4577" w14:textId="77777777" w:rsidR="005178B0" w:rsidRPr="00A61228" w:rsidRDefault="005178B0" w:rsidP="002C7B49">
      <w:pPr>
        <w:pStyle w:val="Caption"/>
        <w:keepNext/>
        <w:rPr>
          <w:rFonts w:ascii="Times New Roman" w:hAnsi="Times New Roman" w:cs="Times New Roman"/>
          <w:color w:val="000000" w:themeColor="text1"/>
          <w:sz w:val="20"/>
          <w:szCs w:val="20"/>
        </w:rPr>
      </w:pPr>
      <w:r w:rsidRPr="00A61228">
        <w:rPr>
          <w:rFonts w:ascii="Times New Roman" w:hAnsi="Times New Roman" w:cs="Times New Roman"/>
          <w:b/>
          <w:i w:val="0"/>
          <w:color w:val="000000" w:themeColor="text1"/>
          <w:sz w:val="20"/>
          <w:szCs w:val="20"/>
        </w:rPr>
        <w:lastRenderedPageBreak/>
        <w:t>Table 2</w:t>
      </w:r>
      <w:r w:rsidRPr="00A61228">
        <w:rPr>
          <w:rFonts w:ascii="Times New Roman" w:hAnsi="Times New Roman" w:cs="Times New Roman"/>
          <w:color w:val="000000" w:themeColor="text1"/>
          <w:sz w:val="20"/>
          <w:szCs w:val="20"/>
        </w:rPr>
        <w:t xml:space="preserve"> </w:t>
      </w:r>
      <w:r w:rsidRPr="00A61228">
        <w:rPr>
          <w:rFonts w:ascii="Times New Roman" w:hAnsi="Times New Roman" w:cs="Times New Roman"/>
          <w:i w:val="0"/>
          <w:color w:val="000000" w:themeColor="text1"/>
          <w:sz w:val="20"/>
          <w:szCs w:val="20"/>
        </w:rPr>
        <w:t>Groups produced by cluster analysis in development cohort (n = 22,139)</w:t>
      </w:r>
      <w:r w:rsidRPr="00A61228">
        <w:rPr>
          <w:rFonts w:ascii="Times New Roman" w:hAnsi="Times New Roman" w:cs="Times New Roman"/>
          <w:color w:val="000000" w:themeColor="text1"/>
          <w:sz w:val="20"/>
          <w:szCs w:val="20"/>
        </w:rPr>
        <w:t xml:space="preserve"> </w:t>
      </w:r>
    </w:p>
    <w:tbl>
      <w:tblPr>
        <w:tblStyle w:val="LightShading"/>
        <w:tblW w:w="13608" w:type="dxa"/>
        <w:shd w:val="clear" w:color="auto" w:fill="FFFFFF" w:themeFill="background1"/>
        <w:tblLayout w:type="fixed"/>
        <w:tblLook w:val="04A0" w:firstRow="1" w:lastRow="0" w:firstColumn="1" w:lastColumn="0" w:noHBand="0" w:noVBand="1"/>
      </w:tblPr>
      <w:tblGrid>
        <w:gridCol w:w="3528"/>
        <w:gridCol w:w="1680"/>
        <w:gridCol w:w="1680"/>
        <w:gridCol w:w="1680"/>
        <w:gridCol w:w="1680"/>
        <w:gridCol w:w="1680"/>
        <w:gridCol w:w="1680"/>
      </w:tblGrid>
      <w:tr w:rsidR="005178B0" w:rsidRPr="00A61228" w14:paraId="6257EFF5" w14:textId="77777777" w:rsidTr="002C7B49">
        <w:trPr>
          <w:cnfStyle w:val="100000000000" w:firstRow="1" w:lastRow="0" w:firstColumn="0" w:lastColumn="0" w:oddVBand="0" w:evenVBand="0" w:oddHBand="0"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vAlign w:val="center"/>
          </w:tcPr>
          <w:p w14:paraId="4AE7C3E4" w14:textId="77777777" w:rsidR="005178B0" w:rsidRPr="00A61228" w:rsidRDefault="005178B0" w:rsidP="002C7B49">
            <w:pPr>
              <w:pStyle w:val="BodyA"/>
              <w:widowControl w:val="0"/>
              <w:tabs>
                <w:tab w:val="left" w:pos="1080"/>
                <w:tab w:val="left" w:pos="2160"/>
                <w:tab w:val="left" w:pos="3240"/>
                <w:tab w:val="left" w:pos="4320"/>
                <w:tab w:val="left" w:pos="5400"/>
                <w:tab w:val="left" w:pos="6480"/>
                <w:tab w:val="left" w:pos="7560"/>
                <w:tab w:val="left" w:pos="8640"/>
              </w:tabs>
              <w:jc w:val="right"/>
              <w:rPr>
                <w:rFonts w:ascii="Times New Roman" w:hAnsi="Times New Roman" w:cs="Times New Roman"/>
                <w:sz w:val="20"/>
                <w:szCs w:val="20"/>
                <w:lang w:val="en-GB"/>
              </w:rPr>
            </w:pPr>
            <w:r w:rsidRPr="00A61228">
              <w:rPr>
                <w:rFonts w:ascii="Times New Roman" w:hAnsi="Times New Roman" w:cs="Times New Roman"/>
                <w:sz w:val="20"/>
                <w:szCs w:val="20"/>
                <w:lang w:val="en-GB"/>
              </w:rPr>
              <w:br w:type="page"/>
            </w:r>
            <w:r w:rsidRPr="00A61228">
              <w:rPr>
                <w:rFonts w:ascii="Times New Roman" w:hAnsi="Times New Roman" w:cs="Times New Roman"/>
                <w:sz w:val="20"/>
                <w:szCs w:val="20"/>
                <w:lang w:val="en-GB"/>
              </w:rPr>
              <w:br w:type="page"/>
              <w:t>Cluster identification*</w:t>
            </w:r>
          </w:p>
        </w:tc>
        <w:tc>
          <w:tcPr>
            <w:tcW w:w="1680" w:type="dxa"/>
            <w:shd w:val="clear" w:color="auto" w:fill="FFFFFF" w:themeFill="background1"/>
            <w:vAlign w:val="center"/>
          </w:tcPr>
          <w:p w14:paraId="3852DD9E"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‘Frailty’</w:t>
            </w:r>
          </w:p>
        </w:tc>
        <w:tc>
          <w:tcPr>
            <w:tcW w:w="1680" w:type="dxa"/>
            <w:shd w:val="clear" w:color="auto" w:fill="FFFFFF" w:themeFill="background1"/>
            <w:vAlign w:val="center"/>
          </w:tcPr>
          <w:p w14:paraId="5E0CBD6E"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‘Elective cataracts’</w:t>
            </w:r>
          </w:p>
        </w:tc>
        <w:tc>
          <w:tcPr>
            <w:tcW w:w="1680" w:type="dxa"/>
            <w:shd w:val="clear" w:color="auto" w:fill="FFFFFF" w:themeFill="background1"/>
            <w:vAlign w:val="center"/>
          </w:tcPr>
          <w:p w14:paraId="29CC064B"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‘Chronic heart problems’</w:t>
            </w:r>
          </w:p>
        </w:tc>
        <w:tc>
          <w:tcPr>
            <w:tcW w:w="1680" w:type="dxa"/>
            <w:shd w:val="clear" w:color="auto" w:fill="FFFFFF" w:themeFill="background1"/>
            <w:vAlign w:val="center"/>
          </w:tcPr>
          <w:p w14:paraId="131A4337"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‘Acute heart problems’</w:t>
            </w:r>
          </w:p>
        </w:tc>
        <w:tc>
          <w:tcPr>
            <w:tcW w:w="1680" w:type="dxa"/>
            <w:shd w:val="clear" w:color="auto" w:fill="FFFFFF" w:themeFill="background1"/>
            <w:vAlign w:val="center"/>
          </w:tcPr>
          <w:p w14:paraId="719151E5"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‘Cancer &amp; lung disease’</w:t>
            </w:r>
          </w:p>
        </w:tc>
        <w:tc>
          <w:tcPr>
            <w:tcW w:w="1680" w:type="dxa"/>
            <w:shd w:val="clear" w:color="auto" w:fill="FFFFFF" w:themeFill="background1"/>
            <w:vAlign w:val="center"/>
          </w:tcPr>
          <w:p w14:paraId="6EFFB1E1"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‘Mixed diagnoses’</w:t>
            </w:r>
          </w:p>
        </w:tc>
      </w:tr>
      <w:tr w:rsidR="005178B0" w:rsidRPr="00A61228" w14:paraId="17D44D44"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28" w:type="dxa"/>
            <w:tcBorders>
              <w:bottom w:val="nil"/>
            </w:tcBorders>
            <w:shd w:val="clear" w:color="auto" w:fill="FFFFFF" w:themeFill="background1"/>
            <w:vAlign w:val="center"/>
          </w:tcPr>
          <w:p w14:paraId="629D8782" w14:textId="77777777" w:rsidR="005178B0" w:rsidRPr="00A61228" w:rsidRDefault="00FD626B" w:rsidP="002C7B49">
            <w:pPr>
              <w:pStyle w:val="BodyA"/>
              <w:widowControl w:val="0"/>
              <w:tabs>
                <w:tab w:val="left" w:pos="1080"/>
                <w:tab w:val="left" w:pos="2160"/>
                <w:tab w:val="left" w:pos="3240"/>
                <w:tab w:val="left" w:pos="4320"/>
                <w:tab w:val="left" w:pos="5400"/>
                <w:tab w:val="left" w:pos="6480"/>
                <w:tab w:val="left" w:pos="7560"/>
                <w:tab w:val="left" w:pos="8640"/>
              </w:tabs>
              <w:rPr>
                <w:rFonts w:ascii="Times New Roman" w:hAnsi="Times New Roman" w:cs="Times New Roman"/>
                <w:b w:val="0"/>
                <w:sz w:val="20"/>
                <w:szCs w:val="20"/>
                <w:lang w:val="en-GB"/>
              </w:rPr>
            </w:pPr>
            <w:r>
              <w:rPr>
                <w:rFonts w:ascii="Times New Roman" w:hAnsi="Times New Roman" w:cs="Times New Roman"/>
                <w:b w:val="0"/>
                <w:sz w:val="20"/>
                <w:szCs w:val="20"/>
                <w:lang w:val="en-GB"/>
              </w:rPr>
              <w:t>Number</w:t>
            </w:r>
            <w:r w:rsidR="00917236">
              <w:rPr>
                <w:rFonts w:ascii="Times New Roman" w:hAnsi="Times New Roman" w:cs="Times New Roman"/>
                <w:b w:val="0"/>
                <w:sz w:val="20"/>
                <w:szCs w:val="20"/>
                <w:lang w:val="en-GB"/>
              </w:rPr>
              <w:t xml:space="preserve"> </w:t>
            </w:r>
            <w:r w:rsidR="005178B0" w:rsidRPr="00A61228">
              <w:rPr>
                <w:rFonts w:ascii="Times New Roman" w:hAnsi="Times New Roman" w:cs="Times New Roman"/>
                <w:b w:val="0"/>
                <w:sz w:val="20"/>
                <w:szCs w:val="20"/>
                <w:lang w:val="en-GB"/>
              </w:rPr>
              <w:t>of patients</w:t>
            </w:r>
            <w:r>
              <w:rPr>
                <w:rFonts w:ascii="Times New Roman" w:hAnsi="Times New Roman" w:cs="Times New Roman"/>
                <w:b w:val="0"/>
                <w:sz w:val="20"/>
                <w:szCs w:val="20"/>
                <w:lang w:val="en-GB"/>
              </w:rPr>
              <w:t xml:space="preserve"> in cluster</w:t>
            </w:r>
          </w:p>
        </w:tc>
        <w:tc>
          <w:tcPr>
            <w:tcW w:w="1680" w:type="dxa"/>
            <w:tcBorders>
              <w:bottom w:val="nil"/>
            </w:tcBorders>
            <w:shd w:val="clear" w:color="auto" w:fill="FFFFFF" w:themeFill="background1"/>
            <w:vAlign w:val="center"/>
          </w:tcPr>
          <w:p w14:paraId="50646995" w14:textId="77777777" w:rsidR="005178B0" w:rsidRPr="00A61228" w:rsidRDefault="005178B0" w:rsidP="009172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4,907</w:t>
            </w:r>
          </w:p>
        </w:tc>
        <w:tc>
          <w:tcPr>
            <w:tcW w:w="1680" w:type="dxa"/>
            <w:tcBorders>
              <w:bottom w:val="nil"/>
            </w:tcBorders>
            <w:shd w:val="clear" w:color="auto" w:fill="FFFFFF" w:themeFill="background1"/>
            <w:vAlign w:val="center"/>
          </w:tcPr>
          <w:p w14:paraId="37334D6D" w14:textId="77777777" w:rsidR="005178B0" w:rsidRPr="00A61228" w:rsidRDefault="005178B0" w:rsidP="009172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3,419</w:t>
            </w:r>
            <w:r w:rsidR="00917236">
              <w:rPr>
                <w:rFonts w:ascii="Times New Roman" w:hAnsi="Times New Roman" w:cs="Times New Roman"/>
                <w:sz w:val="20"/>
                <w:szCs w:val="20"/>
              </w:rPr>
              <w:t xml:space="preserve"> </w:t>
            </w:r>
          </w:p>
        </w:tc>
        <w:tc>
          <w:tcPr>
            <w:tcW w:w="1680" w:type="dxa"/>
            <w:tcBorders>
              <w:bottom w:val="nil"/>
            </w:tcBorders>
            <w:shd w:val="clear" w:color="auto" w:fill="FFFFFF" w:themeFill="background1"/>
            <w:vAlign w:val="center"/>
          </w:tcPr>
          <w:p w14:paraId="462E0F56"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1,708</w:t>
            </w:r>
          </w:p>
        </w:tc>
        <w:tc>
          <w:tcPr>
            <w:tcW w:w="1680" w:type="dxa"/>
            <w:tcBorders>
              <w:bottom w:val="nil"/>
            </w:tcBorders>
            <w:shd w:val="clear" w:color="auto" w:fill="FFFFFF" w:themeFill="background1"/>
            <w:vAlign w:val="center"/>
          </w:tcPr>
          <w:p w14:paraId="700F2DAE"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1,979</w:t>
            </w:r>
          </w:p>
        </w:tc>
        <w:tc>
          <w:tcPr>
            <w:tcW w:w="1680" w:type="dxa"/>
            <w:tcBorders>
              <w:bottom w:val="nil"/>
            </w:tcBorders>
            <w:shd w:val="clear" w:color="auto" w:fill="FFFFFF" w:themeFill="background1"/>
            <w:vAlign w:val="center"/>
          </w:tcPr>
          <w:p w14:paraId="11586B71"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3,558</w:t>
            </w:r>
          </w:p>
        </w:tc>
        <w:tc>
          <w:tcPr>
            <w:tcW w:w="1680" w:type="dxa"/>
            <w:tcBorders>
              <w:bottom w:val="nil"/>
            </w:tcBorders>
            <w:shd w:val="clear" w:color="auto" w:fill="FFFFFF" w:themeFill="background1"/>
            <w:vAlign w:val="center"/>
          </w:tcPr>
          <w:p w14:paraId="081E9204"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6,568</w:t>
            </w:r>
          </w:p>
        </w:tc>
      </w:tr>
      <w:tr w:rsidR="005178B0" w:rsidRPr="00A61228" w14:paraId="57DC742F"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3528" w:type="dxa"/>
            <w:tcBorders>
              <w:bottom w:val="single" w:sz="4" w:space="0" w:color="auto"/>
            </w:tcBorders>
            <w:shd w:val="clear" w:color="auto" w:fill="FFFFFF" w:themeFill="background1"/>
            <w:vAlign w:val="center"/>
          </w:tcPr>
          <w:p w14:paraId="46A4EAD1" w14:textId="77777777" w:rsidR="005178B0" w:rsidRPr="00A61228" w:rsidRDefault="00FD626B" w:rsidP="002C7B49">
            <w:pPr>
              <w:pStyle w:val="BodyA"/>
              <w:widowControl w:val="0"/>
              <w:tabs>
                <w:tab w:val="left" w:pos="1080"/>
                <w:tab w:val="left" w:pos="2160"/>
                <w:tab w:val="left" w:pos="3240"/>
                <w:tab w:val="left" w:pos="4320"/>
                <w:tab w:val="left" w:pos="5400"/>
                <w:tab w:val="left" w:pos="6480"/>
                <w:tab w:val="left" w:pos="7560"/>
                <w:tab w:val="left" w:pos="8640"/>
              </w:tabs>
              <w:rPr>
                <w:rFonts w:ascii="Times New Roman" w:hAnsi="Times New Roman" w:cs="Times New Roman"/>
                <w:b w:val="0"/>
                <w:sz w:val="20"/>
                <w:szCs w:val="20"/>
                <w:lang w:val="en-GB"/>
              </w:rPr>
            </w:pPr>
            <w:r>
              <w:rPr>
                <w:rFonts w:ascii="Times New Roman" w:hAnsi="Times New Roman" w:cs="Times New Roman"/>
                <w:b w:val="0"/>
                <w:sz w:val="20"/>
                <w:szCs w:val="20"/>
                <w:lang w:val="en-GB"/>
              </w:rPr>
              <w:t xml:space="preserve">Cluster size as </w:t>
            </w:r>
            <w:r w:rsidR="005178B0" w:rsidRPr="00A61228">
              <w:rPr>
                <w:rFonts w:ascii="Times New Roman" w:hAnsi="Times New Roman" w:cs="Times New Roman"/>
                <w:b w:val="0"/>
                <w:sz w:val="20"/>
                <w:szCs w:val="20"/>
                <w:lang w:val="en-GB"/>
              </w:rPr>
              <w:t xml:space="preserve">% of </w:t>
            </w:r>
            <w:r>
              <w:rPr>
                <w:rFonts w:ascii="Times New Roman" w:hAnsi="Times New Roman" w:cs="Times New Roman"/>
                <w:b w:val="0"/>
                <w:sz w:val="20"/>
                <w:szCs w:val="20"/>
                <w:lang w:val="en-GB"/>
              </w:rPr>
              <w:t xml:space="preserve">development </w:t>
            </w:r>
            <w:r w:rsidR="005178B0" w:rsidRPr="00A61228">
              <w:rPr>
                <w:rFonts w:ascii="Times New Roman" w:hAnsi="Times New Roman" w:cs="Times New Roman"/>
                <w:b w:val="0"/>
                <w:sz w:val="20"/>
                <w:szCs w:val="20"/>
                <w:lang w:val="en-GB"/>
              </w:rPr>
              <w:t>cohort</w:t>
            </w:r>
          </w:p>
        </w:tc>
        <w:tc>
          <w:tcPr>
            <w:tcW w:w="1680" w:type="dxa"/>
            <w:tcBorders>
              <w:bottom w:val="single" w:sz="4" w:space="0" w:color="auto"/>
            </w:tcBorders>
            <w:shd w:val="clear" w:color="auto" w:fill="FFFFFF" w:themeFill="background1"/>
            <w:vAlign w:val="center"/>
          </w:tcPr>
          <w:p w14:paraId="3FD127D9" w14:textId="77777777" w:rsidR="005178B0" w:rsidRPr="00A61228" w:rsidRDefault="00917236" w:rsidP="009172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22.2%</w:t>
            </w:r>
            <w:r w:rsidR="004119BA">
              <w:rPr>
                <w:rFonts w:ascii="Times New Roman" w:hAnsi="Times New Roman" w:cs="Times New Roman"/>
                <w:sz w:val="20"/>
                <w:szCs w:val="20"/>
              </w:rPr>
              <w:t xml:space="preserve"> </w:t>
            </w:r>
          </w:p>
        </w:tc>
        <w:tc>
          <w:tcPr>
            <w:tcW w:w="1680" w:type="dxa"/>
            <w:tcBorders>
              <w:bottom w:val="single" w:sz="4" w:space="0" w:color="auto"/>
            </w:tcBorders>
            <w:shd w:val="clear" w:color="auto" w:fill="FFFFFF" w:themeFill="background1"/>
            <w:vAlign w:val="center"/>
          </w:tcPr>
          <w:p w14:paraId="55F27417"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15·4%</w:t>
            </w:r>
          </w:p>
        </w:tc>
        <w:tc>
          <w:tcPr>
            <w:tcW w:w="1680" w:type="dxa"/>
            <w:tcBorders>
              <w:bottom w:val="single" w:sz="4" w:space="0" w:color="auto"/>
            </w:tcBorders>
            <w:shd w:val="clear" w:color="auto" w:fill="FFFFFF" w:themeFill="background1"/>
            <w:vAlign w:val="center"/>
          </w:tcPr>
          <w:p w14:paraId="515C8267"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7·7%</w:t>
            </w:r>
          </w:p>
        </w:tc>
        <w:tc>
          <w:tcPr>
            <w:tcW w:w="1680" w:type="dxa"/>
            <w:tcBorders>
              <w:bottom w:val="single" w:sz="4" w:space="0" w:color="auto"/>
            </w:tcBorders>
            <w:shd w:val="clear" w:color="auto" w:fill="FFFFFF" w:themeFill="background1"/>
            <w:vAlign w:val="center"/>
          </w:tcPr>
          <w:p w14:paraId="65038068"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8·9%</w:t>
            </w:r>
          </w:p>
        </w:tc>
        <w:tc>
          <w:tcPr>
            <w:tcW w:w="1680" w:type="dxa"/>
            <w:tcBorders>
              <w:bottom w:val="single" w:sz="4" w:space="0" w:color="auto"/>
            </w:tcBorders>
            <w:shd w:val="clear" w:color="auto" w:fill="FFFFFF" w:themeFill="background1"/>
            <w:vAlign w:val="center"/>
          </w:tcPr>
          <w:p w14:paraId="52621190"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16·1%</w:t>
            </w:r>
          </w:p>
        </w:tc>
        <w:tc>
          <w:tcPr>
            <w:tcW w:w="1680" w:type="dxa"/>
            <w:tcBorders>
              <w:bottom w:val="single" w:sz="4" w:space="0" w:color="auto"/>
            </w:tcBorders>
            <w:shd w:val="clear" w:color="auto" w:fill="FFFFFF" w:themeFill="background1"/>
            <w:vAlign w:val="center"/>
          </w:tcPr>
          <w:p w14:paraId="17489DDA"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29·7%</w:t>
            </w:r>
          </w:p>
        </w:tc>
      </w:tr>
      <w:tr w:rsidR="005178B0" w:rsidRPr="00A61228" w14:paraId="6A86FFD5"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28" w:type="dxa"/>
            <w:tcBorders>
              <w:top w:val="single" w:sz="4" w:space="0" w:color="auto"/>
              <w:bottom w:val="nil"/>
            </w:tcBorders>
            <w:shd w:val="clear" w:color="auto" w:fill="FFFFFF" w:themeFill="background1"/>
            <w:vAlign w:val="center"/>
          </w:tcPr>
          <w:p w14:paraId="3F620D8F" w14:textId="77777777" w:rsidR="005178B0" w:rsidRPr="00A61228" w:rsidRDefault="005178B0" w:rsidP="002C7B49">
            <w:pPr>
              <w:pStyle w:val="BodyA"/>
              <w:widowControl w:val="0"/>
              <w:tabs>
                <w:tab w:val="left" w:pos="1080"/>
                <w:tab w:val="left" w:pos="2160"/>
                <w:tab w:val="left" w:pos="3240"/>
                <w:tab w:val="left" w:pos="4320"/>
                <w:tab w:val="left" w:pos="5400"/>
                <w:tab w:val="left" w:pos="6480"/>
                <w:tab w:val="left" w:pos="7560"/>
                <w:tab w:val="left" w:pos="8640"/>
              </w:tabs>
              <w:rPr>
                <w:rFonts w:ascii="Times New Roman" w:hAnsi="Times New Roman" w:cs="Times New Roman"/>
                <w:i/>
                <w:sz w:val="20"/>
                <w:szCs w:val="20"/>
                <w:lang w:val="en-GB"/>
              </w:rPr>
            </w:pPr>
            <w:r w:rsidRPr="00A61228">
              <w:rPr>
                <w:rFonts w:ascii="Times New Roman" w:hAnsi="Times New Roman" w:cs="Times New Roman"/>
                <w:i/>
                <w:sz w:val="20"/>
                <w:szCs w:val="20"/>
                <w:lang w:val="en-GB"/>
              </w:rPr>
              <w:t>Patient characteristics</w:t>
            </w:r>
          </w:p>
        </w:tc>
        <w:tc>
          <w:tcPr>
            <w:tcW w:w="1680" w:type="dxa"/>
            <w:tcBorders>
              <w:top w:val="single" w:sz="4" w:space="0" w:color="auto"/>
              <w:bottom w:val="nil"/>
            </w:tcBorders>
            <w:shd w:val="clear" w:color="auto" w:fill="FFFFFF" w:themeFill="background1"/>
            <w:vAlign w:val="center"/>
          </w:tcPr>
          <w:p w14:paraId="2FAF02AA"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1680" w:type="dxa"/>
            <w:tcBorders>
              <w:top w:val="single" w:sz="4" w:space="0" w:color="auto"/>
              <w:bottom w:val="nil"/>
            </w:tcBorders>
            <w:shd w:val="clear" w:color="auto" w:fill="FFFFFF" w:themeFill="background1"/>
            <w:vAlign w:val="center"/>
          </w:tcPr>
          <w:p w14:paraId="6805F3D2"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1680" w:type="dxa"/>
            <w:tcBorders>
              <w:top w:val="single" w:sz="4" w:space="0" w:color="auto"/>
              <w:bottom w:val="nil"/>
            </w:tcBorders>
            <w:shd w:val="clear" w:color="auto" w:fill="FFFFFF" w:themeFill="background1"/>
            <w:vAlign w:val="center"/>
          </w:tcPr>
          <w:p w14:paraId="4767A4BE"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1680" w:type="dxa"/>
            <w:tcBorders>
              <w:top w:val="single" w:sz="4" w:space="0" w:color="auto"/>
              <w:bottom w:val="nil"/>
            </w:tcBorders>
            <w:shd w:val="clear" w:color="auto" w:fill="FFFFFF" w:themeFill="background1"/>
            <w:vAlign w:val="center"/>
          </w:tcPr>
          <w:p w14:paraId="6E27E49D"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1680" w:type="dxa"/>
            <w:tcBorders>
              <w:top w:val="single" w:sz="4" w:space="0" w:color="auto"/>
              <w:bottom w:val="nil"/>
            </w:tcBorders>
            <w:shd w:val="clear" w:color="auto" w:fill="FFFFFF" w:themeFill="background1"/>
            <w:vAlign w:val="center"/>
          </w:tcPr>
          <w:p w14:paraId="0B7A41D7"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1680" w:type="dxa"/>
            <w:tcBorders>
              <w:top w:val="single" w:sz="4" w:space="0" w:color="auto"/>
              <w:bottom w:val="nil"/>
            </w:tcBorders>
            <w:shd w:val="clear" w:color="auto" w:fill="FFFFFF" w:themeFill="background1"/>
            <w:vAlign w:val="center"/>
          </w:tcPr>
          <w:p w14:paraId="6C3C90AC"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5178B0" w:rsidRPr="00A61228" w14:paraId="2AC61A9F"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3528" w:type="dxa"/>
            <w:tcBorders>
              <w:top w:val="nil"/>
              <w:bottom w:val="nil"/>
            </w:tcBorders>
            <w:shd w:val="clear" w:color="auto" w:fill="FFFFFF" w:themeFill="background1"/>
            <w:vAlign w:val="center"/>
          </w:tcPr>
          <w:p w14:paraId="58117734"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rPr>
                <w:rFonts w:ascii="Times New Roman" w:hAnsi="Times New Roman" w:cs="Times New Roman"/>
                <w:b w:val="0"/>
                <w:sz w:val="20"/>
                <w:szCs w:val="20"/>
                <w:lang w:val="en-GB"/>
              </w:rPr>
            </w:pPr>
            <w:r w:rsidRPr="00A61228">
              <w:rPr>
                <w:rFonts w:ascii="Times New Roman" w:hAnsi="Times New Roman" w:cs="Times New Roman"/>
                <w:b w:val="0"/>
                <w:sz w:val="20"/>
                <w:szCs w:val="20"/>
                <w:lang w:val="en-GB"/>
              </w:rPr>
              <w:t>Age at start of period</w:t>
            </w:r>
          </w:p>
        </w:tc>
        <w:tc>
          <w:tcPr>
            <w:tcW w:w="1680" w:type="dxa"/>
            <w:tcBorders>
              <w:top w:val="nil"/>
              <w:bottom w:val="nil"/>
            </w:tcBorders>
            <w:shd w:val="clear" w:color="auto" w:fill="FFFFFF" w:themeFill="background1"/>
            <w:vAlign w:val="center"/>
          </w:tcPr>
          <w:p w14:paraId="3116E427"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84·5</w:t>
            </w:r>
          </w:p>
        </w:tc>
        <w:tc>
          <w:tcPr>
            <w:tcW w:w="1680" w:type="dxa"/>
            <w:tcBorders>
              <w:top w:val="nil"/>
              <w:bottom w:val="nil"/>
            </w:tcBorders>
            <w:shd w:val="clear" w:color="auto" w:fill="FFFFFF" w:themeFill="background1"/>
            <w:vAlign w:val="center"/>
          </w:tcPr>
          <w:p w14:paraId="563B72F9"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80·9</w:t>
            </w:r>
          </w:p>
        </w:tc>
        <w:tc>
          <w:tcPr>
            <w:tcW w:w="1680" w:type="dxa"/>
            <w:tcBorders>
              <w:top w:val="nil"/>
              <w:bottom w:val="nil"/>
            </w:tcBorders>
            <w:shd w:val="clear" w:color="auto" w:fill="FFFFFF" w:themeFill="background1"/>
            <w:vAlign w:val="center"/>
          </w:tcPr>
          <w:p w14:paraId="41B6AD3F"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81·7</w:t>
            </w:r>
          </w:p>
        </w:tc>
        <w:tc>
          <w:tcPr>
            <w:tcW w:w="1680" w:type="dxa"/>
            <w:tcBorders>
              <w:top w:val="nil"/>
              <w:bottom w:val="nil"/>
            </w:tcBorders>
            <w:shd w:val="clear" w:color="auto" w:fill="FFFFFF" w:themeFill="background1"/>
            <w:vAlign w:val="center"/>
          </w:tcPr>
          <w:p w14:paraId="18212E38"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82·8</w:t>
            </w:r>
          </w:p>
        </w:tc>
        <w:tc>
          <w:tcPr>
            <w:tcW w:w="1680" w:type="dxa"/>
            <w:tcBorders>
              <w:top w:val="nil"/>
              <w:bottom w:val="nil"/>
            </w:tcBorders>
            <w:shd w:val="clear" w:color="auto" w:fill="FFFFFF" w:themeFill="background1"/>
            <w:vAlign w:val="center"/>
          </w:tcPr>
          <w:p w14:paraId="4BF6D623"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82·4</w:t>
            </w:r>
          </w:p>
        </w:tc>
        <w:tc>
          <w:tcPr>
            <w:tcW w:w="1680" w:type="dxa"/>
            <w:tcBorders>
              <w:top w:val="nil"/>
              <w:bottom w:val="nil"/>
            </w:tcBorders>
            <w:shd w:val="clear" w:color="auto" w:fill="FFFFFF" w:themeFill="background1"/>
            <w:vAlign w:val="center"/>
          </w:tcPr>
          <w:p w14:paraId="5781D49B" w14:textId="77777777" w:rsidR="005178B0" w:rsidRPr="00A61228" w:rsidRDefault="005178B0" w:rsidP="004119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82·1</w:t>
            </w:r>
          </w:p>
        </w:tc>
      </w:tr>
      <w:tr w:rsidR="005178B0" w:rsidRPr="00A61228" w14:paraId="1C2FA3BA"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28" w:type="dxa"/>
            <w:tcBorders>
              <w:top w:val="nil"/>
            </w:tcBorders>
            <w:shd w:val="clear" w:color="auto" w:fill="FFFFFF" w:themeFill="background1"/>
            <w:vAlign w:val="center"/>
          </w:tcPr>
          <w:p w14:paraId="0CF81736"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ind w:left="925" w:hanging="925"/>
              <w:rPr>
                <w:rFonts w:ascii="Times New Roman" w:hAnsi="Times New Roman" w:cs="Times New Roman"/>
                <w:b w:val="0"/>
                <w:sz w:val="20"/>
                <w:szCs w:val="20"/>
                <w:lang w:val="en-GB"/>
              </w:rPr>
            </w:pPr>
            <w:r w:rsidRPr="00A61228">
              <w:rPr>
                <w:rFonts w:ascii="Times New Roman" w:hAnsi="Times New Roman" w:cs="Times New Roman"/>
                <w:b w:val="0"/>
                <w:sz w:val="20"/>
                <w:szCs w:val="20"/>
                <w:lang w:val="en-GB"/>
              </w:rPr>
              <w:t>Female</w:t>
            </w:r>
          </w:p>
        </w:tc>
        <w:tc>
          <w:tcPr>
            <w:tcW w:w="1680" w:type="dxa"/>
            <w:tcBorders>
              <w:top w:val="nil"/>
            </w:tcBorders>
            <w:shd w:val="clear" w:color="auto" w:fill="FFFFFF" w:themeFill="background1"/>
            <w:vAlign w:val="center"/>
          </w:tcPr>
          <w:p w14:paraId="249F371B" w14:textId="77777777" w:rsidR="005178B0" w:rsidRPr="00A61228" w:rsidRDefault="004119BA"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19BA">
              <w:rPr>
                <w:rFonts w:ascii="Times New Roman" w:hAnsi="Times New Roman" w:cs="Times New Roman"/>
                <w:sz w:val="20"/>
                <w:szCs w:val="20"/>
              </w:rPr>
              <w:t>2</w:t>
            </w:r>
            <w:r>
              <w:rPr>
                <w:rFonts w:ascii="Times New Roman" w:hAnsi="Times New Roman" w:cs="Times New Roman"/>
                <w:sz w:val="20"/>
                <w:szCs w:val="20"/>
              </w:rPr>
              <w:t>,</w:t>
            </w:r>
            <w:r w:rsidRPr="004119BA">
              <w:rPr>
                <w:rFonts w:ascii="Times New Roman" w:hAnsi="Times New Roman" w:cs="Times New Roman"/>
                <w:sz w:val="20"/>
                <w:szCs w:val="20"/>
              </w:rPr>
              <w:t>964</w:t>
            </w:r>
            <w:r>
              <w:rPr>
                <w:rFonts w:ascii="Times New Roman" w:hAnsi="Times New Roman" w:cs="Times New Roman"/>
                <w:sz w:val="20"/>
                <w:szCs w:val="20"/>
              </w:rPr>
              <w:t xml:space="preserve"> (</w:t>
            </w:r>
            <w:r w:rsidR="005178B0" w:rsidRPr="00A61228">
              <w:rPr>
                <w:rFonts w:ascii="Times New Roman" w:hAnsi="Times New Roman" w:cs="Times New Roman"/>
                <w:sz w:val="20"/>
                <w:szCs w:val="20"/>
              </w:rPr>
              <w:t>60·4%</w:t>
            </w:r>
            <w:r>
              <w:rPr>
                <w:rFonts w:ascii="Times New Roman" w:hAnsi="Times New Roman" w:cs="Times New Roman"/>
                <w:sz w:val="20"/>
                <w:szCs w:val="20"/>
              </w:rPr>
              <w:t>)</w:t>
            </w:r>
          </w:p>
        </w:tc>
        <w:tc>
          <w:tcPr>
            <w:tcW w:w="1680" w:type="dxa"/>
            <w:tcBorders>
              <w:top w:val="nil"/>
            </w:tcBorders>
            <w:shd w:val="clear" w:color="auto" w:fill="FFFFFF" w:themeFill="background1"/>
            <w:vAlign w:val="center"/>
          </w:tcPr>
          <w:p w14:paraId="0B11BB0A" w14:textId="77777777" w:rsidR="005178B0" w:rsidRPr="00A61228" w:rsidRDefault="004119BA"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19BA">
              <w:rPr>
                <w:rFonts w:ascii="Times New Roman" w:hAnsi="Times New Roman" w:cs="Times New Roman"/>
                <w:sz w:val="20"/>
                <w:szCs w:val="20"/>
              </w:rPr>
              <w:t>2</w:t>
            </w:r>
            <w:r>
              <w:rPr>
                <w:rFonts w:ascii="Times New Roman" w:hAnsi="Times New Roman" w:cs="Times New Roman"/>
                <w:sz w:val="20"/>
                <w:szCs w:val="20"/>
              </w:rPr>
              <w:t>,</w:t>
            </w:r>
            <w:r w:rsidRPr="004119BA">
              <w:rPr>
                <w:rFonts w:ascii="Times New Roman" w:hAnsi="Times New Roman" w:cs="Times New Roman"/>
                <w:sz w:val="20"/>
                <w:szCs w:val="20"/>
              </w:rPr>
              <w:t>010</w:t>
            </w:r>
            <w:r>
              <w:rPr>
                <w:rFonts w:ascii="Times New Roman" w:hAnsi="Times New Roman" w:cs="Times New Roman"/>
                <w:sz w:val="20"/>
                <w:szCs w:val="20"/>
              </w:rPr>
              <w:t xml:space="preserve"> (</w:t>
            </w:r>
            <w:r w:rsidR="005178B0" w:rsidRPr="00A61228">
              <w:rPr>
                <w:rFonts w:ascii="Times New Roman" w:hAnsi="Times New Roman" w:cs="Times New Roman"/>
                <w:sz w:val="20"/>
                <w:szCs w:val="20"/>
              </w:rPr>
              <w:t>58·8%</w:t>
            </w:r>
            <w:r>
              <w:rPr>
                <w:rFonts w:ascii="Times New Roman" w:hAnsi="Times New Roman" w:cs="Times New Roman"/>
                <w:sz w:val="20"/>
                <w:szCs w:val="20"/>
              </w:rPr>
              <w:t>)</w:t>
            </w:r>
          </w:p>
        </w:tc>
        <w:tc>
          <w:tcPr>
            <w:tcW w:w="1680" w:type="dxa"/>
            <w:tcBorders>
              <w:top w:val="nil"/>
            </w:tcBorders>
            <w:shd w:val="clear" w:color="auto" w:fill="FFFFFF" w:themeFill="background1"/>
            <w:vAlign w:val="center"/>
          </w:tcPr>
          <w:p w14:paraId="424112E6" w14:textId="77777777" w:rsidR="005178B0" w:rsidRPr="00A61228" w:rsidRDefault="004119BA"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19BA">
              <w:rPr>
                <w:rFonts w:ascii="Times New Roman" w:hAnsi="Times New Roman" w:cs="Times New Roman"/>
                <w:sz w:val="20"/>
                <w:szCs w:val="20"/>
              </w:rPr>
              <w:t>874</w:t>
            </w:r>
            <w:r>
              <w:rPr>
                <w:rFonts w:ascii="Times New Roman" w:hAnsi="Times New Roman" w:cs="Times New Roman"/>
                <w:sz w:val="20"/>
                <w:szCs w:val="20"/>
              </w:rPr>
              <w:t xml:space="preserve"> (</w:t>
            </w:r>
            <w:r w:rsidR="005178B0" w:rsidRPr="00A61228">
              <w:rPr>
                <w:rFonts w:ascii="Times New Roman" w:hAnsi="Times New Roman" w:cs="Times New Roman"/>
                <w:sz w:val="20"/>
                <w:szCs w:val="20"/>
              </w:rPr>
              <w:t>51·2%</w:t>
            </w:r>
            <w:r>
              <w:rPr>
                <w:rFonts w:ascii="Times New Roman" w:hAnsi="Times New Roman" w:cs="Times New Roman"/>
                <w:sz w:val="20"/>
                <w:szCs w:val="20"/>
              </w:rPr>
              <w:t>)</w:t>
            </w:r>
          </w:p>
        </w:tc>
        <w:tc>
          <w:tcPr>
            <w:tcW w:w="1680" w:type="dxa"/>
            <w:tcBorders>
              <w:top w:val="nil"/>
            </w:tcBorders>
            <w:shd w:val="clear" w:color="auto" w:fill="FFFFFF" w:themeFill="background1"/>
            <w:vAlign w:val="center"/>
          </w:tcPr>
          <w:p w14:paraId="557ED819" w14:textId="77777777" w:rsidR="005178B0" w:rsidRPr="00A61228" w:rsidRDefault="004119BA"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19BA">
              <w:rPr>
                <w:rFonts w:ascii="Times New Roman" w:hAnsi="Times New Roman" w:cs="Times New Roman"/>
                <w:sz w:val="20"/>
                <w:szCs w:val="20"/>
              </w:rPr>
              <w:t>980</w:t>
            </w:r>
            <w:r>
              <w:rPr>
                <w:rFonts w:ascii="Times New Roman" w:hAnsi="Times New Roman" w:cs="Times New Roman"/>
                <w:sz w:val="20"/>
                <w:szCs w:val="20"/>
              </w:rPr>
              <w:t xml:space="preserve"> (</w:t>
            </w:r>
            <w:r w:rsidR="005178B0" w:rsidRPr="00A61228">
              <w:rPr>
                <w:rFonts w:ascii="Times New Roman" w:hAnsi="Times New Roman" w:cs="Times New Roman"/>
                <w:sz w:val="20"/>
                <w:szCs w:val="20"/>
              </w:rPr>
              <w:t>49·5%</w:t>
            </w:r>
            <w:r>
              <w:rPr>
                <w:rFonts w:ascii="Times New Roman" w:hAnsi="Times New Roman" w:cs="Times New Roman"/>
                <w:sz w:val="20"/>
                <w:szCs w:val="20"/>
              </w:rPr>
              <w:t>)</w:t>
            </w:r>
          </w:p>
        </w:tc>
        <w:tc>
          <w:tcPr>
            <w:tcW w:w="1680" w:type="dxa"/>
            <w:tcBorders>
              <w:top w:val="nil"/>
            </w:tcBorders>
            <w:shd w:val="clear" w:color="auto" w:fill="FFFFFF" w:themeFill="background1"/>
            <w:vAlign w:val="center"/>
          </w:tcPr>
          <w:p w14:paraId="7E35090D" w14:textId="77777777" w:rsidR="005178B0" w:rsidRPr="00A61228" w:rsidRDefault="004119BA"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19BA">
              <w:rPr>
                <w:rFonts w:ascii="Times New Roman" w:hAnsi="Times New Roman" w:cs="Times New Roman"/>
                <w:sz w:val="20"/>
                <w:szCs w:val="20"/>
              </w:rPr>
              <w:t>2</w:t>
            </w:r>
            <w:r>
              <w:rPr>
                <w:rFonts w:ascii="Times New Roman" w:hAnsi="Times New Roman" w:cs="Times New Roman"/>
                <w:sz w:val="20"/>
                <w:szCs w:val="20"/>
              </w:rPr>
              <w:t>,</w:t>
            </w:r>
            <w:r w:rsidRPr="004119BA">
              <w:rPr>
                <w:rFonts w:ascii="Times New Roman" w:hAnsi="Times New Roman" w:cs="Times New Roman"/>
                <w:sz w:val="20"/>
                <w:szCs w:val="20"/>
              </w:rPr>
              <w:t>021</w:t>
            </w:r>
            <w:r>
              <w:rPr>
                <w:rFonts w:ascii="Times New Roman" w:hAnsi="Times New Roman" w:cs="Times New Roman"/>
                <w:sz w:val="20"/>
                <w:szCs w:val="20"/>
              </w:rPr>
              <w:t xml:space="preserve"> (</w:t>
            </w:r>
            <w:r w:rsidR="005178B0" w:rsidRPr="00A61228">
              <w:rPr>
                <w:rFonts w:ascii="Times New Roman" w:hAnsi="Times New Roman" w:cs="Times New Roman"/>
                <w:sz w:val="20"/>
                <w:szCs w:val="20"/>
              </w:rPr>
              <w:t>56·8%</w:t>
            </w:r>
            <w:r>
              <w:rPr>
                <w:rFonts w:ascii="Times New Roman" w:hAnsi="Times New Roman" w:cs="Times New Roman"/>
                <w:sz w:val="20"/>
                <w:szCs w:val="20"/>
              </w:rPr>
              <w:t>)</w:t>
            </w:r>
          </w:p>
        </w:tc>
        <w:tc>
          <w:tcPr>
            <w:tcW w:w="1680" w:type="dxa"/>
            <w:tcBorders>
              <w:top w:val="nil"/>
            </w:tcBorders>
            <w:shd w:val="clear" w:color="auto" w:fill="FFFFFF" w:themeFill="background1"/>
            <w:vAlign w:val="center"/>
          </w:tcPr>
          <w:p w14:paraId="53A92CFC" w14:textId="77777777" w:rsidR="005178B0" w:rsidRPr="00A61228" w:rsidRDefault="004119BA"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119BA">
              <w:rPr>
                <w:rFonts w:ascii="Times New Roman" w:hAnsi="Times New Roman" w:cs="Times New Roman"/>
                <w:sz w:val="20"/>
                <w:szCs w:val="20"/>
              </w:rPr>
              <w:t>3</w:t>
            </w:r>
            <w:r>
              <w:rPr>
                <w:rFonts w:ascii="Times New Roman" w:hAnsi="Times New Roman" w:cs="Times New Roman"/>
                <w:sz w:val="20"/>
                <w:szCs w:val="20"/>
              </w:rPr>
              <w:t>,</w:t>
            </w:r>
            <w:r w:rsidRPr="004119BA">
              <w:rPr>
                <w:rFonts w:ascii="Times New Roman" w:hAnsi="Times New Roman" w:cs="Times New Roman"/>
                <w:sz w:val="20"/>
                <w:szCs w:val="20"/>
              </w:rPr>
              <w:t>947</w:t>
            </w:r>
            <w:r>
              <w:rPr>
                <w:rFonts w:ascii="Times New Roman" w:hAnsi="Times New Roman" w:cs="Times New Roman"/>
                <w:sz w:val="20"/>
                <w:szCs w:val="20"/>
              </w:rPr>
              <w:t xml:space="preserve"> (</w:t>
            </w:r>
            <w:r w:rsidR="005178B0" w:rsidRPr="00A61228">
              <w:rPr>
                <w:rFonts w:ascii="Times New Roman" w:hAnsi="Times New Roman" w:cs="Times New Roman"/>
                <w:sz w:val="20"/>
                <w:szCs w:val="20"/>
              </w:rPr>
              <w:t>60·1%</w:t>
            </w:r>
            <w:r>
              <w:rPr>
                <w:rFonts w:ascii="Times New Roman" w:hAnsi="Times New Roman" w:cs="Times New Roman"/>
                <w:sz w:val="20"/>
                <w:szCs w:val="20"/>
              </w:rPr>
              <w:t>)</w:t>
            </w:r>
          </w:p>
        </w:tc>
      </w:tr>
      <w:tr w:rsidR="005178B0" w:rsidRPr="00A61228" w14:paraId="63B93E52"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5208" w:type="dxa"/>
            <w:gridSpan w:val="2"/>
            <w:tcBorders>
              <w:top w:val="single" w:sz="4" w:space="0" w:color="auto"/>
              <w:bottom w:val="nil"/>
            </w:tcBorders>
            <w:shd w:val="clear" w:color="auto" w:fill="FFFFFF" w:themeFill="background1"/>
            <w:vAlign w:val="center"/>
          </w:tcPr>
          <w:p w14:paraId="6AA8EACA"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rPr>
                <w:rFonts w:ascii="Times New Roman" w:hAnsi="Times New Roman" w:cs="Times New Roman"/>
                <w:sz w:val="20"/>
                <w:szCs w:val="20"/>
                <w:lang w:val="en-GB"/>
              </w:rPr>
            </w:pPr>
            <w:r w:rsidRPr="00A61228">
              <w:rPr>
                <w:rFonts w:ascii="Times New Roman" w:hAnsi="Times New Roman" w:cs="Times New Roman"/>
                <w:i/>
                <w:sz w:val="20"/>
                <w:szCs w:val="20"/>
                <w:lang w:val="en-GB"/>
              </w:rPr>
              <w:t>Variables used to form clusters</w:t>
            </w:r>
          </w:p>
        </w:tc>
        <w:tc>
          <w:tcPr>
            <w:tcW w:w="1680" w:type="dxa"/>
            <w:tcBorders>
              <w:top w:val="single" w:sz="4" w:space="0" w:color="auto"/>
              <w:bottom w:val="nil"/>
            </w:tcBorders>
            <w:shd w:val="clear" w:color="auto" w:fill="FFFFFF" w:themeFill="background1"/>
            <w:vAlign w:val="center"/>
          </w:tcPr>
          <w:p w14:paraId="6D442783"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1680" w:type="dxa"/>
            <w:tcBorders>
              <w:top w:val="single" w:sz="4" w:space="0" w:color="auto"/>
              <w:bottom w:val="nil"/>
            </w:tcBorders>
            <w:shd w:val="clear" w:color="auto" w:fill="FFFFFF" w:themeFill="background1"/>
            <w:vAlign w:val="center"/>
          </w:tcPr>
          <w:p w14:paraId="6AACCE83"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1680" w:type="dxa"/>
            <w:tcBorders>
              <w:top w:val="single" w:sz="4" w:space="0" w:color="auto"/>
              <w:bottom w:val="nil"/>
            </w:tcBorders>
            <w:shd w:val="clear" w:color="auto" w:fill="FFFFFF" w:themeFill="background1"/>
            <w:vAlign w:val="center"/>
          </w:tcPr>
          <w:p w14:paraId="027B7699"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1680" w:type="dxa"/>
            <w:tcBorders>
              <w:top w:val="single" w:sz="4" w:space="0" w:color="auto"/>
              <w:bottom w:val="nil"/>
            </w:tcBorders>
            <w:shd w:val="clear" w:color="auto" w:fill="FFFFFF" w:themeFill="background1"/>
            <w:vAlign w:val="center"/>
          </w:tcPr>
          <w:p w14:paraId="55817A7C"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1680" w:type="dxa"/>
            <w:tcBorders>
              <w:top w:val="single" w:sz="4" w:space="0" w:color="auto"/>
              <w:bottom w:val="nil"/>
            </w:tcBorders>
            <w:shd w:val="clear" w:color="auto" w:fill="FFFFFF" w:themeFill="background1"/>
            <w:vAlign w:val="center"/>
          </w:tcPr>
          <w:p w14:paraId="6344DC03"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5178B0" w:rsidRPr="00A61228" w14:paraId="67BB53C0"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28" w:type="dxa"/>
            <w:tcBorders>
              <w:top w:val="nil"/>
              <w:bottom w:val="nil"/>
            </w:tcBorders>
            <w:shd w:val="clear" w:color="auto" w:fill="FFFFFF" w:themeFill="background1"/>
            <w:vAlign w:val="center"/>
          </w:tcPr>
          <w:p w14:paraId="5498CAD2"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rPr>
                <w:rFonts w:ascii="Times New Roman" w:hAnsi="Times New Roman" w:cs="Times New Roman"/>
                <w:b w:val="0"/>
                <w:sz w:val="20"/>
                <w:szCs w:val="20"/>
                <w:lang w:val="en-GB"/>
              </w:rPr>
            </w:pPr>
            <w:r w:rsidRPr="00A61228">
              <w:rPr>
                <w:rFonts w:ascii="Times New Roman" w:hAnsi="Times New Roman" w:cs="Times New Roman"/>
                <w:b w:val="0"/>
                <w:sz w:val="20"/>
                <w:szCs w:val="20"/>
                <w:lang w:val="en-GB"/>
              </w:rPr>
              <w:t>Number of non-elective days†</w:t>
            </w:r>
          </w:p>
        </w:tc>
        <w:tc>
          <w:tcPr>
            <w:tcW w:w="1680" w:type="dxa"/>
            <w:tcBorders>
              <w:top w:val="nil"/>
              <w:bottom w:val="nil"/>
            </w:tcBorders>
            <w:shd w:val="clear" w:color="auto" w:fill="FFFFFF" w:themeFill="background1"/>
            <w:vAlign w:val="center"/>
          </w:tcPr>
          <w:p w14:paraId="04A9BDDF"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33·6</w:t>
            </w:r>
          </w:p>
        </w:tc>
        <w:tc>
          <w:tcPr>
            <w:tcW w:w="1680" w:type="dxa"/>
            <w:tcBorders>
              <w:top w:val="nil"/>
              <w:bottom w:val="nil"/>
            </w:tcBorders>
            <w:shd w:val="clear" w:color="auto" w:fill="FFFFFF" w:themeFill="background1"/>
            <w:vAlign w:val="center"/>
          </w:tcPr>
          <w:p w14:paraId="7EE5D6D8"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1·4</w:t>
            </w:r>
          </w:p>
        </w:tc>
        <w:tc>
          <w:tcPr>
            <w:tcW w:w="1680" w:type="dxa"/>
            <w:tcBorders>
              <w:top w:val="nil"/>
              <w:bottom w:val="nil"/>
            </w:tcBorders>
            <w:shd w:val="clear" w:color="auto" w:fill="FFFFFF" w:themeFill="background1"/>
            <w:vAlign w:val="center"/>
          </w:tcPr>
          <w:p w14:paraId="52701D92"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6·0</w:t>
            </w:r>
          </w:p>
        </w:tc>
        <w:tc>
          <w:tcPr>
            <w:tcW w:w="1680" w:type="dxa"/>
            <w:tcBorders>
              <w:top w:val="nil"/>
              <w:bottom w:val="nil"/>
            </w:tcBorders>
            <w:shd w:val="clear" w:color="auto" w:fill="FFFFFF" w:themeFill="background1"/>
            <w:vAlign w:val="center"/>
          </w:tcPr>
          <w:p w14:paraId="322B42AE"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23·0</w:t>
            </w:r>
          </w:p>
        </w:tc>
        <w:tc>
          <w:tcPr>
            <w:tcW w:w="1680" w:type="dxa"/>
            <w:tcBorders>
              <w:top w:val="nil"/>
              <w:bottom w:val="nil"/>
            </w:tcBorders>
            <w:shd w:val="clear" w:color="auto" w:fill="FFFFFF" w:themeFill="background1"/>
            <w:vAlign w:val="center"/>
          </w:tcPr>
          <w:p w14:paraId="40A9E27B"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16·8</w:t>
            </w:r>
          </w:p>
        </w:tc>
        <w:tc>
          <w:tcPr>
            <w:tcW w:w="1680" w:type="dxa"/>
            <w:tcBorders>
              <w:top w:val="nil"/>
              <w:bottom w:val="nil"/>
            </w:tcBorders>
            <w:shd w:val="clear" w:color="auto" w:fill="FFFFFF" w:themeFill="background1"/>
            <w:vAlign w:val="center"/>
          </w:tcPr>
          <w:p w14:paraId="50625748"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6·1</w:t>
            </w:r>
          </w:p>
        </w:tc>
      </w:tr>
      <w:tr w:rsidR="005178B0" w:rsidRPr="00A61228" w14:paraId="4C2030CB"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3528" w:type="dxa"/>
            <w:tcBorders>
              <w:top w:val="nil"/>
            </w:tcBorders>
            <w:shd w:val="clear" w:color="auto" w:fill="auto"/>
            <w:vAlign w:val="center"/>
          </w:tcPr>
          <w:p w14:paraId="1888CA7D"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ind w:left="270" w:hanging="270"/>
              <w:rPr>
                <w:rFonts w:ascii="Times New Roman" w:hAnsi="Times New Roman" w:cs="Times New Roman"/>
                <w:b w:val="0"/>
                <w:sz w:val="20"/>
                <w:szCs w:val="20"/>
                <w:lang w:val="en-GB"/>
              </w:rPr>
            </w:pPr>
            <w:r w:rsidRPr="00A61228">
              <w:rPr>
                <w:rFonts w:ascii="Times New Roman" w:hAnsi="Times New Roman" w:cs="Times New Roman"/>
                <w:b w:val="0"/>
                <w:sz w:val="20"/>
                <w:szCs w:val="20"/>
                <w:lang w:val="en-GB"/>
              </w:rPr>
              <w:t>Number of elective days†</w:t>
            </w:r>
          </w:p>
        </w:tc>
        <w:tc>
          <w:tcPr>
            <w:tcW w:w="1680" w:type="dxa"/>
            <w:tcBorders>
              <w:top w:val="nil"/>
            </w:tcBorders>
            <w:shd w:val="clear" w:color="auto" w:fill="FFFFFF" w:themeFill="background1"/>
            <w:vAlign w:val="center"/>
          </w:tcPr>
          <w:p w14:paraId="52CCD9CD"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0·8</w:t>
            </w:r>
          </w:p>
        </w:tc>
        <w:tc>
          <w:tcPr>
            <w:tcW w:w="1680" w:type="dxa"/>
            <w:tcBorders>
              <w:top w:val="nil"/>
            </w:tcBorders>
            <w:shd w:val="clear" w:color="auto" w:fill="FFFFFF" w:themeFill="background1"/>
            <w:vAlign w:val="center"/>
          </w:tcPr>
          <w:p w14:paraId="17CC76C0"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0·3</w:t>
            </w:r>
          </w:p>
        </w:tc>
        <w:tc>
          <w:tcPr>
            <w:tcW w:w="1680" w:type="dxa"/>
            <w:tcBorders>
              <w:top w:val="nil"/>
            </w:tcBorders>
            <w:shd w:val="clear" w:color="auto" w:fill="FFFFFF" w:themeFill="background1"/>
            <w:vAlign w:val="center"/>
          </w:tcPr>
          <w:p w14:paraId="19F45F19"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0·7</w:t>
            </w:r>
          </w:p>
        </w:tc>
        <w:tc>
          <w:tcPr>
            <w:tcW w:w="1680" w:type="dxa"/>
            <w:tcBorders>
              <w:top w:val="nil"/>
            </w:tcBorders>
            <w:shd w:val="clear" w:color="auto" w:fill="FFFFFF" w:themeFill="background1"/>
            <w:vAlign w:val="center"/>
          </w:tcPr>
          <w:p w14:paraId="4EF0F02A"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1·2</w:t>
            </w:r>
          </w:p>
        </w:tc>
        <w:tc>
          <w:tcPr>
            <w:tcW w:w="1680" w:type="dxa"/>
            <w:tcBorders>
              <w:top w:val="nil"/>
            </w:tcBorders>
            <w:shd w:val="clear" w:color="auto" w:fill="FFFFFF" w:themeFill="background1"/>
            <w:vAlign w:val="center"/>
          </w:tcPr>
          <w:p w14:paraId="0C3A49F0"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0·9</w:t>
            </w:r>
          </w:p>
        </w:tc>
        <w:tc>
          <w:tcPr>
            <w:tcW w:w="1680" w:type="dxa"/>
            <w:tcBorders>
              <w:top w:val="nil"/>
            </w:tcBorders>
            <w:shd w:val="clear" w:color="auto" w:fill="FFFFFF" w:themeFill="background1"/>
            <w:vAlign w:val="center"/>
          </w:tcPr>
          <w:p w14:paraId="33332506"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0·9</w:t>
            </w:r>
          </w:p>
        </w:tc>
      </w:tr>
      <w:tr w:rsidR="005178B0" w:rsidRPr="00A61228" w14:paraId="544C1F2D"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vAlign w:val="center"/>
          </w:tcPr>
          <w:p w14:paraId="09FCBEE1"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ind w:left="270" w:hanging="270"/>
              <w:rPr>
                <w:rFonts w:ascii="Times New Roman" w:hAnsi="Times New Roman" w:cs="Times New Roman"/>
                <w:b w:val="0"/>
                <w:sz w:val="20"/>
                <w:szCs w:val="20"/>
                <w:lang w:val="en-GB"/>
              </w:rPr>
            </w:pPr>
            <w:r w:rsidRPr="00A61228">
              <w:rPr>
                <w:rFonts w:ascii="Times New Roman" w:hAnsi="Times New Roman" w:cs="Times New Roman"/>
                <w:b w:val="0"/>
                <w:sz w:val="20"/>
                <w:szCs w:val="20"/>
                <w:lang w:val="en-GB"/>
              </w:rPr>
              <w:t>Elective inpatient costs†</w:t>
            </w:r>
          </w:p>
        </w:tc>
        <w:tc>
          <w:tcPr>
            <w:tcW w:w="1680" w:type="dxa"/>
            <w:shd w:val="clear" w:color="auto" w:fill="FFFFFF" w:themeFill="background1"/>
            <w:vAlign w:val="center"/>
          </w:tcPr>
          <w:p w14:paraId="40337D21"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£ 583</w:t>
            </w:r>
          </w:p>
        </w:tc>
        <w:tc>
          <w:tcPr>
            <w:tcW w:w="1680" w:type="dxa"/>
            <w:shd w:val="clear" w:color="auto" w:fill="FFFFFF" w:themeFill="background1"/>
            <w:vAlign w:val="center"/>
          </w:tcPr>
          <w:p w14:paraId="12542818"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£923</w:t>
            </w:r>
          </w:p>
        </w:tc>
        <w:tc>
          <w:tcPr>
            <w:tcW w:w="1680" w:type="dxa"/>
            <w:shd w:val="clear" w:color="auto" w:fill="FFFFFF" w:themeFill="background1"/>
            <w:vAlign w:val="center"/>
          </w:tcPr>
          <w:p w14:paraId="4192D0AC"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£ 1,006</w:t>
            </w:r>
          </w:p>
        </w:tc>
        <w:tc>
          <w:tcPr>
            <w:tcW w:w="1680" w:type="dxa"/>
            <w:shd w:val="clear" w:color="auto" w:fill="FFFFFF" w:themeFill="background1"/>
            <w:vAlign w:val="center"/>
          </w:tcPr>
          <w:p w14:paraId="385C39EA"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£ 1,159</w:t>
            </w:r>
          </w:p>
        </w:tc>
        <w:tc>
          <w:tcPr>
            <w:tcW w:w="1680" w:type="dxa"/>
            <w:shd w:val="clear" w:color="auto" w:fill="FFFFFF" w:themeFill="background1"/>
            <w:vAlign w:val="center"/>
          </w:tcPr>
          <w:p w14:paraId="4526A145"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£ 1,185</w:t>
            </w:r>
          </w:p>
        </w:tc>
        <w:tc>
          <w:tcPr>
            <w:tcW w:w="1680" w:type="dxa"/>
            <w:shd w:val="clear" w:color="auto" w:fill="FFFFFF" w:themeFill="background1"/>
            <w:vAlign w:val="center"/>
          </w:tcPr>
          <w:p w14:paraId="7605B70B"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£ 1,018</w:t>
            </w:r>
          </w:p>
        </w:tc>
      </w:tr>
      <w:tr w:rsidR="005178B0" w:rsidRPr="00A61228" w14:paraId="53DD70F5"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3528" w:type="dxa"/>
            <w:tcBorders>
              <w:bottom w:val="nil"/>
            </w:tcBorders>
            <w:shd w:val="clear" w:color="auto" w:fill="auto"/>
            <w:vAlign w:val="center"/>
          </w:tcPr>
          <w:p w14:paraId="0754D6B2"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ind w:left="34" w:hanging="34"/>
              <w:rPr>
                <w:rFonts w:ascii="Times New Roman" w:hAnsi="Times New Roman" w:cs="Times New Roman"/>
                <w:b w:val="0"/>
                <w:sz w:val="20"/>
                <w:szCs w:val="20"/>
                <w:lang w:val="en-GB"/>
              </w:rPr>
            </w:pPr>
            <w:r w:rsidRPr="00A61228">
              <w:rPr>
                <w:rFonts w:ascii="Times New Roman" w:hAnsi="Times New Roman" w:cs="Times New Roman"/>
                <w:b w:val="0"/>
                <w:sz w:val="20"/>
                <w:szCs w:val="20"/>
                <w:lang w:val="en-GB"/>
              </w:rPr>
              <w:t>Non-elective inpatient costs†</w:t>
            </w:r>
          </w:p>
        </w:tc>
        <w:tc>
          <w:tcPr>
            <w:tcW w:w="1680" w:type="dxa"/>
            <w:tcBorders>
              <w:bottom w:val="nil"/>
            </w:tcBorders>
            <w:shd w:val="clear" w:color="auto" w:fill="FFFFFF" w:themeFill="background1"/>
            <w:vAlign w:val="center"/>
          </w:tcPr>
          <w:p w14:paraId="5CBD19DE"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£ 8,374</w:t>
            </w:r>
          </w:p>
        </w:tc>
        <w:tc>
          <w:tcPr>
            <w:tcW w:w="1680" w:type="dxa"/>
            <w:tcBorders>
              <w:bottom w:val="nil"/>
            </w:tcBorders>
            <w:shd w:val="clear" w:color="auto" w:fill="FFFFFF" w:themeFill="background1"/>
            <w:vAlign w:val="center"/>
          </w:tcPr>
          <w:p w14:paraId="5D96441F"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£ 580</w:t>
            </w:r>
          </w:p>
        </w:tc>
        <w:tc>
          <w:tcPr>
            <w:tcW w:w="1680" w:type="dxa"/>
            <w:tcBorders>
              <w:bottom w:val="nil"/>
            </w:tcBorders>
            <w:shd w:val="clear" w:color="auto" w:fill="FFFFFF" w:themeFill="background1"/>
            <w:vAlign w:val="center"/>
          </w:tcPr>
          <w:p w14:paraId="68C0375F"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£ 2,350</w:t>
            </w:r>
          </w:p>
        </w:tc>
        <w:tc>
          <w:tcPr>
            <w:tcW w:w="1680" w:type="dxa"/>
            <w:tcBorders>
              <w:bottom w:val="nil"/>
            </w:tcBorders>
            <w:shd w:val="clear" w:color="auto" w:fill="FFFFFF" w:themeFill="background1"/>
            <w:vAlign w:val="center"/>
          </w:tcPr>
          <w:p w14:paraId="311916BF"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£ 6,910</w:t>
            </w:r>
          </w:p>
        </w:tc>
        <w:tc>
          <w:tcPr>
            <w:tcW w:w="1680" w:type="dxa"/>
            <w:tcBorders>
              <w:bottom w:val="nil"/>
            </w:tcBorders>
            <w:shd w:val="clear" w:color="auto" w:fill="FFFFFF" w:themeFill="background1"/>
            <w:vAlign w:val="center"/>
          </w:tcPr>
          <w:p w14:paraId="2A8A720F"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£ 4,885</w:t>
            </w:r>
          </w:p>
        </w:tc>
        <w:tc>
          <w:tcPr>
            <w:tcW w:w="1680" w:type="dxa"/>
            <w:tcBorders>
              <w:bottom w:val="nil"/>
            </w:tcBorders>
            <w:shd w:val="clear" w:color="auto" w:fill="FFFFFF" w:themeFill="background1"/>
            <w:vAlign w:val="center"/>
          </w:tcPr>
          <w:p w14:paraId="1C4666AB"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£ 2,173</w:t>
            </w:r>
          </w:p>
        </w:tc>
      </w:tr>
      <w:tr w:rsidR="005178B0" w:rsidRPr="00A61228" w14:paraId="7EFFC816"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28" w:type="dxa"/>
            <w:tcBorders>
              <w:top w:val="single" w:sz="4" w:space="0" w:color="auto"/>
              <w:bottom w:val="nil"/>
            </w:tcBorders>
            <w:shd w:val="clear" w:color="auto" w:fill="FFFFFF" w:themeFill="background1"/>
            <w:vAlign w:val="center"/>
          </w:tcPr>
          <w:p w14:paraId="714341BD"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ind w:left="925" w:hanging="925"/>
              <w:rPr>
                <w:rFonts w:ascii="Times New Roman" w:hAnsi="Times New Roman" w:cs="Times New Roman"/>
                <w:i/>
                <w:sz w:val="20"/>
                <w:szCs w:val="20"/>
                <w:lang w:val="en-GB"/>
              </w:rPr>
            </w:pPr>
            <w:r w:rsidRPr="00A61228">
              <w:rPr>
                <w:rFonts w:ascii="Times New Roman" w:hAnsi="Times New Roman" w:cs="Times New Roman"/>
                <w:i/>
                <w:sz w:val="20"/>
                <w:szCs w:val="20"/>
                <w:lang w:val="en-GB"/>
              </w:rPr>
              <w:t xml:space="preserve">Variables used to identify clusters </w:t>
            </w:r>
          </w:p>
        </w:tc>
        <w:tc>
          <w:tcPr>
            <w:tcW w:w="1680" w:type="dxa"/>
            <w:tcBorders>
              <w:top w:val="single" w:sz="4" w:space="0" w:color="auto"/>
              <w:bottom w:val="nil"/>
            </w:tcBorders>
            <w:shd w:val="clear" w:color="auto" w:fill="FFFFFF" w:themeFill="background1"/>
            <w:vAlign w:val="center"/>
          </w:tcPr>
          <w:p w14:paraId="3C3DEE97"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GB"/>
              </w:rPr>
            </w:pPr>
          </w:p>
        </w:tc>
        <w:tc>
          <w:tcPr>
            <w:tcW w:w="1680" w:type="dxa"/>
            <w:tcBorders>
              <w:top w:val="single" w:sz="4" w:space="0" w:color="auto"/>
              <w:bottom w:val="nil"/>
            </w:tcBorders>
            <w:shd w:val="clear" w:color="auto" w:fill="FFFFFF" w:themeFill="background1"/>
            <w:vAlign w:val="center"/>
          </w:tcPr>
          <w:p w14:paraId="2EF6E54F"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GB"/>
              </w:rPr>
            </w:pPr>
          </w:p>
        </w:tc>
        <w:tc>
          <w:tcPr>
            <w:tcW w:w="1680" w:type="dxa"/>
            <w:tcBorders>
              <w:top w:val="single" w:sz="4" w:space="0" w:color="auto"/>
              <w:bottom w:val="nil"/>
            </w:tcBorders>
            <w:shd w:val="clear" w:color="auto" w:fill="FFFFFF" w:themeFill="background1"/>
            <w:vAlign w:val="center"/>
          </w:tcPr>
          <w:p w14:paraId="50C7C1FE"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GB"/>
              </w:rPr>
            </w:pPr>
          </w:p>
        </w:tc>
        <w:tc>
          <w:tcPr>
            <w:tcW w:w="1680" w:type="dxa"/>
            <w:tcBorders>
              <w:top w:val="single" w:sz="4" w:space="0" w:color="auto"/>
              <w:bottom w:val="nil"/>
            </w:tcBorders>
            <w:shd w:val="clear" w:color="auto" w:fill="FFFFFF" w:themeFill="background1"/>
            <w:vAlign w:val="center"/>
          </w:tcPr>
          <w:p w14:paraId="1A6A1341"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GB"/>
              </w:rPr>
            </w:pPr>
          </w:p>
        </w:tc>
        <w:tc>
          <w:tcPr>
            <w:tcW w:w="1680" w:type="dxa"/>
            <w:tcBorders>
              <w:top w:val="single" w:sz="4" w:space="0" w:color="auto"/>
              <w:bottom w:val="nil"/>
            </w:tcBorders>
            <w:shd w:val="clear" w:color="auto" w:fill="FFFFFF" w:themeFill="background1"/>
            <w:vAlign w:val="center"/>
          </w:tcPr>
          <w:p w14:paraId="72716041"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GB"/>
              </w:rPr>
            </w:pPr>
          </w:p>
        </w:tc>
        <w:tc>
          <w:tcPr>
            <w:tcW w:w="1680" w:type="dxa"/>
            <w:tcBorders>
              <w:top w:val="single" w:sz="4" w:space="0" w:color="auto"/>
              <w:bottom w:val="nil"/>
            </w:tcBorders>
            <w:shd w:val="clear" w:color="auto" w:fill="FFFFFF" w:themeFill="background1"/>
            <w:vAlign w:val="center"/>
          </w:tcPr>
          <w:p w14:paraId="02868DEF"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lang w:eastAsia="en-GB"/>
              </w:rPr>
            </w:pPr>
          </w:p>
        </w:tc>
      </w:tr>
      <w:tr w:rsidR="005178B0" w:rsidRPr="00A61228" w14:paraId="00973C50"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3528" w:type="dxa"/>
            <w:tcBorders>
              <w:top w:val="nil"/>
              <w:bottom w:val="nil"/>
            </w:tcBorders>
            <w:shd w:val="clear" w:color="auto" w:fill="FFFFFF" w:themeFill="background1"/>
            <w:vAlign w:val="center"/>
          </w:tcPr>
          <w:p w14:paraId="35ABF206"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ind w:left="925" w:hanging="925"/>
              <w:rPr>
                <w:rFonts w:ascii="Times New Roman" w:hAnsi="Times New Roman" w:cs="Times New Roman"/>
                <w:b w:val="0"/>
                <w:sz w:val="20"/>
                <w:szCs w:val="20"/>
                <w:lang w:val="en-GB"/>
              </w:rPr>
            </w:pPr>
            <w:r w:rsidRPr="00A61228">
              <w:rPr>
                <w:rFonts w:ascii="Times New Roman" w:hAnsi="Times New Roman" w:cs="Times New Roman"/>
                <w:b w:val="0"/>
                <w:sz w:val="20"/>
                <w:szCs w:val="20"/>
                <w:lang w:val="en-GB"/>
              </w:rPr>
              <w:t>Pre-defined ICD-10 frailty marker</w:t>
            </w:r>
          </w:p>
        </w:tc>
        <w:tc>
          <w:tcPr>
            <w:tcW w:w="1680" w:type="dxa"/>
            <w:tcBorders>
              <w:top w:val="nil"/>
              <w:bottom w:val="nil"/>
            </w:tcBorders>
            <w:shd w:val="clear" w:color="auto" w:fill="FFFFFF" w:themeFill="background1"/>
            <w:vAlign w:val="center"/>
          </w:tcPr>
          <w:p w14:paraId="2070AEAB" w14:textId="77777777" w:rsidR="005178B0" w:rsidRPr="00A61228" w:rsidRDefault="004119BA"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4,073 (</w:t>
            </w:r>
            <w:r w:rsidR="005178B0" w:rsidRPr="00A61228">
              <w:rPr>
                <w:rFonts w:ascii="Times New Roman" w:hAnsi="Times New Roman" w:cs="Times New Roman"/>
                <w:sz w:val="20"/>
                <w:szCs w:val="20"/>
                <w:lang w:val="en-GB"/>
              </w:rPr>
              <w:t>83·0%</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1DE98B79" w14:textId="77777777" w:rsidR="005178B0" w:rsidRPr="00A61228" w:rsidRDefault="004119BA"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274 (</w:t>
            </w:r>
            <w:r w:rsidR="005178B0" w:rsidRPr="00A61228">
              <w:rPr>
                <w:rFonts w:ascii="Times New Roman" w:hAnsi="Times New Roman" w:cs="Times New Roman"/>
                <w:sz w:val="20"/>
                <w:szCs w:val="20"/>
                <w:lang w:val="en-GB"/>
              </w:rPr>
              <w:t>8·0%</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23986106" w14:textId="77777777" w:rsidR="005178B0" w:rsidRPr="00A61228" w:rsidRDefault="004119BA"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342 (</w:t>
            </w:r>
            <w:r w:rsidR="005178B0" w:rsidRPr="00A61228">
              <w:rPr>
                <w:rFonts w:ascii="Times New Roman" w:hAnsi="Times New Roman" w:cs="Times New Roman"/>
                <w:sz w:val="20"/>
                <w:szCs w:val="20"/>
                <w:lang w:val="en-GB"/>
              </w:rPr>
              <w:t>20·0%</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27CEE245" w14:textId="77777777" w:rsidR="005178B0" w:rsidRPr="00A61228" w:rsidRDefault="004119BA"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831 (</w:t>
            </w:r>
            <w:r w:rsidR="005178B0" w:rsidRPr="00A61228">
              <w:rPr>
                <w:rFonts w:ascii="Times New Roman" w:hAnsi="Times New Roman" w:cs="Times New Roman"/>
                <w:sz w:val="20"/>
                <w:szCs w:val="20"/>
                <w:lang w:val="en-GB"/>
              </w:rPr>
              <w:t>42·0%</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46CB48A8"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1,459 (</w:t>
            </w:r>
            <w:r w:rsidR="005178B0" w:rsidRPr="00A61228">
              <w:rPr>
                <w:rFonts w:ascii="Times New Roman" w:hAnsi="Times New Roman" w:cs="Times New Roman"/>
                <w:sz w:val="20"/>
                <w:szCs w:val="20"/>
                <w:lang w:val="en-GB"/>
              </w:rPr>
              <w:t>41·0%</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7FAF3BD4"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2,102 (</w:t>
            </w:r>
            <w:r w:rsidR="005178B0" w:rsidRPr="00A61228">
              <w:rPr>
                <w:rFonts w:ascii="Times New Roman" w:hAnsi="Times New Roman" w:cs="Times New Roman"/>
                <w:sz w:val="20"/>
                <w:szCs w:val="20"/>
                <w:lang w:val="en-GB"/>
              </w:rPr>
              <w:t>32·0%</w:t>
            </w:r>
            <w:r>
              <w:rPr>
                <w:rFonts w:ascii="Times New Roman" w:hAnsi="Times New Roman" w:cs="Times New Roman"/>
                <w:sz w:val="20"/>
                <w:szCs w:val="20"/>
                <w:lang w:val="en-GB"/>
              </w:rPr>
              <w:t>)</w:t>
            </w:r>
          </w:p>
        </w:tc>
      </w:tr>
      <w:tr w:rsidR="005178B0" w:rsidRPr="00A61228" w14:paraId="273D06D9"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28" w:type="dxa"/>
            <w:tcBorders>
              <w:top w:val="nil"/>
              <w:bottom w:val="nil"/>
            </w:tcBorders>
            <w:shd w:val="clear" w:color="auto" w:fill="FFFFFF" w:themeFill="background1"/>
            <w:vAlign w:val="center"/>
          </w:tcPr>
          <w:p w14:paraId="44F18C20"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ind w:left="925" w:hanging="925"/>
              <w:rPr>
                <w:rFonts w:ascii="Times New Roman" w:hAnsi="Times New Roman" w:cs="Times New Roman"/>
                <w:b w:val="0"/>
                <w:sz w:val="20"/>
                <w:szCs w:val="20"/>
                <w:lang w:val="en-GB"/>
              </w:rPr>
            </w:pPr>
            <w:r w:rsidRPr="00A61228">
              <w:rPr>
                <w:rFonts w:ascii="Times New Roman" w:hAnsi="Times New Roman" w:cs="Times New Roman"/>
                <w:b w:val="0"/>
                <w:sz w:val="20"/>
                <w:szCs w:val="20"/>
                <w:lang w:val="en-GB"/>
              </w:rPr>
              <w:t>ICD-10 frailty syndrome</w:t>
            </w:r>
          </w:p>
        </w:tc>
        <w:tc>
          <w:tcPr>
            <w:tcW w:w="1680" w:type="dxa"/>
            <w:tcBorders>
              <w:top w:val="nil"/>
              <w:bottom w:val="nil"/>
            </w:tcBorders>
            <w:shd w:val="clear" w:color="auto" w:fill="FFFFFF" w:themeFill="background1"/>
            <w:vAlign w:val="center"/>
          </w:tcPr>
          <w:p w14:paraId="019970E9"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4,259 (</w:t>
            </w:r>
            <w:r w:rsidR="005178B0" w:rsidRPr="00A61228">
              <w:rPr>
                <w:rFonts w:ascii="Times New Roman" w:hAnsi="Times New Roman" w:cs="Times New Roman"/>
                <w:sz w:val="20"/>
                <w:szCs w:val="20"/>
                <w:lang w:val="en-GB"/>
              </w:rPr>
              <w:t>86·8%</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768D4BF2"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397 (</w:t>
            </w:r>
            <w:r w:rsidR="005178B0" w:rsidRPr="00A61228">
              <w:rPr>
                <w:rFonts w:ascii="Times New Roman" w:hAnsi="Times New Roman" w:cs="Times New Roman"/>
                <w:sz w:val="20"/>
                <w:szCs w:val="20"/>
                <w:lang w:val="en-GB"/>
              </w:rPr>
              <w:t>11·6%</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25A770B0"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442 (</w:t>
            </w:r>
            <w:r w:rsidR="005178B0" w:rsidRPr="00A61228">
              <w:rPr>
                <w:rFonts w:ascii="Times New Roman" w:hAnsi="Times New Roman" w:cs="Times New Roman"/>
                <w:sz w:val="20"/>
                <w:szCs w:val="20"/>
                <w:lang w:val="en-GB"/>
              </w:rPr>
              <w:t>25·9%</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239AD300"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1,003 (</w:t>
            </w:r>
            <w:r w:rsidR="005178B0" w:rsidRPr="00A61228">
              <w:rPr>
                <w:rFonts w:ascii="Times New Roman" w:hAnsi="Times New Roman" w:cs="Times New Roman"/>
                <w:sz w:val="20"/>
                <w:szCs w:val="20"/>
                <w:lang w:val="en-GB"/>
              </w:rPr>
              <w:t>50·7%</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059D7049"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1,697 (</w:t>
            </w:r>
            <w:r w:rsidR="005178B0" w:rsidRPr="00A61228">
              <w:rPr>
                <w:rFonts w:ascii="Times New Roman" w:hAnsi="Times New Roman" w:cs="Times New Roman"/>
                <w:sz w:val="20"/>
                <w:szCs w:val="20"/>
                <w:lang w:val="en-GB"/>
              </w:rPr>
              <w:t>47·7%</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03E9465D"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2,509 (</w:t>
            </w:r>
            <w:r w:rsidR="005178B0" w:rsidRPr="00A61228">
              <w:rPr>
                <w:rFonts w:ascii="Times New Roman" w:hAnsi="Times New Roman" w:cs="Times New Roman"/>
                <w:sz w:val="20"/>
                <w:szCs w:val="20"/>
                <w:lang w:val="en-GB"/>
              </w:rPr>
              <w:t>38·2%</w:t>
            </w:r>
            <w:r>
              <w:rPr>
                <w:rFonts w:ascii="Times New Roman" w:hAnsi="Times New Roman" w:cs="Times New Roman"/>
                <w:sz w:val="20"/>
                <w:szCs w:val="20"/>
                <w:lang w:val="en-GB"/>
              </w:rPr>
              <w:t>)</w:t>
            </w:r>
          </w:p>
        </w:tc>
      </w:tr>
      <w:tr w:rsidR="005178B0" w:rsidRPr="00A61228" w14:paraId="15A9E77B"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3528" w:type="dxa"/>
            <w:tcBorders>
              <w:top w:val="nil"/>
              <w:bottom w:val="nil"/>
            </w:tcBorders>
            <w:shd w:val="clear" w:color="auto" w:fill="FFFFFF" w:themeFill="background1"/>
            <w:vAlign w:val="center"/>
          </w:tcPr>
          <w:p w14:paraId="6B3C7AFC"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ind w:left="925" w:hanging="925"/>
              <w:rPr>
                <w:rFonts w:ascii="Times New Roman" w:hAnsi="Times New Roman" w:cs="Times New Roman"/>
                <w:b w:val="0"/>
                <w:sz w:val="20"/>
                <w:szCs w:val="20"/>
                <w:lang w:val="en-GB"/>
              </w:rPr>
            </w:pPr>
            <w:r w:rsidRPr="00A61228">
              <w:rPr>
                <w:rFonts w:ascii="Times New Roman" w:hAnsi="Times New Roman" w:cs="Times New Roman"/>
                <w:b w:val="0"/>
                <w:sz w:val="20"/>
                <w:szCs w:val="20"/>
                <w:lang w:val="en-GB"/>
              </w:rPr>
              <w:t>Died during two-year period</w:t>
            </w:r>
          </w:p>
        </w:tc>
        <w:tc>
          <w:tcPr>
            <w:tcW w:w="1680" w:type="dxa"/>
            <w:tcBorders>
              <w:top w:val="nil"/>
              <w:bottom w:val="nil"/>
            </w:tcBorders>
            <w:shd w:val="clear" w:color="auto" w:fill="FFFFFF" w:themeFill="background1"/>
            <w:vAlign w:val="center"/>
          </w:tcPr>
          <w:p w14:paraId="0A4712AE"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2,350 (</w:t>
            </w:r>
            <w:r w:rsidR="005178B0" w:rsidRPr="00A61228">
              <w:rPr>
                <w:rFonts w:ascii="Times New Roman" w:hAnsi="Times New Roman" w:cs="Times New Roman"/>
                <w:sz w:val="20"/>
                <w:szCs w:val="20"/>
                <w:lang w:val="en-GB"/>
              </w:rPr>
              <w:t>47·9%</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63A45DDF"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263 (</w:t>
            </w:r>
            <w:r w:rsidR="005178B0" w:rsidRPr="00A61228">
              <w:rPr>
                <w:rFonts w:ascii="Times New Roman" w:hAnsi="Times New Roman" w:cs="Times New Roman"/>
                <w:sz w:val="20"/>
                <w:szCs w:val="20"/>
                <w:lang w:val="en-GB"/>
              </w:rPr>
              <w:t>7·7%</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33B22AD9"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284 (</w:t>
            </w:r>
            <w:r w:rsidR="005178B0" w:rsidRPr="00A61228">
              <w:rPr>
                <w:rFonts w:ascii="Times New Roman" w:hAnsi="Times New Roman" w:cs="Times New Roman"/>
                <w:sz w:val="20"/>
                <w:szCs w:val="20"/>
                <w:lang w:val="en-GB"/>
              </w:rPr>
              <w:t>16·6%</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5522A3D1"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750 (</w:t>
            </w:r>
            <w:r w:rsidR="005178B0" w:rsidRPr="00A61228">
              <w:rPr>
                <w:rFonts w:ascii="Times New Roman" w:hAnsi="Times New Roman" w:cs="Times New Roman"/>
                <w:sz w:val="20"/>
                <w:szCs w:val="20"/>
                <w:lang w:val="en-GB"/>
              </w:rPr>
              <w:t>37·9%</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2CF372BA"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1,637 (</w:t>
            </w:r>
            <w:r w:rsidR="005178B0" w:rsidRPr="00A61228">
              <w:rPr>
                <w:rFonts w:ascii="Times New Roman" w:hAnsi="Times New Roman" w:cs="Times New Roman"/>
                <w:sz w:val="20"/>
                <w:szCs w:val="20"/>
                <w:lang w:val="en-GB"/>
              </w:rPr>
              <w:t>46·0%</w:t>
            </w:r>
            <w:r>
              <w:rPr>
                <w:rFonts w:ascii="Times New Roman" w:hAnsi="Times New Roman" w:cs="Times New Roman"/>
                <w:sz w:val="20"/>
                <w:szCs w:val="20"/>
                <w:lang w:val="en-GB"/>
              </w:rPr>
              <w:t>)</w:t>
            </w:r>
          </w:p>
        </w:tc>
        <w:tc>
          <w:tcPr>
            <w:tcW w:w="1680" w:type="dxa"/>
            <w:tcBorders>
              <w:top w:val="nil"/>
              <w:bottom w:val="nil"/>
            </w:tcBorders>
            <w:shd w:val="clear" w:color="auto" w:fill="FFFFFF" w:themeFill="background1"/>
            <w:vAlign w:val="center"/>
          </w:tcPr>
          <w:p w14:paraId="12850F55" w14:textId="77777777" w:rsidR="005178B0" w:rsidRPr="00A61228" w:rsidRDefault="002A21E6"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1,018 (</w:t>
            </w:r>
            <w:r w:rsidR="005178B0" w:rsidRPr="00A61228">
              <w:rPr>
                <w:rFonts w:ascii="Times New Roman" w:hAnsi="Times New Roman" w:cs="Times New Roman"/>
                <w:sz w:val="20"/>
                <w:szCs w:val="20"/>
                <w:lang w:val="en-GB"/>
              </w:rPr>
              <w:t>15·5%</w:t>
            </w:r>
            <w:r>
              <w:rPr>
                <w:rFonts w:ascii="Times New Roman" w:hAnsi="Times New Roman" w:cs="Times New Roman"/>
                <w:sz w:val="20"/>
                <w:szCs w:val="20"/>
                <w:lang w:val="en-GB"/>
              </w:rPr>
              <w:t>)</w:t>
            </w:r>
          </w:p>
        </w:tc>
      </w:tr>
      <w:tr w:rsidR="005178B0" w:rsidRPr="00A61228" w14:paraId="314FE789"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28" w:type="dxa"/>
            <w:tcBorders>
              <w:bottom w:val="nil"/>
            </w:tcBorders>
            <w:shd w:val="clear" w:color="auto" w:fill="FFFFFF" w:themeFill="background1"/>
            <w:vAlign w:val="center"/>
          </w:tcPr>
          <w:p w14:paraId="3222049E"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rPr>
                <w:rFonts w:ascii="Times New Roman" w:hAnsi="Times New Roman" w:cs="Times New Roman"/>
                <w:b w:val="0"/>
                <w:sz w:val="20"/>
                <w:szCs w:val="20"/>
                <w:lang w:val="en-GB"/>
              </w:rPr>
            </w:pPr>
            <w:r w:rsidRPr="00A61228">
              <w:rPr>
                <w:rFonts w:ascii="Times New Roman" w:hAnsi="Times New Roman" w:cs="Times New Roman"/>
                <w:b w:val="0"/>
                <w:sz w:val="20"/>
                <w:szCs w:val="20"/>
              </w:rPr>
              <w:t>Charlson comorbidity index</w:t>
            </w:r>
          </w:p>
        </w:tc>
        <w:tc>
          <w:tcPr>
            <w:tcW w:w="1680" w:type="dxa"/>
            <w:tcBorders>
              <w:bottom w:val="nil"/>
            </w:tcBorders>
            <w:shd w:val="clear" w:color="auto" w:fill="FFFFFF" w:themeFill="background1"/>
            <w:vAlign w:val="center"/>
          </w:tcPr>
          <w:p w14:paraId="5E17FE4F"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4.4</w:t>
            </w:r>
          </w:p>
        </w:tc>
        <w:tc>
          <w:tcPr>
            <w:tcW w:w="1680" w:type="dxa"/>
            <w:tcBorders>
              <w:bottom w:val="nil"/>
            </w:tcBorders>
            <w:shd w:val="clear" w:color="auto" w:fill="FFFFFF" w:themeFill="background1"/>
            <w:vAlign w:val="center"/>
          </w:tcPr>
          <w:p w14:paraId="5983FF87"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0.8</w:t>
            </w:r>
          </w:p>
        </w:tc>
        <w:tc>
          <w:tcPr>
            <w:tcW w:w="1680" w:type="dxa"/>
            <w:tcBorders>
              <w:bottom w:val="nil"/>
            </w:tcBorders>
            <w:shd w:val="clear" w:color="auto" w:fill="FFFFFF" w:themeFill="background1"/>
            <w:vAlign w:val="center"/>
          </w:tcPr>
          <w:p w14:paraId="37EECE49"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2.1</w:t>
            </w:r>
          </w:p>
        </w:tc>
        <w:tc>
          <w:tcPr>
            <w:tcW w:w="1680" w:type="dxa"/>
            <w:tcBorders>
              <w:bottom w:val="nil"/>
            </w:tcBorders>
            <w:shd w:val="clear" w:color="auto" w:fill="FFFFFF" w:themeFill="background1"/>
            <w:vAlign w:val="center"/>
          </w:tcPr>
          <w:p w14:paraId="5F6CA41A"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4.4</w:t>
            </w:r>
          </w:p>
        </w:tc>
        <w:tc>
          <w:tcPr>
            <w:tcW w:w="1680" w:type="dxa"/>
            <w:tcBorders>
              <w:bottom w:val="nil"/>
            </w:tcBorders>
            <w:shd w:val="clear" w:color="auto" w:fill="FFFFFF" w:themeFill="background1"/>
            <w:vAlign w:val="center"/>
          </w:tcPr>
          <w:p w14:paraId="65E074A0"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3.9</w:t>
            </w:r>
          </w:p>
        </w:tc>
        <w:tc>
          <w:tcPr>
            <w:tcW w:w="1680" w:type="dxa"/>
            <w:tcBorders>
              <w:bottom w:val="nil"/>
            </w:tcBorders>
            <w:shd w:val="clear" w:color="auto" w:fill="FFFFFF" w:themeFill="background1"/>
            <w:vAlign w:val="center"/>
          </w:tcPr>
          <w:p w14:paraId="6EE70FA4" w14:textId="77777777" w:rsidR="005178B0" w:rsidRPr="00A61228" w:rsidRDefault="005178B0" w:rsidP="004119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61228">
              <w:rPr>
                <w:rFonts w:ascii="Times New Roman" w:hAnsi="Times New Roman" w:cs="Times New Roman"/>
                <w:sz w:val="20"/>
                <w:szCs w:val="20"/>
              </w:rPr>
              <w:t>1.6</w:t>
            </w:r>
          </w:p>
        </w:tc>
      </w:tr>
      <w:tr w:rsidR="005178B0" w:rsidRPr="00A61228" w14:paraId="780DA7B9"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3528" w:type="dxa"/>
            <w:tcBorders>
              <w:top w:val="nil"/>
              <w:bottom w:val="single" w:sz="4" w:space="0" w:color="auto"/>
            </w:tcBorders>
            <w:shd w:val="clear" w:color="auto" w:fill="FFFFFF" w:themeFill="background1"/>
            <w:vAlign w:val="center"/>
          </w:tcPr>
          <w:p w14:paraId="61724E68" w14:textId="77777777" w:rsidR="005178B0" w:rsidRPr="00A61228" w:rsidRDefault="005178B0" w:rsidP="002C7B49">
            <w:pPr>
              <w:pStyle w:val="BodyA"/>
              <w:widowControl w:val="0"/>
              <w:tabs>
                <w:tab w:val="clear" w:pos="1440"/>
                <w:tab w:val="left" w:pos="0"/>
                <w:tab w:val="left" w:pos="34"/>
                <w:tab w:val="left" w:pos="3240"/>
                <w:tab w:val="left" w:pos="4320"/>
                <w:tab w:val="left" w:pos="5400"/>
                <w:tab w:val="left" w:pos="6480"/>
                <w:tab w:val="left" w:pos="7560"/>
                <w:tab w:val="left" w:pos="8640"/>
              </w:tabs>
              <w:ind w:left="925" w:hanging="925"/>
              <w:rPr>
                <w:rFonts w:ascii="Times New Roman" w:hAnsi="Times New Roman" w:cs="Times New Roman"/>
                <w:b w:val="0"/>
                <w:sz w:val="20"/>
                <w:szCs w:val="20"/>
                <w:lang w:val="en-GB"/>
              </w:rPr>
            </w:pPr>
            <w:r w:rsidRPr="00A61228">
              <w:rPr>
                <w:rFonts w:ascii="Times New Roman" w:hAnsi="Times New Roman" w:cs="Times New Roman"/>
                <w:b w:val="0"/>
                <w:sz w:val="20"/>
                <w:szCs w:val="20"/>
                <w:lang w:val="en-GB"/>
              </w:rPr>
              <w:t>Total number of admissions</w:t>
            </w:r>
          </w:p>
        </w:tc>
        <w:tc>
          <w:tcPr>
            <w:tcW w:w="1680" w:type="dxa"/>
            <w:tcBorders>
              <w:top w:val="nil"/>
              <w:bottom w:val="single" w:sz="4" w:space="0" w:color="auto"/>
            </w:tcBorders>
            <w:shd w:val="clear" w:color="auto" w:fill="FFFFFF" w:themeFill="background1"/>
            <w:vAlign w:val="center"/>
          </w:tcPr>
          <w:p w14:paraId="7936CB3D"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3·5</w:t>
            </w:r>
          </w:p>
        </w:tc>
        <w:tc>
          <w:tcPr>
            <w:tcW w:w="1680" w:type="dxa"/>
            <w:tcBorders>
              <w:top w:val="nil"/>
              <w:bottom w:val="single" w:sz="4" w:space="0" w:color="auto"/>
            </w:tcBorders>
            <w:shd w:val="clear" w:color="auto" w:fill="FFFFFF" w:themeFill="background1"/>
            <w:vAlign w:val="center"/>
          </w:tcPr>
          <w:p w14:paraId="461FCCBC"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1·6</w:t>
            </w:r>
          </w:p>
        </w:tc>
        <w:tc>
          <w:tcPr>
            <w:tcW w:w="1680" w:type="dxa"/>
            <w:tcBorders>
              <w:top w:val="nil"/>
              <w:bottom w:val="single" w:sz="4" w:space="0" w:color="auto"/>
            </w:tcBorders>
            <w:shd w:val="clear" w:color="auto" w:fill="FFFFFF" w:themeFill="background1"/>
            <w:vAlign w:val="center"/>
          </w:tcPr>
          <w:p w14:paraId="4CFE1F96"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2·0</w:t>
            </w:r>
          </w:p>
        </w:tc>
        <w:tc>
          <w:tcPr>
            <w:tcW w:w="1680" w:type="dxa"/>
            <w:tcBorders>
              <w:top w:val="nil"/>
              <w:bottom w:val="single" w:sz="4" w:space="0" w:color="auto"/>
            </w:tcBorders>
            <w:shd w:val="clear" w:color="auto" w:fill="FFFFFF" w:themeFill="background1"/>
            <w:vAlign w:val="center"/>
          </w:tcPr>
          <w:p w14:paraId="4C0EAEC9"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3·3</w:t>
            </w:r>
          </w:p>
        </w:tc>
        <w:tc>
          <w:tcPr>
            <w:tcW w:w="1680" w:type="dxa"/>
            <w:tcBorders>
              <w:top w:val="nil"/>
              <w:bottom w:val="single" w:sz="4" w:space="0" w:color="auto"/>
            </w:tcBorders>
            <w:shd w:val="clear" w:color="auto" w:fill="FFFFFF" w:themeFill="background1"/>
            <w:vAlign w:val="center"/>
          </w:tcPr>
          <w:p w14:paraId="6A542112"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2·9</w:t>
            </w:r>
          </w:p>
        </w:tc>
        <w:tc>
          <w:tcPr>
            <w:tcW w:w="1680" w:type="dxa"/>
            <w:tcBorders>
              <w:top w:val="nil"/>
              <w:bottom w:val="single" w:sz="4" w:space="0" w:color="auto"/>
            </w:tcBorders>
            <w:shd w:val="clear" w:color="auto" w:fill="FFFFFF" w:themeFill="background1"/>
            <w:vAlign w:val="center"/>
          </w:tcPr>
          <w:p w14:paraId="38859764" w14:textId="77777777" w:rsidR="005178B0" w:rsidRPr="00A61228" w:rsidRDefault="005178B0" w:rsidP="004119BA">
            <w:pPr>
              <w:pStyle w:val="BodyA"/>
              <w:widowControl w:val="0"/>
              <w:tabs>
                <w:tab w:val="left" w:pos="1080"/>
                <w:tab w:val="left" w:pos="2160"/>
                <w:tab w:val="left" w:pos="3240"/>
                <w:tab w:val="left" w:pos="4320"/>
                <w:tab w:val="left" w:pos="5400"/>
                <w:tab w:val="left" w:pos="6480"/>
                <w:tab w:val="left" w:pos="7560"/>
                <w:tab w:val="left" w:pos="864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A61228">
              <w:rPr>
                <w:rFonts w:ascii="Times New Roman" w:hAnsi="Times New Roman" w:cs="Times New Roman"/>
                <w:sz w:val="20"/>
                <w:szCs w:val="20"/>
                <w:lang w:val="en-GB"/>
              </w:rPr>
              <w:t>1·8</w:t>
            </w:r>
          </w:p>
        </w:tc>
      </w:tr>
    </w:tbl>
    <w:p w14:paraId="3EE86097" w14:textId="77777777" w:rsidR="005178B0" w:rsidRPr="00A61228" w:rsidRDefault="005178B0" w:rsidP="002C7B49">
      <w:pPr>
        <w:spacing w:after="0"/>
        <w:rPr>
          <w:rFonts w:ascii="Times New Roman" w:hAnsi="Times New Roman" w:cs="Times New Roman"/>
          <w:sz w:val="20"/>
          <w:szCs w:val="20"/>
        </w:rPr>
      </w:pPr>
      <w:r w:rsidRPr="00A61228">
        <w:rPr>
          <w:rFonts w:ascii="Times New Roman" w:hAnsi="Times New Roman" w:cs="Times New Roman"/>
          <w:sz w:val="20"/>
          <w:szCs w:val="20"/>
        </w:rPr>
        <w:t xml:space="preserve">Figures are means for continuous variables and </w:t>
      </w:r>
      <w:r w:rsidR="00632CE8">
        <w:rPr>
          <w:rFonts w:ascii="Times New Roman" w:hAnsi="Times New Roman" w:cs="Times New Roman"/>
          <w:sz w:val="20"/>
          <w:szCs w:val="20"/>
        </w:rPr>
        <w:t>absolute numbers (</w:t>
      </w:r>
      <w:r w:rsidRPr="00A61228">
        <w:rPr>
          <w:rFonts w:ascii="Times New Roman" w:hAnsi="Times New Roman" w:cs="Times New Roman"/>
          <w:sz w:val="20"/>
          <w:szCs w:val="20"/>
        </w:rPr>
        <w:t>percentages</w:t>
      </w:r>
      <w:r w:rsidR="00632CE8">
        <w:rPr>
          <w:rFonts w:ascii="Times New Roman" w:hAnsi="Times New Roman" w:cs="Times New Roman"/>
          <w:sz w:val="20"/>
          <w:szCs w:val="20"/>
        </w:rPr>
        <w:t xml:space="preserve">) of people with the </w:t>
      </w:r>
      <w:r w:rsidR="0005649A">
        <w:rPr>
          <w:rFonts w:ascii="Times New Roman" w:hAnsi="Times New Roman" w:cs="Times New Roman"/>
          <w:sz w:val="20"/>
          <w:szCs w:val="20"/>
        </w:rPr>
        <w:t xml:space="preserve">specified </w:t>
      </w:r>
      <w:r w:rsidR="00632CE8">
        <w:rPr>
          <w:rFonts w:ascii="Times New Roman" w:hAnsi="Times New Roman" w:cs="Times New Roman"/>
          <w:sz w:val="20"/>
          <w:szCs w:val="20"/>
        </w:rPr>
        <w:t>characteristic</w:t>
      </w:r>
      <w:r w:rsidR="00FD626B">
        <w:rPr>
          <w:rFonts w:ascii="Times New Roman" w:hAnsi="Times New Roman" w:cs="Times New Roman"/>
          <w:sz w:val="20"/>
          <w:szCs w:val="20"/>
        </w:rPr>
        <w:t xml:space="preserve"> in each cluster </w:t>
      </w:r>
      <w:r w:rsidRPr="00A61228">
        <w:rPr>
          <w:rFonts w:ascii="Times New Roman" w:hAnsi="Times New Roman" w:cs="Times New Roman"/>
          <w:sz w:val="20"/>
          <w:szCs w:val="20"/>
        </w:rPr>
        <w:t xml:space="preserve">for binary variables. </w:t>
      </w:r>
    </w:p>
    <w:p w14:paraId="73CE4869" w14:textId="77777777" w:rsidR="005178B0" w:rsidRPr="00A61228" w:rsidRDefault="005178B0" w:rsidP="002C7B49">
      <w:pPr>
        <w:rPr>
          <w:rFonts w:ascii="Times New Roman" w:hAnsi="Times New Roman" w:cs="Times New Roman"/>
          <w:sz w:val="20"/>
          <w:szCs w:val="20"/>
        </w:rPr>
        <w:sectPr w:rsidR="005178B0" w:rsidRPr="00A61228" w:rsidSect="002C7B49">
          <w:pgSz w:w="16838" w:h="11906" w:orient="landscape"/>
          <w:pgMar w:top="1440" w:right="1440" w:bottom="1440" w:left="1440" w:header="708" w:footer="708" w:gutter="0"/>
          <w:cols w:space="708"/>
          <w:docGrid w:linePitch="360"/>
        </w:sectPr>
      </w:pPr>
      <w:r w:rsidRPr="00A61228">
        <w:rPr>
          <w:rFonts w:ascii="Times New Roman" w:hAnsi="Times New Roman" w:cs="Times New Roman"/>
          <w:sz w:val="20"/>
          <w:szCs w:val="20"/>
        </w:rPr>
        <w:t>*The names given to clusters are indicative, based on over-represented ICD-10 diagnoses in each cluster (see Box 1) †Means are per patient.</w:t>
      </w:r>
    </w:p>
    <w:p w14:paraId="4BBCCFE4"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lastRenderedPageBreak/>
        <w:t>APPENDICES</w:t>
      </w:r>
    </w:p>
    <w:p w14:paraId="25803F76"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t xml:space="preserve">Appendix 1 - List of ICD-10 codes identified </w:t>
      </w:r>
      <w:r w:rsidRPr="00A61228">
        <w:rPr>
          <w:rFonts w:ascii="Times New Roman" w:eastAsia="Calibri" w:hAnsi="Times New Roman" w:cs="Times New Roman"/>
          <w:b/>
          <w:i/>
          <w:sz w:val="20"/>
          <w:szCs w:val="20"/>
        </w:rPr>
        <w:t>a priori</w:t>
      </w:r>
      <w:r w:rsidRPr="00A61228">
        <w:rPr>
          <w:rFonts w:ascii="Times New Roman" w:eastAsia="Calibri" w:hAnsi="Times New Roman" w:cs="Times New Roman"/>
          <w:b/>
          <w:sz w:val="20"/>
          <w:szCs w:val="20"/>
        </w:rPr>
        <w:t xml:space="preserve"> as markers of frailty</w:t>
      </w:r>
    </w:p>
    <w:p w14:paraId="440F5F58"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t>Appendix 2 - Model used to develop Hospital Frailty Risk Score</w:t>
      </w:r>
    </w:p>
    <w:p w14:paraId="1CC985C4"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t>Appendix 3 – Models used to estimate associations of Hospital Frailty Risk Score to outcomes</w:t>
      </w:r>
    </w:p>
    <w:p w14:paraId="7A1D7F06" w14:textId="77777777" w:rsidR="005178B0"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t>Appendix 4 – Construction of clinical frailty scales</w:t>
      </w:r>
    </w:p>
    <w:p w14:paraId="589F0CAD" w14:textId="77777777" w:rsidR="005178B0" w:rsidRPr="00CD35AE" w:rsidRDefault="005178B0" w:rsidP="002C7B49">
      <w:pPr>
        <w:spacing w:after="160" w:line="259" w:lineRule="auto"/>
        <w:rPr>
          <w:rFonts w:ascii="Times New Roman" w:eastAsia="Calibri" w:hAnsi="Times New Roman" w:cs="Times New Roman"/>
          <w:b/>
          <w:sz w:val="20"/>
          <w:szCs w:val="20"/>
        </w:rPr>
      </w:pPr>
      <w:r w:rsidRPr="00CD35AE">
        <w:rPr>
          <w:rFonts w:ascii="Times New Roman" w:eastAsia="Calibri" w:hAnsi="Times New Roman" w:cs="Times New Roman"/>
          <w:b/>
          <w:sz w:val="20"/>
          <w:szCs w:val="20"/>
        </w:rPr>
        <w:t xml:space="preserve">Appendix 5 </w:t>
      </w:r>
      <w:r>
        <w:rPr>
          <w:rFonts w:ascii="Times New Roman" w:eastAsia="Calibri" w:hAnsi="Times New Roman" w:cs="Times New Roman"/>
          <w:b/>
          <w:sz w:val="20"/>
          <w:szCs w:val="20"/>
        </w:rPr>
        <w:t xml:space="preserve">- </w:t>
      </w:r>
      <w:r w:rsidRPr="00CD35AE">
        <w:rPr>
          <w:rFonts w:ascii="Times New Roman" w:eastAsia="Calibri" w:hAnsi="Times New Roman" w:cs="Times New Roman"/>
          <w:b/>
          <w:sz w:val="20"/>
          <w:szCs w:val="20"/>
        </w:rPr>
        <w:t>Models used to estimate associations of Hospital Frailty Risk Score to outcomes – sensitivity analysis</w:t>
      </w:r>
    </w:p>
    <w:p w14:paraId="68B640A8" w14:textId="77777777" w:rsidR="005178B0" w:rsidRPr="00A61228" w:rsidRDefault="005178B0" w:rsidP="002C7B49">
      <w:pPr>
        <w:spacing w:after="160" w:line="259" w:lineRule="auto"/>
        <w:rPr>
          <w:rFonts w:ascii="Times New Roman" w:eastAsia="Calibri" w:hAnsi="Times New Roman" w:cs="Times New Roman"/>
          <w:b/>
          <w:sz w:val="20"/>
          <w:szCs w:val="20"/>
        </w:rPr>
      </w:pPr>
    </w:p>
    <w:p w14:paraId="32DB57E1"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t xml:space="preserve"> </w:t>
      </w:r>
    </w:p>
    <w:p w14:paraId="23C72D54" w14:textId="77777777" w:rsidR="005178B0" w:rsidRPr="00A61228" w:rsidRDefault="005178B0" w:rsidP="002C7B49">
      <w:pPr>
        <w:spacing w:after="160" w:line="259" w:lineRule="auto"/>
        <w:rPr>
          <w:rFonts w:ascii="Times New Roman" w:eastAsia="Calibri" w:hAnsi="Times New Roman" w:cs="Times New Roman"/>
          <w:b/>
          <w:sz w:val="20"/>
          <w:szCs w:val="20"/>
        </w:rPr>
      </w:pPr>
    </w:p>
    <w:p w14:paraId="2B22BA25" w14:textId="77777777" w:rsidR="005178B0" w:rsidRPr="00A61228" w:rsidRDefault="005178B0" w:rsidP="002C7B49">
      <w:pPr>
        <w:spacing w:after="160" w:line="259" w:lineRule="auto"/>
        <w:rPr>
          <w:rFonts w:ascii="Times New Roman" w:eastAsia="Calibri" w:hAnsi="Times New Roman" w:cs="Times New Roman"/>
          <w:b/>
          <w:sz w:val="20"/>
          <w:szCs w:val="20"/>
        </w:rPr>
      </w:pPr>
    </w:p>
    <w:p w14:paraId="6E4BF3FB" w14:textId="77777777" w:rsidR="005178B0" w:rsidRPr="00A61228" w:rsidRDefault="005178B0" w:rsidP="002C7B49">
      <w:pPr>
        <w:spacing w:after="160" w:line="259" w:lineRule="auto"/>
        <w:rPr>
          <w:rFonts w:ascii="Times New Roman" w:eastAsia="Calibri" w:hAnsi="Times New Roman" w:cs="Times New Roman"/>
          <w:b/>
          <w:sz w:val="20"/>
          <w:szCs w:val="20"/>
        </w:rPr>
        <w:sectPr w:rsidR="005178B0" w:rsidRPr="00A61228">
          <w:footerReference w:type="default" r:id="rId13"/>
          <w:pgSz w:w="11906" w:h="16838"/>
          <w:pgMar w:top="1440" w:right="1440" w:bottom="1440" w:left="1440" w:header="708" w:footer="708" w:gutter="0"/>
          <w:cols w:space="708"/>
          <w:docGrid w:linePitch="360"/>
        </w:sectPr>
      </w:pPr>
    </w:p>
    <w:p w14:paraId="72DBDC84"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lastRenderedPageBreak/>
        <w:t xml:space="preserve">APPENDIX 1 - List of ICD-10 codes selected </w:t>
      </w:r>
      <w:r w:rsidRPr="00A61228">
        <w:rPr>
          <w:rFonts w:ascii="Times New Roman" w:eastAsia="Calibri" w:hAnsi="Times New Roman" w:cs="Times New Roman"/>
          <w:b/>
          <w:i/>
          <w:sz w:val="20"/>
          <w:szCs w:val="20"/>
        </w:rPr>
        <w:t>a priori</w:t>
      </w:r>
      <w:r w:rsidRPr="00A61228">
        <w:rPr>
          <w:rFonts w:ascii="Times New Roman" w:eastAsia="Calibri" w:hAnsi="Times New Roman" w:cs="Times New Roman"/>
          <w:b/>
          <w:sz w:val="20"/>
          <w:szCs w:val="20"/>
        </w:rPr>
        <w:t xml:space="preserve"> as markers of frailty</w:t>
      </w:r>
    </w:p>
    <w:p w14:paraId="77A7A95D" w14:textId="77777777" w:rsidR="005178B0" w:rsidRPr="00A61228" w:rsidRDefault="005178B0" w:rsidP="002C7B49">
      <w:pPr>
        <w:rPr>
          <w:rFonts w:ascii="Times New Roman" w:hAnsi="Times New Roman" w:cs="Times New Roman"/>
          <w:sz w:val="20"/>
          <w:szCs w:val="20"/>
        </w:rPr>
      </w:pPr>
      <w:r w:rsidRPr="00A61228">
        <w:rPr>
          <w:rFonts w:ascii="Times New Roman" w:hAnsi="Times New Roman" w:cs="Times New Roman"/>
          <w:sz w:val="20"/>
          <w:szCs w:val="20"/>
        </w:rPr>
        <w:t>A list of ICD-10 codes was put together as candidate markers of frailty following consultation with primary care, public health and geriatric medicine physicians and clinical coding staff in one acute hospital trust. This was used to identify hospitalised older adults (75 years+) who might be frail. The proportion with any one of the following ICD-10 codes in their hospital records was calculated for each of the six clusters.</w:t>
      </w:r>
    </w:p>
    <w:p w14:paraId="761946E6"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t xml:space="preserve">Table A1 </w:t>
      </w:r>
      <w:r w:rsidRPr="00A61228">
        <w:rPr>
          <w:rFonts w:ascii="Times New Roman" w:eastAsia="Calibri" w:hAnsi="Times New Roman" w:cs="Times New Roman"/>
          <w:sz w:val="20"/>
          <w:szCs w:val="20"/>
        </w:rPr>
        <w:t xml:space="preserve">ICD-10 codes relevant to frailty </w:t>
      </w:r>
    </w:p>
    <w:tbl>
      <w:tblPr>
        <w:tblStyle w:val="LightShading1"/>
        <w:tblW w:w="9639" w:type="dxa"/>
        <w:tblBorders>
          <w:insideH w:val="single" w:sz="4" w:space="0" w:color="auto"/>
        </w:tblBorders>
        <w:tblLook w:val="04A0" w:firstRow="1" w:lastRow="0" w:firstColumn="1" w:lastColumn="0" w:noHBand="0" w:noVBand="1"/>
      </w:tblPr>
      <w:tblGrid>
        <w:gridCol w:w="2127"/>
        <w:gridCol w:w="7512"/>
      </w:tblGrid>
      <w:tr w:rsidR="005178B0" w:rsidRPr="00A61228" w14:paraId="59D6F02E" w14:textId="77777777" w:rsidTr="002C7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42C1D7F8"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ICD-10 code</w:t>
            </w:r>
          </w:p>
        </w:tc>
        <w:tc>
          <w:tcPr>
            <w:tcW w:w="7512" w:type="dxa"/>
            <w:shd w:val="clear" w:color="auto" w:fill="auto"/>
            <w:hideMark/>
          </w:tcPr>
          <w:p w14:paraId="21872D05" w14:textId="77777777" w:rsidR="005178B0" w:rsidRPr="00A61228" w:rsidRDefault="005178B0" w:rsidP="002C7B49">
            <w:pPr>
              <w:spacing w:after="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ICD Description</w:t>
            </w:r>
          </w:p>
        </w:tc>
      </w:tr>
      <w:tr w:rsidR="005178B0" w:rsidRPr="00A61228" w14:paraId="7894E230" w14:textId="77777777" w:rsidTr="002C7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25C90CF9"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E46</w:t>
            </w:r>
          </w:p>
        </w:tc>
        <w:tc>
          <w:tcPr>
            <w:tcW w:w="7512" w:type="dxa"/>
            <w:shd w:val="clear" w:color="auto" w:fill="auto"/>
            <w:hideMark/>
          </w:tcPr>
          <w:p w14:paraId="2D037464" w14:textId="77777777" w:rsidR="005178B0" w:rsidRPr="00A61228" w:rsidRDefault="005178B0" w:rsidP="002C7B49">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Unspecified protein-energy malnutrition</w:t>
            </w:r>
          </w:p>
        </w:tc>
      </w:tr>
      <w:tr w:rsidR="005178B0" w:rsidRPr="00A61228" w14:paraId="76FDEFFB" w14:textId="77777777" w:rsidTr="002C7B49">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02B63EAE"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F00, F01, F02, F03, F05</w:t>
            </w:r>
          </w:p>
        </w:tc>
        <w:tc>
          <w:tcPr>
            <w:tcW w:w="7512" w:type="dxa"/>
            <w:shd w:val="clear" w:color="auto" w:fill="auto"/>
            <w:hideMark/>
          </w:tcPr>
          <w:p w14:paraId="248F5AC6"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F00*      Dementia in Alzheimer's disease</w:t>
            </w:r>
          </w:p>
          <w:p w14:paraId="2A9A354D"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F00.0*   Dementia in Alzheimer's disease with early onset ( G30.0+ )  </w:t>
            </w:r>
          </w:p>
          <w:p w14:paraId="78FB8D81"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F00.1*   Dementia in Alzheimer's disease with late onset</w:t>
            </w:r>
          </w:p>
          <w:p w14:paraId="65709974"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F00.2*   Dementia in Alzheimer's disease, atypical or mixed type </w:t>
            </w:r>
          </w:p>
          <w:p w14:paraId="2BBBE044"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F00.9*   Dementia in Alzheimer's disease, unspecified </w:t>
            </w:r>
          </w:p>
          <w:p w14:paraId="61976479"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F01        Vascular dementia  </w:t>
            </w:r>
          </w:p>
          <w:p w14:paraId="07F652A6"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F01.0     Vascular dementia of acute onset  </w:t>
            </w:r>
          </w:p>
          <w:p w14:paraId="0FCD51DF"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fr-FR"/>
              </w:rPr>
            </w:pPr>
            <w:r w:rsidRPr="00A61228">
              <w:rPr>
                <w:rFonts w:ascii="Times New Roman" w:eastAsia="Calibri" w:hAnsi="Times New Roman" w:cs="Times New Roman"/>
                <w:sz w:val="20"/>
                <w:szCs w:val="20"/>
                <w:lang w:val="fr-FR"/>
              </w:rPr>
              <w:t xml:space="preserve">F01.1     Multi-infarct dementia  </w:t>
            </w:r>
          </w:p>
          <w:p w14:paraId="52CA87E4"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fr-FR"/>
              </w:rPr>
            </w:pPr>
            <w:r w:rsidRPr="00A61228">
              <w:rPr>
                <w:rFonts w:ascii="Times New Roman" w:eastAsia="Calibri" w:hAnsi="Times New Roman" w:cs="Times New Roman"/>
                <w:sz w:val="20"/>
                <w:szCs w:val="20"/>
                <w:lang w:val="fr-FR"/>
              </w:rPr>
              <w:t xml:space="preserve">F01.2     Subcortical vascular dementia  </w:t>
            </w:r>
          </w:p>
          <w:p w14:paraId="3ECC124A"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F01.3     Mixed cortical and subcortical vascular dementia  </w:t>
            </w:r>
          </w:p>
          <w:p w14:paraId="35E68044"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F01.8     Other vascular dementia  </w:t>
            </w:r>
          </w:p>
          <w:p w14:paraId="66D3934F"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F01.9     Vascular dementia, unspecified  </w:t>
            </w:r>
          </w:p>
          <w:p w14:paraId="5DC71909"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F02*      Dementia in other diseases classified elsewhere  </w:t>
            </w:r>
          </w:p>
          <w:p w14:paraId="3A185838"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F02.0*   Dementia in Pick's disease  A</w:t>
            </w:r>
          </w:p>
          <w:p w14:paraId="52FD300A"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F02.1*   Dementia in Creutzfeldt-Jakob disease </w:t>
            </w:r>
          </w:p>
          <w:p w14:paraId="5628C55A"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F02.2*   Dementia in Huntington's disease</w:t>
            </w:r>
          </w:p>
          <w:p w14:paraId="7527DFBD"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F02.3*   Dementia in Parkinson's disease</w:t>
            </w:r>
          </w:p>
          <w:p w14:paraId="15BF51E5"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F02.4*   Dementia in human immunodeficiency virus [HIV] disease</w:t>
            </w:r>
          </w:p>
          <w:p w14:paraId="67B577F6"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F02.8*   Dementia in other specified diseases classified elsewhere  </w:t>
            </w:r>
          </w:p>
          <w:p w14:paraId="37C7F3EE"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F03        Unspecified dementia</w:t>
            </w:r>
          </w:p>
          <w:p w14:paraId="0CE5C9F4"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F05        Delirium, not induced by alcohol and other psychoactive substances  </w:t>
            </w:r>
          </w:p>
          <w:p w14:paraId="66815CF8"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              Excludes:  delirium tremens, alcohol-induced or unspecified ( F10.4 ) </w:t>
            </w:r>
          </w:p>
          <w:p w14:paraId="0BD8934D"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F05.0     Delirium not superimposed on dementia, so described  </w:t>
            </w:r>
          </w:p>
          <w:p w14:paraId="0E97B875"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lastRenderedPageBreak/>
              <w:t xml:space="preserve">F05.1     Delirium superimposed on dementia  </w:t>
            </w:r>
          </w:p>
          <w:p w14:paraId="6D8C1EEB"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F05.8     Other delirium  </w:t>
            </w:r>
          </w:p>
          <w:p w14:paraId="338B02FA" w14:textId="77777777" w:rsidR="005178B0" w:rsidRPr="00A61228" w:rsidRDefault="005178B0" w:rsidP="002C7B49">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F05.9     Delirium, unspecified  </w:t>
            </w:r>
          </w:p>
        </w:tc>
      </w:tr>
      <w:tr w:rsidR="005178B0" w:rsidRPr="00A61228" w14:paraId="40A8B075" w14:textId="77777777" w:rsidTr="002C7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06EC751C"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lastRenderedPageBreak/>
              <w:t>R15</w:t>
            </w:r>
          </w:p>
        </w:tc>
        <w:tc>
          <w:tcPr>
            <w:tcW w:w="7512" w:type="dxa"/>
            <w:shd w:val="clear" w:color="auto" w:fill="auto"/>
            <w:hideMark/>
          </w:tcPr>
          <w:p w14:paraId="38556FA4" w14:textId="77777777" w:rsidR="005178B0" w:rsidRPr="00A61228" w:rsidRDefault="005178B0" w:rsidP="002C7B49">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Faecal incontinence</w:t>
            </w:r>
          </w:p>
        </w:tc>
      </w:tr>
      <w:tr w:rsidR="005178B0" w:rsidRPr="00A61228" w14:paraId="16914176" w14:textId="77777777" w:rsidTr="002C7B49">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22865617"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R26.2 &amp; R26.8</w:t>
            </w:r>
          </w:p>
        </w:tc>
        <w:tc>
          <w:tcPr>
            <w:tcW w:w="7512" w:type="dxa"/>
            <w:shd w:val="clear" w:color="auto" w:fill="auto"/>
            <w:hideMark/>
          </w:tcPr>
          <w:p w14:paraId="16A1852D"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bookmarkStart w:id="2" w:name="r262"/>
            <w:bookmarkEnd w:id="2"/>
            <w:r w:rsidRPr="00A61228">
              <w:rPr>
                <w:rFonts w:ascii="Times New Roman" w:eastAsia="Calibri" w:hAnsi="Times New Roman" w:cs="Times New Roman"/>
                <w:sz w:val="20"/>
                <w:szCs w:val="20"/>
              </w:rPr>
              <w:t>R26.2   Difficulty in walking, not elsewhere classified</w:t>
            </w:r>
          </w:p>
          <w:p w14:paraId="4D7EDA80" w14:textId="77777777" w:rsidR="005178B0" w:rsidRPr="00A61228" w:rsidRDefault="005178B0" w:rsidP="002C7B49">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R26.8   Other and unspecified abnormalities of gait and mobility</w:t>
            </w:r>
            <w:r w:rsidRPr="00A61228">
              <w:rPr>
                <w:rFonts w:ascii="Times New Roman" w:eastAsia="Calibri" w:hAnsi="Times New Roman" w:cs="Times New Roman"/>
                <w:sz w:val="20"/>
                <w:szCs w:val="20"/>
              </w:rPr>
              <w:tab/>
            </w:r>
          </w:p>
        </w:tc>
      </w:tr>
      <w:tr w:rsidR="005178B0" w:rsidRPr="00A61228" w14:paraId="1F9E1A91" w14:textId="77777777" w:rsidTr="002C7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5D8900FD"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R32</w:t>
            </w:r>
          </w:p>
        </w:tc>
        <w:tc>
          <w:tcPr>
            <w:tcW w:w="7512" w:type="dxa"/>
            <w:shd w:val="clear" w:color="auto" w:fill="auto"/>
            <w:hideMark/>
          </w:tcPr>
          <w:p w14:paraId="6BF7E1CB" w14:textId="77777777" w:rsidR="005178B0" w:rsidRPr="00A61228" w:rsidRDefault="005178B0" w:rsidP="002C7B49">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Unspecified urinary incontinence</w:t>
            </w:r>
          </w:p>
        </w:tc>
      </w:tr>
      <w:tr w:rsidR="005178B0" w:rsidRPr="00A61228" w14:paraId="5129760D" w14:textId="77777777" w:rsidTr="002C7B49">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0F6DDCDC"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R40</w:t>
            </w:r>
          </w:p>
        </w:tc>
        <w:tc>
          <w:tcPr>
            <w:tcW w:w="7512" w:type="dxa"/>
            <w:shd w:val="clear" w:color="auto" w:fill="auto"/>
            <w:hideMark/>
          </w:tcPr>
          <w:p w14:paraId="04BE8F89"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Somnolence, stupor and coma  </w:t>
            </w:r>
          </w:p>
          <w:p w14:paraId="1D95234F"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  Excludes:  coma: </w:t>
            </w:r>
          </w:p>
          <w:p w14:paraId="7D784B70"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diabetic</w:t>
            </w:r>
          </w:p>
          <w:p w14:paraId="0AF2FB4E"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hepatic</w:t>
            </w:r>
          </w:p>
          <w:p w14:paraId="269F9D4E"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hypoglycaemic (nondiabetic)</w:t>
            </w:r>
          </w:p>
          <w:p w14:paraId="54627521"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neonatal</w:t>
            </w:r>
          </w:p>
          <w:p w14:paraId="60344AE1" w14:textId="77777777" w:rsidR="005178B0" w:rsidRPr="00A61228" w:rsidRDefault="005178B0" w:rsidP="002C7B49">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uraemic</w:t>
            </w:r>
          </w:p>
        </w:tc>
      </w:tr>
    </w:tbl>
    <w:p w14:paraId="3EA2A22C" w14:textId="77777777" w:rsidR="005178B0" w:rsidRPr="00A61228" w:rsidRDefault="005178B0" w:rsidP="002C7B49">
      <w:pPr>
        <w:spacing w:after="160" w:line="259" w:lineRule="auto"/>
        <w:rPr>
          <w:rFonts w:ascii="Times New Roman" w:eastAsia="Calibri" w:hAnsi="Times New Roman" w:cs="Times New Roman"/>
          <w:b/>
          <w:sz w:val="20"/>
          <w:szCs w:val="20"/>
        </w:rPr>
      </w:pPr>
    </w:p>
    <w:p w14:paraId="00343679" w14:textId="77777777" w:rsidR="005178B0" w:rsidRPr="00A61228" w:rsidRDefault="005178B0">
      <w:pPr>
        <w:rPr>
          <w:rFonts w:ascii="Times New Roman" w:eastAsia="Calibri" w:hAnsi="Times New Roman" w:cs="Times New Roman"/>
          <w:b/>
          <w:sz w:val="20"/>
          <w:szCs w:val="20"/>
        </w:rPr>
      </w:pPr>
      <w:r w:rsidRPr="00A61228">
        <w:rPr>
          <w:rFonts w:ascii="Times New Roman" w:eastAsia="Calibri" w:hAnsi="Times New Roman" w:cs="Times New Roman"/>
          <w:b/>
          <w:sz w:val="20"/>
          <w:szCs w:val="20"/>
        </w:rPr>
        <w:br w:type="page"/>
      </w:r>
    </w:p>
    <w:p w14:paraId="6E1A742E"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lastRenderedPageBreak/>
        <w:t xml:space="preserve">Table A1 continued - </w:t>
      </w:r>
      <w:r w:rsidRPr="00A61228">
        <w:rPr>
          <w:rFonts w:ascii="Times New Roman" w:eastAsia="Calibri" w:hAnsi="Times New Roman" w:cs="Times New Roman"/>
          <w:sz w:val="20"/>
          <w:szCs w:val="20"/>
        </w:rPr>
        <w:t xml:space="preserve">ICD-10 codes relevant to frailty </w:t>
      </w:r>
    </w:p>
    <w:tbl>
      <w:tblPr>
        <w:tblStyle w:val="LightShading1"/>
        <w:tblW w:w="9639" w:type="dxa"/>
        <w:tblBorders>
          <w:insideH w:val="single" w:sz="4" w:space="0" w:color="auto"/>
        </w:tblBorders>
        <w:tblLook w:val="04A0" w:firstRow="1" w:lastRow="0" w:firstColumn="1" w:lastColumn="0" w:noHBand="0" w:noVBand="1"/>
      </w:tblPr>
      <w:tblGrid>
        <w:gridCol w:w="2127"/>
        <w:gridCol w:w="7512"/>
      </w:tblGrid>
      <w:tr w:rsidR="005178B0" w:rsidRPr="00A61228" w14:paraId="22803DF8" w14:textId="77777777" w:rsidTr="002C7B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07E7F9B5"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ICD-10 code</w:t>
            </w:r>
          </w:p>
        </w:tc>
        <w:tc>
          <w:tcPr>
            <w:tcW w:w="7512" w:type="dxa"/>
            <w:shd w:val="clear" w:color="auto" w:fill="auto"/>
            <w:hideMark/>
          </w:tcPr>
          <w:p w14:paraId="69635351" w14:textId="77777777" w:rsidR="005178B0" w:rsidRPr="00A61228" w:rsidRDefault="005178B0" w:rsidP="002C7B49">
            <w:pPr>
              <w:spacing w:after="12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ICD Description</w:t>
            </w:r>
          </w:p>
        </w:tc>
      </w:tr>
      <w:tr w:rsidR="005178B0" w:rsidRPr="00A61228" w14:paraId="3B56D7D9" w14:textId="77777777" w:rsidTr="002C7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2CD60A05"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R41</w:t>
            </w:r>
          </w:p>
        </w:tc>
        <w:tc>
          <w:tcPr>
            <w:tcW w:w="7512" w:type="dxa"/>
            <w:shd w:val="clear" w:color="auto" w:fill="auto"/>
            <w:hideMark/>
          </w:tcPr>
          <w:p w14:paraId="2A4B1AC3"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Other symptoms and signs involving cognitive functions and awareness  </w:t>
            </w:r>
          </w:p>
          <w:p w14:paraId="1E4E867B"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R41.0   Disorientation, unspecified  </w:t>
            </w:r>
          </w:p>
          <w:p w14:paraId="4589D5C7"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R41.1   Anterograde amnesia  </w:t>
            </w:r>
          </w:p>
          <w:p w14:paraId="53DB1CDE"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R41.2   Retrograde amnesia  </w:t>
            </w:r>
          </w:p>
          <w:p w14:paraId="17EF47DE"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R41.3   Other amnesia  </w:t>
            </w:r>
          </w:p>
          <w:p w14:paraId="51A4D39C" w14:textId="77777777" w:rsidR="005178B0" w:rsidRPr="00A61228" w:rsidRDefault="005178B0" w:rsidP="002C7B49">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A61228">
              <w:rPr>
                <w:rFonts w:ascii="Times New Roman" w:eastAsia="Calibri" w:hAnsi="Times New Roman" w:cs="Times New Roman"/>
                <w:sz w:val="20"/>
                <w:szCs w:val="20"/>
              </w:rPr>
              <w:t>R41.8   Other and unspecified symptoms and signs</w:t>
            </w:r>
            <w:r w:rsidRPr="00A61228">
              <w:rPr>
                <w:rFonts w:ascii="Times New Roman" w:eastAsia="Calibri" w:hAnsi="Times New Roman" w:cs="Times New Roman"/>
                <w:b/>
                <w:sz w:val="20"/>
                <w:szCs w:val="20"/>
              </w:rPr>
              <w:t xml:space="preserve"> </w:t>
            </w:r>
          </w:p>
        </w:tc>
      </w:tr>
      <w:tr w:rsidR="005178B0" w:rsidRPr="00A61228" w14:paraId="38929101" w14:textId="77777777" w:rsidTr="002C7B49">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0DA360F3"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R46.0</w:t>
            </w:r>
          </w:p>
        </w:tc>
        <w:tc>
          <w:tcPr>
            <w:tcW w:w="7512" w:type="dxa"/>
            <w:shd w:val="clear" w:color="auto" w:fill="auto"/>
            <w:hideMark/>
          </w:tcPr>
          <w:p w14:paraId="4FCAF7D5" w14:textId="77777777" w:rsidR="005178B0" w:rsidRPr="00A61228" w:rsidRDefault="005178B0" w:rsidP="002C7B49">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Very low level of personal hygiene</w:t>
            </w:r>
          </w:p>
        </w:tc>
      </w:tr>
      <w:tr w:rsidR="005178B0" w:rsidRPr="00A61228" w14:paraId="1623AA1E" w14:textId="77777777" w:rsidTr="002C7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69D1990B"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R54</w:t>
            </w:r>
          </w:p>
        </w:tc>
        <w:tc>
          <w:tcPr>
            <w:tcW w:w="7512" w:type="dxa"/>
            <w:shd w:val="clear" w:color="auto" w:fill="auto"/>
            <w:hideMark/>
          </w:tcPr>
          <w:p w14:paraId="28E9385A" w14:textId="77777777" w:rsidR="005178B0" w:rsidRPr="00A61228" w:rsidRDefault="005178B0" w:rsidP="002C7B49">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Senility</w:t>
            </w:r>
          </w:p>
        </w:tc>
      </w:tr>
      <w:tr w:rsidR="005178B0" w:rsidRPr="00A61228" w14:paraId="298F3077" w14:textId="77777777" w:rsidTr="002C7B49">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7141F712" w14:textId="77777777" w:rsidR="005178B0" w:rsidRPr="00A61228" w:rsidRDefault="005178B0" w:rsidP="002C7B49">
            <w:pPr>
              <w:spacing w:after="120"/>
              <w:rPr>
                <w:rFonts w:ascii="Times New Roman" w:eastAsia="Calibri" w:hAnsi="Times New Roman" w:cs="Times New Roman"/>
                <w:sz w:val="20"/>
                <w:szCs w:val="20"/>
                <w:lang w:val="fr-FR"/>
              </w:rPr>
            </w:pPr>
            <w:r w:rsidRPr="00A61228">
              <w:rPr>
                <w:rFonts w:ascii="Times New Roman" w:eastAsia="Calibri" w:hAnsi="Times New Roman" w:cs="Times New Roman"/>
                <w:sz w:val="20"/>
                <w:szCs w:val="20"/>
              </w:rPr>
              <w:t>W00-W19</w:t>
            </w:r>
          </w:p>
        </w:tc>
        <w:tc>
          <w:tcPr>
            <w:tcW w:w="7512" w:type="dxa"/>
            <w:shd w:val="clear" w:color="auto" w:fill="auto"/>
            <w:hideMark/>
          </w:tcPr>
          <w:p w14:paraId="0AB053E5" w14:textId="77777777" w:rsidR="005178B0" w:rsidRPr="00A61228" w:rsidRDefault="005178B0" w:rsidP="002C7B49">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Falls </w:t>
            </w:r>
          </w:p>
        </w:tc>
      </w:tr>
      <w:tr w:rsidR="005178B0" w:rsidRPr="00A61228" w14:paraId="551BBAFE" w14:textId="77777777" w:rsidTr="002C7B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75430883"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Z73.9</w:t>
            </w:r>
          </w:p>
        </w:tc>
        <w:tc>
          <w:tcPr>
            <w:tcW w:w="7512" w:type="dxa"/>
            <w:shd w:val="clear" w:color="auto" w:fill="auto"/>
            <w:hideMark/>
          </w:tcPr>
          <w:p w14:paraId="27AA8E24" w14:textId="77777777" w:rsidR="005178B0" w:rsidRPr="00A61228" w:rsidRDefault="005178B0" w:rsidP="002C7B49">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Problem related to life-management difficulty, unspecified  </w:t>
            </w:r>
          </w:p>
        </w:tc>
      </w:tr>
      <w:tr w:rsidR="005178B0" w:rsidRPr="00A61228" w14:paraId="756776ED" w14:textId="77777777" w:rsidTr="002C7B49">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23E179CB"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Z74</w:t>
            </w:r>
          </w:p>
        </w:tc>
        <w:tc>
          <w:tcPr>
            <w:tcW w:w="7512" w:type="dxa"/>
            <w:shd w:val="clear" w:color="auto" w:fill="auto"/>
            <w:hideMark/>
          </w:tcPr>
          <w:p w14:paraId="1C0A1A38"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Problems related to care-provider dependency  </w:t>
            </w:r>
          </w:p>
          <w:p w14:paraId="4A9C9608"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Z74.0   Reduced mobility, bedfast, chairfast </w:t>
            </w:r>
          </w:p>
          <w:p w14:paraId="743499E1"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Z74.1   Need for assistance with personal care  </w:t>
            </w:r>
          </w:p>
          <w:p w14:paraId="210038F0"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Z74.2   Need for assistance at home and no other household member able to render care  </w:t>
            </w:r>
          </w:p>
          <w:p w14:paraId="20950DC1"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Z74.3   Need for continuous supervision  </w:t>
            </w:r>
          </w:p>
          <w:p w14:paraId="113D724B"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Z74.8   Other problems related to care-provider dependency  </w:t>
            </w:r>
          </w:p>
          <w:p w14:paraId="7D565E2A" w14:textId="77777777" w:rsidR="005178B0" w:rsidRPr="00A61228" w:rsidRDefault="005178B0" w:rsidP="002C7B49">
            <w:pPr>
              <w:spacing w:after="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Z74.9   Problem related to care-provider dependency, unspecified  </w:t>
            </w:r>
          </w:p>
        </w:tc>
      </w:tr>
      <w:tr w:rsidR="005178B0" w:rsidRPr="00A61228" w14:paraId="6EDE6193" w14:textId="77777777" w:rsidTr="002C7B49">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hideMark/>
          </w:tcPr>
          <w:p w14:paraId="1D4A641A" w14:textId="77777777" w:rsidR="005178B0" w:rsidRPr="00A61228" w:rsidRDefault="005178B0" w:rsidP="002C7B49">
            <w:pPr>
              <w:spacing w:after="120"/>
              <w:rPr>
                <w:rFonts w:ascii="Times New Roman" w:eastAsia="Calibri" w:hAnsi="Times New Roman" w:cs="Times New Roman"/>
                <w:sz w:val="20"/>
                <w:szCs w:val="20"/>
              </w:rPr>
            </w:pPr>
            <w:r w:rsidRPr="00A61228">
              <w:rPr>
                <w:rFonts w:ascii="Times New Roman" w:eastAsia="Calibri" w:hAnsi="Times New Roman" w:cs="Times New Roman"/>
                <w:sz w:val="20"/>
                <w:szCs w:val="20"/>
              </w:rPr>
              <w:t>Z99.3</w:t>
            </w:r>
          </w:p>
        </w:tc>
        <w:tc>
          <w:tcPr>
            <w:tcW w:w="7512" w:type="dxa"/>
            <w:shd w:val="clear" w:color="auto" w:fill="auto"/>
            <w:hideMark/>
          </w:tcPr>
          <w:p w14:paraId="49EEF29E" w14:textId="77777777" w:rsidR="005178B0" w:rsidRPr="00A61228" w:rsidRDefault="005178B0" w:rsidP="002C7B49">
            <w:pPr>
              <w:spacing w:after="12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61228">
              <w:rPr>
                <w:rFonts w:ascii="Times New Roman" w:eastAsia="Calibri" w:hAnsi="Times New Roman" w:cs="Times New Roman"/>
                <w:sz w:val="20"/>
                <w:szCs w:val="20"/>
              </w:rPr>
              <w:t>Dependence on wheelchair</w:t>
            </w:r>
          </w:p>
        </w:tc>
      </w:tr>
    </w:tbl>
    <w:p w14:paraId="64523DDC" w14:textId="77777777" w:rsidR="005178B0" w:rsidRPr="00A61228" w:rsidRDefault="005178B0" w:rsidP="002C7B49">
      <w:pPr>
        <w:spacing w:after="160" w:line="259" w:lineRule="auto"/>
        <w:rPr>
          <w:rFonts w:ascii="Calibri" w:eastAsia="Calibri" w:hAnsi="Calibri" w:cs="Times New Roman"/>
          <w:sz w:val="20"/>
          <w:szCs w:val="20"/>
        </w:rPr>
      </w:pPr>
    </w:p>
    <w:p w14:paraId="421C0BB2" w14:textId="77777777" w:rsidR="005178B0" w:rsidRDefault="005178B0" w:rsidP="002C7B49">
      <w:pPr>
        <w:spacing w:after="160" w:line="259" w:lineRule="auto"/>
        <w:rPr>
          <w:rFonts w:ascii="Times New Roman" w:eastAsia="Calibri" w:hAnsi="Times New Roman" w:cs="Times New Roman"/>
          <w:b/>
          <w:sz w:val="20"/>
          <w:szCs w:val="20"/>
        </w:rPr>
      </w:pPr>
    </w:p>
    <w:p w14:paraId="48F97F49" w14:textId="77777777" w:rsidR="005178B0" w:rsidRPr="00A61228" w:rsidRDefault="005178B0" w:rsidP="002C7B49">
      <w:pPr>
        <w:tabs>
          <w:tab w:val="center" w:pos="4513"/>
        </w:tabs>
        <w:rPr>
          <w:rFonts w:ascii="Times New Roman" w:eastAsia="Calibri" w:hAnsi="Times New Roman" w:cs="Times New Roman"/>
          <w:sz w:val="20"/>
          <w:szCs w:val="20"/>
        </w:rPr>
        <w:sectPr w:rsidR="005178B0" w:rsidRPr="00A61228">
          <w:pgSz w:w="11906" w:h="16838"/>
          <w:pgMar w:top="1440" w:right="1440" w:bottom="1440" w:left="1440" w:header="708" w:footer="708" w:gutter="0"/>
          <w:cols w:space="708"/>
          <w:docGrid w:linePitch="360"/>
        </w:sectPr>
      </w:pPr>
      <w:r>
        <w:rPr>
          <w:rFonts w:ascii="Times New Roman" w:eastAsia="Calibri" w:hAnsi="Times New Roman" w:cs="Times New Roman"/>
          <w:sz w:val="20"/>
          <w:szCs w:val="20"/>
        </w:rPr>
        <w:tab/>
      </w:r>
    </w:p>
    <w:p w14:paraId="2694E245"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lastRenderedPageBreak/>
        <w:t>APPENDIX 2 - Model used to develop Hospital Frailty Risk Score</w:t>
      </w:r>
    </w:p>
    <w:p w14:paraId="38B9473C" w14:textId="77777777" w:rsidR="005178B0" w:rsidRPr="00A61228" w:rsidRDefault="005178B0" w:rsidP="002C7B49">
      <w:pPr>
        <w:spacing w:after="160"/>
        <w:rPr>
          <w:rFonts w:ascii="Times New Roman" w:eastAsia="Calibri" w:hAnsi="Times New Roman" w:cs="Times New Roman"/>
          <w:sz w:val="20"/>
          <w:szCs w:val="20"/>
        </w:rPr>
      </w:pPr>
      <w:r w:rsidRPr="00A61228">
        <w:rPr>
          <w:rFonts w:ascii="Times New Roman" w:eastAsia="Calibri" w:hAnsi="Times New Roman" w:cs="Times New Roman"/>
          <w:sz w:val="20"/>
          <w:szCs w:val="20"/>
        </w:rPr>
        <w:t>We used the results of the cluster analysis to develop a hospital frailty risk score. In a development cohort of 22,139 people aged 75 years+, one out of the six clusters was identified as having characteristics of frailty. We derived a hospital frailty risk score based on the broad set of 109 ICD-10 codes that were at least twice as prevalent in this frail group compared with the rest of the cohort, not restricted to pre-defined frailty syndromes.</w:t>
      </w:r>
    </w:p>
    <w:p w14:paraId="36EE9E4A" w14:textId="77777777" w:rsidR="005178B0" w:rsidRPr="00A61228" w:rsidRDefault="005178B0" w:rsidP="002C7B49">
      <w:pPr>
        <w:spacing w:after="160"/>
        <w:rPr>
          <w:rFonts w:ascii="Times New Roman" w:eastAsia="Calibri" w:hAnsi="Times New Roman" w:cs="Times New Roman"/>
          <w:sz w:val="20"/>
          <w:szCs w:val="20"/>
        </w:rPr>
      </w:pPr>
      <w:r w:rsidRPr="00A61228">
        <w:rPr>
          <w:rFonts w:ascii="Times New Roman" w:eastAsia="Calibri" w:hAnsi="Times New Roman" w:cs="Times New Roman"/>
          <w:sz w:val="20"/>
          <w:szCs w:val="20"/>
        </w:rPr>
        <w:t>Because many of the ICD-10 codes were correlated, we created a score that was a weighted sum of these ICD codes rather than a count, awarding a certain number of points for each code that was present in a patient’s records over two years. To calculate the points, we fitted a logistic regression model that included membership of the frail group as the binary dependent variable (frail vs. non-frail) and the set of ICD-10 codes as binary predictor variables (1 = present, 0 = absent for each code). We incorporated a penalty when fitting the model to shrink coefficients on individual predictor variable</w:t>
      </w:r>
      <w:r>
        <w:rPr>
          <w:rFonts w:ascii="Times New Roman" w:eastAsia="Calibri" w:hAnsi="Times New Roman" w:cs="Times New Roman"/>
          <w:sz w:val="20"/>
          <w:szCs w:val="20"/>
        </w:rPr>
        <w:t>s within correlated groups.</w:t>
      </w:r>
      <w:r w:rsidRPr="00BA41A8">
        <w:rPr>
          <w:rFonts w:ascii="Times New Roman" w:eastAsia="Calibri" w:hAnsi="Times New Roman" w:cs="Times New Roman"/>
          <w:sz w:val="20"/>
          <w:szCs w:val="20"/>
          <w:vertAlign w:val="superscript"/>
        </w:rPr>
        <w:t>1,2</w:t>
      </w:r>
      <w:r w:rsidRPr="00A61228">
        <w:rPr>
          <w:rFonts w:ascii="Times New Roman" w:eastAsia="Calibri" w:hAnsi="Times New Roman" w:cs="Times New Roman"/>
          <w:sz w:val="20"/>
          <w:szCs w:val="20"/>
        </w:rPr>
        <w:t xml:space="preserve"> This was estimated using the ‘glmnet’ package for ridge (penali</w:t>
      </w:r>
      <w:r>
        <w:rPr>
          <w:rFonts w:ascii="Times New Roman" w:eastAsia="Calibri" w:hAnsi="Times New Roman" w:cs="Times New Roman"/>
          <w:sz w:val="20"/>
          <w:szCs w:val="20"/>
        </w:rPr>
        <w:t>s</w:t>
      </w:r>
      <w:r w:rsidRPr="00A61228">
        <w:rPr>
          <w:rFonts w:ascii="Times New Roman" w:eastAsia="Calibri" w:hAnsi="Times New Roman" w:cs="Times New Roman"/>
          <w:sz w:val="20"/>
          <w:szCs w:val="20"/>
        </w:rPr>
        <w:t>ed) regression in R (version 3.3.0), with the penalty selected through cross-validation to maximize the area under the receiver operating curve (c-stat</w:t>
      </w:r>
      <w:r>
        <w:rPr>
          <w:rFonts w:ascii="Times New Roman" w:eastAsia="Calibri" w:hAnsi="Times New Roman" w:cs="Times New Roman"/>
          <w:sz w:val="20"/>
          <w:szCs w:val="20"/>
        </w:rPr>
        <w:t>istic). The c-statistic summaris</w:t>
      </w:r>
      <w:r w:rsidRPr="00A61228">
        <w:rPr>
          <w:rFonts w:ascii="Times New Roman" w:eastAsia="Calibri" w:hAnsi="Times New Roman" w:cs="Times New Roman"/>
          <w:sz w:val="20"/>
          <w:szCs w:val="20"/>
        </w:rPr>
        <w:t>es how well the model discriminates individual m</w:t>
      </w:r>
      <w:r>
        <w:rPr>
          <w:rFonts w:ascii="Times New Roman" w:eastAsia="Calibri" w:hAnsi="Times New Roman" w:cs="Times New Roman"/>
          <w:sz w:val="20"/>
          <w:szCs w:val="20"/>
        </w:rPr>
        <w:t>embership of the frail group.</w:t>
      </w:r>
      <w:r w:rsidRPr="00BA41A8">
        <w:rPr>
          <w:rFonts w:ascii="Times New Roman" w:eastAsia="Calibri" w:hAnsi="Times New Roman" w:cs="Times New Roman"/>
          <w:sz w:val="20"/>
          <w:szCs w:val="20"/>
          <w:vertAlign w:val="superscript"/>
        </w:rPr>
        <w:t>2</w:t>
      </w:r>
      <w:r w:rsidRPr="00A61228">
        <w:rPr>
          <w:rFonts w:ascii="Times New Roman" w:eastAsia="Calibri" w:hAnsi="Times New Roman" w:cs="Times New Roman"/>
          <w:sz w:val="20"/>
          <w:szCs w:val="20"/>
        </w:rPr>
        <w:t xml:space="preserve"> A value of 0</w:t>
      </w:r>
      <w:r w:rsidRPr="00A61228">
        <w:rPr>
          <w:rFonts w:ascii="Times New Roman" w:hAnsi="Times New Roman" w:cs="Times New Roman"/>
          <w:sz w:val="20"/>
          <w:szCs w:val="20"/>
        </w:rPr>
        <w:t>·</w:t>
      </w:r>
      <w:r w:rsidRPr="00A61228">
        <w:rPr>
          <w:rFonts w:ascii="Times New Roman" w:eastAsia="Calibri" w:hAnsi="Times New Roman" w:cs="Times New Roman"/>
          <w:sz w:val="20"/>
          <w:szCs w:val="20"/>
        </w:rPr>
        <w:t>5 indicates that the model classifies patient no better than chance and 1</w:t>
      </w:r>
      <w:r w:rsidRPr="00A61228">
        <w:rPr>
          <w:rFonts w:ascii="Times New Roman" w:hAnsi="Times New Roman" w:cs="Times New Roman"/>
          <w:sz w:val="20"/>
          <w:szCs w:val="20"/>
        </w:rPr>
        <w:t>·</w:t>
      </w:r>
      <w:r w:rsidRPr="00A61228">
        <w:rPr>
          <w:rFonts w:ascii="Times New Roman" w:eastAsia="Calibri" w:hAnsi="Times New Roman" w:cs="Times New Roman"/>
          <w:sz w:val="20"/>
          <w:szCs w:val="20"/>
        </w:rPr>
        <w:t xml:space="preserve">0 indicates perfect discrimination. </w:t>
      </w:r>
    </w:p>
    <w:p w14:paraId="7B3B6062" w14:textId="77777777" w:rsidR="005178B0" w:rsidRPr="00A61228" w:rsidRDefault="005178B0" w:rsidP="002C7B49">
      <w:pPr>
        <w:spacing w:after="160"/>
        <w:rPr>
          <w:rFonts w:ascii="Times New Roman" w:eastAsia="Calibri" w:hAnsi="Times New Roman" w:cs="Times New Roman"/>
          <w:sz w:val="20"/>
          <w:szCs w:val="20"/>
        </w:rPr>
      </w:pPr>
      <w:r w:rsidRPr="00A61228">
        <w:rPr>
          <w:rFonts w:ascii="Times New Roman" w:eastAsia="Calibri" w:hAnsi="Times New Roman" w:cs="Times New Roman"/>
          <w:sz w:val="20"/>
          <w:szCs w:val="20"/>
        </w:rPr>
        <w:t>To simplify the calculation and interpretation of the score, we multiplied regression coefficients by five to create a points system, so that a certain number of points are awarded for each ICD-10 code and added together to create the final frailty risk score.</w:t>
      </w:r>
    </w:p>
    <w:p w14:paraId="2FED9832" w14:textId="77777777" w:rsidR="005178B0" w:rsidRPr="00A61228" w:rsidRDefault="005178B0" w:rsidP="002C7B49">
      <w:pPr>
        <w:spacing w:after="160"/>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Table A2 shows the list of ICD-10 codes that contribute to the hospital frailty risk score, their prevalence (over two years) in the development cohort overall and in the frail cluster, and the number of points awarded for each code to create final score. The SAS code to calculate the score using patient-level HES data </w:t>
      </w:r>
      <w:r>
        <w:rPr>
          <w:rFonts w:ascii="Times New Roman" w:eastAsia="Calibri" w:hAnsi="Times New Roman" w:cs="Times New Roman"/>
          <w:sz w:val="20"/>
          <w:szCs w:val="20"/>
        </w:rPr>
        <w:t>is</w:t>
      </w:r>
      <w:r w:rsidRPr="00A61228">
        <w:rPr>
          <w:rFonts w:ascii="Times New Roman" w:eastAsia="Calibri" w:hAnsi="Times New Roman" w:cs="Times New Roman"/>
          <w:sz w:val="20"/>
          <w:szCs w:val="20"/>
        </w:rPr>
        <w:t xml:space="preserve"> also provided as a macro.</w:t>
      </w:r>
    </w:p>
    <w:p w14:paraId="48F49519" w14:textId="77777777" w:rsidR="005178B0" w:rsidRPr="00BA41A8" w:rsidRDefault="005178B0" w:rsidP="002C7B49">
      <w:pPr>
        <w:spacing w:after="160"/>
        <w:rPr>
          <w:rFonts w:ascii="Times New Roman" w:eastAsia="Calibri" w:hAnsi="Times New Roman" w:cs="Times New Roman"/>
          <w:b/>
          <w:sz w:val="20"/>
          <w:szCs w:val="20"/>
        </w:rPr>
      </w:pPr>
      <w:r w:rsidRPr="00BA41A8">
        <w:rPr>
          <w:rFonts w:ascii="Times New Roman" w:eastAsia="Calibri" w:hAnsi="Times New Roman" w:cs="Times New Roman"/>
          <w:b/>
          <w:sz w:val="20"/>
          <w:szCs w:val="20"/>
        </w:rPr>
        <w:t>References</w:t>
      </w:r>
    </w:p>
    <w:p w14:paraId="6A08BF3D" w14:textId="77777777" w:rsidR="005178B0" w:rsidRPr="00A61228" w:rsidRDefault="005178B0" w:rsidP="002C7B49">
      <w:pPr>
        <w:spacing w:after="160"/>
        <w:rPr>
          <w:rFonts w:ascii="Times New Roman" w:eastAsia="Calibri" w:hAnsi="Times New Roman" w:cs="Times New Roman"/>
          <w:sz w:val="20"/>
          <w:szCs w:val="20"/>
        </w:rPr>
      </w:pPr>
      <w:r>
        <w:rPr>
          <w:rFonts w:ascii="Times New Roman" w:eastAsia="Calibri" w:hAnsi="Times New Roman" w:cs="Times New Roman"/>
          <w:sz w:val="20"/>
          <w:szCs w:val="20"/>
        </w:rPr>
        <w:t xml:space="preserve">1. </w:t>
      </w:r>
      <w:r w:rsidRPr="00A61228">
        <w:rPr>
          <w:rFonts w:ascii="Times New Roman" w:eastAsia="Calibri" w:hAnsi="Times New Roman" w:cs="Times New Roman"/>
          <w:sz w:val="20"/>
          <w:szCs w:val="20"/>
        </w:rPr>
        <w:t>Barker L, Brown C. Logistic regression when binary predictor variables are highly correlated. Statist. Med 2001; 20: 1431-1442.</w:t>
      </w:r>
    </w:p>
    <w:p w14:paraId="6C9D7B39" w14:textId="77777777" w:rsidR="005178B0" w:rsidRPr="00A61228" w:rsidRDefault="005178B0" w:rsidP="002C7B49">
      <w:pPr>
        <w:spacing w:after="160"/>
        <w:rPr>
          <w:rFonts w:ascii="Times New Roman" w:eastAsia="Calibri" w:hAnsi="Times New Roman" w:cs="Times New Roman"/>
          <w:sz w:val="20"/>
          <w:szCs w:val="20"/>
        </w:rPr>
      </w:pPr>
      <w:r>
        <w:rPr>
          <w:rFonts w:ascii="Times New Roman" w:eastAsia="Calibri" w:hAnsi="Times New Roman" w:cs="Times New Roman"/>
          <w:sz w:val="20"/>
          <w:szCs w:val="20"/>
        </w:rPr>
        <w:t>2.</w:t>
      </w:r>
      <w:r w:rsidRPr="00A61228">
        <w:rPr>
          <w:rFonts w:ascii="Times New Roman" w:eastAsia="Calibri" w:hAnsi="Times New Roman" w:cs="Times New Roman"/>
          <w:sz w:val="20"/>
          <w:szCs w:val="20"/>
        </w:rPr>
        <w:t xml:space="preserve"> Harrell FE. Regression modelling strategies: with applications to linear models, logistic and ordinal regression and survival analysis. 2nd Edition Springer: New York 2015.</w:t>
      </w:r>
      <w:r w:rsidRPr="00A61228">
        <w:rPr>
          <w:rFonts w:ascii="Times New Roman" w:eastAsia="Calibri" w:hAnsi="Times New Roman" w:cs="Times New Roman"/>
          <w:sz w:val="20"/>
          <w:szCs w:val="20"/>
        </w:rPr>
        <w:br w:type="page"/>
      </w:r>
    </w:p>
    <w:p w14:paraId="708D2168" w14:textId="77777777" w:rsidR="005178B0" w:rsidRPr="00A61228" w:rsidRDefault="005178B0" w:rsidP="002C7B49">
      <w:pPr>
        <w:spacing w:after="160" w:line="259" w:lineRule="auto"/>
        <w:rPr>
          <w:rFonts w:ascii="Times New Roman" w:eastAsia="Calibri" w:hAnsi="Times New Roman" w:cs="Times New Roman"/>
          <w:sz w:val="20"/>
          <w:szCs w:val="20"/>
        </w:rPr>
      </w:pPr>
      <w:r w:rsidRPr="00A61228">
        <w:rPr>
          <w:rFonts w:ascii="Times New Roman" w:eastAsia="Calibri" w:hAnsi="Times New Roman" w:cs="Times New Roman"/>
          <w:b/>
          <w:sz w:val="20"/>
          <w:szCs w:val="20"/>
        </w:rPr>
        <w:lastRenderedPageBreak/>
        <w:t xml:space="preserve">Table A2 </w:t>
      </w:r>
      <w:r w:rsidRPr="00A61228">
        <w:rPr>
          <w:rFonts w:ascii="Times New Roman" w:eastAsia="Calibri" w:hAnsi="Times New Roman" w:cs="Times New Roman"/>
          <w:sz w:val="20"/>
          <w:szCs w:val="20"/>
        </w:rPr>
        <w:t xml:space="preserve">List of 109 ICD-10 codes included in logistic regression model and number of points awarded for each to create </w:t>
      </w:r>
      <w:r>
        <w:rPr>
          <w:rFonts w:ascii="Times New Roman" w:eastAsia="Calibri" w:hAnsi="Times New Roman" w:cs="Times New Roman"/>
          <w:sz w:val="20"/>
          <w:szCs w:val="20"/>
        </w:rPr>
        <w:t xml:space="preserve">the </w:t>
      </w:r>
      <w:r w:rsidRPr="00A61228">
        <w:rPr>
          <w:rFonts w:ascii="Times New Roman" w:eastAsia="Calibri" w:hAnsi="Times New Roman" w:cs="Times New Roman"/>
          <w:sz w:val="20"/>
          <w:szCs w:val="20"/>
        </w:rPr>
        <w:t>hospital frailty risk score</w:t>
      </w:r>
    </w:p>
    <w:tbl>
      <w:tblPr>
        <w:tblStyle w:val="LightShading1"/>
        <w:tblW w:w="0" w:type="auto"/>
        <w:tblLayout w:type="fixed"/>
        <w:tblLook w:val="04A0" w:firstRow="1" w:lastRow="0" w:firstColumn="1" w:lastColumn="0" w:noHBand="0" w:noVBand="1"/>
      </w:tblPr>
      <w:tblGrid>
        <w:gridCol w:w="738"/>
        <w:gridCol w:w="3906"/>
        <w:gridCol w:w="993"/>
        <w:gridCol w:w="850"/>
        <w:gridCol w:w="851"/>
        <w:gridCol w:w="835"/>
        <w:gridCol w:w="1069"/>
      </w:tblGrid>
      <w:tr w:rsidR="008C7966" w:rsidRPr="00624C95" w14:paraId="5D8B4334" w14:textId="77777777" w:rsidTr="00624C9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hideMark/>
          </w:tcPr>
          <w:p w14:paraId="71477B9A" w14:textId="77777777" w:rsidR="008C7966" w:rsidRPr="00624C95" w:rsidRDefault="008C7966"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ICD Code</w:t>
            </w:r>
          </w:p>
        </w:tc>
        <w:tc>
          <w:tcPr>
            <w:tcW w:w="3906" w:type="dxa"/>
            <w:shd w:val="clear" w:color="auto" w:fill="auto"/>
            <w:hideMark/>
          </w:tcPr>
          <w:p w14:paraId="5E5DC7A4" w14:textId="77777777" w:rsidR="008C7966" w:rsidRPr="00624C95" w:rsidRDefault="008C7966" w:rsidP="002C7B4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ICD Description</w:t>
            </w:r>
          </w:p>
        </w:tc>
        <w:tc>
          <w:tcPr>
            <w:tcW w:w="993" w:type="dxa"/>
            <w:shd w:val="clear" w:color="auto" w:fill="auto"/>
            <w:hideMark/>
          </w:tcPr>
          <w:p w14:paraId="4EC0D2CB" w14:textId="77777777" w:rsidR="008C7966" w:rsidRPr="00624C95" w:rsidRDefault="008C7966" w:rsidP="008C7966">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Number with code in devt cohort (n = 22,139)</w:t>
            </w:r>
          </w:p>
        </w:tc>
        <w:tc>
          <w:tcPr>
            <w:tcW w:w="850" w:type="dxa"/>
            <w:shd w:val="clear" w:color="auto" w:fill="auto"/>
          </w:tcPr>
          <w:p w14:paraId="56638505" w14:textId="77777777" w:rsidR="008C7966" w:rsidRPr="00624C95" w:rsidRDefault="008C7966" w:rsidP="008C7966">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w:t>
            </w:r>
          </w:p>
        </w:tc>
        <w:tc>
          <w:tcPr>
            <w:tcW w:w="851" w:type="dxa"/>
            <w:shd w:val="clear" w:color="auto" w:fill="auto"/>
            <w:hideMark/>
          </w:tcPr>
          <w:p w14:paraId="42F2F166" w14:textId="77777777" w:rsidR="008C7966" w:rsidRPr="00624C95" w:rsidRDefault="008C7966" w:rsidP="008C7966">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Number with code in frail group (n = 4,907)</w:t>
            </w:r>
          </w:p>
        </w:tc>
        <w:tc>
          <w:tcPr>
            <w:tcW w:w="835" w:type="dxa"/>
            <w:shd w:val="clear" w:color="auto" w:fill="auto"/>
          </w:tcPr>
          <w:p w14:paraId="7D23B50F" w14:textId="77777777" w:rsidR="008C7966" w:rsidRPr="00624C95" w:rsidRDefault="008C7966" w:rsidP="008C7966">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w:t>
            </w:r>
          </w:p>
        </w:tc>
        <w:tc>
          <w:tcPr>
            <w:tcW w:w="1069" w:type="dxa"/>
            <w:shd w:val="clear" w:color="auto" w:fill="auto"/>
            <w:hideMark/>
          </w:tcPr>
          <w:p w14:paraId="5DE60CF0" w14:textId="77777777" w:rsidR="008C7966" w:rsidRPr="00624C95" w:rsidRDefault="008C7966" w:rsidP="008C796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Points awarded</w:t>
            </w:r>
          </w:p>
        </w:tc>
      </w:tr>
      <w:tr w:rsidR="008C7966" w:rsidRPr="00624C95" w14:paraId="38F585C4"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29E10EF" w14:textId="77777777" w:rsidR="008C7966" w:rsidRPr="00624C95" w:rsidRDefault="008C7966"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F00</w:t>
            </w:r>
          </w:p>
        </w:tc>
        <w:tc>
          <w:tcPr>
            <w:tcW w:w="3906" w:type="dxa"/>
            <w:shd w:val="clear" w:color="auto" w:fill="auto"/>
            <w:hideMark/>
          </w:tcPr>
          <w:p w14:paraId="44FC8202" w14:textId="77777777" w:rsidR="008C7966" w:rsidRPr="00624C95" w:rsidRDefault="008C7966"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Dementia in Alzheimer's disease</w:t>
            </w:r>
          </w:p>
        </w:tc>
        <w:tc>
          <w:tcPr>
            <w:tcW w:w="993" w:type="dxa"/>
            <w:shd w:val="clear" w:color="auto" w:fill="auto"/>
            <w:noWrap/>
            <w:hideMark/>
          </w:tcPr>
          <w:p w14:paraId="261450C2" w14:textId="77777777" w:rsidR="008C7966" w:rsidRPr="00624C95" w:rsidRDefault="008C7966"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664</w:t>
            </w:r>
          </w:p>
        </w:tc>
        <w:tc>
          <w:tcPr>
            <w:tcW w:w="850" w:type="dxa"/>
            <w:shd w:val="clear" w:color="auto" w:fill="auto"/>
          </w:tcPr>
          <w:p w14:paraId="746AE7A2" w14:textId="77777777" w:rsidR="008C7966" w:rsidRPr="00624C95" w:rsidRDefault="008C7966"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3.0%</w:t>
            </w:r>
          </w:p>
        </w:tc>
        <w:tc>
          <w:tcPr>
            <w:tcW w:w="851" w:type="dxa"/>
            <w:shd w:val="clear" w:color="auto" w:fill="auto"/>
            <w:noWrap/>
            <w:hideMark/>
          </w:tcPr>
          <w:p w14:paraId="444524CB" w14:textId="77777777" w:rsidR="008C7966" w:rsidRPr="00624C95" w:rsidRDefault="008C7966"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564</w:t>
            </w:r>
          </w:p>
        </w:tc>
        <w:tc>
          <w:tcPr>
            <w:tcW w:w="835" w:type="dxa"/>
            <w:shd w:val="clear" w:color="auto" w:fill="auto"/>
          </w:tcPr>
          <w:p w14:paraId="2BA14BCD" w14:textId="77777777" w:rsidR="008C7966" w:rsidRPr="00624C95" w:rsidRDefault="008C7966"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11·5%</w:t>
            </w:r>
          </w:p>
        </w:tc>
        <w:tc>
          <w:tcPr>
            <w:tcW w:w="1069" w:type="dxa"/>
            <w:shd w:val="clear" w:color="auto" w:fill="auto"/>
            <w:noWrap/>
            <w:hideMark/>
          </w:tcPr>
          <w:p w14:paraId="65E5B8F5" w14:textId="77777777" w:rsidR="008C7966" w:rsidRPr="00624C95" w:rsidRDefault="008C7966"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7·1</w:t>
            </w:r>
          </w:p>
        </w:tc>
      </w:tr>
      <w:tr w:rsidR="008C7966" w:rsidRPr="00624C95" w14:paraId="354420F8"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E198639" w14:textId="77777777" w:rsidR="008C7966" w:rsidRPr="00624C95" w:rsidRDefault="008C7966"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G81</w:t>
            </w:r>
          </w:p>
        </w:tc>
        <w:tc>
          <w:tcPr>
            <w:tcW w:w="3906" w:type="dxa"/>
            <w:shd w:val="clear" w:color="auto" w:fill="auto"/>
            <w:hideMark/>
          </w:tcPr>
          <w:p w14:paraId="743F0043" w14:textId="77777777" w:rsidR="008C7966" w:rsidRPr="00624C95" w:rsidRDefault="008C7966"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Hemiplegia</w:t>
            </w:r>
          </w:p>
        </w:tc>
        <w:tc>
          <w:tcPr>
            <w:tcW w:w="993" w:type="dxa"/>
            <w:shd w:val="clear" w:color="auto" w:fill="auto"/>
            <w:noWrap/>
            <w:hideMark/>
          </w:tcPr>
          <w:p w14:paraId="2FF9F617" w14:textId="77777777" w:rsidR="008C7966" w:rsidRPr="00624C95" w:rsidRDefault="008C7966"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332</w:t>
            </w:r>
          </w:p>
        </w:tc>
        <w:tc>
          <w:tcPr>
            <w:tcW w:w="850" w:type="dxa"/>
            <w:shd w:val="clear" w:color="auto" w:fill="auto"/>
          </w:tcPr>
          <w:p w14:paraId="23628BA0" w14:textId="77777777" w:rsidR="008C7966" w:rsidRPr="00624C95" w:rsidRDefault="008C7966"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c>
          <w:tcPr>
            <w:tcW w:w="851" w:type="dxa"/>
            <w:shd w:val="clear" w:color="auto" w:fill="auto"/>
            <w:noWrap/>
            <w:hideMark/>
          </w:tcPr>
          <w:p w14:paraId="1693469B" w14:textId="77777777" w:rsidR="008C7966" w:rsidRPr="00624C95" w:rsidRDefault="008C7966"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240</w:t>
            </w:r>
          </w:p>
        </w:tc>
        <w:tc>
          <w:tcPr>
            <w:tcW w:w="835" w:type="dxa"/>
            <w:shd w:val="clear" w:color="auto" w:fill="auto"/>
          </w:tcPr>
          <w:p w14:paraId="2B0854BE" w14:textId="77777777" w:rsidR="008C7966" w:rsidRPr="00624C95" w:rsidRDefault="008C7966"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4·9%</w:t>
            </w:r>
          </w:p>
        </w:tc>
        <w:tc>
          <w:tcPr>
            <w:tcW w:w="1069" w:type="dxa"/>
            <w:shd w:val="clear" w:color="auto" w:fill="auto"/>
            <w:noWrap/>
            <w:hideMark/>
          </w:tcPr>
          <w:p w14:paraId="79A7CBD8" w14:textId="77777777" w:rsidR="008C7966" w:rsidRPr="00624C95" w:rsidRDefault="008C7966"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4·4</w:t>
            </w:r>
          </w:p>
        </w:tc>
      </w:tr>
      <w:tr w:rsidR="008C7966" w:rsidRPr="00624C95" w14:paraId="06BDD0A1"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1B19B8B" w14:textId="77777777" w:rsidR="008C7966" w:rsidRPr="00624C95" w:rsidRDefault="008C7966"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G30</w:t>
            </w:r>
          </w:p>
        </w:tc>
        <w:tc>
          <w:tcPr>
            <w:tcW w:w="3906" w:type="dxa"/>
            <w:shd w:val="clear" w:color="auto" w:fill="auto"/>
            <w:hideMark/>
          </w:tcPr>
          <w:p w14:paraId="65A8E7FB" w14:textId="77777777" w:rsidR="008C7966" w:rsidRPr="00624C95" w:rsidRDefault="008C7966"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Alzheimer's disease</w:t>
            </w:r>
          </w:p>
        </w:tc>
        <w:tc>
          <w:tcPr>
            <w:tcW w:w="993" w:type="dxa"/>
            <w:shd w:val="clear" w:color="auto" w:fill="auto"/>
            <w:noWrap/>
            <w:hideMark/>
          </w:tcPr>
          <w:p w14:paraId="1BD862C6" w14:textId="77777777" w:rsidR="008C7966" w:rsidRPr="00624C95" w:rsidRDefault="008C7966"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1,107</w:t>
            </w:r>
          </w:p>
        </w:tc>
        <w:tc>
          <w:tcPr>
            <w:tcW w:w="850" w:type="dxa"/>
            <w:shd w:val="clear" w:color="auto" w:fill="auto"/>
          </w:tcPr>
          <w:p w14:paraId="5752108F" w14:textId="77777777" w:rsidR="008C7966" w:rsidRPr="00624C95" w:rsidRDefault="008C7966"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5.0%</w:t>
            </w:r>
          </w:p>
        </w:tc>
        <w:tc>
          <w:tcPr>
            <w:tcW w:w="851" w:type="dxa"/>
            <w:shd w:val="clear" w:color="auto" w:fill="auto"/>
            <w:noWrap/>
            <w:hideMark/>
          </w:tcPr>
          <w:p w14:paraId="0252147F" w14:textId="77777777" w:rsidR="008C7966" w:rsidRPr="00624C95" w:rsidRDefault="008C7966"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751</w:t>
            </w:r>
          </w:p>
        </w:tc>
        <w:tc>
          <w:tcPr>
            <w:tcW w:w="835" w:type="dxa"/>
            <w:shd w:val="clear" w:color="auto" w:fill="auto"/>
          </w:tcPr>
          <w:p w14:paraId="21E8F7BF" w14:textId="77777777" w:rsidR="008C7966" w:rsidRPr="00624C95" w:rsidRDefault="008C7966"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15·3%</w:t>
            </w:r>
          </w:p>
        </w:tc>
        <w:tc>
          <w:tcPr>
            <w:tcW w:w="1069" w:type="dxa"/>
            <w:shd w:val="clear" w:color="auto" w:fill="auto"/>
            <w:noWrap/>
            <w:hideMark/>
          </w:tcPr>
          <w:p w14:paraId="0175294B" w14:textId="77777777" w:rsidR="008C7966" w:rsidRPr="00624C95" w:rsidRDefault="008C7966"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4·0</w:t>
            </w:r>
          </w:p>
        </w:tc>
      </w:tr>
      <w:tr w:rsidR="008C7966" w:rsidRPr="00624C95" w14:paraId="048D748E"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AF974AD" w14:textId="77777777" w:rsidR="008C7966" w:rsidRPr="00624C95" w:rsidRDefault="008C7966"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I69</w:t>
            </w:r>
          </w:p>
        </w:tc>
        <w:tc>
          <w:tcPr>
            <w:tcW w:w="3906" w:type="dxa"/>
            <w:shd w:val="clear" w:color="auto" w:fill="auto"/>
            <w:hideMark/>
          </w:tcPr>
          <w:p w14:paraId="0EFDDB11" w14:textId="77777777" w:rsidR="008C7966" w:rsidRPr="00624C95" w:rsidRDefault="008C7966"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Sequelae of cerebrovascular disease (secondary codes)</w:t>
            </w:r>
          </w:p>
        </w:tc>
        <w:tc>
          <w:tcPr>
            <w:tcW w:w="993" w:type="dxa"/>
            <w:shd w:val="clear" w:color="auto" w:fill="auto"/>
            <w:noWrap/>
            <w:hideMark/>
          </w:tcPr>
          <w:p w14:paraId="3BC9DE9D" w14:textId="77777777" w:rsidR="008C7966" w:rsidRPr="00624C95" w:rsidRDefault="008C7966"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509</w:t>
            </w:r>
          </w:p>
        </w:tc>
        <w:tc>
          <w:tcPr>
            <w:tcW w:w="850" w:type="dxa"/>
            <w:shd w:val="clear" w:color="auto" w:fill="auto"/>
          </w:tcPr>
          <w:p w14:paraId="4A6DF2CB" w14:textId="77777777" w:rsidR="008C7966" w:rsidRPr="00624C95" w:rsidRDefault="008C7966"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2.3%</w:t>
            </w:r>
          </w:p>
        </w:tc>
        <w:tc>
          <w:tcPr>
            <w:tcW w:w="851" w:type="dxa"/>
            <w:shd w:val="clear" w:color="auto" w:fill="auto"/>
            <w:noWrap/>
            <w:hideMark/>
          </w:tcPr>
          <w:p w14:paraId="770833B4" w14:textId="77777777" w:rsidR="008C7966" w:rsidRPr="00624C95" w:rsidRDefault="008C7966"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343</w:t>
            </w:r>
          </w:p>
        </w:tc>
        <w:tc>
          <w:tcPr>
            <w:tcW w:w="835" w:type="dxa"/>
            <w:shd w:val="clear" w:color="auto" w:fill="auto"/>
          </w:tcPr>
          <w:p w14:paraId="10B4780E" w14:textId="77777777" w:rsidR="008C7966" w:rsidRPr="00624C95" w:rsidRDefault="008C7966"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7·0%</w:t>
            </w:r>
          </w:p>
        </w:tc>
        <w:tc>
          <w:tcPr>
            <w:tcW w:w="1069" w:type="dxa"/>
            <w:shd w:val="clear" w:color="auto" w:fill="auto"/>
            <w:noWrap/>
            <w:hideMark/>
          </w:tcPr>
          <w:p w14:paraId="766E67B5" w14:textId="77777777" w:rsidR="008C7966" w:rsidRPr="00624C95" w:rsidRDefault="008C7966"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3·7</w:t>
            </w:r>
          </w:p>
        </w:tc>
      </w:tr>
      <w:tr w:rsidR="00624C95" w:rsidRPr="00624C95" w14:paraId="3DFA7AF5"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1BD3158"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R29</w:t>
            </w:r>
          </w:p>
        </w:tc>
        <w:tc>
          <w:tcPr>
            <w:tcW w:w="3906" w:type="dxa"/>
            <w:shd w:val="clear" w:color="auto" w:fill="auto"/>
            <w:hideMark/>
          </w:tcPr>
          <w:p w14:paraId="121ADAEF"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symptoms and signs involving the nervous and musculoskeletal systems (R29·6 Tendency to fall)</w:t>
            </w:r>
          </w:p>
        </w:tc>
        <w:tc>
          <w:tcPr>
            <w:tcW w:w="993" w:type="dxa"/>
            <w:shd w:val="clear" w:color="auto" w:fill="auto"/>
            <w:noWrap/>
          </w:tcPr>
          <w:p w14:paraId="2B4DADC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w:t>
            </w:r>
            <w:r>
              <w:rPr>
                <w:rFonts w:ascii="Times New Roman" w:hAnsi="Times New Roman" w:cs="Times New Roman"/>
                <w:sz w:val="20"/>
                <w:szCs w:val="20"/>
              </w:rPr>
              <w:t>,</w:t>
            </w:r>
            <w:r w:rsidRPr="00624C95">
              <w:rPr>
                <w:rFonts w:ascii="Times New Roman" w:hAnsi="Times New Roman" w:cs="Times New Roman"/>
                <w:sz w:val="20"/>
                <w:szCs w:val="20"/>
              </w:rPr>
              <w:t>140</w:t>
            </w:r>
          </w:p>
        </w:tc>
        <w:tc>
          <w:tcPr>
            <w:tcW w:w="850" w:type="dxa"/>
            <w:shd w:val="clear" w:color="auto" w:fill="auto"/>
          </w:tcPr>
          <w:p w14:paraId="5E0FC86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18·7%</w:t>
            </w:r>
          </w:p>
        </w:tc>
        <w:tc>
          <w:tcPr>
            <w:tcW w:w="851" w:type="dxa"/>
            <w:shd w:val="clear" w:color="auto" w:fill="auto"/>
            <w:noWrap/>
          </w:tcPr>
          <w:p w14:paraId="1E8760CC"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429</w:t>
            </w:r>
          </w:p>
        </w:tc>
        <w:tc>
          <w:tcPr>
            <w:tcW w:w="835" w:type="dxa"/>
            <w:shd w:val="clear" w:color="auto" w:fill="auto"/>
          </w:tcPr>
          <w:p w14:paraId="4A993BF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49·5%</w:t>
            </w:r>
          </w:p>
        </w:tc>
        <w:tc>
          <w:tcPr>
            <w:tcW w:w="1069" w:type="dxa"/>
            <w:shd w:val="clear" w:color="auto" w:fill="auto"/>
            <w:noWrap/>
            <w:hideMark/>
          </w:tcPr>
          <w:p w14:paraId="739F367E"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3·6</w:t>
            </w:r>
          </w:p>
        </w:tc>
      </w:tr>
      <w:tr w:rsidR="00624C95" w:rsidRPr="00624C95" w14:paraId="2ECAE391"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D4BD428"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N39</w:t>
            </w:r>
          </w:p>
        </w:tc>
        <w:tc>
          <w:tcPr>
            <w:tcW w:w="3906" w:type="dxa"/>
            <w:shd w:val="clear" w:color="auto" w:fill="auto"/>
            <w:hideMark/>
          </w:tcPr>
          <w:p w14:paraId="7116E37C"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disorders of urinary system (includes urinary tract infection and urinary incontinence)</w:t>
            </w:r>
          </w:p>
        </w:tc>
        <w:tc>
          <w:tcPr>
            <w:tcW w:w="993" w:type="dxa"/>
            <w:shd w:val="clear" w:color="auto" w:fill="auto"/>
            <w:noWrap/>
          </w:tcPr>
          <w:p w14:paraId="16220DE7"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w:t>
            </w:r>
            <w:r>
              <w:rPr>
                <w:rFonts w:ascii="Times New Roman" w:hAnsi="Times New Roman" w:cs="Times New Roman"/>
                <w:sz w:val="20"/>
                <w:szCs w:val="20"/>
              </w:rPr>
              <w:t>,</w:t>
            </w:r>
            <w:r w:rsidRPr="00624C95">
              <w:rPr>
                <w:rFonts w:ascii="Times New Roman" w:hAnsi="Times New Roman" w:cs="Times New Roman"/>
                <w:sz w:val="20"/>
                <w:szCs w:val="20"/>
              </w:rPr>
              <w:t>852</w:t>
            </w:r>
          </w:p>
        </w:tc>
        <w:tc>
          <w:tcPr>
            <w:tcW w:w="850" w:type="dxa"/>
            <w:shd w:val="clear" w:color="auto" w:fill="auto"/>
          </w:tcPr>
          <w:p w14:paraId="337C0227"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17·4%</w:t>
            </w:r>
          </w:p>
        </w:tc>
        <w:tc>
          <w:tcPr>
            <w:tcW w:w="851" w:type="dxa"/>
            <w:shd w:val="clear" w:color="auto" w:fill="auto"/>
            <w:noWrap/>
          </w:tcPr>
          <w:p w14:paraId="376B6497"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233</w:t>
            </w:r>
          </w:p>
        </w:tc>
        <w:tc>
          <w:tcPr>
            <w:tcW w:w="835" w:type="dxa"/>
            <w:shd w:val="clear" w:color="auto" w:fill="auto"/>
          </w:tcPr>
          <w:p w14:paraId="2DFEC734"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45·5%</w:t>
            </w:r>
          </w:p>
        </w:tc>
        <w:tc>
          <w:tcPr>
            <w:tcW w:w="1069" w:type="dxa"/>
            <w:shd w:val="clear" w:color="auto" w:fill="auto"/>
            <w:noWrap/>
            <w:hideMark/>
          </w:tcPr>
          <w:p w14:paraId="222CE145"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3·2</w:t>
            </w:r>
          </w:p>
        </w:tc>
      </w:tr>
      <w:tr w:rsidR="00624C95" w:rsidRPr="00624C95" w14:paraId="5088422C"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88900CD"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F05</w:t>
            </w:r>
          </w:p>
        </w:tc>
        <w:tc>
          <w:tcPr>
            <w:tcW w:w="3906" w:type="dxa"/>
            <w:shd w:val="clear" w:color="auto" w:fill="auto"/>
            <w:hideMark/>
          </w:tcPr>
          <w:p w14:paraId="7AF08B1E"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Delirium, not induced by alcohol and other psychoactive substances</w:t>
            </w:r>
          </w:p>
        </w:tc>
        <w:tc>
          <w:tcPr>
            <w:tcW w:w="993" w:type="dxa"/>
            <w:shd w:val="clear" w:color="auto" w:fill="auto"/>
            <w:noWrap/>
          </w:tcPr>
          <w:p w14:paraId="7915E52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328</w:t>
            </w:r>
          </w:p>
        </w:tc>
        <w:tc>
          <w:tcPr>
            <w:tcW w:w="850" w:type="dxa"/>
            <w:shd w:val="clear" w:color="auto" w:fill="auto"/>
          </w:tcPr>
          <w:p w14:paraId="5804C85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6·0%</w:t>
            </w:r>
          </w:p>
        </w:tc>
        <w:tc>
          <w:tcPr>
            <w:tcW w:w="851" w:type="dxa"/>
            <w:shd w:val="clear" w:color="auto" w:fill="auto"/>
            <w:noWrap/>
          </w:tcPr>
          <w:p w14:paraId="4A864383"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923</w:t>
            </w:r>
          </w:p>
        </w:tc>
        <w:tc>
          <w:tcPr>
            <w:tcW w:w="835" w:type="dxa"/>
            <w:shd w:val="clear" w:color="auto" w:fill="auto"/>
          </w:tcPr>
          <w:p w14:paraId="1BD8E23E"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18·8%</w:t>
            </w:r>
          </w:p>
        </w:tc>
        <w:tc>
          <w:tcPr>
            <w:tcW w:w="1069" w:type="dxa"/>
            <w:shd w:val="clear" w:color="auto" w:fill="auto"/>
            <w:noWrap/>
            <w:hideMark/>
          </w:tcPr>
          <w:p w14:paraId="6A6C1C58"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3·2</w:t>
            </w:r>
          </w:p>
        </w:tc>
      </w:tr>
      <w:tr w:rsidR="00624C95" w:rsidRPr="00624C95" w14:paraId="3F947D4E"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65F6289"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W19</w:t>
            </w:r>
          </w:p>
        </w:tc>
        <w:tc>
          <w:tcPr>
            <w:tcW w:w="3906" w:type="dxa"/>
            <w:shd w:val="clear" w:color="auto" w:fill="auto"/>
            <w:hideMark/>
          </w:tcPr>
          <w:p w14:paraId="6453DF5C"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Unspecified fall</w:t>
            </w:r>
          </w:p>
        </w:tc>
        <w:tc>
          <w:tcPr>
            <w:tcW w:w="993" w:type="dxa"/>
            <w:shd w:val="clear" w:color="auto" w:fill="auto"/>
            <w:noWrap/>
          </w:tcPr>
          <w:p w14:paraId="00ACB21B"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568</w:t>
            </w:r>
          </w:p>
        </w:tc>
        <w:tc>
          <w:tcPr>
            <w:tcW w:w="850" w:type="dxa"/>
            <w:shd w:val="clear" w:color="auto" w:fill="auto"/>
          </w:tcPr>
          <w:p w14:paraId="7C39559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11·6%</w:t>
            </w:r>
          </w:p>
        </w:tc>
        <w:tc>
          <w:tcPr>
            <w:tcW w:w="851" w:type="dxa"/>
            <w:shd w:val="clear" w:color="auto" w:fill="auto"/>
            <w:noWrap/>
          </w:tcPr>
          <w:p w14:paraId="3E94E935"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462</w:t>
            </w:r>
          </w:p>
        </w:tc>
        <w:tc>
          <w:tcPr>
            <w:tcW w:w="835" w:type="dxa"/>
            <w:shd w:val="clear" w:color="auto" w:fill="auto"/>
          </w:tcPr>
          <w:p w14:paraId="71C35E8F"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29·8%</w:t>
            </w:r>
          </w:p>
        </w:tc>
        <w:tc>
          <w:tcPr>
            <w:tcW w:w="1069" w:type="dxa"/>
            <w:shd w:val="clear" w:color="auto" w:fill="auto"/>
            <w:noWrap/>
            <w:hideMark/>
          </w:tcPr>
          <w:p w14:paraId="6F0F78A6"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3·2</w:t>
            </w:r>
          </w:p>
        </w:tc>
      </w:tr>
      <w:tr w:rsidR="00624C95" w:rsidRPr="00624C95" w14:paraId="23D9C80F"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E97DCB2"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S00</w:t>
            </w:r>
          </w:p>
        </w:tc>
        <w:tc>
          <w:tcPr>
            <w:tcW w:w="3906" w:type="dxa"/>
            <w:shd w:val="clear" w:color="auto" w:fill="auto"/>
            <w:hideMark/>
          </w:tcPr>
          <w:p w14:paraId="62FA7DD1"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Superficial injury of head</w:t>
            </w:r>
          </w:p>
        </w:tc>
        <w:tc>
          <w:tcPr>
            <w:tcW w:w="993" w:type="dxa"/>
            <w:shd w:val="clear" w:color="auto" w:fill="auto"/>
            <w:noWrap/>
          </w:tcPr>
          <w:p w14:paraId="3EB99D0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886</w:t>
            </w:r>
          </w:p>
        </w:tc>
        <w:tc>
          <w:tcPr>
            <w:tcW w:w="850" w:type="dxa"/>
            <w:shd w:val="clear" w:color="auto" w:fill="auto"/>
          </w:tcPr>
          <w:p w14:paraId="71C926A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4·0%</w:t>
            </w:r>
          </w:p>
        </w:tc>
        <w:tc>
          <w:tcPr>
            <w:tcW w:w="851" w:type="dxa"/>
            <w:shd w:val="clear" w:color="auto" w:fill="auto"/>
            <w:noWrap/>
          </w:tcPr>
          <w:p w14:paraId="4CDC8EBD"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569</w:t>
            </w:r>
          </w:p>
        </w:tc>
        <w:tc>
          <w:tcPr>
            <w:tcW w:w="835" w:type="dxa"/>
            <w:shd w:val="clear" w:color="auto" w:fill="auto"/>
          </w:tcPr>
          <w:p w14:paraId="445CB9CF"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11·6%</w:t>
            </w:r>
          </w:p>
        </w:tc>
        <w:tc>
          <w:tcPr>
            <w:tcW w:w="1069" w:type="dxa"/>
            <w:shd w:val="clear" w:color="auto" w:fill="auto"/>
            <w:noWrap/>
            <w:hideMark/>
          </w:tcPr>
          <w:p w14:paraId="3451092D"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3·2</w:t>
            </w:r>
          </w:p>
        </w:tc>
      </w:tr>
      <w:tr w:rsidR="00624C95" w:rsidRPr="00624C95" w14:paraId="62B6E96B"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4DCB094"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R31</w:t>
            </w:r>
          </w:p>
        </w:tc>
        <w:tc>
          <w:tcPr>
            <w:tcW w:w="3906" w:type="dxa"/>
            <w:shd w:val="clear" w:color="auto" w:fill="auto"/>
            <w:hideMark/>
          </w:tcPr>
          <w:p w14:paraId="516F0265"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Unspecified haematuria</w:t>
            </w:r>
          </w:p>
        </w:tc>
        <w:tc>
          <w:tcPr>
            <w:tcW w:w="993" w:type="dxa"/>
            <w:shd w:val="clear" w:color="auto" w:fill="auto"/>
            <w:noWrap/>
          </w:tcPr>
          <w:p w14:paraId="2ABBB46F"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708</w:t>
            </w:r>
          </w:p>
        </w:tc>
        <w:tc>
          <w:tcPr>
            <w:tcW w:w="850" w:type="dxa"/>
            <w:shd w:val="clear" w:color="auto" w:fill="auto"/>
          </w:tcPr>
          <w:p w14:paraId="7E05D4B2"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3·2%</w:t>
            </w:r>
          </w:p>
        </w:tc>
        <w:tc>
          <w:tcPr>
            <w:tcW w:w="851" w:type="dxa"/>
            <w:shd w:val="clear" w:color="auto" w:fill="auto"/>
            <w:noWrap/>
          </w:tcPr>
          <w:p w14:paraId="40BDB0B8"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309</w:t>
            </w:r>
          </w:p>
        </w:tc>
        <w:tc>
          <w:tcPr>
            <w:tcW w:w="835" w:type="dxa"/>
            <w:shd w:val="clear" w:color="auto" w:fill="auto"/>
          </w:tcPr>
          <w:p w14:paraId="483146A7"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6·3%</w:t>
            </w:r>
          </w:p>
        </w:tc>
        <w:tc>
          <w:tcPr>
            <w:tcW w:w="1069" w:type="dxa"/>
            <w:shd w:val="clear" w:color="auto" w:fill="auto"/>
            <w:noWrap/>
            <w:hideMark/>
          </w:tcPr>
          <w:p w14:paraId="25705D45"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3·0</w:t>
            </w:r>
          </w:p>
        </w:tc>
      </w:tr>
      <w:tr w:rsidR="00624C95" w:rsidRPr="00624C95" w14:paraId="6FCC33CE"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E25A768"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B96</w:t>
            </w:r>
          </w:p>
        </w:tc>
        <w:tc>
          <w:tcPr>
            <w:tcW w:w="3906" w:type="dxa"/>
            <w:shd w:val="clear" w:color="auto" w:fill="auto"/>
            <w:hideMark/>
          </w:tcPr>
          <w:p w14:paraId="25940C16"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bacterial agents as the cause of diseases classified to other chapters (secondary code)</w:t>
            </w:r>
          </w:p>
        </w:tc>
        <w:tc>
          <w:tcPr>
            <w:tcW w:w="993" w:type="dxa"/>
            <w:shd w:val="clear" w:color="auto" w:fill="auto"/>
            <w:noWrap/>
          </w:tcPr>
          <w:p w14:paraId="3BA07086"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395</w:t>
            </w:r>
          </w:p>
        </w:tc>
        <w:tc>
          <w:tcPr>
            <w:tcW w:w="850" w:type="dxa"/>
            <w:shd w:val="clear" w:color="auto" w:fill="auto"/>
          </w:tcPr>
          <w:p w14:paraId="150997EE"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6·3%</w:t>
            </w:r>
          </w:p>
        </w:tc>
        <w:tc>
          <w:tcPr>
            <w:tcW w:w="851" w:type="dxa"/>
            <w:shd w:val="clear" w:color="auto" w:fill="auto"/>
            <w:noWrap/>
          </w:tcPr>
          <w:p w14:paraId="2C16315F"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918</w:t>
            </w:r>
          </w:p>
        </w:tc>
        <w:tc>
          <w:tcPr>
            <w:tcW w:w="835" w:type="dxa"/>
            <w:shd w:val="clear" w:color="auto" w:fill="auto"/>
          </w:tcPr>
          <w:p w14:paraId="6A70CDEB"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18·7%</w:t>
            </w:r>
          </w:p>
        </w:tc>
        <w:tc>
          <w:tcPr>
            <w:tcW w:w="1069" w:type="dxa"/>
            <w:shd w:val="clear" w:color="auto" w:fill="auto"/>
            <w:noWrap/>
            <w:hideMark/>
          </w:tcPr>
          <w:p w14:paraId="0498AA5C"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2·9</w:t>
            </w:r>
          </w:p>
        </w:tc>
      </w:tr>
      <w:tr w:rsidR="00624C95" w:rsidRPr="00624C95" w14:paraId="2AFB094E"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07EC625F"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R41</w:t>
            </w:r>
          </w:p>
        </w:tc>
        <w:tc>
          <w:tcPr>
            <w:tcW w:w="3906" w:type="dxa"/>
            <w:shd w:val="clear" w:color="auto" w:fill="auto"/>
            <w:hideMark/>
          </w:tcPr>
          <w:p w14:paraId="128685CB"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symptoms and signs involving cognitive functions and awareness</w:t>
            </w:r>
          </w:p>
        </w:tc>
        <w:tc>
          <w:tcPr>
            <w:tcW w:w="993" w:type="dxa"/>
            <w:shd w:val="clear" w:color="auto" w:fill="auto"/>
            <w:noWrap/>
          </w:tcPr>
          <w:p w14:paraId="4DC787D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037</w:t>
            </w:r>
          </w:p>
        </w:tc>
        <w:tc>
          <w:tcPr>
            <w:tcW w:w="850" w:type="dxa"/>
            <w:shd w:val="clear" w:color="auto" w:fill="auto"/>
          </w:tcPr>
          <w:p w14:paraId="7AB283A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9·2%</w:t>
            </w:r>
          </w:p>
        </w:tc>
        <w:tc>
          <w:tcPr>
            <w:tcW w:w="851" w:type="dxa"/>
            <w:shd w:val="clear" w:color="auto" w:fill="auto"/>
            <w:noWrap/>
          </w:tcPr>
          <w:p w14:paraId="2D710A30"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222</w:t>
            </w:r>
          </w:p>
        </w:tc>
        <w:tc>
          <w:tcPr>
            <w:tcW w:w="835" w:type="dxa"/>
            <w:shd w:val="clear" w:color="auto" w:fill="auto"/>
          </w:tcPr>
          <w:p w14:paraId="64A0A49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24·9%</w:t>
            </w:r>
          </w:p>
        </w:tc>
        <w:tc>
          <w:tcPr>
            <w:tcW w:w="1069" w:type="dxa"/>
            <w:shd w:val="clear" w:color="auto" w:fill="auto"/>
            <w:noWrap/>
            <w:hideMark/>
          </w:tcPr>
          <w:p w14:paraId="01D6DD79"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2·7</w:t>
            </w:r>
          </w:p>
        </w:tc>
      </w:tr>
      <w:tr w:rsidR="00624C95" w:rsidRPr="00624C95" w14:paraId="31976DFB"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BA0BE77"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R26</w:t>
            </w:r>
          </w:p>
        </w:tc>
        <w:tc>
          <w:tcPr>
            <w:tcW w:w="3906" w:type="dxa"/>
            <w:shd w:val="clear" w:color="auto" w:fill="auto"/>
            <w:hideMark/>
          </w:tcPr>
          <w:p w14:paraId="60B7D6DC"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Abnormalities of gait and mobility</w:t>
            </w:r>
          </w:p>
        </w:tc>
        <w:tc>
          <w:tcPr>
            <w:tcW w:w="993" w:type="dxa"/>
            <w:shd w:val="clear" w:color="auto" w:fill="auto"/>
            <w:noWrap/>
          </w:tcPr>
          <w:p w14:paraId="07BAAB0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882</w:t>
            </w:r>
          </w:p>
        </w:tc>
        <w:tc>
          <w:tcPr>
            <w:tcW w:w="850" w:type="dxa"/>
            <w:shd w:val="clear" w:color="auto" w:fill="auto"/>
          </w:tcPr>
          <w:p w14:paraId="1F404E70"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8·5%</w:t>
            </w:r>
          </w:p>
        </w:tc>
        <w:tc>
          <w:tcPr>
            <w:tcW w:w="851" w:type="dxa"/>
            <w:shd w:val="clear" w:color="auto" w:fill="auto"/>
            <w:noWrap/>
          </w:tcPr>
          <w:p w14:paraId="010DF42F"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114</w:t>
            </w:r>
          </w:p>
        </w:tc>
        <w:tc>
          <w:tcPr>
            <w:tcW w:w="835" w:type="dxa"/>
            <w:shd w:val="clear" w:color="auto" w:fill="auto"/>
          </w:tcPr>
          <w:p w14:paraId="0F5D6C3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22·7%</w:t>
            </w:r>
          </w:p>
        </w:tc>
        <w:tc>
          <w:tcPr>
            <w:tcW w:w="1069" w:type="dxa"/>
            <w:shd w:val="clear" w:color="auto" w:fill="auto"/>
            <w:noWrap/>
            <w:hideMark/>
          </w:tcPr>
          <w:p w14:paraId="0E0D5C37"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2·6</w:t>
            </w:r>
          </w:p>
        </w:tc>
      </w:tr>
      <w:tr w:rsidR="00624C95" w:rsidRPr="00624C95" w14:paraId="79C83176"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962F6A9"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I67</w:t>
            </w:r>
          </w:p>
        </w:tc>
        <w:tc>
          <w:tcPr>
            <w:tcW w:w="3906" w:type="dxa"/>
            <w:shd w:val="clear" w:color="auto" w:fill="auto"/>
            <w:hideMark/>
          </w:tcPr>
          <w:p w14:paraId="049D83A2"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cerebrovascular diseases</w:t>
            </w:r>
          </w:p>
        </w:tc>
        <w:tc>
          <w:tcPr>
            <w:tcW w:w="993" w:type="dxa"/>
            <w:shd w:val="clear" w:color="auto" w:fill="auto"/>
            <w:noWrap/>
          </w:tcPr>
          <w:p w14:paraId="29CF8B99"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838</w:t>
            </w:r>
          </w:p>
        </w:tc>
        <w:tc>
          <w:tcPr>
            <w:tcW w:w="850" w:type="dxa"/>
            <w:shd w:val="clear" w:color="auto" w:fill="auto"/>
          </w:tcPr>
          <w:p w14:paraId="1A2B2F1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8·3%</w:t>
            </w:r>
          </w:p>
        </w:tc>
        <w:tc>
          <w:tcPr>
            <w:tcW w:w="851" w:type="dxa"/>
            <w:shd w:val="clear" w:color="auto" w:fill="auto"/>
            <w:noWrap/>
          </w:tcPr>
          <w:p w14:paraId="05BA0732"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050</w:t>
            </w:r>
          </w:p>
        </w:tc>
        <w:tc>
          <w:tcPr>
            <w:tcW w:w="835" w:type="dxa"/>
            <w:shd w:val="clear" w:color="auto" w:fill="auto"/>
          </w:tcPr>
          <w:p w14:paraId="4CB2BABB"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21·4%</w:t>
            </w:r>
          </w:p>
        </w:tc>
        <w:tc>
          <w:tcPr>
            <w:tcW w:w="1069" w:type="dxa"/>
            <w:shd w:val="clear" w:color="auto" w:fill="auto"/>
            <w:noWrap/>
            <w:hideMark/>
          </w:tcPr>
          <w:p w14:paraId="7FB2648B"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2·6</w:t>
            </w:r>
          </w:p>
        </w:tc>
      </w:tr>
      <w:tr w:rsidR="00624C95" w:rsidRPr="00624C95" w14:paraId="6549DA3C"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01E7D92"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R56</w:t>
            </w:r>
          </w:p>
        </w:tc>
        <w:tc>
          <w:tcPr>
            <w:tcW w:w="3906" w:type="dxa"/>
            <w:shd w:val="clear" w:color="auto" w:fill="auto"/>
            <w:hideMark/>
          </w:tcPr>
          <w:p w14:paraId="7CC40DB2"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Convulsions, not elsewhere classified</w:t>
            </w:r>
          </w:p>
        </w:tc>
        <w:tc>
          <w:tcPr>
            <w:tcW w:w="993" w:type="dxa"/>
            <w:shd w:val="clear" w:color="auto" w:fill="auto"/>
            <w:noWrap/>
          </w:tcPr>
          <w:p w14:paraId="084E66B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332</w:t>
            </w:r>
          </w:p>
        </w:tc>
        <w:tc>
          <w:tcPr>
            <w:tcW w:w="850" w:type="dxa"/>
            <w:shd w:val="clear" w:color="auto" w:fill="auto"/>
          </w:tcPr>
          <w:p w14:paraId="42C6660C"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c>
          <w:tcPr>
            <w:tcW w:w="851" w:type="dxa"/>
            <w:shd w:val="clear" w:color="auto" w:fill="auto"/>
            <w:noWrap/>
          </w:tcPr>
          <w:p w14:paraId="5045BAB7"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206</w:t>
            </w:r>
          </w:p>
        </w:tc>
        <w:tc>
          <w:tcPr>
            <w:tcW w:w="835" w:type="dxa"/>
            <w:shd w:val="clear" w:color="auto" w:fill="auto"/>
          </w:tcPr>
          <w:p w14:paraId="1E18EEF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4·2%</w:t>
            </w:r>
          </w:p>
        </w:tc>
        <w:tc>
          <w:tcPr>
            <w:tcW w:w="1069" w:type="dxa"/>
            <w:shd w:val="clear" w:color="auto" w:fill="auto"/>
            <w:noWrap/>
            <w:hideMark/>
          </w:tcPr>
          <w:p w14:paraId="3D93AC68"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2·6</w:t>
            </w:r>
          </w:p>
        </w:tc>
      </w:tr>
      <w:tr w:rsidR="00624C95" w:rsidRPr="00624C95" w14:paraId="176CDA54"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5D462270"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R40</w:t>
            </w:r>
          </w:p>
        </w:tc>
        <w:tc>
          <w:tcPr>
            <w:tcW w:w="3906" w:type="dxa"/>
            <w:shd w:val="clear" w:color="auto" w:fill="auto"/>
            <w:hideMark/>
          </w:tcPr>
          <w:p w14:paraId="66A3F914"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Somnolence, stupor and coma</w:t>
            </w:r>
          </w:p>
        </w:tc>
        <w:tc>
          <w:tcPr>
            <w:tcW w:w="993" w:type="dxa"/>
            <w:shd w:val="clear" w:color="auto" w:fill="auto"/>
            <w:noWrap/>
          </w:tcPr>
          <w:p w14:paraId="3B975EAA"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266</w:t>
            </w:r>
          </w:p>
        </w:tc>
        <w:tc>
          <w:tcPr>
            <w:tcW w:w="850" w:type="dxa"/>
            <w:shd w:val="clear" w:color="auto" w:fill="auto"/>
          </w:tcPr>
          <w:p w14:paraId="391776E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w:t>
            </w:r>
          </w:p>
        </w:tc>
        <w:tc>
          <w:tcPr>
            <w:tcW w:w="851" w:type="dxa"/>
            <w:shd w:val="clear" w:color="auto" w:fill="auto"/>
            <w:noWrap/>
          </w:tcPr>
          <w:p w14:paraId="543938E9"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177</w:t>
            </w:r>
          </w:p>
        </w:tc>
        <w:tc>
          <w:tcPr>
            <w:tcW w:w="835" w:type="dxa"/>
            <w:shd w:val="clear" w:color="auto" w:fill="auto"/>
          </w:tcPr>
          <w:p w14:paraId="324916F1"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3·6%</w:t>
            </w:r>
          </w:p>
        </w:tc>
        <w:tc>
          <w:tcPr>
            <w:tcW w:w="1069" w:type="dxa"/>
            <w:shd w:val="clear" w:color="auto" w:fill="auto"/>
            <w:noWrap/>
            <w:hideMark/>
          </w:tcPr>
          <w:p w14:paraId="3901DC4A"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2·5</w:t>
            </w:r>
          </w:p>
        </w:tc>
      </w:tr>
      <w:tr w:rsidR="00624C95" w:rsidRPr="00624C95" w14:paraId="1B74D31D"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6007B04"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T83</w:t>
            </w:r>
          </w:p>
        </w:tc>
        <w:tc>
          <w:tcPr>
            <w:tcW w:w="3906" w:type="dxa"/>
            <w:shd w:val="clear" w:color="auto" w:fill="auto"/>
            <w:hideMark/>
          </w:tcPr>
          <w:p w14:paraId="1B7C32A1"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Complications of genitourinary prosthetic devices, implants and grafts</w:t>
            </w:r>
          </w:p>
        </w:tc>
        <w:tc>
          <w:tcPr>
            <w:tcW w:w="993" w:type="dxa"/>
            <w:shd w:val="clear" w:color="auto" w:fill="auto"/>
            <w:noWrap/>
          </w:tcPr>
          <w:p w14:paraId="06AF0CBB"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244</w:t>
            </w:r>
          </w:p>
        </w:tc>
        <w:tc>
          <w:tcPr>
            <w:tcW w:w="850" w:type="dxa"/>
            <w:shd w:val="clear" w:color="auto" w:fill="auto"/>
          </w:tcPr>
          <w:p w14:paraId="048804EE"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c>
          <w:tcPr>
            <w:tcW w:w="851" w:type="dxa"/>
            <w:shd w:val="clear" w:color="auto" w:fill="auto"/>
            <w:noWrap/>
          </w:tcPr>
          <w:p w14:paraId="7131CB44"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147</w:t>
            </w:r>
          </w:p>
        </w:tc>
        <w:tc>
          <w:tcPr>
            <w:tcW w:w="835" w:type="dxa"/>
            <w:shd w:val="clear" w:color="auto" w:fill="auto"/>
          </w:tcPr>
          <w:p w14:paraId="1E4FE15F"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3·0%</w:t>
            </w:r>
          </w:p>
        </w:tc>
        <w:tc>
          <w:tcPr>
            <w:tcW w:w="1069" w:type="dxa"/>
            <w:shd w:val="clear" w:color="auto" w:fill="auto"/>
            <w:noWrap/>
            <w:hideMark/>
          </w:tcPr>
          <w:p w14:paraId="7985C21D"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2·4</w:t>
            </w:r>
          </w:p>
        </w:tc>
      </w:tr>
      <w:tr w:rsidR="00624C95" w:rsidRPr="00624C95" w14:paraId="75A4C816"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BD3CDAF"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S06</w:t>
            </w:r>
          </w:p>
        </w:tc>
        <w:tc>
          <w:tcPr>
            <w:tcW w:w="3906" w:type="dxa"/>
            <w:shd w:val="clear" w:color="auto" w:fill="auto"/>
            <w:hideMark/>
          </w:tcPr>
          <w:p w14:paraId="37869DB9"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Intracranial injury</w:t>
            </w:r>
          </w:p>
        </w:tc>
        <w:tc>
          <w:tcPr>
            <w:tcW w:w="993" w:type="dxa"/>
            <w:shd w:val="clear" w:color="auto" w:fill="auto"/>
            <w:noWrap/>
          </w:tcPr>
          <w:p w14:paraId="425D927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221</w:t>
            </w:r>
          </w:p>
        </w:tc>
        <w:tc>
          <w:tcPr>
            <w:tcW w:w="850" w:type="dxa"/>
            <w:shd w:val="clear" w:color="auto" w:fill="auto"/>
          </w:tcPr>
          <w:p w14:paraId="1AC85A9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c>
          <w:tcPr>
            <w:tcW w:w="851" w:type="dxa"/>
            <w:shd w:val="clear" w:color="auto" w:fill="auto"/>
            <w:noWrap/>
          </w:tcPr>
          <w:p w14:paraId="1347FC4B"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128</w:t>
            </w:r>
          </w:p>
        </w:tc>
        <w:tc>
          <w:tcPr>
            <w:tcW w:w="835" w:type="dxa"/>
            <w:shd w:val="clear" w:color="auto" w:fill="auto"/>
          </w:tcPr>
          <w:p w14:paraId="4BA68DE1"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2·6%</w:t>
            </w:r>
          </w:p>
        </w:tc>
        <w:tc>
          <w:tcPr>
            <w:tcW w:w="1069" w:type="dxa"/>
            <w:shd w:val="clear" w:color="auto" w:fill="auto"/>
            <w:noWrap/>
            <w:hideMark/>
          </w:tcPr>
          <w:p w14:paraId="4F9DD943"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2·4</w:t>
            </w:r>
          </w:p>
        </w:tc>
      </w:tr>
      <w:tr w:rsidR="00624C95" w:rsidRPr="00624C95" w14:paraId="452B6C47"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D9CF1A5"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lastRenderedPageBreak/>
              <w:t>S42</w:t>
            </w:r>
          </w:p>
        </w:tc>
        <w:tc>
          <w:tcPr>
            <w:tcW w:w="3906" w:type="dxa"/>
            <w:shd w:val="clear" w:color="auto" w:fill="auto"/>
            <w:hideMark/>
          </w:tcPr>
          <w:p w14:paraId="18EF3850"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Fracture of shoulder and upper arm</w:t>
            </w:r>
          </w:p>
        </w:tc>
        <w:tc>
          <w:tcPr>
            <w:tcW w:w="993" w:type="dxa"/>
            <w:shd w:val="clear" w:color="auto" w:fill="auto"/>
            <w:noWrap/>
          </w:tcPr>
          <w:p w14:paraId="2C5001B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266</w:t>
            </w:r>
          </w:p>
        </w:tc>
        <w:tc>
          <w:tcPr>
            <w:tcW w:w="850" w:type="dxa"/>
            <w:shd w:val="clear" w:color="auto" w:fill="auto"/>
          </w:tcPr>
          <w:p w14:paraId="145ED394"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w:t>
            </w:r>
          </w:p>
        </w:tc>
        <w:tc>
          <w:tcPr>
            <w:tcW w:w="851" w:type="dxa"/>
            <w:shd w:val="clear" w:color="auto" w:fill="auto"/>
            <w:noWrap/>
          </w:tcPr>
          <w:p w14:paraId="14E77F2E"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142</w:t>
            </w:r>
          </w:p>
        </w:tc>
        <w:tc>
          <w:tcPr>
            <w:tcW w:w="835" w:type="dxa"/>
            <w:shd w:val="clear" w:color="auto" w:fill="auto"/>
          </w:tcPr>
          <w:p w14:paraId="1006B3D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2·9%</w:t>
            </w:r>
          </w:p>
        </w:tc>
        <w:tc>
          <w:tcPr>
            <w:tcW w:w="1069" w:type="dxa"/>
            <w:shd w:val="clear" w:color="auto" w:fill="auto"/>
            <w:noWrap/>
            <w:hideMark/>
          </w:tcPr>
          <w:p w14:paraId="6C2E3EC8"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2·3</w:t>
            </w:r>
          </w:p>
        </w:tc>
      </w:tr>
      <w:tr w:rsidR="00624C95" w:rsidRPr="00624C95" w14:paraId="10FC3BD9"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DE5AFBE"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E87</w:t>
            </w:r>
          </w:p>
        </w:tc>
        <w:tc>
          <w:tcPr>
            <w:tcW w:w="3906" w:type="dxa"/>
            <w:shd w:val="clear" w:color="auto" w:fill="auto"/>
            <w:hideMark/>
          </w:tcPr>
          <w:p w14:paraId="5F93DE98"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disorders of fluid, electrolyte and acid-base balance</w:t>
            </w:r>
          </w:p>
        </w:tc>
        <w:tc>
          <w:tcPr>
            <w:tcW w:w="993" w:type="dxa"/>
            <w:shd w:val="clear" w:color="auto" w:fill="auto"/>
            <w:noWrap/>
          </w:tcPr>
          <w:p w14:paraId="46CF4D80"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546</w:t>
            </w:r>
          </w:p>
        </w:tc>
        <w:tc>
          <w:tcPr>
            <w:tcW w:w="850" w:type="dxa"/>
            <w:shd w:val="clear" w:color="auto" w:fill="auto"/>
          </w:tcPr>
          <w:p w14:paraId="19DD1100"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11·5%</w:t>
            </w:r>
          </w:p>
        </w:tc>
        <w:tc>
          <w:tcPr>
            <w:tcW w:w="851" w:type="dxa"/>
            <w:shd w:val="clear" w:color="auto" w:fill="auto"/>
            <w:noWrap/>
          </w:tcPr>
          <w:p w14:paraId="50E1FD3F"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251</w:t>
            </w:r>
          </w:p>
        </w:tc>
        <w:tc>
          <w:tcPr>
            <w:tcW w:w="835" w:type="dxa"/>
            <w:shd w:val="clear" w:color="auto" w:fill="auto"/>
          </w:tcPr>
          <w:p w14:paraId="08BD485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25·5%</w:t>
            </w:r>
          </w:p>
        </w:tc>
        <w:tc>
          <w:tcPr>
            <w:tcW w:w="1069" w:type="dxa"/>
            <w:shd w:val="clear" w:color="auto" w:fill="auto"/>
            <w:noWrap/>
            <w:hideMark/>
          </w:tcPr>
          <w:p w14:paraId="608CB4AD"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2·3</w:t>
            </w:r>
          </w:p>
        </w:tc>
      </w:tr>
      <w:tr w:rsidR="00624C95" w:rsidRPr="00624C95" w14:paraId="52EFACD0"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790B5FF"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M25</w:t>
            </w:r>
          </w:p>
        </w:tc>
        <w:tc>
          <w:tcPr>
            <w:tcW w:w="3906" w:type="dxa"/>
            <w:shd w:val="clear" w:color="auto" w:fill="auto"/>
            <w:hideMark/>
          </w:tcPr>
          <w:p w14:paraId="45A2BA06"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joint disorders, not elsewhere classified</w:t>
            </w:r>
          </w:p>
        </w:tc>
        <w:tc>
          <w:tcPr>
            <w:tcW w:w="993" w:type="dxa"/>
            <w:shd w:val="clear" w:color="auto" w:fill="auto"/>
            <w:noWrap/>
          </w:tcPr>
          <w:p w14:paraId="0EC74F7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262</w:t>
            </w:r>
          </w:p>
        </w:tc>
        <w:tc>
          <w:tcPr>
            <w:tcW w:w="850" w:type="dxa"/>
            <w:shd w:val="clear" w:color="auto" w:fill="auto"/>
          </w:tcPr>
          <w:p w14:paraId="0F409FE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5·7%</w:t>
            </w:r>
          </w:p>
        </w:tc>
        <w:tc>
          <w:tcPr>
            <w:tcW w:w="851" w:type="dxa"/>
            <w:shd w:val="clear" w:color="auto" w:fill="auto"/>
            <w:noWrap/>
          </w:tcPr>
          <w:p w14:paraId="3D429384"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648</w:t>
            </w:r>
          </w:p>
        </w:tc>
        <w:tc>
          <w:tcPr>
            <w:tcW w:w="835" w:type="dxa"/>
            <w:shd w:val="clear" w:color="auto" w:fill="auto"/>
          </w:tcPr>
          <w:p w14:paraId="3E2216CE"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13·2%</w:t>
            </w:r>
          </w:p>
        </w:tc>
        <w:tc>
          <w:tcPr>
            <w:tcW w:w="1069" w:type="dxa"/>
            <w:shd w:val="clear" w:color="auto" w:fill="auto"/>
            <w:noWrap/>
            <w:hideMark/>
          </w:tcPr>
          <w:p w14:paraId="3CD1AD3C"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2·3</w:t>
            </w:r>
          </w:p>
        </w:tc>
      </w:tr>
      <w:tr w:rsidR="00624C95" w:rsidRPr="00624C95" w14:paraId="1EFB9B40"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FC5957B"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E86</w:t>
            </w:r>
          </w:p>
        </w:tc>
        <w:tc>
          <w:tcPr>
            <w:tcW w:w="3906" w:type="dxa"/>
            <w:shd w:val="clear" w:color="auto" w:fill="auto"/>
            <w:hideMark/>
          </w:tcPr>
          <w:p w14:paraId="6A047B6E"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Volume depletion</w:t>
            </w:r>
          </w:p>
        </w:tc>
        <w:tc>
          <w:tcPr>
            <w:tcW w:w="993" w:type="dxa"/>
            <w:shd w:val="clear" w:color="auto" w:fill="auto"/>
            <w:noWrap/>
          </w:tcPr>
          <w:p w14:paraId="49000C71"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550</w:t>
            </w:r>
          </w:p>
        </w:tc>
        <w:tc>
          <w:tcPr>
            <w:tcW w:w="850" w:type="dxa"/>
            <w:shd w:val="clear" w:color="auto" w:fill="auto"/>
          </w:tcPr>
          <w:p w14:paraId="21EA30F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7·0%</w:t>
            </w:r>
          </w:p>
        </w:tc>
        <w:tc>
          <w:tcPr>
            <w:tcW w:w="851" w:type="dxa"/>
            <w:shd w:val="clear" w:color="auto" w:fill="auto"/>
            <w:noWrap/>
          </w:tcPr>
          <w:p w14:paraId="3064DBAE"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893</w:t>
            </w:r>
          </w:p>
        </w:tc>
        <w:tc>
          <w:tcPr>
            <w:tcW w:w="835" w:type="dxa"/>
            <w:shd w:val="clear" w:color="auto" w:fill="auto"/>
          </w:tcPr>
          <w:p w14:paraId="284C704A"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18·2%</w:t>
            </w:r>
          </w:p>
        </w:tc>
        <w:tc>
          <w:tcPr>
            <w:tcW w:w="1069" w:type="dxa"/>
            <w:shd w:val="clear" w:color="auto" w:fill="auto"/>
            <w:noWrap/>
            <w:hideMark/>
          </w:tcPr>
          <w:p w14:paraId="177C84B4"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2·3</w:t>
            </w:r>
          </w:p>
        </w:tc>
      </w:tr>
      <w:tr w:rsidR="00624C95" w:rsidRPr="00624C95" w14:paraId="6C9DC4B9"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57FA005"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R54</w:t>
            </w:r>
          </w:p>
        </w:tc>
        <w:tc>
          <w:tcPr>
            <w:tcW w:w="3906" w:type="dxa"/>
            <w:shd w:val="clear" w:color="auto" w:fill="auto"/>
            <w:hideMark/>
          </w:tcPr>
          <w:p w14:paraId="7C2ABB60"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Senility</w:t>
            </w:r>
          </w:p>
        </w:tc>
        <w:tc>
          <w:tcPr>
            <w:tcW w:w="993" w:type="dxa"/>
            <w:shd w:val="clear" w:color="auto" w:fill="auto"/>
            <w:noWrap/>
          </w:tcPr>
          <w:p w14:paraId="0E6350BB"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332</w:t>
            </w:r>
          </w:p>
        </w:tc>
        <w:tc>
          <w:tcPr>
            <w:tcW w:w="850" w:type="dxa"/>
            <w:shd w:val="clear" w:color="auto" w:fill="auto"/>
          </w:tcPr>
          <w:p w14:paraId="131CDD5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c>
          <w:tcPr>
            <w:tcW w:w="851" w:type="dxa"/>
            <w:shd w:val="clear" w:color="auto" w:fill="auto"/>
            <w:noWrap/>
          </w:tcPr>
          <w:p w14:paraId="5564306A"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211</w:t>
            </w:r>
          </w:p>
        </w:tc>
        <w:tc>
          <w:tcPr>
            <w:tcW w:w="835" w:type="dxa"/>
            <w:shd w:val="clear" w:color="auto" w:fill="auto"/>
          </w:tcPr>
          <w:p w14:paraId="7FA23C3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4·3%</w:t>
            </w:r>
          </w:p>
        </w:tc>
        <w:tc>
          <w:tcPr>
            <w:tcW w:w="1069" w:type="dxa"/>
            <w:shd w:val="clear" w:color="auto" w:fill="auto"/>
            <w:noWrap/>
            <w:hideMark/>
          </w:tcPr>
          <w:p w14:paraId="0DED8897"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2·2</w:t>
            </w:r>
          </w:p>
        </w:tc>
      </w:tr>
      <w:tr w:rsidR="00624C95" w:rsidRPr="00624C95" w14:paraId="068AF1B2"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B90CC10"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Z50</w:t>
            </w:r>
          </w:p>
        </w:tc>
        <w:tc>
          <w:tcPr>
            <w:tcW w:w="3906" w:type="dxa"/>
            <w:shd w:val="clear" w:color="auto" w:fill="auto"/>
            <w:hideMark/>
          </w:tcPr>
          <w:p w14:paraId="7CF18083"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Care involving use of rehabilitation procedures</w:t>
            </w:r>
          </w:p>
        </w:tc>
        <w:tc>
          <w:tcPr>
            <w:tcW w:w="993" w:type="dxa"/>
            <w:shd w:val="clear" w:color="auto" w:fill="auto"/>
            <w:noWrap/>
          </w:tcPr>
          <w:p w14:paraId="57DC27C9"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354</w:t>
            </w:r>
          </w:p>
        </w:tc>
        <w:tc>
          <w:tcPr>
            <w:tcW w:w="850" w:type="dxa"/>
            <w:shd w:val="clear" w:color="auto" w:fill="auto"/>
          </w:tcPr>
          <w:p w14:paraId="33EF302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w:t>
            </w:r>
          </w:p>
        </w:tc>
        <w:tc>
          <w:tcPr>
            <w:tcW w:w="851" w:type="dxa"/>
            <w:shd w:val="clear" w:color="auto" w:fill="auto"/>
            <w:noWrap/>
          </w:tcPr>
          <w:p w14:paraId="7A16EB62"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196</w:t>
            </w:r>
          </w:p>
        </w:tc>
        <w:tc>
          <w:tcPr>
            <w:tcW w:w="835" w:type="dxa"/>
            <w:shd w:val="clear" w:color="auto" w:fill="auto"/>
          </w:tcPr>
          <w:p w14:paraId="5C50F6A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4·0%</w:t>
            </w:r>
          </w:p>
        </w:tc>
        <w:tc>
          <w:tcPr>
            <w:tcW w:w="1069" w:type="dxa"/>
            <w:shd w:val="clear" w:color="auto" w:fill="auto"/>
            <w:noWrap/>
            <w:hideMark/>
          </w:tcPr>
          <w:p w14:paraId="2914303A"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2·1</w:t>
            </w:r>
          </w:p>
        </w:tc>
      </w:tr>
      <w:tr w:rsidR="00624C95" w:rsidRPr="00624C95" w14:paraId="0C85BFD4"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B66FE3A"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F03</w:t>
            </w:r>
          </w:p>
        </w:tc>
        <w:tc>
          <w:tcPr>
            <w:tcW w:w="3906" w:type="dxa"/>
            <w:shd w:val="clear" w:color="auto" w:fill="auto"/>
            <w:hideMark/>
          </w:tcPr>
          <w:p w14:paraId="5933B243"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Unspecified dementia</w:t>
            </w:r>
          </w:p>
        </w:tc>
        <w:tc>
          <w:tcPr>
            <w:tcW w:w="993" w:type="dxa"/>
            <w:shd w:val="clear" w:color="auto" w:fill="auto"/>
            <w:noWrap/>
          </w:tcPr>
          <w:p w14:paraId="2F4AA136"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701</w:t>
            </w:r>
          </w:p>
        </w:tc>
        <w:tc>
          <w:tcPr>
            <w:tcW w:w="850" w:type="dxa"/>
            <w:shd w:val="clear" w:color="auto" w:fill="auto"/>
          </w:tcPr>
          <w:p w14:paraId="5D176B8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12·2%</w:t>
            </w:r>
          </w:p>
        </w:tc>
        <w:tc>
          <w:tcPr>
            <w:tcW w:w="851" w:type="dxa"/>
            <w:shd w:val="clear" w:color="auto" w:fill="auto"/>
            <w:noWrap/>
          </w:tcPr>
          <w:p w14:paraId="66853538"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433</w:t>
            </w:r>
          </w:p>
        </w:tc>
        <w:tc>
          <w:tcPr>
            <w:tcW w:w="835" w:type="dxa"/>
            <w:shd w:val="clear" w:color="auto" w:fill="auto"/>
          </w:tcPr>
          <w:p w14:paraId="1F578601"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29·2%</w:t>
            </w:r>
          </w:p>
        </w:tc>
        <w:tc>
          <w:tcPr>
            <w:tcW w:w="1069" w:type="dxa"/>
            <w:shd w:val="clear" w:color="auto" w:fill="auto"/>
            <w:noWrap/>
            <w:hideMark/>
          </w:tcPr>
          <w:p w14:paraId="7BBC93F9"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2·1</w:t>
            </w:r>
          </w:p>
        </w:tc>
      </w:tr>
      <w:tr w:rsidR="00624C95" w:rsidRPr="00624C95" w14:paraId="444AFBF4"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021CF1F9"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W18</w:t>
            </w:r>
          </w:p>
        </w:tc>
        <w:tc>
          <w:tcPr>
            <w:tcW w:w="3906" w:type="dxa"/>
            <w:shd w:val="clear" w:color="auto" w:fill="auto"/>
            <w:hideMark/>
          </w:tcPr>
          <w:p w14:paraId="2B7B9BA6"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fall on same level</w:t>
            </w:r>
          </w:p>
        </w:tc>
        <w:tc>
          <w:tcPr>
            <w:tcW w:w="993" w:type="dxa"/>
            <w:shd w:val="clear" w:color="auto" w:fill="auto"/>
            <w:noWrap/>
          </w:tcPr>
          <w:p w14:paraId="400F0001"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642</w:t>
            </w:r>
          </w:p>
        </w:tc>
        <w:tc>
          <w:tcPr>
            <w:tcW w:w="850" w:type="dxa"/>
            <w:shd w:val="clear" w:color="auto" w:fill="auto"/>
          </w:tcPr>
          <w:p w14:paraId="1A8008E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2·9%</w:t>
            </w:r>
          </w:p>
        </w:tc>
        <w:tc>
          <w:tcPr>
            <w:tcW w:w="851" w:type="dxa"/>
            <w:shd w:val="clear" w:color="auto" w:fill="auto"/>
            <w:noWrap/>
          </w:tcPr>
          <w:p w14:paraId="3CE20D90"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363</w:t>
            </w:r>
          </w:p>
        </w:tc>
        <w:tc>
          <w:tcPr>
            <w:tcW w:w="835" w:type="dxa"/>
            <w:shd w:val="clear" w:color="auto" w:fill="auto"/>
          </w:tcPr>
          <w:p w14:paraId="472F150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7·4%</w:t>
            </w:r>
          </w:p>
        </w:tc>
        <w:tc>
          <w:tcPr>
            <w:tcW w:w="1069" w:type="dxa"/>
            <w:shd w:val="clear" w:color="auto" w:fill="auto"/>
            <w:noWrap/>
            <w:hideMark/>
          </w:tcPr>
          <w:p w14:paraId="74463422"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2·1</w:t>
            </w:r>
          </w:p>
        </w:tc>
      </w:tr>
      <w:tr w:rsidR="00624C95" w:rsidRPr="00624C95" w14:paraId="2DD1E845"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0BB0A65F"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Z75</w:t>
            </w:r>
          </w:p>
        </w:tc>
        <w:tc>
          <w:tcPr>
            <w:tcW w:w="3906" w:type="dxa"/>
            <w:shd w:val="clear" w:color="auto" w:fill="auto"/>
            <w:hideMark/>
          </w:tcPr>
          <w:p w14:paraId="12EB3F1D"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Problems related to medical facilities and other health care</w:t>
            </w:r>
          </w:p>
        </w:tc>
        <w:tc>
          <w:tcPr>
            <w:tcW w:w="993" w:type="dxa"/>
            <w:shd w:val="clear" w:color="auto" w:fill="auto"/>
            <w:noWrap/>
          </w:tcPr>
          <w:p w14:paraId="65E102A4"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642</w:t>
            </w:r>
          </w:p>
        </w:tc>
        <w:tc>
          <w:tcPr>
            <w:tcW w:w="850" w:type="dxa"/>
            <w:shd w:val="clear" w:color="auto" w:fill="auto"/>
          </w:tcPr>
          <w:p w14:paraId="042F35E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2·9%</w:t>
            </w:r>
          </w:p>
        </w:tc>
        <w:tc>
          <w:tcPr>
            <w:tcW w:w="851" w:type="dxa"/>
            <w:shd w:val="clear" w:color="auto" w:fill="auto"/>
            <w:noWrap/>
          </w:tcPr>
          <w:p w14:paraId="2232CC96"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437</w:t>
            </w:r>
          </w:p>
        </w:tc>
        <w:tc>
          <w:tcPr>
            <w:tcW w:w="835" w:type="dxa"/>
            <w:shd w:val="clear" w:color="auto" w:fill="auto"/>
          </w:tcPr>
          <w:p w14:paraId="11DF53C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8·9%</w:t>
            </w:r>
          </w:p>
        </w:tc>
        <w:tc>
          <w:tcPr>
            <w:tcW w:w="1069" w:type="dxa"/>
            <w:shd w:val="clear" w:color="auto" w:fill="auto"/>
            <w:noWrap/>
            <w:hideMark/>
          </w:tcPr>
          <w:p w14:paraId="3F9E0FD3"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2·0</w:t>
            </w:r>
          </w:p>
        </w:tc>
      </w:tr>
      <w:tr w:rsidR="00624C95" w:rsidRPr="00624C95" w14:paraId="6D966CBA"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8C87801"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F01</w:t>
            </w:r>
          </w:p>
        </w:tc>
        <w:tc>
          <w:tcPr>
            <w:tcW w:w="3906" w:type="dxa"/>
            <w:shd w:val="clear" w:color="auto" w:fill="auto"/>
            <w:hideMark/>
          </w:tcPr>
          <w:p w14:paraId="6DB0AF81"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Vascular dementia</w:t>
            </w:r>
          </w:p>
        </w:tc>
        <w:tc>
          <w:tcPr>
            <w:tcW w:w="993" w:type="dxa"/>
            <w:shd w:val="clear" w:color="auto" w:fill="auto"/>
            <w:noWrap/>
          </w:tcPr>
          <w:p w14:paraId="2E49CC5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863</w:t>
            </w:r>
          </w:p>
        </w:tc>
        <w:tc>
          <w:tcPr>
            <w:tcW w:w="850" w:type="dxa"/>
            <w:shd w:val="clear" w:color="auto" w:fill="auto"/>
          </w:tcPr>
          <w:p w14:paraId="603115C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3·9%</w:t>
            </w:r>
          </w:p>
        </w:tc>
        <w:tc>
          <w:tcPr>
            <w:tcW w:w="851" w:type="dxa"/>
            <w:shd w:val="clear" w:color="auto" w:fill="auto"/>
            <w:noWrap/>
          </w:tcPr>
          <w:p w14:paraId="561D238C"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491</w:t>
            </w:r>
          </w:p>
        </w:tc>
        <w:tc>
          <w:tcPr>
            <w:tcW w:w="835" w:type="dxa"/>
            <w:shd w:val="clear" w:color="auto" w:fill="auto"/>
          </w:tcPr>
          <w:p w14:paraId="36E98AC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10·0%</w:t>
            </w:r>
          </w:p>
        </w:tc>
        <w:tc>
          <w:tcPr>
            <w:tcW w:w="1069" w:type="dxa"/>
            <w:shd w:val="clear" w:color="auto" w:fill="auto"/>
            <w:noWrap/>
            <w:hideMark/>
          </w:tcPr>
          <w:p w14:paraId="387EA540"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2·0</w:t>
            </w:r>
          </w:p>
        </w:tc>
      </w:tr>
      <w:tr w:rsidR="00624C95" w:rsidRPr="00624C95" w14:paraId="22EB340E"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ED60BAA"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S80</w:t>
            </w:r>
          </w:p>
        </w:tc>
        <w:tc>
          <w:tcPr>
            <w:tcW w:w="3906" w:type="dxa"/>
            <w:shd w:val="clear" w:color="auto" w:fill="auto"/>
            <w:hideMark/>
          </w:tcPr>
          <w:p w14:paraId="348A4868"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Superficial injury of lower leg</w:t>
            </w:r>
          </w:p>
        </w:tc>
        <w:tc>
          <w:tcPr>
            <w:tcW w:w="993" w:type="dxa"/>
            <w:shd w:val="clear" w:color="auto" w:fill="auto"/>
            <w:noWrap/>
          </w:tcPr>
          <w:p w14:paraId="38089AD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244</w:t>
            </w:r>
          </w:p>
        </w:tc>
        <w:tc>
          <w:tcPr>
            <w:tcW w:w="850" w:type="dxa"/>
            <w:shd w:val="clear" w:color="auto" w:fill="auto"/>
          </w:tcPr>
          <w:p w14:paraId="3D291ADF"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c>
          <w:tcPr>
            <w:tcW w:w="851" w:type="dxa"/>
            <w:shd w:val="clear" w:color="auto" w:fill="auto"/>
            <w:noWrap/>
          </w:tcPr>
          <w:p w14:paraId="6CF8C503"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152</w:t>
            </w:r>
          </w:p>
        </w:tc>
        <w:tc>
          <w:tcPr>
            <w:tcW w:w="835" w:type="dxa"/>
            <w:shd w:val="clear" w:color="auto" w:fill="auto"/>
          </w:tcPr>
          <w:p w14:paraId="1EAAE26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3·1%</w:t>
            </w:r>
          </w:p>
        </w:tc>
        <w:tc>
          <w:tcPr>
            <w:tcW w:w="1069" w:type="dxa"/>
            <w:shd w:val="clear" w:color="auto" w:fill="auto"/>
            <w:noWrap/>
            <w:hideMark/>
          </w:tcPr>
          <w:p w14:paraId="1CBD3D73"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2·0</w:t>
            </w:r>
          </w:p>
        </w:tc>
      </w:tr>
      <w:tr w:rsidR="00624C95" w:rsidRPr="00624C95" w14:paraId="0270A9D3"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438B74E"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L03</w:t>
            </w:r>
          </w:p>
        </w:tc>
        <w:tc>
          <w:tcPr>
            <w:tcW w:w="3906" w:type="dxa"/>
            <w:shd w:val="clear" w:color="auto" w:fill="auto"/>
            <w:hideMark/>
          </w:tcPr>
          <w:p w14:paraId="7EDD0A57"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Cellulitis</w:t>
            </w:r>
          </w:p>
        </w:tc>
        <w:tc>
          <w:tcPr>
            <w:tcW w:w="993" w:type="dxa"/>
            <w:shd w:val="clear" w:color="auto" w:fill="auto"/>
            <w:noWrap/>
          </w:tcPr>
          <w:p w14:paraId="00E2B81A"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863</w:t>
            </w:r>
          </w:p>
        </w:tc>
        <w:tc>
          <w:tcPr>
            <w:tcW w:w="850" w:type="dxa"/>
            <w:shd w:val="clear" w:color="auto" w:fill="auto"/>
          </w:tcPr>
          <w:p w14:paraId="14BD60B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3·9%</w:t>
            </w:r>
          </w:p>
        </w:tc>
        <w:tc>
          <w:tcPr>
            <w:tcW w:w="851" w:type="dxa"/>
            <w:shd w:val="clear" w:color="auto" w:fill="auto"/>
            <w:noWrap/>
          </w:tcPr>
          <w:p w14:paraId="4034FB58"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422</w:t>
            </w:r>
          </w:p>
        </w:tc>
        <w:tc>
          <w:tcPr>
            <w:tcW w:w="835" w:type="dxa"/>
            <w:shd w:val="clear" w:color="auto" w:fill="auto"/>
          </w:tcPr>
          <w:p w14:paraId="4B9B254A"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8·6%</w:t>
            </w:r>
          </w:p>
        </w:tc>
        <w:tc>
          <w:tcPr>
            <w:tcW w:w="1069" w:type="dxa"/>
            <w:shd w:val="clear" w:color="auto" w:fill="auto"/>
            <w:noWrap/>
            <w:hideMark/>
          </w:tcPr>
          <w:p w14:paraId="19F2609A"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2·0</w:t>
            </w:r>
          </w:p>
        </w:tc>
      </w:tr>
      <w:tr w:rsidR="00624C95" w:rsidRPr="00624C95" w14:paraId="2AF22528"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72FA7C5"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H54</w:t>
            </w:r>
          </w:p>
        </w:tc>
        <w:tc>
          <w:tcPr>
            <w:tcW w:w="3906" w:type="dxa"/>
            <w:shd w:val="clear" w:color="auto" w:fill="auto"/>
            <w:hideMark/>
          </w:tcPr>
          <w:p w14:paraId="3A43F92D"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Blindness and low vision</w:t>
            </w:r>
          </w:p>
        </w:tc>
        <w:tc>
          <w:tcPr>
            <w:tcW w:w="993" w:type="dxa"/>
            <w:shd w:val="clear" w:color="auto" w:fill="auto"/>
            <w:noWrap/>
          </w:tcPr>
          <w:p w14:paraId="5CBAFE3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642</w:t>
            </w:r>
          </w:p>
        </w:tc>
        <w:tc>
          <w:tcPr>
            <w:tcW w:w="850" w:type="dxa"/>
            <w:shd w:val="clear" w:color="auto" w:fill="auto"/>
          </w:tcPr>
          <w:p w14:paraId="0CB6D5F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2·9%</w:t>
            </w:r>
          </w:p>
        </w:tc>
        <w:tc>
          <w:tcPr>
            <w:tcW w:w="851" w:type="dxa"/>
            <w:shd w:val="clear" w:color="auto" w:fill="auto"/>
            <w:noWrap/>
          </w:tcPr>
          <w:p w14:paraId="5D3B9D6D"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314</w:t>
            </w:r>
          </w:p>
        </w:tc>
        <w:tc>
          <w:tcPr>
            <w:tcW w:w="835" w:type="dxa"/>
            <w:shd w:val="clear" w:color="auto" w:fill="auto"/>
          </w:tcPr>
          <w:p w14:paraId="531354FC"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6·4%</w:t>
            </w:r>
          </w:p>
        </w:tc>
        <w:tc>
          <w:tcPr>
            <w:tcW w:w="1069" w:type="dxa"/>
            <w:shd w:val="clear" w:color="auto" w:fill="auto"/>
            <w:noWrap/>
            <w:hideMark/>
          </w:tcPr>
          <w:p w14:paraId="27B02117"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1·9</w:t>
            </w:r>
          </w:p>
        </w:tc>
      </w:tr>
      <w:tr w:rsidR="00624C95" w:rsidRPr="00624C95" w14:paraId="1EA19843"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688330B"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E53</w:t>
            </w:r>
          </w:p>
        </w:tc>
        <w:tc>
          <w:tcPr>
            <w:tcW w:w="3906" w:type="dxa"/>
            <w:shd w:val="clear" w:color="auto" w:fill="auto"/>
            <w:hideMark/>
          </w:tcPr>
          <w:p w14:paraId="521AF9B9"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Deficiency of other B group vitamins</w:t>
            </w:r>
          </w:p>
        </w:tc>
        <w:tc>
          <w:tcPr>
            <w:tcW w:w="993" w:type="dxa"/>
            <w:shd w:val="clear" w:color="auto" w:fill="auto"/>
            <w:noWrap/>
          </w:tcPr>
          <w:p w14:paraId="6FEB080B"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244</w:t>
            </w:r>
          </w:p>
        </w:tc>
        <w:tc>
          <w:tcPr>
            <w:tcW w:w="850" w:type="dxa"/>
            <w:shd w:val="clear" w:color="auto" w:fill="auto"/>
          </w:tcPr>
          <w:p w14:paraId="26A0860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c>
          <w:tcPr>
            <w:tcW w:w="851" w:type="dxa"/>
            <w:shd w:val="clear" w:color="auto" w:fill="auto"/>
            <w:noWrap/>
          </w:tcPr>
          <w:p w14:paraId="7742BA71"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123</w:t>
            </w:r>
          </w:p>
        </w:tc>
        <w:tc>
          <w:tcPr>
            <w:tcW w:w="835" w:type="dxa"/>
            <w:shd w:val="clear" w:color="auto" w:fill="auto"/>
          </w:tcPr>
          <w:p w14:paraId="55F7839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2·5%</w:t>
            </w:r>
          </w:p>
        </w:tc>
        <w:tc>
          <w:tcPr>
            <w:tcW w:w="1069" w:type="dxa"/>
            <w:shd w:val="clear" w:color="auto" w:fill="auto"/>
            <w:noWrap/>
            <w:hideMark/>
          </w:tcPr>
          <w:p w14:paraId="137F886E"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1·9</w:t>
            </w:r>
          </w:p>
        </w:tc>
      </w:tr>
      <w:tr w:rsidR="00624C95" w:rsidRPr="00624C95" w14:paraId="4B5F61A3"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85B13F0"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Z60</w:t>
            </w:r>
          </w:p>
        </w:tc>
        <w:tc>
          <w:tcPr>
            <w:tcW w:w="3906" w:type="dxa"/>
            <w:shd w:val="clear" w:color="auto" w:fill="auto"/>
            <w:hideMark/>
          </w:tcPr>
          <w:p w14:paraId="1918B09C"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Problems related to social environment</w:t>
            </w:r>
          </w:p>
        </w:tc>
        <w:tc>
          <w:tcPr>
            <w:tcW w:w="993" w:type="dxa"/>
            <w:shd w:val="clear" w:color="auto" w:fill="auto"/>
            <w:noWrap/>
          </w:tcPr>
          <w:p w14:paraId="633C2304"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487</w:t>
            </w:r>
          </w:p>
        </w:tc>
        <w:tc>
          <w:tcPr>
            <w:tcW w:w="850" w:type="dxa"/>
            <w:shd w:val="clear" w:color="auto" w:fill="auto"/>
          </w:tcPr>
          <w:p w14:paraId="1518423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2·2%</w:t>
            </w:r>
          </w:p>
        </w:tc>
        <w:tc>
          <w:tcPr>
            <w:tcW w:w="851" w:type="dxa"/>
            <w:shd w:val="clear" w:color="auto" w:fill="auto"/>
            <w:noWrap/>
          </w:tcPr>
          <w:p w14:paraId="5EB047A9"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240</w:t>
            </w:r>
          </w:p>
        </w:tc>
        <w:tc>
          <w:tcPr>
            <w:tcW w:w="835" w:type="dxa"/>
            <w:shd w:val="clear" w:color="auto" w:fill="auto"/>
          </w:tcPr>
          <w:p w14:paraId="2BBA13E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4·9%</w:t>
            </w:r>
          </w:p>
        </w:tc>
        <w:tc>
          <w:tcPr>
            <w:tcW w:w="1069" w:type="dxa"/>
            <w:shd w:val="clear" w:color="auto" w:fill="auto"/>
            <w:noWrap/>
            <w:hideMark/>
          </w:tcPr>
          <w:p w14:paraId="1C9997C0"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w:t>
            </w:r>
          </w:p>
        </w:tc>
      </w:tr>
      <w:tr w:rsidR="00624C95" w:rsidRPr="00624C95" w14:paraId="21CF3215"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5318F98"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G20</w:t>
            </w:r>
          </w:p>
        </w:tc>
        <w:tc>
          <w:tcPr>
            <w:tcW w:w="3906" w:type="dxa"/>
            <w:shd w:val="clear" w:color="auto" w:fill="auto"/>
            <w:hideMark/>
          </w:tcPr>
          <w:p w14:paraId="795E8AD7"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Parkinson's disease</w:t>
            </w:r>
          </w:p>
        </w:tc>
        <w:tc>
          <w:tcPr>
            <w:tcW w:w="993" w:type="dxa"/>
            <w:shd w:val="clear" w:color="auto" w:fill="auto"/>
            <w:noWrap/>
          </w:tcPr>
          <w:p w14:paraId="3B014507"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487</w:t>
            </w:r>
          </w:p>
        </w:tc>
        <w:tc>
          <w:tcPr>
            <w:tcW w:w="850" w:type="dxa"/>
            <w:shd w:val="clear" w:color="auto" w:fill="auto"/>
          </w:tcPr>
          <w:p w14:paraId="3AC1FF2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2·2%</w:t>
            </w:r>
          </w:p>
        </w:tc>
        <w:tc>
          <w:tcPr>
            <w:tcW w:w="851" w:type="dxa"/>
            <w:shd w:val="clear" w:color="auto" w:fill="auto"/>
            <w:noWrap/>
          </w:tcPr>
          <w:p w14:paraId="3F672ED3"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240</w:t>
            </w:r>
          </w:p>
        </w:tc>
        <w:tc>
          <w:tcPr>
            <w:tcW w:w="835" w:type="dxa"/>
            <w:shd w:val="clear" w:color="auto" w:fill="auto"/>
          </w:tcPr>
          <w:p w14:paraId="747C2772"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4·9%</w:t>
            </w:r>
          </w:p>
        </w:tc>
        <w:tc>
          <w:tcPr>
            <w:tcW w:w="1069" w:type="dxa"/>
            <w:shd w:val="clear" w:color="auto" w:fill="auto"/>
            <w:noWrap/>
            <w:hideMark/>
          </w:tcPr>
          <w:p w14:paraId="5A02359A"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w:t>
            </w:r>
          </w:p>
        </w:tc>
      </w:tr>
      <w:tr w:rsidR="00624C95" w:rsidRPr="00624C95" w14:paraId="4BA947F0"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tcPr>
          <w:p w14:paraId="24C12101"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R55</w:t>
            </w:r>
          </w:p>
        </w:tc>
        <w:tc>
          <w:tcPr>
            <w:tcW w:w="3906" w:type="dxa"/>
            <w:shd w:val="clear" w:color="auto" w:fill="auto"/>
          </w:tcPr>
          <w:p w14:paraId="201BE0E2"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Syncope and collapse</w:t>
            </w:r>
          </w:p>
        </w:tc>
        <w:tc>
          <w:tcPr>
            <w:tcW w:w="993" w:type="dxa"/>
            <w:shd w:val="clear" w:color="auto" w:fill="auto"/>
            <w:noWrap/>
          </w:tcPr>
          <w:p w14:paraId="688EF67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1439</w:t>
            </w:r>
          </w:p>
        </w:tc>
        <w:tc>
          <w:tcPr>
            <w:tcW w:w="850" w:type="dxa"/>
            <w:shd w:val="clear" w:color="auto" w:fill="auto"/>
          </w:tcPr>
          <w:p w14:paraId="4F91640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6·5%</w:t>
            </w:r>
          </w:p>
        </w:tc>
        <w:tc>
          <w:tcPr>
            <w:tcW w:w="851" w:type="dxa"/>
            <w:shd w:val="clear" w:color="auto" w:fill="auto"/>
            <w:noWrap/>
          </w:tcPr>
          <w:p w14:paraId="17B760F9"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633</w:t>
            </w:r>
          </w:p>
        </w:tc>
        <w:tc>
          <w:tcPr>
            <w:tcW w:w="835" w:type="dxa"/>
            <w:shd w:val="clear" w:color="auto" w:fill="auto"/>
          </w:tcPr>
          <w:p w14:paraId="710FF0AB"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12·9%</w:t>
            </w:r>
          </w:p>
        </w:tc>
        <w:tc>
          <w:tcPr>
            <w:tcW w:w="1069" w:type="dxa"/>
            <w:shd w:val="clear" w:color="auto" w:fill="auto"/>
            <w:noWrap/>
          </w:tcPr>
          <w:p w14:paraId="0B90C384"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w:t>
            </w:r>
          </w:p>
        </w:tc>
      </w:tr>
      <w:tr w:rsidR="00624C95" w:rsidRPr="00624C95" w14:paraId="0884BFE9"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tcBorders>
              <w:top w:val="nil"/>
              <w:bottom w:val="nil"/>
            </w:tcBorders>
            <w:shd w:val="clear" w:color="auto" w:fill="auto"/>
            <w:noWrap/>
            <w:hideMark/>
          </w:tcPr>
          <w:p w14:paraId="3839A9BD"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S22</w:t>
            </w:r>
          </w:p>
        </w:tc>
        <w:tc>
          <w:tcPr>
            <w:tcW w:w="3906" w:type="dxa"/>
            <w:tcBorders>
              <w:top w:val="nil"/>
              <w:bottom w:val="nil"/>
            </w:tcBorders>
            <w:shd w:val="clear" w:color="auto" w:fill="auto"/>
            <w:hideMark/>
          </w:tcPr>
          <w:p w14:paraId="1731928D"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Fracture of rib(s), sternum and thoracic spine</w:t>
            </w:r>
          </w:p>
        </w:tc>
        <w:tc>
          <w:tcPr>
            <w:tcW w:w="993" w:type="dxa"/>
            <w:tcBorders>
              <w:top w:val="nil"/>
              <w:bottom w:val="nil"/>
            </w:tcBorders>
            <w:shd w:val="clear" w:color="auto" w:fill="auto"/>
          </w:tcPr>
          <w:p w14:paraId="63CFEB5C"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221</w:t>
            </w:r>
          </w:p>
        </w:tc>
        <w:tc>
          <w:tcPr>
            <w:tcW w:w="850" w:type="dxa"/>
            <w:tcBorders>
              <w:top w:val="nil"/>
              <w:bottom w:val="nil"/>
            </w:tcBorders>
            <w:shd w:val="clear" w:color="auto" w:fill="auto"/>
            <w:noWrap/>
            <w:hideMark/>
          </w:tcPr>
          <w:p w14:paraId="3A8514D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c>
          <w:tcPr>
            <w:tcW w:w="851" w:type="dxa"/>
            <w:tcBorders>
              <w:top w:val="nil"/>
              <w:bottom w:val="nil"/>
            </w:tcBorders>
            <w:shd w:val="clear" w:color="auto" w:fill="auto"/>
          </w:tcPr>
          <w:p w14:paraId="1E7D75F1"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113</w:t>
            </w:r>
          </w:p>
        </w:tc>
        <w:tc>
          <w:tcPr>
            <w:tcW w:w="835" w:type="dxa"/>
            <w:tcBorders>
              <w:top w:val="nil"/>
              <w:bottom w:val="nil"/>
            </w:tcBorders>
            <w:shd w:val="clear" w:color="auto" w:fill="auto"/>
            <w:noWrap/>
            <w:hideMark/>
          </w:tcPr>
          <w:p w14:paraId="4E225F5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2·3%</w:t>
            </w:r>
          </w:p>
        </w:tc>
        <w:tc>
          <w:tcPr>
            <w:tcW w:w="1069" w:type="dxa"/>
            <w:tcBorders>
              <w:top w:val="nil"/>
              <w:bottom w:val="nil"/>
            </w:tcBorders>
            <w:shd w:val="clear" w:color="auto" w:fill="auto"/>
            <w:noWrap/>
            <w:hideMark/>
          </w:tcPr>
          <w:p w14:paraId="17B15133"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w:t>
            </w:r>
          </w:p>
        </w:tc>
      </w:tr>
      <w:tr w:rsidR="00624C95" w:rsidRPr="00624C95" w14:paraId="4FFC4B95"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tcBorders>
              <w:top w:val="nil"/>
            </w:tcBorders>
            <w:shd w:val="clear" w:color="auto" w:fill="auto"/>
            <w:noWrap/>
            <w:hideMark/>
          </w:tcPr>
          <w:p w14:paraId="67C311D4"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K59</w:t>
            </w:r>
          </w:p>
        </w:tc>
        <w:tc>
          <w:tcPr>
            <w:tcW w:w="3906" w:type="dxa"/>
            <w:tcBorders>
              <w:top w:val="nil"/>
            </w:tcBorders>
            <w:shd w:val="clear" w:color="auto" w:fill="auto"/>
            <w:hideMark/>
          </w:tcPr>
          <w:p w14:paraId="418FD718"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functional intestinal disorders</w:t>
            </w:r>
          </w:p>
        </w:tc>
        <w:tc>
          <w:tcPr>
            <w:tcW w:w="993" w:type="dxa"/>
            <w:tcBorders>
              <w:top w:val="nil"/>
            </w:tcBorders>
            <w:shd w:val="clear" w:color="auto" w:fill="auto"/>
          </w:tcPr>
          <w:p w14:paraId="463B8ED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590</w:t>
            </w:r>
          </w:p>
        </w:tc>
        <w:tc>
          <w:tcPr>
            <w:tcW w:w="850" w:type="dxa"/>
            <w:tcBorders>
              <w:top w:val="nil"/>
            </w:tcBorders>
            <w:shd w:val="clear" w:color="auto" w:fill="auto"/>
            <w:noWrap/>
            <w:hideMark/>
          </w:tcPr>
          <w:p w14:paraId="75E3566B"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11·7%</w:t>
            </w:r>
          </w:p>
        </w:tc>
        <w:tc>
          <w:tcPr>
            <w:tcW w:w="851" w:type="dxa"/>
            <w:tcBorders>
              <w:top w:val="nil"/>
            </w:tcBorders>
            <w:shd w:val="clear" w:color="auto" w:fill="auto"/>
          </w:tcPr>
          <w:p w14:paraId="2D774D4B"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305</w:t>
            </w:r>
          </w:p>
        </w:tc>
        <w:tc>
          <w:tcPr>
            <w:tcW w:w="835" w:type="dxa"/>
            <w:tcBorders>
              <w:top w:val="nil"/>
            </w:tcBorders>
            <w:shd w:val="clear" w:color="auto" w:fill="auto"/>
            <w:noWrap/>
            <w:hideMark/>
          </w:tcPr>
          <w:p w14:paraId="54DD0AF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26·6%</w:t>
            </w:r>
          </w:p>
        </w:tc>
        <w:tc>
          <w:tcPr>
            <w:tcW w:w="1069" w:type="dxa"/>
            <w:tcBorders>
              <w:top w:val="nil"/>
            </w:tcBorders>
            <w:shd w:val="clear" w:color="auto" w:fill="auto"/>
            <w:noWrap/>
            <w:hideMark/>
          </w:tcPr>
          <w:p w14:paraId="3EFB7675"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w:t>
            </w:r>
          </w:p>
        </w:tc>
      </w:tr>
      <w:tr w:rsidR="00624C95" w:rsidRPr="00624C95" w14:paraId="5F002171"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CEC6E3F"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N17</w:t>
            </w:r>
          </w:p>
        </w:tc>
        <w:tc>
          <w:tcPr>
            <w:tcW w:w="3906" w:type="dxa"/>
            <w:shd w:val="clear" w:color="auto" w:fill="auto"/>
            <w:hideMark/>
          </w:tcPr>
          <w:p w14:paraId="354E1591"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Acute renal failure</w:t>
            </w:r>
          </w:p>
        </w:tc>
        <w:tc>
          <w:tcPr>
            <w:tcW w:w="993" w:type="dxa"/>
            <w:shd w:val="clear" w:color="auto" w:fill="auto"/>
          </w:tcPr>
          <w:p w14:paraId="0F9E3BB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w:t>
            </w:r>
            <w:r>
              <w:rPr>
                <w:rFonts w:ascii="Times New Roman" w:hAnsi="Times New Roman" w:cs="Times New Roman"/>
                <w:sz w:val="20"/>
                <w:szCs w:val="20"/>
              </w:rPr>
              <w:t>,</w:t>
            </w:r>
            <w:r w:rsidRPr="00624C95">
              <w:rPr>
                <w:rFonts w:ascii="Times New Roman" w:hAnsi="Times New Roman" w:cs="Times New Roman"/>
                <w:sz w:val="20"/>
                <w:szCs w:val="20"/>
              </w:rPr>
              <w:t>454</w:t>
            </w:r>
          </w:p>
        </w:tc>
        <w:tc>
          <w:tcPr>
            <w:tcW w:w="850" w:type="dxa"/>
            <w:shd w:val="clear" w:color="auto" w:fill="auto"/>
            <w:noWrap/>
            <w:hideMark/>
          </w:tcPr>
          <w:p w14:paraId="44666FE4"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15·6%</w:t>
            </w:r>
          </w:p>
        </w:tc>
        <w:tc>
          <w:tcPr>
            <w:tcW w:w="851" w:type="dxa"/>
            <w:shd w:val="clear" w:color="auto" w:fill="auto"/>
          </w:tcPr>
          <w:p w14:paraId="28DF5A71"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713</w:t>
            </w:r>
          </w:p>
        </w:tc>
        <w:tc>
          <w:tcPr>
            <w:tcW w:w="835" w:type="dxa"/>
            <w:shd w:val="clear" w:color="auto" w:fill="auto"/>
            <w:noWrap/>
            <w:hideMark/>
          </w:tcPr>
          <w:p w14:paraId="1B9D680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34·9%</w:t>
            </w:r>
          </w:p>
        </w:tc>
        <w:tc>
          <w:tcPr>
            <w:tcW w:w="1069" w:type="dxa"/>
            <w:shd w:val="clear" w:color="auto" w:fill="auto"/>
            <w:noWrap/>
            <w:hideMark/>
          </w:tcPr>
          <w:p w14:paraId="00ABEF18"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w:t>
            </w:r>
          </w:p>
        </w:tc>
      </w:tr>
      <w:tr w:rsidR="00624C95" w:rsidRPr="00624C95" w14:paraId="181C5884"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30FCEF6"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L89</w:t>
            </w:r>
          </w:p>
        </w:tc>
        <w:tc>
          <w:tcPr>
            <w:tcW w:w="3906" w:type="dxa"/>
            <w:shd w:val="clear" w:color="auto" w:fill="auto"/>
            <w:hideMark/>
          </w:tcPr>
          <w:p w14:paraId="30836951"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Decubitus ulcer</w:t>
            </w:r>
          </w:p>
        </w:tc>
        <w:tc>
          <w:tcPr>
            <w:tcW w:w="993" w:type="dxa"/>
            <w:shd w:val="clear" w:color="auto" w:fill="auto"/>
          </w:tcPr>
          <w:p w14:paraId="3C6C19E0"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775</w:t>
            </w:r>
          </w:p>
        </w:tc>
        <w:tc>
          <w:tcPr>
            <w:tcW w:w="850" w:type="dxa"/>
            <w:shd w:val="clear" w:color="auto" w:fill="auto"/>
            <w:noWrap/>
            <w:hideMark/>
          </w:tcPr>
          <w:p w14:paraId="1A296AD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3·5%</w:t>
            </w:r>
          </w:p>
        </w:tc>
        <w:tc>
          <w:tcPr>
            <w:tcW w:w="851" w:type="dxa"/>
            <w:shd w:val="clear" w:color="auto" w:fill="auto"/>
          </w:tcPr>
          <w:p w14:paraId="41F55483"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461</w:t>
            </w:r>
          </w:p>
        </w:tc>
        <w:tc>
          <w:tcPr>
            <w:tcW w:w="835" w:type="dxa"/>
            <w:shd w:val="clear" w:color="auto" w:fill="auto"/>
            <w:noWrap/>
            <w:hideMark/>
          </w:tcPr>
          <w:p w14:paraId="7BB7F037"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9·4%</w:t>
            </w:r>
          </w:p>
        </w:tc>
        <w:tc>
          <w:tcPr>
            <w:tcW w:w="1069" w:type="dxa"/>
            <w:shd w:val="clear" w:color="auto" w:fill="auto"/>
            <w:noWrap/>
            <w:hideMark/>
          </w:tcPr>
          <w:p w14:paraId="5A876AE2"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1·7</w:t>
            </w:r>
          </w:p>
        </w:tc>
      </w:tr>
      <w:tr w:rsidR="00624C95" w:rsidRPr="00624C95" w14:paraId="1085CA82"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27C6F76"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Z22</w:t>
            </w:r>
          </w:p>
        </w:tc>
        <w:tc>
          <w:tcPr>
            <w:tcW w:w="3906" w:type="dxa"/>
            <w:shd w:val="clear" w:color="auto" w:fill="auto"/>
            <w:hideMark/>
          </w:tcPr>
          <w:p w14:paraId="4ACCBB7D"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Carrier of infectious disease</w:t>
            </w:r>
          </w:p>
        </w:tc>
        <w:tc>
          <w:tcPr>
            <w:tcW w:w="993" w:type="dxa"/>
            <w:shd w:val="clear" w:color="auto" w:fill="auto"/>
          </w:tcPr>
          <w:p w14:paraId="2B41780A"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221</w:t>
            </w:r>
          </w:p>
        </w:tc>
        <w:tc>
          <w:tcPr>
            <w:tcW w:w="850" w:type="dxa"/>
            <w:shd w:val="clear" w:color="auto" w:fill="auto"/>
            <w:noWrap/>
            <w:hideMark/>
          </w:tcPr>
          <w:p w14:paraId="09A6D201"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c>
          <w:tcPr>
            <w:tcW w:w="851" w:type="dxa"/>
            <w:shd w:val="clear" w:color="auto" w:fill="auto"/>
          </w:tcPr>
          <w:p w14:paraId="5FD336F2"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132</w:t>
            </w:r>
          </w:p>
        </w:tc>
        <w:tc>
          <w:tcPr>
            <w:tcW w:w="835" w:type="dxa"/>
            <w:shd w:val="clear" w:color="auto" w:fill="auto"/>
            <w:noWrap/>
            <w:hideMark/>
          </w:tcPr>
          <w:p w14:paraId="44EFBFC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2·7%</w:t>
            </w:r>
          </w:p>
        </w:tc>
        <w:tc>
          <w:tcPr>
            <w:tcW w:w="1069" w:type="dxa"/>
            <w:shd w:val="clear" w:color="auto" w:fill="auto"/>
            <w:noWrap/>
            <w:hideMark/>
          </w:tcPr>
          <w:p w14:paraId="3C9DE5CD"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1·7</w:t>
            </w:r>
          </w:p>
        </w:tc>
      </w:tr>
      <w:tr w:rsidR="00624C95" w:rsidRPr="00624C95" w14:paraId="1F48F321"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7B69951"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B95</w:t>
            </w:r>
          </w:p>
        </w:tc>
        <w:tc>
          <w:tcPr>
            <w:tcW w:w="3906" w:type="dxa"/>
            <w:shd w:val="clear" w:color="auto" w:fill="auto"/>
            <w:hideMark/>
          </w:tcPr>
          <w:p w14:paraId="3324AC31"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Streptococcus and staphylococcus as the cause of diseases classified to other chapters</w:t>
            </w:r>
          </w:p>
        </w:tc>
        <w:tc>
          <w:tcPr>
            <w:tcW w:w="993" w:type="dxa"/>
            <w:shd w:val="clear" w:color="auto" w:fill="auto"/>
          </w:tcPr>
          <w:p w14:paraId="20EE9FB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332</w:t>
            </w:r>
          </w:p>
        </w:tc>
        <w:tc>
          <w:tcPr>
            <w:tcW w:w="850" w:type="dxa"/>
            <w:shd w:val="clear" w:color="auto" w:fill="auto"/>
            <w:noWrap/>
            <w:hideMark/>
          </w:tcPr>
          <w:p w14:paraId="7D71964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c>
          <w:tcPr>
            <w:tcW w:w="851" w:type="dxa"/>
            <w:shd w:val="clear" w:color="auto" w:fill="auto"/>
          </w:tcPr>
          <w:p w14:paraId="09A006FB"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182</w:t>
            </w:r>
          </w:p>
        </w:tc>
        <w:tc>
          <w:tcPr>
            <w:tcW w:w="835" w:type="dxa"/>
            <w:shd w:val="clear" w:color="auto" w:fill="auto"/>
            <w:noWrap/>
            <w:hideMark/>
          </w:tcPr>
          <w:p w14:paraId="5B387A2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3·7%</w:t>
            </w:r>
          </w:p>
        </w:tc>
        <w:tc>
          <w:tcPr>
            <w:tcW w:w="1069" w:type="dxa"/>
            <w:shd w:val="clear" w:color="auto" w:fill="auto"/>
            <w:noWrap/>
            <w:hideMark/>
          </w:tcPr>
          <w:p w14:paraId="20B372D4"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1·7</w:t>
            </w:r>
          </w:p>
        </w:tc>
      </w:tr>
      <w:tr w:rsidR="00624C95" w:rsidRPr="00624C95" w14:paraId="3A58CCC9"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CA3F0BC"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L97</w:t>
            </w:r>
          </w:p>
        </w:tc>
        <w:tc>
          <w:tcPr>
            <w:tcW w:w="3906" w:type="dxa"/>
            <w:shd w:val="clear" w:color="auto" w:fill="auto"/>
            <w:hideMark/>
          </w:tcPr>
          <w:p w14:paraId="48573B88"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Ulcer of lower limb, not elsewhere classified</w:t>
            </w:r>
          </w:p>
        </w:tc>
        <w:tc>
          <w:tcPr>
            <w:tcW w:w="993" w:type="dxa"/>
            <w:shd w:val="clear" w:color="auto" w:fill="auto"/>
          </w:tcPr>
          <w:p w14:paraId="5593A51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797</w:t>
            </w:r>
          </w:p>
        </w:tc>
        <w:tc>
          <w:tcPr>
            <w:tcW w:w="850" w:type="dxa"/>
            <w:shd w:val="clear" w:color="auto" w:fill="auto"/>
            <w:noWrap/>
            <w:hideMark/>
          </w:tcPr>
          <w:p w14:paraId="1C30AD7C"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3·6%</w:t>
            </w:r>
          </w:p>
        </w:tc>
        <w:tc>
          <w:tcPr>
            <w:tcW w:w="851" w:type="dxa"/>
            <w:shd w:val="clear" w:color="auto" w:fill="auto"/>
          </w:tcPr>
          <w:p w14:paraId="127C30E3"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407</w:t>
            </w:r>
          </w:p>
        </w:tc>
        <w:tc>
          <w:tcPr>
            <w:tcW w:w="835" w:type="dxa"/>
            <w:shd w:val="clear" w:color="auto" w:fill="auto"/>
            <w:noWrap/>
            <w:hideMark/>
          </w:tcPr>
          <w:p w14:paraId="416C28D7"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8·3%</w:t>
            </w:r>
          </w:p>
        </w:tc>
        <w:tc>
          <w:tcPr>
            <w:tcW w:w="1069" w:type="dxa"/>
            <w:shd w:val="clear" w:color="auto" w:fill="auto"/>
            <w:noWrap/>
            <w:hideMark/>
          </w:tcPr>
          <w:p w14:paraId="6D6798AB"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w:t>
            </w:r>
          </w:p>
        </w:tc>
      </w:tr>
      <w:tr w:rsidR="00624C95" w:rsidRPr="00624C95" w14:paraId="021A200E"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BB50DD0"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R44</w:t>
            </w:r>
          </w:p>
        </w:tc>
        <w:tc>
          <w:tcPr>
            <w:tcW w:w="3906" w:type="dxa"/>
            <w:shd w:val="clear" w:color="auto" w:fill="auto"/>
            <w:hideMark/>
          </w:tcPr>
          <w:p w14:paraId="6BDFD9BF"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symptoms and signs involving general sensations and perceptions</w:t>
            </w:r>
          </w:p>
        </w:tc>
        <w:tc>
          <w:tcPr>
            <w:tcW w:w="993" w:type="dxa"/>
            <w:shd w:val="clear" w:color="auto" w:fill="auto"/>
          </w:tcPr>
          <w:p w14:paraId="05B177E4"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221</w:t>
            </w:r>
          </w:p>
        </w:tc>
        <w:tc>
          <w:tcPr>
            <w:tcW w:w="850" w:type="dxa"/>
            <w:shd w:val="clear" w:color="auto" w:fill="auto"/>
            <w:noWrap/>
            <w:hideMark/>
          </w:tcPr>
          <w:p w14:paraId="045110E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c>
          <w:tcPr>
            <w:tcW w:w="851" w:type="dxa"/>
            <w:shd w:val="clear" w:color="auto" w:fill="auto"/>
          </w:tcPr>
          <w:p w14:paraId="3502A57E"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128</w:t>
            </w:r>
          </w:p>
        </w:tc>
        <w:tc>
          <w:tcPr>
            <w:tcW w:w="835" w:type="dxa"/>
            <w:shd w:val="clear" w:color="auto" w:fill="auto"/>
            <w:noWrap/>
            <w:hideMark/>
          </w:tcPr>
          <w:p w14:paraId="4193AD5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2·6%</w:t>
            </w:r>
          </w:p>
        </w:tc>
        <w:tc>
          <w:tcPr>
            <w:tcW w:w="1069" w:type="dxa"/>
            <w:shd w:val="clear" w:color="auto" w:fill="auto"/>
            <w:noWrap/>
            <w:hideMark/>
          </w:tcPr>
          <w:p w14:paraId="596E936A"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w:t>
            </w:r>
          </w:p>
        </w:tc>
      </w:tr>
      <w:tr w:rsidR="00624C95" w:rsidRPr="00624C95" w14:paraId="088D8BD0"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F4C64B2"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K26</w:t>
            </w:r>
          </w:p>
        </w:tc>
        <w:tc>
          <w:tcPr>
            <w:tcW w:w="3906" w:type="dxa"/>
            <w:shd w:val="clear" w:color="auto" w:fill="auto"/>
            <w:hideMark/>
          </w:tcPr>
          <w:p w14:paraId="70BFCF90"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Duodenal ulcer</w:t>
            </w:r>
          </w:p>
        </w:tc>
        <w:tc>
          <w:tcPr>
            <w:tcW w:w="993" w:type="dxa"/>
            <w:shd w:val="clear" w:color="auto" w:fill="auto"/>
          </w:tcPr>
          <w:p w14:paraId="098AC26C"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244</w:t>
            </w:r>
          </w:p>
        </w:tc>
        <w:tc>
          <w:tcPr>
            <w:tcW w:w="850" w:type="dxa"/>
            <w:shd w:val="clear" w:color="auto" w:fill="auto"/>
            <w:noWrap/>
            <w:hideMark/>
          </w:tcPr>
          <w:p w14:paraId="2B516D7F"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c>
          <w:tcPr>
            <w:tcW w:w="851" w:type="dxa"/>
            <w:shd w:val="clear" w:color="auto" w:fill="auto"/>
          </w:tcPr>
          <w:p w14:paraId="6DE266D1"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98</w:t>
            </w:r>
          </w:p>
        </w:tc>
        <w:tc>
          <w:tcPr>
            <w:tcW w:w="835" w:type="dxa"/>
            <w:shd w:val="clear" w:color="auto" w:fill="auto"/>
            <w:noWrap/>
            <w:hideMark/>
          </w:tcPr>
          <w:p w14:paraId="218F5D4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2·0%</w:t>
            </w:r>
          </w:p>
        </w:tc>
        <w:tc>
          <w:tcPr>
            <w:tcW w:w="1069" w:type="dxa"/>
            <w:shd w:val="clear" w:color="auto" w:fill="auto"/>
            <w:noWrap/>
            <w:hideMark/>
          </w:tcPr>
          <w:p w14:paraId="13FA68A7"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w:t>
            </w:r>
          </w:p>
        </w:tc>
      </w:tr>
      <w:tr w:rsidR="00624C95" w:rsidRPr="00624C95" w14:paraId="3585A19D"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939666E"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I95</w:t>
            </w:r>
          </w:p>
        </w:tc>
        <w:tc>
          <w:tcPr>
            <w:tcW w:w="3906" w:type="dxa"/>
            <w:shd w:val="clear" w:color="auto" w:fill="auto"/>
            <w:hideMark/>
          </w:tcPr>
          <w:p w14:paraId="6A1B68D1"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Hypotension</w:t>
            </w:r>
          </w:p>
        </w:tc>
        <w:tc>
          <w:tcPr>
            <w:tcW w:w="993" w:type="dxa"/>
            <w:shd w:val="clear" w:color="auto" w:fill="auto"/>
          </w:tcPr>
          <w:p w14:paraId="3891187B"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727</w:t>
            </w:r>
          </w:p>
        </w:tc>
        <w:tc>
          <w:tcPr>
            <w:tcW w:w="850" w:type="dxa"/>
            <w:shd w:val="clear" w:color="auto" w:fill="auto"/>
            <w:noWrap/>
            <w:hideMark/>
          </w:tcPr>
          <w:p w14:paraId="3164F88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7·8%</w:t>
            </w:r>
          </w:p>
        </w:tc>
        <w:tc>
          <w:tcPr>
            <w:tcW w:w="851" w:type="dxa"/>
            <w:shd w:val="clear" w:color="auto" w:fill="auto"/>
          </w:tcPr>
          <w:p w14:paraId="099E5431"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844</w:t>
            </w:r>
          </w:p>
        </w:tc>
        <w:tc>
          <w:tcPr>
            <w:tcW w:w="835" w:type="dxa"/>
            <w:shd w:val="clear" w:color="auto" w:fill="auto"/>
            <w:noWrap/>
            <w:hideMark/>
          </w:tcPr>
          <w:p w14:paraId="1A10A1C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17·2%</w:t>
            </w:r>
          </w:p>
        </w:tc>
        <w:tc>
          <w:tcPr>
            <w:tcW w:w="1069" w:type="dxa"/>
            <w:shd w:val="clear" w:color="auto" w:fill="auto"/>
            <w:noWrap/>
            <w:hideMark/>
          </w:tcPr>
          <w:p w14:paraId="0B1B6886"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w:t>
            </w:r>
          </w:p>
        </w:tc>
      </w:tr>
      <w:tr w:rsidR="00624C95" w:rsidRPr="00624C95" w14:paraId="5967BE5D"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295E212"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lastRenderedPageBreak/>
              <w:t>N19</w:t>
            </w:r>
          </w:p>
        </w:tc>
        <w:tc>
          <w:tcPr>
            <w:tcW w:w="3906" w:type="dxa"/>
            <w:shd w:val="clear" w:color="auto" w:fill="auto"/>
            <w:hideMark/>
          </w:tcPr>
          <w:p w14:paraId="2B0EA4CE"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Unspecified renal failure</w:t>
            </w:r>
          </w:p>
        </w:tc>
        <w:tc>
          <w:tcPr>
            <w:tcW w:w="993" w:type="dxa"/>
            <w:shd w:val="clear" w:color="auto" w:fill="auto"/>
          </w:tcPr>
          <w:p w14:paraId="6BD54BA0"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221</w:t>
            </w:r>
          </w:p>
        </w:tc>
        <w:tc>
          <w:tcPr>
            <w:tcW w:w="850" w:type="dxa"/>
            <w:shd w:val="clear" w:color="auto" w:fill="auto"/>
            <w:noWrap/>
            <w:hideMark/>
          </w:tcPr>
          <w:p w14:paraId="70C31C54"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c>
          <w:tcPr>
            <w:tcW w:w="851" w:type="dxa"/>
            <w:shd w:val="clear" w:color="auto" w:fill="auto"/>
          </w:tcPr>
          <w:p w14:paraId="0822AF3E"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93</w:t>
            </w:r>
          </w:p>
        </w:tc>
        <w:tc>
          <w:tcPr>
            <w:tcW w:w="835" w:type="dxa"/>
            <w:shd w:val="clear" w:color="auto" w:fill="auto"/>
            <w:noWrap/>
            <w:hideMark/>
          </w:tcPr>
          <w:p w14:paraId="35A98037"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1·9%</w:t>
            </w:r>
          </w:p>
        </w:tc>
        <w:tc>
          <w:tcPr>
            <w:tcW w:w="1069" w:type="dxa"/>
            <w:shd w:val="clear" w:color="auto" w:fill="auto"/>
            <w:noWrap/>
            <w:hideMark/>
          </w:tcPr>
          <w:p w14:paraId="42A89BA4"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w:t>
            </w:r>
          </w:p>
        </w:tc>
      </w:tr>
      <w:tr w:rsidR="00624C95" w:rsidRPr="00624C95" w14:paraId="6DEBFCBC"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BFEE32D"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A41</w:t>
            </w:r>
          </w:p>
        </w:tc>
        <w:tc>
          <w:tcPr>
            <w:tcW w:w="3906" w:type="dxa"/>
            <w:shd w:val="clear" w:color="auto" w:fill="auto"/>
            <w:hideMark/>
          </w:tcPr>
          <w:p w14:paraId="7C5E3D0A"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septicaemia</w:t>
            </w:r>
          </w:p>
        </w:tc>
        <w:tc>
          <w:tcPr>
            <w:tcW w:w="993" w:type="dxa"/>
            <w:shd w:val="clear" w:color="auto" w:fill="auto"/>
          </w:tcPr>
          <w:p w14:paraId="4658A70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952</w:t>
            </w:r>
          </w:p>
        </w:tc>
        <w:tc>
          <w:tcPr>
            <w:tcW w:w="850" w:type="dxa"/>
            <w:shd w:val="clear" w:color="auto" w:fill="auto"/>
            <w:noWrap/>
            <w:hideMark/>
          </w:tcPr>
          <w:p w14:paraId="520CEE9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4·3%</w:t>
            </w:r>
          </w:p>
        </w:tc>
        <w:tc>
          <w:tcPr>
            <w:tcW w:w="851" w:type="dxa"/>
            <w:shd w:val="clear" w:color="auto" w:fill="auto"/>
          </w:tcPr>
          <w:p w14:paraId="552A0D64"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515</w:t>
            </w:r>
          </w:p>
        </w:tc>
        <w:tc>
          <w:tcPr>
            <w:tcW w:w="835" w:type="dxa"/>
            <w:shd w:val="clear" w:color="auto" w:fill="auto"/>
            <w:noWrap/>
            <w:hideMark/>
          </w:tcPr>
          <w:p w14:paraId="49509CCE"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10·5%</w:t>
            </w:r>
          </w:p>
        </w:tc>
        <w:tc>
          <w:tcPr>
            <w:tcW w:w="1069" w:type="dxa"/>
            <w:shd w:val="clear" w:color="auto" w:fill="auto"/>
            <w:noWrap/>
            <w:hideMark/>
          </w:tcPr>
          <w:p w14:paraId="349C5EC2"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w:t>
            </w:r>
          </w:p>
        </w:tc>
      </w:tr>
      <w:tr w:rsidR="00624C95" w:rsidRPr="00624C95" w14:paraId="79C69BE6"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14BA459"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Z87</w:t>
            </w:r>
          </w:p>
        </w:tc>
        <w:tc>
          <w:tcPr>
            <w:tcW w:w="3906" w:type="dxa"/>
            <w:shd w:val="clear" w:color="auto" w:fill="auto"/>
            <w:hideMark/>
          </w:tcPr>
          <w:p w14:paraId="1DEC9B1D"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Personal history of other diseases and conditions</w:t>
            </w:r>
          </w:p>
        </w:tc>
        <w:tc>
          <w:tcPr>
            <w:tcW w:w="993" w:type="dxa"/>
            <w:shd w:val="clear" w:color="auto" w:fill="auto"/>
          </w:tcPr>
          <w:p w14:paraId="1907648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790</w:t>
            </w:r>
          </w:p>
        </w:tc>
        <w:tc>
          <w:tcPr>
            <w:tcW w:w="850" w:type="dxa"/>
            <w:shd w:val="clear" w:color="auto" w:fill="auto"/>
            <w:noWrap/>
            <w:hideMark/>
          </w:tcPr>
          <w:p w14:paraId="4BA8635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12·6%</w:t>
            </w:r>
          </w:p>
        </w:tc>
        <w:tc>
          <w:tcPr>
            <w:tcW w:w="851" w:type="dxa"/>
            <w:shd w:val="clear" w:color="auto" w:fill="auto"/>
          </w:tcPr>
          <w:p w14:paraId="15F7C159"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197</w:t>
            </w:r>
          </w:p>
        </w:tc>
        <w:tc>
          <w:tcPr>
            <w:tcW w:w="835" w:type="dxa"/>
            <w:shd w:val="clear" w:color="auto" w:fill="auto"/>
            <w:noWrap/>
            <w:hideMark/>
          </w:tcPr>
          <w:p w14:paraId="5CC12469"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24·4%</w:t>
            </w:r>
          </w:p>
        </w:tc>
        <w:tc>
          <w:tcPr>
            <w:tcW w:w="1069" w:type="dxa"/>
            <w:shd w:val="clear" w:color="auto" w:fill="auto"/>
            <w:noWrap/>
            <w:hideMark/>
          </w:tcPr>
          <w:p w14:paraId="789EA902"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r>
      <w:tr w:rsidR="00624C95" w:rsidRPr="00624C95" w14:paraId="2353FF9F"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5357AF3B"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J96</w:t>
            </w:r>
          </w:p>
        </w:tc>
        <w:tc>
          <w:tcPr>
            <w:tcW w:w="3906" w:type="dxa"/>
            <w:shd w:val="clear" w:color="auto" w:fill="auto"/>
            <w:hideMark/>
          </w:tcPr>
          <w:p w14:paraId="65EA3AD4"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Respiratory failure, not elsewhere classified</w:t>
            </w:r>
          </w:p>
        </w:tc>
        <w:tc>
          <w:tcPr>
            <w:tcW w:w="993" w:type="dxa"/>
            <w:shd w:val="clear" w:color="auto" w:fill="auto"/>
          </w:tcPr>
          <w:p w14:paraId="65DFD36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886</w:t>
            </w:r>
          </w:p>
        </w:tc>
        <w:tc>
          <w:tcPr>
            <w:tcW w:w="850" w:type="dxa"/>
            <w:shd w:val="clear" w:color="auto" w:fill="auto"/>
            <w:noWrap/>
            <w:hideMark/>
          </w:tcPr>
          <w:p w14:paraId="56BDB79C"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4·0%</w:t>
            </w:r>
          </w:p>
        </w:tc>
        <w:tc>
          <w:tcPr>
            <w:tcW w:w="851" w:type="dxa"/>
            <w:shd w:val="clear" w:color="auto" w:fill="auto"/>
          </w:tcPr>
          <w:p w14:paraId="4739C76B"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353</w:t>
            </w:r>
          </w:p>
        </w:tc>
        <w:tc>
          <w:tcPr>
            <w:tcW w:w="835" w:type="dxa"/>
            <w:shd w:val="clear" w:color="auto" w:fill="auto"/>
            <w:noWrap/>
            <w:hideMark/>
          </w:tcPr>
          <w:p w14:paraId="0EA4355B"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7·2%</w:t>
            </w:r>
          </w:p>
        </w:tc>
        <w:tc>
          <w:tcPr>
            <w:tcW w:w="1069" w:type="dxa"/>
            <w:shd w:val="clear" w:color="auto" w:fill="auto"/>
            <w:noWrap/>
            <w:hideMark/>
          </w:tcPr>
          <w:p w14:paraId="4C9FA399"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r>
      <w:tr w:rsidR="00624C95" w:rsidRPr="00624C95" w14:paraId="11E3431D"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88244D6"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X59</w:t>
            </w:r>
          </w:p>
        </w:tc>
        <w:tc>
          <w:tcPr>
            <w:tcW w:w="3906" w:type="dxa"/>
            <w:shd w:val="clear" w:color="auto" w:fill="auto"/>
            <w:hideMark/>
          </w:tcPr>
          <w:p w14:paraId="6897A9EB"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Exposure to unspecified factor</w:t>
            </w:r>
          </w:p>
        </w:tc>
        <w:tc>
          <w:tcPr>
            <w:tcW w:w="993" w:type="dxa"/>
            <w:shd w:val="clear" w:color="auto" w:fill="auto"/>
          </w:tcPr>
          <w:p w14:paraId="1D5E96F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354</w:t>
            </w:r>
          </w:p>
        </w:tc>
        <w:tc>
          <w:tcPr>
            <w:tcW w:w="850" w:type="dxa"/>
            <w:shd w:val="clear" w:color="auto" w:fill="auto"/>
            <w:noWrap/>
            <w:hideMark/>
          </w:tcPr>
          <w:p w14:paraId="50D1EEC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w:t>
            </w:r>
          </w:p>
        </w:tc>
        <w:tc>
          <w:tcPr>
            <w:tcW w:w="851" w:type="dxa"/>
            <w:shd w:val="clear" w:color="auto" w:fill="auto"/>
          </w:tcPr>
          <w:p w14:paraId="20C1FD7F"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196</w:t>
            </w:r>
          </w:p>
        </w:tc>
        <w:tc>
          <w:tcPr>
            <w:tcW w:w="835" w:type="dxa"/>
            <w:shd w:val="clear" w:color="auto" w:fill="auto"/>
            <w:noWrap/>
            <w:hideMark/>
          </w:tcPr>
          <w:p w14:paraId="4D26A34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4·0%</w:t>
            </w:r>
          </w:p>
        </w:tc>
        <w:tc>
          <w:tcPr>
            <w:tcW w:w="1069" w:type="dxa"/>
            <w:shd w:val="clear" w:color="auto" w:fill="auto"/>
            <w:noWrap/>
            <w:hideMark/>
          </w:tcPr>
          <w:p w14:paraId="5E522F09"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r>
      <w:tr w:rsidR="00624C95" w:rsidRPr="00624C95" w14:paraId="6659941E"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56927704"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M19</w:t>
            </w:r>
          </w:p>
        </w:tc>
        <w:tc>
          <w:tcPr>
            <w:tcW w:w="3906" w:type="dxa"/>
            <w:shd w:val="clear" w:color="auto" w:fill="auto"/>
            <w:hideMark/>
          </w:tcPr>
          <w:p w14:paraId="4BECB93B"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arthrosis</w:t>
            </w:r>
          </w:p>
        </w:tc>
        <w:tc>
          <w:tcPr>
            <w:tcW w:w="993" w:type="dxa"/>
            <w:shd w:val="clear" w:color="auto" w:fill="auto"/>
          </w:tcPr>
          <w:p w14:paraId="538AF20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635</w:t>
            </w:r>
          </w:p>
        </w:tc>
        <w:tc>
          <w:tcPr>
            <w:tcW w:w="850" w:type="dxa"/>
            <w:shd w:val="clear" w:color="auto" w:fill="auto"/>
            <w:noWrap/>
            <w:hideMark/>
          </w:tcPr>
          <w:p w14:paraId="147428C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11·9%</w:t>
            </w:r>
          </w:p>
        </w:tc>
        <w:tc>
          <w:tcPr>
            <w:tcW w:w="851" w:type="dxa"/>
            <w:shd w:val="clear" w:color="auto" w:fill="auto"/>
          </w:tcPr>
          <w:p w14:paraId="474DF8AB"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040</w:t>
            </w:r>
          </w:p>
        </w:tc>
        <w:tc>
          <w:tcPr>
            <w:tcW w:w="835" w:type="dxa"/>
            <w:shd w:val="clear" w:color="auto" w:fill="auto"/>
            <w:noWrap/>
            <w:hideMark/>
          </w:tcPr>
          <w:p w14:paraId="15499ACE"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21·2%</w:t>
            </w:r>
          </w:p>
        </w:tc>
        <w:tc>
          <w:tcPr>
            <w:tcW w:w="1069" w:type="dxa"/>
            <w:shd w:val="clear" w:color="auto" w:fill="auto"/>
            <w:noWrap/>
            <w:hideMark/>
          </w:tcPr>
          <w:p w14:paraId="43C48CC7"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r>
      <w:tr w:rsidR="00624C95" w:rsidRPr="00624C95" w14:paraId="0317B177"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5943D56"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G40</w:t>
            </w:r>
          </w:p>
        </w:tc>
        <w:tc>
          <w:tcPr>
            <w:tcW w:w="3906" w:type="dxa"/>
            <w:shd w:val="clear" w:color="auto" w:fill="auto"/>
            <w:hideMark/>
          </w:tcPr>
          <w:p w14:paraId="7301B813"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Epilepsy</w:t>
            </w:r>
          </w:p>
        </w:tc>
        <w:tc>
          <w:tcPr>
            <w:tcW w:w="993" w:type="dxa"/>
            <w:shd w:val="clear" w:color="auto" w:fill="auto"/>
          </w:tcPr>
          <w:p w14:paraId="23FF94B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443</w:t>
            </w:r>
          </w:p>
        </w:tc>
        <w:tc>
          <w:tcPr>
            <w:tcW w:w="850" w:type="dxa"/>
            <w:shd w:val="clear" w:color="auto" w:fill="auto"/>
            <w:noWrap/>
            <w:hideMark/>
          </w:tcPr>
          <w:p w14:paraId="1EF8BB7F"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2·0%</w:t>
            </w:r>
          </w:p>
        </w:tc>
        <w:tc>
          <w:tcPr>
            <w:tcW w:w="851" w:type="dxa"/>
            <w:shd w:val="clear" w:color="auto" w:fill="auto"/>
          </w:tcPr>
          <w:p w14:paraId="473DC583"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211</w:t>
            </w:r>
          </w:p>
        </w:tc>
        <w:tc>
          <w:tcPr>
            <w:tcW w:w="835" w:type="dxa"/>
            <w:shd w:val="clear" w:color="auto" w:fill="auto"/>
            <w:noWrap/>
            <w:hideMark/>
          </w:tcPr>
          <w:p w14:paraId="27CF0C4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4·3%</w:t>
            </w:r>
          </w:p>
        </w:tc>
        <w:tc>
          <w:tcPr>
            <w:tcW w:w="1069" w:type="dxa"/>
            <w:shd w:val="clear" w:color="auto" w:fill="auto"/>
            <w:noWrap/>
            <w:hideMark/>
          </w:tcPr>
          <w:p w14:paraId="4D16E9E4"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r>
      <w:tr w:rsidR="00624C95" w:rsidRPr="00624C95" w14:paraId="24151107"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EFFC958"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M81</w:t>
            </w:r>
          </w:p>
        </w:tc>
        <w:tc>
          <w:tcPr>
            <w:tcW w:w="3906" w:type="dxa"/>
            <w:shd w:val="clear" w:color="auto" w:fill="auto"/>
            <w:hideMark/>
          </w:tcPr>
          <w:p w14:paraId="75DC07C4"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Osteoporosis without pathological fracture</w:t>
            </w:r>
          </w:p>
        </w:tc>
        <w:tc>
          <w:tcPr>
            <w:tcW w:w="993" w:type="dxa"/>
            <w:shd w:val="clear" w:color="auto" w:fill="auto"/>
          </w:tcPr>
          <w:p w14:paraId="1522D00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660</w:t>
            </w:r>
          </w:p>
        </w:tc>
        <w:tc>
          <w:tcPr>
            <w:tcW w:w="850" w:type="dxa"/>
            <w:shd w:val="clear" w:color="auto" w:fill="auto"/>
            <w:noWrap/>
            <w:hideMark/>
          </w:tcPr>
          <w:p w14:paraId="7393970C"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7·5%</w:t>
            </w:r>
          </w:p>
        </w:tc>
        <w:tc>
          <w:tcPr>
            <w:tcW w:w="851" w:type="dxa"/>
            <w:shd w:val="clear" w:color="auto" w:fill="auto"/>
          </w:tcPr>
          <w:p w14:paraId="0016A6E4"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682</w:t>
            </w:r>
          </w:p>
        </w:tc>
        <w:tc>
          <w:tcPr>
            <w:tcW w:w="835" w:type="dxa"/>
            <w:shd w:val="clear" w:color="auto" w:fill="auto"/>
            <w:noWrap/>
            <w:hideMark/>
          </w:tcPr>
          <w:p w14:paraId="000D324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13·9%</w:t>
            </w:r>
          </w:p>
        </w:tc>
        <w:tc>
          <w:tcPr>
            <w:tcW w:w="1069" w:type="dxa"/>
            <w:shd w:val="clear" w:color="auto" w:fill="auto"/>
            <w:noWrap/>
            <w:hideMark/>
          </w:tcPr>
          <w:p w14:paraId="154F73AB"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1·4</w:t>
            </w:r>
          </w:p>
        </w:tc>
      </w:tr>
      <w:tr w:rsidR="00624C95" w:rsidRPr="00624C95" w14:paraId="4E56C2EF"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573AF577"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S72</w:t>
            </w:r>
          </w:p>
        </w:tc>
        <w:tc>
          <w:tcPr>
            <w:tcW w:w="3906" w:type="dxa"/>
            <w:shd w:val="clear" w:color="auto" w:fill="auto"/>
            <w:hideMark/>
          </w:tcPr>
          <w:p w14:paraId="0BE7C3EE"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Fracture of femur</w:t>
            </w:r>
          </w:p>
        </w:tc>
        <w:tc>
          <w:tcPr>
            <w:tcW w:w="993" w:type="dxa"/>
            <w:shd w:val="clear" w:color="auto" w:fill="auto"/>
          </w:tcPr>
          <w:p w14:paraId="555431F0"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107</w:t>
            </w:r>
          </w:p>
        </w:tc>
        <w:tc>
          <w:tcPr>
            <w:tcW w:w="850" w:type="dxa"/>
            <w:shd w:val="clear" w:color="auto" w:fill="auto"/>
            <w:noWrap/>
            <w:hideMark/>
          </w:tcPr>
          <w:p w14:paraId="1A0CB209"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5·0%</w:t>
            </w:r>
          </w:p>
        </w:tc>
        <w:tc>
          <w:tcPr>
            <w:tcW w:w="851" w:type="dxa"/>
            <w:shd w:val="clear" w:color="auto" w:fill="auto"/>
          </w:tcPr>
          <w:p w14:paraId="7416C1AF"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530</w:t>
            </w:r>
          </w:p>
        </w:tc>
        <w:tc>
          <w:tcPr>
            <w:tcW w:w="835" w:type="dxa"/>
            <w:shd w:val="clear" w:color="auto" w:fill="auto"/>
            <w:noWrap/>
            <w:hideMark/>
          </w:tcPr>
          <w:p w14:paraId="28113C2E"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10·8%</w:t>
            </w:r>
          </w:p>
        </w:tc>
        <w:tc>
          <w:tcPr>
            <w:tcW w:w="1069" w:type="dxa"/>
            <w:shd w:val="clear" w:color="auto" w:fill="auto"/>
            <w:noWrap/>
            <w:hideMark/>
          </w:tcPr>
          <w:p w14:paraId="383E6FE0"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1·4</w:t>
            </w:r>
          </w:p>
        </w:tc>
      </w:tr>
      <w:tr w:rsidR="00624C95" w:rsidRPr="00624C95" w14:paraId="2C125A47"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hideMark/>
          </w:tcPr>
          <w:p w14:paraId="71812D81"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S32</w:t>
            </w:r>
          </w:p>
        </w:tc>
        <w:tc>
          <w:tcPr>
            <w:tcW w:w="3906" w:type="dxa"/>
            <w:shd w:val="clear" w:color="auto" w:fill="auto"/>
            <w:hideMark/>
          </w:tcPr>
          <w:p w14:paraId="03BB902C"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Fracture of lumbar spine and pelvis</w:t>
            </w:r>
          </w:p>
        </w:tc>
        <w:tc>
          <w:tcPr>
            <w:tcW w:w="993" w:type="dxa"/>
            <w:shd w:val="clear" w:color="auto" w:fill="auto"/>
          </w:tcPr>
          <w:p w14:paraId="4D96A77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266</w:t>
            </w:r>
          </w:p>
        </w:tc>
        <w:tc>
          <w:tcPr>
            <w:tcW w:w="850" w:type="dxa"/>
            <w:shd w:val="clear" w:color="auto" w:fill="auto"/>
            <w:hideMark/>
          </w:tcPr>
          <w:p w14:paraId="27A2BAD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w:t>
            </w:r>
          </w:p>
        </w:tc>
        <w:tc>
          <w:tcPr>
            <w:tcW w:w="851" w:type="dxa"/>
            <w:shd w:val="clear" w:color="auto" w:fill="auto"/>
          </w:tcPr>
          <w:p w14:paraId="28E6E908"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128</w:t>
            </w:r>
          </w:p>
        </w:tc>
        <w:tc>
          <w:tcPr>
            <w:tcW w:w="835" w:type="dxa"/>
            <w:shd w:val="clear" w:color="auto" w:fill="auto"/>
            <w:hideMark/>
          </w:tcPr>
          <w:p w14:paraId="3D86955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2·6%</w:t>
            </w:r>
          </w:p>
        </w:tc>
        <w:tc>
          <w:tcPr>
            <w:tcW w:w="1069" w:type="dxa"/>
            <w:shd w:val="clear" w:color="auto" w:fill="auto"/>
            <w:hideMark/>
          </w:tcPr>
          <w:p w14:paraId="6F1C4F12"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1·4</w:t>
            </w:r>
          </w:p>
        </w:tc>
      </w:tr>
      <w:tr w:rsidR="00624C95" w:rsidRPr="00624C95" w14:paraId="01637D97"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571E2FA2"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E16</w:t>
            </w:r>
          </w:p>
        </w:tc>
        <w:tc>
          <w:tcPr>
            <w:tcW w:w="3906" w:type="dxa"/>
            <w:shd w:val="clear" w:color="auto" w:fill="auto"/>
            <w:hideMark/>
          </w:tcPr>
          <w:p w14:paraId="3C162B86"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disorders of pancreatic internal secretion</w:t>
            </w:r>
          </w:p>
        </w:tc>
        <w:tc>
          <w:tcPr>
            <w:tcW w:w="993" w:type="dxa"/>
            <w:shd w:val="clear" w:color="auto" w:fill="auto"/>
          </w:tcPr>
          <w:p w14:paraId="39908D12"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421</w:t>
            </w:r>
          </w:p>
        </w:tc>
        <w:tc>
          <w:tcPr>
            <w:tcW w:w="850" w:type="dxa"/>
            <w:shd w:val="clear" w:color="auto" w:fill="auto"/>
            <w:noWrap/>
            <w:hideMark/>
          </w:tcPr>
          <w:p w14:paraId="7980B9C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1·9%</w:t>
            </w:r>
          </w:p>
        </w:tc>
        <w:tc>
          <w:tcPr>
            <w:tcW w:w="851" w:type="dxa"/>
            <w:shd w:val="clear" w:color="auto" w:fill="auto"/>
          </w:tcPr>
          <w:p w14:paraId="5A635FF4"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211</w:t>
            </w:r>
          </w:p>
        </w:tc>
        <w:tc>
          <w:tcPr>
            <w:tcW w:w="835" w:type="dxa"/>
            <w:shd w:val="clear" w:color="auto" w:fill="auto"/>
            <w:noWrap/>
            <w:hideMark/>
          </w:tcPr>
          <w:p w14:paraId="3165060F"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4·3%</w:t>
            </w:r>
          </w:p>
        </w:tc>
        <w:tc>
          <w:tcPr>
            <w:tcW w:w="1069" w:type="dxa"/>
            <w:shd w:val="clear" w:color="auto" w:fill="auto"/>
            <w:noWrap/>
            <w:hideMark/>
          </w:tcPr>
          <w:p w14:paraId="0BA62EF1"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1·4</w:t>
            </w:r>
          </w:p>
        </w:tc>
      </w:tr>
      <w:tr w:rsidR="00624C95" w:rsidRPr="00624C95" w14:paraId="4DE8A83C"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0D5B982"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R94</w:t>
            </w:r>
          </w:p>
        </w:tc>
        <w:tc>
          <w:tcPr>
            <w:tcW w:w="3906" w:type="dxa"/>
            <w:shd w:val="clear" w:color="auto" w:fill="auto"/>
            <w:hideMark/>
          </w:tcPr>
          <w:p w14:paraId="023A9E27"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Abnormal results of function studies</w:t>
            </w:r>
          </w:p>
        </w:tc>
        <w:tc>
          <w:tcPr>
            <w:tcW w:w="993" w:type="dxa"/>
            <w:shd w:val="clear" w:color="auto" w:fill="auto"/>
          </w:tcPr>
          <w:p w14:paraId="1DD1E8A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531</w:t>
            </w:r>
          </w:p>
        </w:tc>
        <w:tc>
          <w:tcPr>
            <w:tcW w:w="850" w:type="dxa"/>
            <w:shd w:val="clear" w:color="auto" w:fill="auto"/>
            <w:noWrap/>
            <w:hideMark/>
          </w:tcPr>
          <w:p w14:paraId="18D7282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2·4%</w:t>
            </w:r>
          </w:p>
        </w:tc>
        <w:tc>
          <w:tcPr>
            <w:tcW w:w="851" w:type="dxa"/>
            <w:shd w:val="clear" w:color="auto" w:fill="auto"/>
          </w:tcPr>
          <w:p w14:paraId="112B8C8D"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236</w:t>
            </w:r>
          </w:p>
        </w:tc>
        <w:tc>
          <w:tcPr>
            <w:tcW w:w="835" w:type="dxa"/>
            <w:shd w:val="clear" w:color="auto" w:fill="auto"/>
            <w:noWrap/>
            <w:hideMark/>
          </w:tcPr>
          <w:p w14:paraId="4EBBBBC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4·8%</w:t>
            </w:r>
          </w:p>
        </w:tc>
        <w:tc>
          <w:tcPr>
            <w:tcW w:w="1069" w:type="dxa"/>
            <w:shd w:val="clear" w:color="auto" w:fill="auto"/>
            <w:noWrap/>
            <w:hideMark/>
          </w:tcPr>
          <w:p w14:paraId="13200190"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1·4</w:t>
            </w:r>
          </w:p>
        </w:tc>
      </w:tr>
      <w:tr w:rsidR="00624C95" w:rsidRPr="00624C95" w14:paraId="19E9F6AF"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18AE51A"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N18</w:t>
            </w:r>
          </w:p>
        </w:tc>
        <w:tc>
          <w:tcPr>
            <w:tcW w:w="3906" w:type="dxa"/>
            <w:shd w:val="clear" w:color="auto" w:fill="auto"/>
            <w:hideMark/>
          </w:tcPr>
          <w:p w14:paraId="78841871"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Chronic renal failure</w:t>
            </w:r>
          </w:p>
        </w:tc>
        <w:tc>
          <w:tcPr>
            <w:tcW w:w="993" w:type="dxa"/>
            <w:shd w:val="clear" w:color="auto" w:fill="auto"/>
          </w:tcPr>
          <w:p w14:paraId="7EAAACF2"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w:t>
            </w:r>
            <w:r>
              <w:rPr>
                <w:rFonts w:ascii="Times New Roman" w:hAnsi="Times New Roman" w:cs="Times New Roman"/>
                <w:sz w:val="20"/>
                <w:szCs w:val="20"/>
              </w:rPr>
              <w:t>,</w:t>
            </w:r>
            <w:r w:rsidRPr="00624C95">
              <w:rPr>
                <w:rFonts w:ascii="Times New Roman" w:hAnsi="Times New Roman" w:cs="Times New Roman"/>
                <w:sz w:val="20"/>
                <w:szCs w:val="20"/>
              </w:rPr>
              <w:t>564</w:t>
            </w:r>
          </w:p>
        </w:tc>
        <w:tc>
          <w:tcPr>
            <w:tcW w:w="850" w:type="dxa"/>
            <w:shd w:val="clear" w:color="auto" w:fill="auto"/>
            <w:noWrap/>
            <w:hideMark/>
          </w:tcPr>
          <w:p w14:paraId="74B9B087"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16·1%</w:t>
            </w:r>
          </w:p>
        </w:tc>
        <w:tc>
          <w:tcPr>
            <w:tcW w:w="851" w:type="dxa"/>
            <w:shd w:val="clear" w:color="auto" w:fill="auto"/>
          </w:tcPr>
          <w:p w14:paraId="12B62B8C"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354</w:t>
            </w:r>
          </w:p>
        </w:tc>
        <w:tc>
          <w:tcPr>
            <w:tcW w:w="835" w:type="dxa"/>
            <w:shd w:val="clear" w:color="auto" w:fill="auto"/>
            <w:noWrap/>
            <w:hideMark/>
          </w:tcPr>
          <w:p w14:paraId="71B1611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27·6%</w:t>
            </w:r>
          </w:p>
        </w:tc>
        <w:tc>
          <w:tcPr>
            <w:tcW w:w="1069" w:type="dxa"/>
            <w:shd w:val="clear" w:color="auto" w:fill="auto"/>
            <w:noWrap/>
            <w:hideMark/>
          </w:tcPr>
          <w:p w14:paraId="3CE78BC6"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1·4</w:t>
            </w:r>
          </w:p>
        </w:tc>
      </w:tr>
      <w:tr w:rsidR="00624C95" w:rsidRPr="00624C95" w14:paraId="4D823A54"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FA9638D"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R33</w:t>
            </w:r>
          </w:p>
        </w:tc>
        <w:tc>
          <w:tcPr>
            <w:tcW w:w="3906" w:type="dxa"/>
            <w:shd w:val="clear" w:color="auto" w:fill="auto"/>
            <w:hideMark/>
          </w:tcPr>
          <w:p w14:paraId="605CF91A"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Retention of urine</w:t>
            </w:r>
          </w:p>
        </w:tc>
        <w:tc>
          <w:tcPr>
            <w:tcW w:w="993" w:type="dxa"/>
            <w:shd w:val="clear" w:color="auto" w:fill="auto"/>
          </w:tcPr>
          <w:p w14:paraId="69CD555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705</w:t>
            </w:r>
          </w:p>
        </w:tc>
        <w:tc>
          <w:tcPr>
            <w:tcW w:w="850" w:type="dxa"/>
            <w:shd w:val="clear" w:color="auto" w:fill="auto"/>
            <w:noWrap/>
            <w:hideMark/>
          </w:tcPr>
          <w:p w14:paraId="054F4D2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7·7%</w:t>
            </w:r>
          </w:p>
        </w:tc>
        <w:tc>
          <w:tcPr>
            <w:tcW w:w="851" w:type="dxa"/>
            <w:shd w:val="clear" w:color="auto" w:fill="auto"/>
          </w:tcPr>
          <w:p w14:paraId="4E4FE8F9"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824</w:t>
            </w:r>
          </w:p>
        </w:tc>
        <w:tc>
          <w:tcPr>
            <w:tcW w:w="835" w:type="dxa"/>
            <w:shd w:val="clear" w:color="auto" w:fill="auto"/>
            <w:noWrap/>
            <w:hideMark/>
          </w:tcPr>
          <w:p w14:paraId="6AA9727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16·8%</w:t>
            </w:r>
          </w:p>
        </w:tc>
        <w:tc>
          <w:tcPr>
            <w:tcW w:w="1069" w:type="dxa"/>
            <w:shd w:val="clear" w:color="auto" w:fill="auto"/>
            <w:noWrap/>
            <w:hideMark/>
          </w:tcPr>
          <w:p w14:paraId="01985F07"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1·3</w:t>
            </w:r>
          </w:p>
        </w:tc>
      </w:tr>
      <w:tr w:rsidR="00624C95" w:rsidRPr="00624C95" w14:paraId="092FB107"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804777E"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R69</w:t>
            </w:r>
          </w:p>
        </w:tc>
        <w:tc>
          <w:tcPr>
            <w:tcW w:w="3906" w:type="dxa"/>
            <w:shd w:val="clear" w:color="auto" w:fill="auto"/>
            <w:hideMark/>
          </w:tcPr>
          <w:p w14:paraId="7E68ECF1"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Unknown and unspecified causes of morbidity</w:t>
            </w:r>
          </w:p>
        </w:tc>
        <w:tc>
          <w:tcPr>
            <w:tcW w:w="993" w:type="dxa"/>
            <w:shd w:val="clear" w:color="auto" w:fill="auto"/>
          </w:tcPr>
          <w:p w14:paraId="1A56E76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177</w:t>
            </w:r>
          </w:p>
        </w:tc>
        <w:tc>
          <w:tcPr>
            <w:tcW w:w="850" w:type="dxa"/>
            <w:shd w:val="clear" w:color="auto" w:fill="auto"/>
            <w:noWrap/>
            <w:hideMark/>
          </w:tcPr>
          <w:p w14:paraId="12F7BB5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0·8%</w:t>
            </w:r>
          </w:p>
        </w:tc>
        <w:tc>
          <w:tcPr>
            <w:tcW w:w="851" w:type="dxa"/>
            <w:shd w:val="clear" w:color="auto" w:fill="auto"/>
          </w:tcPr>
          <w:p w14:paraId="44DA2A61"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103</w:t>
            </w:r>
          </w:p>
        </w:tc>
        <w:tc>
          <w:tcPr>
            <w:tcW w:w="835" w:type="dxa"/>
            <w:shd w:val="clear" w:color="auto" w:fill="auto"/>
            <w:noWrap/>
            <w:hideMark/>
          </w:tcPr>
          <w:p w14:paraId="0098B32B"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2·1%</w:t>
            </w:r>
          </w:p>
        </w:tc>
        <w:tc>
          <w:tcPr>
            <w:tcW w:w="1069" w:type="dxa"/>
            <w:shd w:val="clear" w:color="auto" w:fill="auto"/>
            <w:noWrap/>
            <w:hideMark/>
          </w:tcPr>
          <w:p w14:paraId="7D1E299F"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1·3</w:t>
            </w:r>
          </w:p>
        </w:tc>
      </w:tr>
      <w:tr w:rsidR="00624C95" w:rsidRPr="00624C95" w14:paraId="12A4E3A6"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05A706BB"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N28</w:t>
            </w:r>
          </w:p>
        </w:tc>
        <w:tc>
          <w:tcPr>
            <w:tcW w:w="3906" w:type="dxa"/>
            <w:shd w:val="clear" w:color="auto" w:fill="auto"/>
            <w:hideMark/>
          </w:tcPr>
          <w:p w14:paraId="73B9D559"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disorders of kidney and ureter, not elsewhere classified</w:t>
            </w:r>
          </w:p>
        </w:tc>
        <w:tc>
          <w:tcPr>
            <w:tcW w:w="993" w:type="dxa"/>
            <w:shd w:val="clear" w:color="auto" w:fill="auto"/>
          </w:tcPr>
          <w:p w14:paraId="3B3AB7FC"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399</w:t>
            </w:r>
          </w:p>
        </w:tc>
        <w:tc>
          <w:tcPr>
            <w:tcW w:w="850" w:type="dxa"/>
            <w:shd w:val="clear" w:color="auto" w:fill="auto"/>
            <w:noWrap/>
            <w:hideMark/>
          </w:tcPr>
          <w:p w14:paraId="56B113B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w:t>
            </w:r>
          </w:p>
        </w:tc>
        <w:tc>
          <w:tcPr>
            <w:tcW w:w="851" w:type="dxa"/>
            <w:shd w:val="clear" w:color="auto" w:fill="auto"/>
          </w:tcPr>
          <w:p w14:paraId="624F27A7"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172</w:t>
            </w:r>
          </w:p>
        </w:tc>
        <w:tc>
          <w:tcPr>
            <w:tcW w:w="835" w:type="dxa"/>
            <w:shd w:val="clear" w:color="auto" w:fill="auto"/>
            <w:noWrap/>
            <w:hideMark/>
          </w:tcPr>
          <w:p w14:paraId="11B1246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3·5%</w:t>
            </w:r>
          </w:p>
        </w:tc>
        <w:tc>
          <w:tcPr>
            <w:tcW w:w="1069" w:type="dxa"/>
            <w:shd w:val="clear" w:color="auto" w:fill="auto"/>
            <w:noWrap/>
            <w:hideMark/>
          </w:tcPr>
          <w:p w14:paraId="53CDA0F6"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1·3</w:t>
            </w:r>
          </w:p>
        </w:tc>
      </w:tr>
      <w:tr w:rsidR="00624C95" w:rsidRPr="00624C95" w14:paraId="3787914A"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5ABE0875"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R32</w:t>
            </w:r>
          </w:p>
        </w:tc>
        <w:tc>
          <w:tcPr>
            <w:tcW w:w="3906" w:type="dxa"/>
            <w:shd w:val="clear" w:color="auto" w:fill="auto"/>
            <w:hideMark/>
          </w:tcPr>
          <w:p w14:paraId="47575056"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Unspecified urinary incontinence</w:t>
            </w:r>
          </w:p>
        </w:tc>
        <w:tc>
          <w:tcPr>
            <w:tcW w:w="993" w:type="dxa"/>
            <w:shd w:val="clear" w:color="auto" w:fill="auto"/>
          </w:tcPr>
          <w:p w14:paraId="7BB1D94B"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841</w:t>
            </w:r>
          </w:p>
        </w:tc>
        <w:tc>
          <w:tcPr>
            <w:tcW w:w="850" w:type="dxa"/>
            <w:shd w:val="clear" w:color="auto" w:fill="auto"/>
            <w:noWrap/>
            <w:hideMark/>
          </w:tcPr>
          <w:p w14:paraId="70E9FB3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3·8%</w:t>
            </w:r>
          </w:p>
        </w:tc>
        <w:tc>
          <w:tcPr>
            <w:tcW w:w="851" w:type="dxa"/>
            <w:shd w:val="clear" w:color="auto" w:fill="auto"/>
          </w:tcPr>
          <w:p w14:paraId="5B577F9D"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461</w:t>
            </w:r>
          </w:p>
        </w:tc>
        <w:tc>
          <w:tcPr>
            <w:tcW w:w="835" w:type="dxa"/>
            <w:shd w:val="clear" w:color="auto" w:fill="auto"/>
            <w:noWrap/>
            <w:hideMark/>
          </w:tcPr>
          <w:p w14:paraId="46C79602"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9·4%</w:t>
            </w:r>
          </w:p>
        </w:tc>
        <w:tc>
          <w:tcPr>
            <w:tcW w:w="1069" w:type="dxa"/>
            <w:shd w:val="clear" w:color="auto" w:fill="auto"/>
            <w:noWrap/>
            <w:hideMark/>
          </w:tcPr>
          <w:p w14:paraId="71D29ABF"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w:t>
            </w:r>
          </w:p>
        </w:tc>
      </w:tr>
      <w:tr w:rsidR="00624C95" w:rsidRPr="00624C95" w14:paraId="0D3FD220"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6DDA01E"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G31</w:t>
            </w:r>
          </w:p>
        </w:tc>
        <w:tc>
          <w:tcPr>
            <w:tcW w:w="3906" w:type="dxa"/>
            <w:shd w:val="clear" w:color="auto" w:fill="auto"/>
            <w:hideMark/>
          </w:tcPr>
          <w:p w14:paraId="5F548FBD"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degenerative diseases of nervous system, not elsewhere classified</w:t>
            </w:r>
          </w:p>
        </w:tc>
        <w:tc>
          <w:tcPr>
            <w:tcW w:w="993" w:type="dxa"/>
            <w:shd w:val="clear" w:color="auto" w:fill="auto"/>
          </w:tcPr>
          <w:p w14:paraId="4A1B34A1"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686</w:t>
            </w:r>
          </w:p>
        </w:tc>
        <w:tc>
          <w:tcPr>
            <w:tcW w:w="850" w:type="dxa"/>
            <w:shd w:val="clear" w:color="auto" w:fill="auto"/>
            <w:noWrap/>
            <w:hideMark/>
          </w:tcPr>
          <w:p w14:paraId="10BEDEB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3·1%</w:t>
            </w:r>
          </w:p>
        </w:tc>
        <w:tc>
          <w:tcPr>
            <w:tcW w:w="851" w:type="dxa"/>
            <w:shd w:val="clear" w:color="auto" w:fill="auto"/>
          </w:tcPr>
          <w:p w14:paraId="05726D8B"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417</w:t>
            </w:r>
          </w:p>
        </w:tc>
        <w:tc>
          <w:tcPr>
            <w:tcW w:w="835" w:type="dxa"/>
            <w:shd w:val="clear" w:color="auto" w:fill="auto"/>
            <w:noWrap/>
            <w:hideMark/>
          </w:tcPr>
          <w:p w14:paraId="11E1324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8·5%</w:t>
            </w:r>
          </w:p>
        </w:tc>
        <w:tc>
          <w:tcPr>
            <w:tcW w:w="1069" w:type="dxa"/>
            <w:shd w:val="clear" w:color="auto" w:fill="auto"/>
            <w:noWrap/>
            <w:hideMark/>
          </w:tcPr>
          <w:p w14:paraId="0752C442"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w:t>
            </w:r>
          </w:p>
        </w:tc>
      </w:tr>
      <w:tr w:rsidR="00624C95" w:rsidRPr="00624C95" w14:paraId="44B9E646"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46CC74D"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Y95</w:t>
            </w:r>
          </w:p>
        </w:tc>
        <w:tc>
          <w:tcPr>
            <w:tcW w:w="3906" w:type="dxa"/>
            <w:shd w:val="clear" w:color="auto" w:fill="auto"/>
            <w:hideMark/>
          </w:tcPr>
          <w:p w14:paraId="3C26BF39"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Nosocomial condition</w:t>
            </w:r>
          </w:p>
        </w:tc>
        <w:tc>
          <w:tcPr>
            <w:tcW w:w="993" w:type="dxa"/>
            <w:shd w:val="clear" w:color="auto" w:fill="auto"/>
          </w:tcPr>
          <w:p w14:paraId="3582B6EA"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753</w:t>
            </w:r>
          </w:p>
        </w:tc>
        <w:tc>
          <w:tcPr>
            <w:tcW w:w="850" w:type="dxa"/>
            <w:shd w:val="clear" w:color="auto" w:fill="auto"/>
            <w:noWrap/>
            <w:hideMark/>
          </w:tcPr>
          <w:p w14:paraId="72AFF43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3·4%</w:t>
            </w:r>
          </w:p>
        </w:tc>
        <w:tc>
          <w:tcPr>
            <w:tcW w:w="851" w:type="dxa"/>
            <w:shd w:val="clear" w:color="auto" w:fill="auto"/>
          </w:tcPr>
          <w:p w14:paraId="6339C211"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447</w:t>
            </w:r>
          </w:p>
        </w:tc>
        <w:tc>
          <w:tcPr>
            <w:tcW w:w="835" w:type="dxa"/>
            <w:shd w:val="clear" w:color="auto" w:fill="auto"/>
            <w:noWrap/>
            <w:hideMark/>
          </w:tcPr>
          <w:p w14:paraId="39D6F46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9·1%</w:t>
            </w:r>
          </w:p>
        </w:tc>
        <w:tc>
          <w:tcPr>
            <w:tcW w:w="1069" w:type="dxa"/>
            <w:shd w:val="clear" w:color="auto" w:fill="auto"/>
            <w:noWrap/>
            <w:hideMark/>
          </w:tcPr>
          <w:p w14:paraId="066AA7F4"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w:t>
            </w:r>
          </w:p>
        </w:tc>
      </w:tr>
      <w:tr w:rsidR="00624C95" w:rsidRPr="00624C95" w14:paraId="11578A27"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AC3F2D5"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S09</w:t>
            </w:r>
          </w:p>
        </w:tc>
        <w:tc>
          <w:tcPr>
            <w:tcW w:w="3906" w:type="dxa"/>
            <w:shd w:val="clear" w:color="auto" w:fill="auto"/>
            <w:hideMark/>
          </w:tcPr>
          <w:p w14:paraId="3A47A255"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and unspecified injuries of head</w:t>
            </w:r>
          </w:p>
        </w:tc>
        <w:tc>
          <w:tcPr>
            <w:tcW w:w="993" w:type="dxa"/>
            <w:shd w:val="clear" w:color="auto" w:fill="auto"/>
          </w:tcPr>
          <w:p w14:paraId="692B5F4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288</w:t>
            </w:r>
          </w:p>
        </w:tc>
        <w:tc>
          <w:tcPr>
            <w:tcW w:w="850" w:type="dxa"/>
            <w:shd w:val="clear" w:color="auto" w:fill="auto"/>
            <w:noWrap/>
            <w:hideMark/>
          </w:tcPr>
          <w:p w14:paraId="3FF252A6"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1·3%</w:t>
            </w:r>
          </w:p>
        </w:tc>
        <w:tc>
          <w:tcPr>
            <w:tcW w:w="851" w:type="dxa"/>
            <w:shd w:val="clear" w:color="auto" w:fill="auto"/>
          </w:tcPr>
          <w:p w14:paraId="4E5984D1"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157</w:t>
            </w:r>
          </w:p>
        </w:tc>
        <w:tc>
          <w:tcPr>
            <w:tcW w:w="835" w:type="dxa"/>
            <w:shd w:val="clear" w:color="auto" w:fill="auto"/>
            <w:noWrap/>
            <w:hideMark/>
          </w:tcPr>
          <w:p w14:paraId="5B492FF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3·2%</w:t>
            </w:r>
          </w:p>
        </w:tc>
        <w:tc>
          <w:tcPr>
            <w:tcW w:w="1069" w:type="dxa"/>
            <w:shd w:val="clear" w:color="auto" w:fill="auto"/>
            <w:noWrap/>
            <w:hideMark/>
          </w:tcPr>
          <w:p w14:paraId="21C157F1"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w:t>
            </w:r>
          </w:p>
        </w:tc>
      </w:tr>
      <w:tr w:rsidR="00624C95" w:rsidRPr="00624C95" w14:paraId="427B8E8F"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65BA639"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R45</w:t>
            </w:r>
          </w:p>
        </w:tc>
        <w:tc>
          <w:tcPr>
            <w:tcW w:w="3906" w:type="dxa"/>
            <w:shd w:val="clear" w:color="auto" w:fill="auto"/>
            <w:hideMark/>
          </w:tcPr>
          <w:p w14:paraId="6504D16A"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Symptoms and signs involving emotional state</w:t>
            </w:r>
          </w:p>
        </w:tc>
        <w:tc>
          <w:tcPr>
            <w:tcW w:w="993" w:type="dxa"/>
            <w:shd w:val="clear" w:color="auto" w:fill="auto"/>
          </w:tcPr>
          <w:p w14:paraId="04E2C141"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443</w:t>
            </w:r>
          </w:p>
        </w:tc>
        <w:tc>
          <w:tcPr>
            <w:tcW w:w="850" w:type="dxa"/>
            <w:shd w:val="clear" w:color="auto" w:fill="auto"/>
            <w:noWrap/>
            <w:hideMark/>
          </w:tcPr>
          <w:p w14:paraId="0A1C83C1"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2·0%</w:t>
            </w:r>
          </w:p>
        </w:tc>
        <w:tc>
          <w:tcPr>
            <w:tcW w:w="851" w:type="dxa"/>
            <w:shd w:val="clear" w:color="auto" w:fill="auto"/>
          </w:tcPr>
          <w:p w14:paraId="02F72BE1"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260</w:t>
            </w:r>
          </w:p>
        </w:tc>
        <w:tc>
          <w:tcPr>
            <w:tcW w:w="835" w:type="dxa"/>
            <w:shd w:val="clear" w:color="auto" w:fill="auto"/>
            <w:noWrap/>
            <w:hideMark/>
          </w:tcPr>
          <w:p w14:paraId="5F5B030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5·3%</w:t>
            </w:r>
          </w:p>
        </w:tc>
        <w:tc>
          <w:tcPr>
            <w:tcW w:w="1069" w:type="dxa"/>
            <w:shd w:val="clear" w:color="auto" w:fill="auto"/>
            <w:noWrap/>
            <w:hideMark/>
          </w:tcPr>
          <w:p w14:paraId="418FBE12"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w:t>
            </w:r>
          </w:p>
        </w:tc>
      </w:tr>
      <w:tr w:rsidR="00624C95" w:rsidRPr="00624C95" w14:paraId="497AE3BD"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918CB82"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G45</w:t>
            </w:r>
          </w:p>
        </w:tc>
        <w:tc>
          <w:tcPr>
            <w:tcW w:w="3906" w:type="dxa"/>
            <w:shd w:val="clear" w:color="auto" w:fill="auto"/>
            <w:hideMark/>
          </w:tcPr>
          <w:p w14:paraId="6743FF9C"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Transient cerebral ischaemic attacks and related syndromes</w:t>
            </w:r>
          </w:p>
        </w:tc>
        <w:tc>
          <w:tcPr>
            <w:tcW w:w="993" w:type="dxa"/>
            <w:shd w:val="clear" w:color="auto" w:fill="auto"/>
          </w:tcPr>
          <w:p w14:paraId="36B1E52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244</w:t>
            </w:r>
          </w:p>
        </w:tc>
        <w:tc>
          <w:tcPr>
            <w:tcW w:w="850" w:type="dxa"/>
            <w:shd w:val="clear" w:color="auto" w:fill="auto"/>
            <w:noWrap/>
            <w:hideMark/>
          </w:tcPr>
          <w:p w14:paraId="61B0EF1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c>
          <w:tcPr>
            <w:tcW w:w="851" w:type="dxa"/>
            <w:shd w:val="clear" w:color="auto" w:fill="auto"/>
          </w:tcPr>
          <w:p w14:paraId="5BD06093"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88</w:t>
            </w:r>
          </w:p>
        </w:tc>
        <w:tc>
          <w:tcPr>
            <w:tcW w:w="835" w:type="dxa"/>
            <w:shd w:val="clear" w:color="auto" w:fill="auto"/>
            <w:noWrap/>
            <w:hideMark/>
          </w:tcPr>
          <w:p w14:paraId="6415DBD7"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w:t>
            </w:r>
          </w:p>
        </w:tc>
        <w:tc>
          <w:tcPr>
            <w:tcW w:w="1069" w:type="dxa"/>
            <w:shd w:val="clear" w:color="auto" w:fill="auto"/>
            <w:noWrap/>
            <w:hideMark/>
          </w:tcPr>
          <w:p w14:paraId="359FAB49"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w:t>
            </w:r>
          </w:p>
        </w:tc>
      </w:tr>
      <w:tr w:rsidR="00624C95" w:rsidRPr="00624C95" w14:paraId="7B01D471"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0A7FA9CC"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Z74</w:t>
            </w:r>
          </w:p>
        </w:tc>
        <w:tc>
          <w:tcPr>
            <w:tcW w:w="3906" w:type="dxa"/>
            <w:shd w:val="clear" w:color="auto" w:fill="auto"/>
            <w:hideMark/>
          </w:tcPr>
          <w:p w14:paraId="5EA1AC4F"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Problems related to care-provider dependency</w:t>
            </w:r>
          </w:p>
        </w:tc>
        <w:tc>
          <w:tcPr>
            <w:tcW w:w="993" w:type="dxa"/>
            <w:shd w:val="clear" w:color="auto" w:fill="auto"/>
          </w:tcPr>
          <w:p w14:paraId="7B5C2B30"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332</w:t>
            </w:r>
          </w:p>
        </w:tc>
        <w:tc>
          <w:tcPr>
            <w:tcW w:w="850" w:type="dxa"/>
            <w:shd w:val="clear" w:color="auto" w:fill="auto"/>
            <w:noWrap/>
            <w:hideMark/>
          </w:tcPr>
          <w:p w14:paraId="19F1BE2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c>
          <w:tcPr>
            <w:tcW w:w="851" w:type="dxa"/>
            <w:shd w:val="clear" w:color="auto" w:fill="auto"/>
          </w:tcPr>
          <w:p w14:paraId="6A17F531"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201</w:t>
            </w:r>
          </w:p>
        </w:tc>
        <w:tc>
          <w:tcPr>
            <w:tcW w:w="835" w:type="dxa"/>
            <w:shd w:val="clear" w:color="auto" w:fill="auto"/>
            <w:noWrap/>
            <w:hideMark/>
          </w:tcPr>
          <w:p w14:paraId="342646A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4·1%</w:t>
            </w:r>
          </w:p>
        </w:tc>
        <w:tc>
          <w:tcPr>
            <w:tcW w:w="1069" w:type="dxa"/>
            <w:shd w:val="clear" w:color="auto" w:fill="auto"/>
            <w:noWrap/>
            <w:hideMark/>
          </w:tcPr>
          <w:p w14:paraId="3B710CB8"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r>
      <w:tr w:rsidR="00624C95" w:rsidRPr="00624C95" w14:paraId="21E67F26"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03FFEF2"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M79</w:t>
            </w:r>
          </w:p>
        </w:tc>
        <w:tc>
          <w:tcPr>
            <w:tcW w:w="3906" w:type="dxa"/>
            <w:shd w:val="clear" w:color="auto" w:fill="auto"/>
            <w:hideMark/>
          </w:tcPr>
          <w:p w14:paraId="02244230"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soft tissue disorders, not elsewhere classified</w:t>
            </w:r>
          </w:p>
        </w:tc>
        <w:tc>
          <w:tcPr>
            <w:tcW w:w="993" w:type="dxa"/>
            <w:shd w:val="clear" w:color="auto" w:fill="auto"/>
          </w:tcPr>
          <w:p w14:paraId="440BEEB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930</w:t>
            </w:r>
          </w:p>
        </w:tc>
        <w:tc>
          <w:tcPr>
            <w:tcW w:w="850" w:type="dxa"/>
            <w:shd w:val="clear" w:color="auto" w:fill="auto"/>
            <w:noWrap/>
            <w:hideMark/>
          </w:tcPr>
          <w:p w14:paraId="18D20D66"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4·2%</w:t>
            </w:r>
          </w:p>
        </w:tc>
        <w:tc>
          <w:tcPr>
            <w:tcW w:w="851" w:type="dxa"/>
            <w:shd w:val="clear" w:color="auto" w:fill="auto"/>
          </w:tcPr>
          <w:p w14:paraId="4D58B288"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402</w:t>
            </w:r>
          </w:p>
        </w:tc>
        <w:tc>
          <w:tcPr>
            <w:tcW w:w="835" w:type="dxa"/>
            <w:shd w:val="clear" w:color="auto" w:fill="auto"/>
            <w:noWrap/>
            <w:hideMark/>
          </w:tcPr>
          <w:p w14:paraId="5EC5F940"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8·2%</w:t>
            </w:r>
          </w:p>
        </w:tc>
        <w:tc>
          <w:tcPr>
            <w:tcW w:w="1069" w:type="dxa"/>
            <w:shd w:val="clear" w:color="auto" w:fill="auto"/>
            <w:noWrap/>
            <w:hideMark/>
          </w:tcPr>
          <w:p w14:paraId="6BF7F107"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r>
      <w:tr w:rsidR="00624C95" w:rsidRPr="00624C95" w14:paraId="1D5EF352"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2A893F9"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W06</w:t>
            </w:r>
          </w:p>
        </w:tc>
        <w:tc>
          <w:tcPr>
            <w:tcW w:w="3906" w:type="dxa"/>
            <w:shd w:val="clear" w:color="auto" w:fill="auto"/>
            <w:hideMark/>
          </w:tcPr>
          <w:p w14:paraId="38416FA7"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Fall involving bed</w:t>
            </w:r>
          </w:p>
        </w:tc>
        <w:tc>
          <w:tcPr>
            <w:tcW w:w="993" w:type="dxa"/>
            <w:shd w:val="clear" w:color="auto" w:fill="auto"/>
          </w:tcPr>
          <w:p w14:paraId="41653C59"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310</w:t>
            </w:r>
          </w:p>
        </w:tc>
        <w:tc>
          <w:tcPr>
            <w:tcW w:w="850" w:type="dxa"/>
            <w:shd w:val="clear" w:color="auto" w:fill="auto"/>
            <w:noWrap/>
            <w:hideMark/>
          </w:tcPr>
          <w:p w14:paraId="63C904A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1·4%</w:t>
            </w:r>
          </w:p>
        </w:tc>
        <w:tc>
          <w:tcPr>
            <w:tcW w:w="851" w:type="dxa"/>
            <w:shd w:val="clear" w:color="auto" w:fill="auto"/>
          </w:tcPr>
          <w:p w14:paraId="31C3C70B"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186</w:t>
            </w:r>
          </w:p>
        </w:tc>
        <w:tc>
          <w:tcPr>
            <w:tcW w:w="835" w:type="dxa"/>
            <w:shd w:val="clear" w:color="auto" w:fill="auto"/>
            <w:noWrap/>
            <w:hideMark/>
          </w:tcPr>
          <w:p w14:paraId="3EB7C511"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3·8%</w:t>
            </w:r>
          </w:p>
        </w:tc>
        <w:tc>
          <w:tcPr>
            <w:tcW w:w="1069" w:type="dxa"/>
            <w:shd w:val="clear" w:color="auto" w:fill="auto"/>
            <w:noWrap/>
            <w:hideMark/>
          </w:tcPr>
          <w:p w14:paraId="2B0FEF60"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r>
      <w:tr w:rsidR="00624C95" w:rsidRPr="00624C95" w14:paraId="2A2CD924"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5EA9422A"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lastRenderedPageBreak/>
              <w:t>S01</w:t>
            </w:r>
          </w:p>
        </w:tc>
        <w:tc>
          <w:tcPr>
            <w:tcW w:w="3906" w:type="dxa"/>
            <w:shd w:val="clear" w:color="auto" w:fill="auto"/>
            <w:hideMark/>
          </w:tcPr>
          <w:p w14:paraId="1E5C3A00"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Open wound of head</w:t>
            </w:r>
          </w:p>
        </w:tc>
        <w:tc>
          <w:tcPr>
            <w:tcW w:w="993" w:type="dxa"/>
            <w:shd w:val="clear" w:color="auto" w:fill="auto"/>
          </w:tcPr>
          <w:p w14:paraId="5329C55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753</w:t>
            </w:r>
          </w:p>
        </w:tc>
        <w:tc>
          <w:tcPr>
            <w:tcW w:w="850" w:type="dxa"/>
            <w:shd w:val="clear" w:color="auto" w:fill="auto"/>
            <w:noWrap/>
            <w:hideMark/>
          </w:tcPr>
          <w:p w14:paraId="0483EB41"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3·4%</w:t>
            </w:r>
          </w:p>
        </w:tc>
        <w:tc>
          <w:tcPr>
            <w:tcW w:w="851" w:type="dxa"/>
            <w:shd w:val="clear" w:color="auto" w:fill="auto"/>
          </w:tcPr>
          <w:p w14:paraId="53E4D7E1"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407</w:t>
            </w:r>
          </w:p>
        </w:tc>
        <w:tc>
          <w:tcPr>
            <w:tcW w:w="835" w:type="dxa"/>
            <w:shd w:val="clear" w:color="auto" w:fill="auto"/>
            <w:noWrap/>
            <w:hideMark/>
          </w:tcPr>
          <w:p w14:paraId="0D3AC69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8·3%</w:t>
            </w:r>
          </w:p>
        </w:tc>
        <w:tc>
          <w:tcPr>
            <w:tcW w:w="1069" w:type="dxa"/>
            <w:shd w:val="clear" w:color="auto" w:fill="auto"/>
            <w:noWrap/>
            <w:hideMark/>
          </w:tcPr>
          <w:p w14:paraId="22E0EE90"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r>
      <w:tr w:rsidR="00624C95" w:rsidRPr="00624C95" w14:paraId="61FE34AB"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592F0DB"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A04</w:t>
            </w:r>
          </w:p>
        </w:tc>
        <w:tc>
          <w:tcPr>
            <w:tcW w:w="3906" w:type="dxa"/>
            <w:shd w:val="clear" w:color="auto" w:fill="auto"/>
            <w:hideMark/>
          </w:tcPr>
          <w:p w14:paraId="412EAC91"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bacterial intestinal infections</w:t>
            </w:r>
          </w:p>
        </w:tc>
        <w:tc>
          <w:tcPr>
            <w:tcW w:w="993" w:type="dxa"/>
            <w:shd w:val="clear" w:color="auto" w:fill="auto"/>
            <w:noWrap/>
          </w:tcPr>
          <w:p w14:paraId="369F1A8E"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221</w:t>
            </w:r>
          </w:p>
        </w:tc>
        <w:tc>
          <w:tcPr>
            <w:tcW w:w="850" w:type="dxa"/>
            <w:shd w:val="clear" w:color="auto" w:fill="auto"/>
          </w:tcPr>
          <w:p w14:paraId="10CA984C"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c>
          <w:tcPr>
            <w:tcW w:w="851" w:type="dxa"/>
            <w:shd w:val="clear" w:color="auto" w:fill="auto"/>
          </w:tcPr>
          <w:p w14:paraId="474165DD"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108</w:t>
            </w:r>
          </w:p>
        </w:tc>
        <w:tc>
          <w:tcPr>
            <w:tcW w:w="835" w:type="dxa"/>
            <w:shd w:val="clear" w:color="auto" w:fill="auto"/>
            <w:noWrap/>
            <w:hideMark/>
          </w:tcPr>
          <w:p w14:paraId="32EDA95A"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2·2%</w:t>
            </w:r>
          </w:p>
        </w:tc>
        <w:tc>
          <w:tcPr>
            <w:tcW w:w="1069" w:type="dxa"/>
            <w:shd w:val="clear" w:color="auto" w:fill="auto"/>
            <w:noWrap/>
            <w:hideMark/>
          </w:tcPr>
          <w:p w14:paraId="6286A1E8"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r>
      <w:tr w:rsidR="00624C95" w:rsidRPr="00624C95" w14:paraId="2FA63A46"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03779D5"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A09</w:t>
            </w:r>
          </w:p>
        </w:tc>
        <w:tc>
          <w:tcPr>
            <w:tcW w:w="3906" w:type="dxa"/>
            <w:shd w:val="clear" w:color="auto" w:fill="auto"/>
            <w:hideMark/>
          </w:tcPr>
          <w:p w14:paraId="1B49C7EF"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Diarrhoea and gastroenteritis of presumed infectious origin</w:t>
            </w:r>
          </w:p>
        </w:tc>
        <w:tc>
          <w:tcPr>
            <w:tcW w:w="993" w:type="dxa"/>
            <w:shd w:val="clear" w:color="auto" w:fill="auto"/>
            <w:noWrap/>
          </w:tcPr>
          <w:p w14:paraId="7887D07F"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417</w:t>
            </w:r>
          </w:p>
        </w:tc>
        <w:tc>
          <w:tcPr>
            <w:tcW w:w="850" w:type="dxa"/>
            <w:shd w:val="clear" w:color="auto" w:fill="auto"/>
          </w:tcPr>
          <w:p w14:paraId="0D568C94"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6·4%</w:t>
            </w:r>
          </w:p>
        </w:tc>
        <w:tc>
          <w:tcPr>
            <w:tcW w:w="851" w:type="dxa"/>
            <w:shd w:val="clear" w:color="auto" w:fill="auto"/>
          </w:tcPr>
          <w:p w14:paraId="4C5BC7BB"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618</w:t>
            </w:r>
          </w:p>
        </w:tc>
        <w:tc>
          <w:tcPr>
            <w:tcW w:w="835" w:type="dxa"/>
            <w:shd w:val="clear" w:color="auto" w:fill="auto"/>
            <w:noWrap/>
            <w:hideMark/>
          </w:tcPr>
          <w:p w14:paraId="780A3316"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12·6%</w:t>
            </w:r>
          </w:p>
        </w:tc>
        <w:tc>
          <w:tcPr>
            <w:tcW w:w="1069" w:type="dxa"/>
            <w:shd w:val="clear" w:color="auto" w:fill="auto"/>
            <w:noWrap/>
            <w:hideMark/>
          </w:tcPr>
          <w:p w14:paraId="3A56D13F"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r>
      <w:tr w:rsidR="00624C95" w:rsidRPr="00624C95" w14:paraId="46994587"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71667D9"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J18</w:t>
            </w:r>
          </w:p>
        </w:tc>
        <w:tc>
          <w:tcPr>
            <w:tcW w:w="3906" w:type="dxa"/>
            <w:shd w:val="clear" w:color="auto" w:fill="auto"/>
            <w:hideMark/>
          </w:tcPr>
          <w:p w14:paraId="519AB032"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Pneumonia, organism unspecified</w:t>
            </w:r>
          </w:p>
        </w:tc>
        <w:tc>
          <w:tcPr>
            <w:tcW w:w="993" w:type="dxa"/>
            <w:shd w:val="clear" w:color="auto" w:fill="auto"/>
            <w:noWrap/>
          </w:tcPr>
          <w:p w14:paraId="36664921"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w:t>
            </w:r>
            <w:r>
              <w:rPr>
                <w:rFonts w:ascii="Times New Roman" w:hAnsi="Times New Roman" w:cs="Times New Roman"/>
                <w:sz w:val="20"/>
                <w:szCs w:val="20"/>
              </w:rPr>
              <w:t>,</w:t>
            </w:r>
            <w:r w:rsidRPr="00624C95">
              <w:rPr>
                <w:rFonts w:ascii="Times New Roman" w:hAnsi="Times New Roman" w:cs="Times New Roman"/>
                <w:sz w:val="20"/>
                <w:szCs w:val="20"/>
              </w:rPr>
              <w:t>830</w:t>
            </w:r>
          </w:p>
        </w:tc>
        <w:tc>
          <w:tcPr>
            <w:tcW w:w="850" w:type="dxa"/>
            <w:shd w:val="clear" w:color="auto" w:fill="auto"/>
          </w:tcPr>
          <w:p w14:paraId="0D103E19"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17·3%</w:t>
            </w:r>
          </w:p>
        </w:tc>
        <w:tc>
          <w:tcPr>
            <w:tcW w:w="851" w:type="dxa"/>
            <w:shd w:val="clear" w:color="auto" w:fill="auto"/>
          </w:tcPr>
          <w:p w14:paraId="432B0705"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644</w:t>
            </w:r>
          </w:p>
        </w:tc>
        <w:tc>
          <w:tcPr>
            <w:tcW w:w="835" w:type="dxa"/>
            <w:shd w:val="clear" w:color="auto" w:fill="auto"/>
            <w:noWrap/>
            <w:hideMark/>
          </w:tcPr>
          <w:p w14:paraId="64B91EA9"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33·5%</w:t>
            </w:r>
          </w:p>
        </w:tc>
        <w:tc>
          <w:tcPr>
            <w:tcW w:w="1069" w:type="dxa"/>
            <w:shd w:val="clear" w:color="auto" w:fill="auto"/>
            <w:noWrap/>
            <w:hideMark/>
          </w:tcPr>
          <w:p w14:paraId="2CDA1D0D"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r>
      <w:tr w:rsidR="00624C95" w:rsidRPr="00624C95" w14:paraId="02D48A15"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010D22AA"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J69</w:t>
            </w:r>
          </w:p>
        </w:tc>
        <w:tc>
          <w:tcPr>
            <w:tcW w:w="3906" w:type="dxa"/>
            <w:shd w:val="clear" w:color="auto" w:fill="auto"/>
            <w:hideMark/>
          </w:tcPr>
          <w:p w14:paraId="6FF78655"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Pneumonitis due to solids and liquids</w:t>
            </w:r>
          </w:p>
        </w:tc>
        <w:tc>
          <w:tcPr>
            <w:tcW w:w="993" w:type="dxa"/>
            <w:shd w:val="clear" w:color="auto" w:fill="auto"/>
            <w:noWrap/>
          </w:tcPr>
          <w:p w14:paraId="05E95C07"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487</w:t>
            </w:r>
          </w:p>
        </w:tc>
        <w:tc>
          <w:tcPr>
            <w:tcW w:w="850" w:type="dxa"/>
            <w:shd w:val="clear" w:color="auto" w:fill="auto"/>
          </w:tcPr>
          <w:p w14:paraId="647C1BD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2·2%</w:t>
            </w:r>
          </w:p>
        </w:tc>
        <w:tc>
          <w:tcPr>
            <w:tcW w:w="851" w:type="dxa"/>
            <w:shd w:val="clear" w:color="auto" w:fill="auto"/>
          </w:tcPr>
          <w:p w14:paraId="0844A96D"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250</w:t>
            </w:r>
          </w:p>
        </w:tc>
        <w:tc>
          <w:tcPr>
            <w:tcW w:w="835" w:type="dxa"/>
            <w:shd w:val="clear" w:color="auto" w:fill="auto"/>
            <w:noWrap/>
            <w:hideMark/>
          </w:tcPr>
          <w:p w14:paraId="4D24756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5·1%</w:t>
            </w:r>
          </w:p>
        </w:tc>
        <w:tc>
          <w:tcPr>
            <w:tcW w:w="1069" w:type="dxa"/>
            <w:shd w:val="clear" w:color="auto" w:fill="auto"/>
            <w:noWrap/>
            <w:hideMark/>
          </w:tcPr>
          <w:p w14:paraId="0AB953E7"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r>
      <w:tr w:rsidR="00624C95" w:rsidRPr="00624C95" w14:paraId="59A2C882"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EC1EDD8"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R47</w:t>
            </w:r>
          </w:p>
        </w:tc>
        <w:tc>
          <w:tcPr>
            <w:tcW w:w="3906" w:type="dxa"/>
            <w:shd w:val="clear" w:color="auto" w:fill="auto"/>
            <w:hideMark/>
          </w:tcPr>
          <w:p w14:paraId="60CE435F"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Speech disturbances, not elsewhere classified</w:t>
            </w:r>
          </w:p>
        </w:tc>
        <w:tc>
          <w:tcPr>
            <w:tcW w:w="993" w:type="dxa"/>
            <w:shd w:val="clear" w:color="auto" w:fill="auto"/>
            <w:noWrap/>
          </w:tcPr>
          <w:p w14:paraId="63FB846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421</w:t>
            </w:r>
          </w:p>
        </w:tc>
        <w:tc>
          <w:tcPr>
            <w:tcW w:w="850" w:type="dxa"/>
            <w:shd w:val="clear" w:color="auto" w:fill="auto"/>
          </w:tcPr>
          <w:p w14:paraId="43143F89"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1·9%</w:t>
            </w:r>
          </w:p>
        </w:tc>
        <w:tc>
          <w:tcPr>
            <w:tcW w:w="851" w:type="dxa"/>
            <w:shd w:val="clear" w:color="auto" w:fill="auto"/>
          </w:tcPr>
          <w:p w14:paraId="7AD640DC"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236</w:t>
            </w:r>
          </w:p>
        </w:tc>
        <w:tc>
          <w:tcPr>
            <w:tcW w:w="835" w:type="dxa"/>
            <w:shd w:val="clear" w:color="auto" w:fill="auto"/>
            <w:noWrap/>
            <w:hideMark/>
          </w:tcPr>
          <w:p w14:paraId="08832CD0"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4·8%</w:t>
            </w:r>
          </w:p>
        </w:tc>
        <w:tc>
          <w:tcPr>
            <w:tcW w:w="1069" w:type="dxa"/>
            <w:shd w:val="clear" w:color="auto" w:fill="auto"/>
            <w:noWrap/>
            <w:hideMark/>
          </w:tcPr>
          <w:p w14:paraId="2B5AE8D4"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r>
      <w:tr w:rsidR="00624C95" w:rsidRPr="00624C95" w14:paraId="7C723008"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54F3059B"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E55</w:t>
            </w:r>
          </w:p>
        </w:tc>
        <w:tc>
          <w:tcPr>
            <w:tcW w:w="3906" w:type="dxa"/>
            <w:shd w:val="clear" w:color="auto" w:fill="auto"/>
            <w:hideMark/>
          </w:tcPr>
          <w:p w14:paraId="0A2AF81C"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Vitamin D deficiency</w:t>
            </w:r>
          </w:p>
        </w:tc>
        <w:tc>
          <w:tcPr>
            <w:tcW w:w="993" w:type="dxa"/>
            <w:shd w:val="clear" w:color="auto" w:fill="auto"/>
            <w:noWrap/>
          </w:tcPr>
          <w:p w14:paraId="2D7CF3C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310</w:t>
            </w:r>
          </w:p>
        </w:tc>
        <w:tc>
          <w:tcPr>
            <w:tcW w:w="850" w:type="dxa"/>
            <w:shd w:val="clear" w:color="auto" w:fill="auto"/>
          </w:tcPr>
          <w:p w14:paraId="2DA02C0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1·4%</w:t>
            </w:r>
          </w:p>
        </w:tc>
        <w:tc>
          <w:tcPr>
            <w:tcW w:w="851" w:type="dxa"/>
            <w:shd w:val="clear" w:color="auto" w:fill="auto"/>
          </w:tcPr>
          <w:p w14:paraId="74C6A8A4"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157</w:t>
            </w:r>
          </w:p>
        </w:tc>
        <w:tc>
          <w:tcPr>
            <w:tcW w:w="835" w:type="dxa"/>
            <w:shd w:val="clear" w:color="auto" w:fill="auto"/>
            <w:noWrap/>
            <w:hideMark/>
          </w:tcPr>
          <w:p w14:paraId="0440851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3·2%</w:t>
            </w:r>
          </w:p>
        </w:tc>
        <w:tc>
          <w:tcPr>
            <w:tcW w:w="1069" w:type="dxa"/>
            <w:shd w:val="clear" w:color="auto" w:fill="auto"/>
            <w:noWrap/>
            <w:hideMark/>
          </w:tcPr>
          <w:p w14:paraId="3A3E2084"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r>
      <w:tr w:rsidR="00624C95" w:rsidRPr="00624C95" w14:paraId="7B106F28"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3A99911"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Z93</w:t>
            </w:r>
          </w:p>
        </w:tc>
        <w:tc>
          <w:tcPr>
            <w:tcW w:w="3906" w:type="dxa"/>
            <w:shd w:val="clear" w:color="auto" w:fill="auto"/>
            <w:hideMark/>
          </w:tcPr>
          <w:p w14:paraId="5C620C3F"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Artificial opening status</w:t>
            </w:r>
          </w:p>
        </w:tc>
        <w:tc>
          <w:tcPr>
            <w:tcW w:w="993" w:type="dxa"/>
            <w:shd w:val="clear" w:color="auto" w:fill="auto"/>
            <w:noWrap/>
          </w:tcPr>
          <w:p w14:paraId="387CBC61"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443</w:t>
            </w:r>
          </w:p>
        </w:tc>
        <w:tc>
          <w:tcPr>
            <w:tcW w:w="850" w:type="dxa"/>
            <w:shd w:val="clear" w:color="auto" w:fill="auto"/>
          </w:tcPr>
          <w:p w14:paraId="2453B9DE"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2·0%</w:t>
            </w:r>
          </w:p>
        </w:tc>
        <w:tc>
          <w:tcPr>
            <w:tcW w:w="851" w:type="dxa"/>
            <w:shd w:val="clear" w:color="auto" w:fill="auto"/>
          </w:tcPr>
          <w:p w14:paraId="3B0E5151"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162</w:t>
            </w:r>
          </w:p>
        </w:tc>
        <w:tc>
          <w:tcPr>
            <w:tcW w:w="835" w:type="dxa"/>
            <w:shd w:val="clear" w:color="auto" w:fill="auto"/>
            <w:noWrap/>
            <w:hideMark/>
          </w:tcPr>
          <w:p w14:paraId="2F5257D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3·3%</w:t>
            </w:r>
          </w:p>
        </w:tc>
        <w:tc>
          <w:tcPr>
            <w:tcW w:w="1069" w:type="dxa"/>
            <w:shd w:val="clear" w:color="auto" w:fill="auto"/>
            <w:noWrap/>
            <w:hideMark/>
          </w:tcPr>
          <w:p w14:paraId="05006431"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r>
      <w:tr w:rsidR="00624C95" w:rsidRPr="00624C95" w14:paraId="7F816586"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0855D0C"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R02</w:t>
            </w:r>
          </w:p>
        </w:tc>
        <w:tc>
          <w:tcPr>
            <w:tcW w:w="3906" w:type="dxa"/>
            <w:shd w:val="clear" w:color="auto" w:fill="auto"/>
            <w:hideMark/>
          </w:tcPr>
          <w:p w14:paraId="574F7797"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Gangrene, not elsewhere classified</w:t>
            </w:r>
          </w:p>
        </w:tc>
        <w:tc>
          <w:tcPr>
            <w:tcW w:w="993" w:type="dxa"/>
            <w:shd w:val="clear" w:color="auto" w:fill="auto"/>
            <w:noWrap/>
          </w:tcPr>
          <w:p w14:paraId="1EABBAB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155</w:t>
            </w:r>
          </w:p>
        </w:tc>
        <w:tc>
          <w:tcPr>
            <w:tcW w:w="850" w:type="dxa"/>
            <w:shd w:val="clear" w:color="auto" w:fill="auto"/>
          </w:tcPr>
          <w:p w14:paraId="3D26D6AC"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0·7%</w:t>
            </w:r>
          </w:p>
        </w:tc>
        <w:tc>
          <w:tcPr>
            <w:tcW w:w="851" w:type="dxa"/>
            <w:shd w:val="clear" w:color="auto" w:fill="auto"/>
          </w:tcPr>
          <w:p w14:paraId="1606564F"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83</w:t>
            </w:r>
          </w:p>
        </w:tc>
        <w:tc>
          <w:tcPr>
            <w:tcW w:w="835" w:type="dxa"/>
            <w:shd w:val="clear" w:color="auto" w:fill="auto"/>
            <w:noWrap/>
            <w:hideMark/>
          </w:tcPr>
          <w:p w14:paraId="0C29D5A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1·7%</w:t>
            </w:r>
          </w:p>
        </w:tc>
        <w:tc>
          <w:tcPr>
            <w:tcW w:w="1069" w:type="dxa"/>
            <w:shd w:val="clear" w:color="auto" w:fill="auto"/>
            <w:noWrap/>
            <w:hideMark/>
          </w:tcPr>
          <w:p w14:paraId="3BF6A0BE"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r>
      <w:tr w:rsidR="00624C95" w:rsidRPr="00624C95" w14:paraId="189BB167"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220B0FB"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R63</w:t>
            </w:r>
          </w:p>
        </w:tc>
        <w:tc>
          <w:tcPr>
            <w:tcW w:w="3906" w:type="dxa"/>
            <w:shd w:val="clear" w:color="auto" w:fill="auto"/>
            <w:hideMark/>
          </w:tcPr>
          <w:p w14:paraId="5B3244DB"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Symptoms and signs concerning food and fluid intake</w:t>
            </w:r>
          </w:p>
        </w:tc>
        <w:tc>
          <w:tcPr>
            <w:tcW w:w="993" w:type="dxa"/>
            <w:shd w:val="clear" w:color="auto" w:fill="auto"/>
            <w:noWrap/>
          </w:tcPr>
          <w:p w14:paraId="32885DD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328</w:t>
            </w:r>
          </w:p>
        </w:tc>
        <w:tc>
          <w:tcPr>
            <w:tcW w:w="850" w:type="dxa"/>
            <w:shd w:val="clear" w:color="auto" w:fill="auto"/>
          </w:tcPr>
          <w:p w14:paraId="34844072"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6·0%</w:t>
            </w:r>
          </w:p>
        </w:tc>
        <w:tc>
          <w:tcPr>
            <w:tcW w:w="851" w:type="dxa"/>
            <w:shd w:val="clear" w:color="auto" w:fill="auto"/>
          </w:tcPr>
          <w:p w14:paraId="50A91241"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564</w:t>
            </w:r>
          </w:p>
        </w:tc>
        <w:tc>
          <w:tcPr>
            <w:tcW w:w="835" w:type="dxa"/>
            <w:shd w:val="clear" w:color="auto" w:fill="auto"/>
            <w:noWrap/>
            <w:hideMark/>
          </w:tcPr>
          <w:p w14:paraId="012E3457"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11·5%</w:t>
            </w:r>
          </w:p>
        </w:tc>
        <w:tc>
          <w:tcPr>
            <w:tcW w:w="1069" w:type="dxa"/>
            <w:shd w:val="clear" w:color="auto" w:fill="auto"/>
            <w:noWrap/>
            <w:hideMark/>
          </w:tcPr>
          <w:p w14:paraId="649A9038"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0·9</w:t>
            </w:r>
          </w:p>
        </w:tc>
      </w:tr>
      <w:tr w:rsidR="00624C95" w:rsidRPr="00624C95" w14:paraId="64BAED90"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7F1816E"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H91</w:t>
            </w:r>
          </w:p>
        </w:tc>
        <w:tc>
          <w:tcPr>
            <w:tcW w:w="3906" w:type="dxa"/>
            <w:shd w:val="clear" w:color="auto" w:fill="auto"/>
            <w:hideMark/>
          </w:tcPr>
          <w:p w14:paraId="76FF1799"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hearing loss</w:t>
            </w:r>
          </w:p>
        </w:tc>
        <w:tc>
          <w:tcPr>
            <w:tcW w:w="993" w:type="dxa"/>
            <w:shd w:val="clear" w:color="auto" w:fill="auto"/>
            <w:noWrap/>
          </w:tcPr>
          <w:p w14:paraId="33394317"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151</w:t>
            </w:r>
          </w:p>
        </w:tc>
        <w:tc>
          <w:tcPr>
            <w:tcW w:w="850" w:type="dxa"/>
            <w:shd w:val="clear" w:color="auto" w:fill="auto"/>
          </w:tcPr>
          <w:p w14:paraId="36CFA29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5·2%</w:t>
            </w:r>
          </w:p>
        </w:tc>
        <w:tc>
          <w:tcPr>
            <w:tcW w:w="851" w:type="dxa"/>
            <w:shd w:val="clear" w:color="auto" w:fill="auto"/>
          </w:tcPr>
          <w:p w14:paraId="569D87DF"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466</w:t>
            </w:r>
          </w:p>
        </w:tc>
        <w:tc>
          <w:tcPr>
            <w:tcW w:w="835" w:type="dxa"/>
            <w:shd w:val="clear" w:color="auto" w:fill="auto"/>
            <w:noWrap/>
            <w:hideMark/>
          </w:tcPr>
          <w:p w14:paraId="74724A01"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9·5%</w:t>
            </w:r>
          </w:p>
        </w:tc>
        <w:tc>
          <w:tcPr>
            <w:tcW w:w="1069" w:type="dxa"/>
            <w:shd w:val="clear" w:color="auto" w:fill="auto"/>
            <w:noWrap/>
            <w:hideMark/>
          </w:tcPr>
          <w:p w14:paraId="5F8DF9F4"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0·9</w:t>
            </w:r>
          </w:p>
        </w:tc>
      </w:tr>
      <w:tr w:rsidR="00624C95" w:rsidRPr="00624C95" w14:paraId="2C074BEE"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238AB0A"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W10</w:t>
            </w:r>
          </w:p>
        </w:tc>
        <w:tc>
          <w:tcPr>
            <w:tcW w:w="3906" w:type="dxa"/>
            <w:shd w:val="clear" w:color="auto" w:fill="auto"/>
            <w:hideMark/>
          </w:tcPr>
          <w:p w14:paraId="030696E6"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Fall on and from stairs and steps</w:t>
            </w:r>
          </w:p>
        </w:tc>
        <w:tc>
          <w:tcPr>
            <w:tcW w:w="993" w:type="dxa"/>
            <w:shd w:val="clear" w:color="auto" w:fill="auto"/>
            <w:noWrap/>
          </w:tcPr>
          <w:p w14:paraId="2ED7973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266</w:t>
            </w:r>
          </w:p>
        </w:tc>
        <w:tc>
          <w:tcPr>
            <w:tcW w:w="850" w:type="dxa"/>
            <w:shd w:val="clear" w:color="auto" w:fill="auto"/>
          </w:tcPr>
          <w:p w14:paraId="1FD0485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w:t>
            </w:r>
          </w:p>
        </w:tc>
        <w:tc>
          <w:tcPr>
            <w:tcW w:w="851" w:type="dxa"/>
            <w:shd w:val="clear" w:color="auto" w:fill="auto"/>
          </w:tcPr>
          <w:p w14:paraId="1474D12F"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103</w:t>
            </w:r>
          </w:p>
        </w:tc>
        <w:tc>
          <w:tcPr>
            <w:tcW w:w="835" w:type="dxa"/>
            <w:shd w:val="clear" w:color="auto" w:fill="auto"/>
            <w:noWrap/>
            <w:hideMark/>
          </w:tcPr>
          <w:p w14:paraId="6089B0CB"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2·1%</w:t>
            </w:r>
          </w:p>
        </w:tc>
        <w:tc>
          <w:tcPr>
            <w:tcW w:w="1069" w:type="dxa"/>
            <w:shd w:val="clear" w:color="auto" w:fill="auto"/>
            <w:noWrap/>
            <w:hideMark/>
          </w:tcPr>
          <w:p w14:paraId="1D5048D8"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0·9</w:t>
            </w:r>
          </w:p>
        </w:tc>
      </w:tr>
      <w:tr w:rsidR="00624C95" w:rsidRPr="00624C95" w14:paraId="01B3D51A"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EF8AB8D"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W01</w:t>
            </w:r>
          </w:p>
        </w:tc>
        <w:tc>
          <w:tcPr>
            <w:tcW w:w="3906" w:type="dxa"/>
            <w:shd w:val="clear" w:color="auto" w:fill="auto"/>
            <w:hideMark/>
          </w:tcPr>
          <w:p w14:paraId="14D9FBA5"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Fall on same level from slipping, tripping and stumbling</w:t>
            </w:r>
          </w:p>
        </w:tc>
        <w:tc>
          <w:tcPr>
            <w:tcW w:w="993" w:type="dxa"/>
            <w:shd w:val="clear" w:color="auto" w:fill="auto"/>
            <w:noWrap/>
          </w:tcPr>
          <w:p w14:paraId="09979DFF"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686</w:t>
            </w:r>
          </w:p>
        </w:tc>
        <w:tc>
          <w:tcPr>
            <w:tcW w:w="850" w:type="dxa"/>
            <w:shd w:val="clear" w:color="auto" w:fill="auto"/>
          </w:tcPr>
          <w:p w14:paraId="1894E3D4"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3·1%</w:t>
            </w:r>
          </w:p>
        </w:tc>
        <w:tc>
          <w:tcPr>
            <w:tcW w:w="851" w:type="dxa"/>
            <w:shd w:val="clear" w:color="auto" w:fill="auto"/>
          </w:tcPr>
          <w:p w14:paraId="22F50B97"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270</w:t>
            </w:r>
          </w:p>
        </w:tc>
        <w:tc>
          <w:tcPr>
            <w:tcW w:w="835" w:type="dxa"/>
            <w:shd w:val="clear" w:color="auto" w:fill="auto"/>
            <w:noWrap/>
            <w:hideMark/>
          </w:tcPr>
          <w:p w14:paraId="2DCA75F3"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5·5%</w:t>
            </w:r>
          </w:p>
        </w:tc>
        <w:tc>
          <w:tcPr>
            <w:tcW w:w="1069" w:type="dxa"/>
            <w:shd w:val="clear" w:color="auto" w:fill="auto"/>
            <w:noWrap/>
            <w:hideMark/>
          </w:tcPr>
          <w:p w14:paraId="4B1BB9CD"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0·9</w:t>
            </w:r>
          </w:p>
        </w:tc>
      </w:tr>
      <w:tr w:rsidR="00624C95" w:rsidRPr="00624C95" w14:paraId="071EDC30"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B0301F0"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E05</w:t>
            </w:r>
          </w:p>
        </w:tc>
        <w:tc>
          <w:tcPr>
            <w:tcW w:w="3906" w:type="dxa"/>
            <w:shd w:val="clear" w:color="auto" w:fill="auto"/>
            <w:hideMark/>
          </w:tcPr>
          <w:p w14:paraId="6D6E3691"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Thyrotoxicosis [hyperthyroidism]</w:t>
            </w:r>
          </w:p>
        </w:tc>
        <w:tc>
          <w:tcPr>
            <w:tcW w:w="993" w:type="dxa"/>
            <w:shd w:val="clear" w:color="auto" w:fill="auto"/>
            <w:noWrap/>
          </w:tcPr>
          <w:p w14:paraId="38305C7A"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199</w:t>
            </w:r>
          </w:p>
        </w:tc>
        <w:tc>
          <w:tcPr>
            <w:tcW w:w="850" w:type="dxa"/>
            <w:shd w:val="clear" w:color="auto" w:fill="auto"/>
          </w:tcPr>
          <w:p w14:paraId="32587B47"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0·9%</w:t>
            </w:r>
          </w:p>
        </w:tc>
        <w:tc>
          <w:tcPr>
            <w:tcW w:w="851" w:type="dxa"/>
            <w:shd w:val="clear" w:color="auto" w:fill="auto"/>
          </w:tcPr>
          <w:p w14:paraId="077E2D29"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74</w:t>
            </w:r>
          </w:p>
        </w:tc>
        <w:tc>
          <w:tcPr>
            <w:tcW w:w="835" w:type="dxa"/>
            <w:shd w:val="clear" w:color="auto" w:fill="auto"/>
            <w:noWrap/>
            <w:hideMark/>
          </w:tcPr>
          <w:p w14:paraId="0E97339F"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c>
          <w:tcPr>
            <w:tcW w:w="1069" w:type="dxa"/>
            <w:shd w:val="clear" w:color="auto" w:fill="auto"/>
            <w:noWrap/>
            <w:hideMark/>
          </w:tcPr>
          <w:p w14:paraId="59A4174D"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0·9</w:t>
            </w:r>
          </w:p>
        </w:tc>
      </w:tr>
      <w:tr w:rsidR="00624C95" w:rsidRPr="00624C95" w14:paraId="2DF025FD"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5F1D08A"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M41</w:t>
            </w:r>
          </w:p>
        </w:tc>
        <w:tc>
          <w:tcPr>
            <w:tcW w:w="3906" w:type="dxa"/>
            <w:shd w:val="clear" w:color="auto" w:fill="auto"/>
            <w:hideMark/>
          </w:tcPr>
          <w:p w14:paraId="68DA1353"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Scoliosis</w:t>
            </w:r>
          </w:p>
        </w:tc>
        <w:tc>
          <w:tcPr>
            <w:tcW w:w="993" w:type="dxa"/>
            <w:shd w:val="clear" w:color="auto" w:fill="auto"/>
            <w:noWrap/>
          </w:tcPr>
          <w:p w14:paraId="11244526"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288</w:t>
            </w:r>
          </w:p>
        </w:tc>
        <w:tc>
          <w:tcPr>
            <w:tcW w:w="850" w:type="dxa"/>
            <w:shd w:val="clear" w:color="auto" w:fill="auto"/>
          </w:tcPr>
          <w:p w14:paraId="377D8F2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1·3%</w:t>
            </w:r>
          </w:p>
        </w:tc>
        <w:tc>
          <w:tcPr>
            <w:tcW w:w="851" w:type="dxa"/>
            <w:shd w:val="clear" w:color="auto" w:fill="auto"/>
          </w:tcPr>
          <w:p w14:paraId="66E9CEE4"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123</w:t>
            </w:r>
          </w:p>
        </w:tc>
        <w:tc>
          <w:tcPr>
            <w:tcW w:w="835" w:type="dxa"/>
            <w:shd w:val="clear" w:color="auto" w:fill="auto"/>
            <w:noWrap/>
            <w:hideMark/>
          </w:tcPr>
          <w:p w14:paraId="32B2E71B"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2·5%</w:t>
            </w:r>
          </w:p>
        </w:tc>
        <w:tc>
          <w:tcPr>
            <w:tcW w:w="1069" w:type="dxa"/>
            <w:shd w:val="clear" w:color="auto" w:fill="auto"/>
            <w:noWrap/>
            <w:hideMark/>
          </w:tcPr>
          <w:p w14:paraId="1458CE54"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0·9</w:t>
            </w:r>
          </w:p>
        </w:tc>
      </w:tr>
      <w:tr w:rsidR="00624C95" w:rsidRPr="00624C95" w14:paraId="3A6A1D45"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0EE1A99"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R13</w:t>
            </w:r>
          </w:p>
        </w:tc>
        <w:tc>
          <w:tcPr>
            <w:tcW w:w="3906" w:type="dxa"/>
            <w:shd w:val="clear" w:color="auto" w:fill="auto"/>
            <w:hideMark/>
          </w:tcPr>
          <w:p w14:paraId="797F488E"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Dysphagia</w:t>
            </w:r>
          </w:p>
        </w:tc>
        <w:tc>
          <w:tcPr>
            <w:tcW w:w="993" w:type="dxa"/>
            <w:shd w:val="clear" w:color="auto" w:fill="auto"/>
            <w:noWrap/>
          </w:tcPr>
          <w:p w14:paraId="230F5BDC"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731</w:t>
            </w:r>
          </w:p>
        </w:tc>
        <w:tc>
          <w:tcPr>
            <w:tcW w:w="850" w:type="dxa"/>
            <w:shd w:val="clear" w:color="auto" w:fill="auto"/>
          </w:tcPr>
          <w:p w14:paraId="1F43CC8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3·3%</w:t>
            </w:r>
          </w:p>
        </w:tc>
        <w:tc>
          <w:tcPr>
            <w:tcW w:w="851" w:type="dxa"/>
            <w:shd w:val="clear" w:color="auto" w:fill="auto"/>
          </w:tcPr>
          <w:p w14:paraId="070A4D6F"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324</w:t>
            </w:r>
          </w:p>
        </w:tc>
        <w:tc>
          <w:tcPr>
            <w:tcW w:w="835" w:type="dxa"/>
            <w:shd w:val="clear" w:color="auto" w:fill="auto"/>
            <w:noWrap/>
            <w:hideMark/>
          </w:tcPr>
          <w:p w14:paraId="31494E80"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6·6%</w:t>
            </w:r>
          </w:p>
        </w:tc>
        <w:tc>
          <w:tcPr>
            <w:tcW w:w="1069" w:type="dxa"/>
            <w:shd w:val="clear" w:color="auto" w:fill="auto"/>
            <w:noWrap/>
            <w:hideMark/>
          </w:tcPr>
          <w:p w14:paraId="645560A9"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0·8</w:t>
            </w:r>
          </w:p>
        </w:tc>
      </w:tr>
      <w:tr w:rsidR="00624C95" w:rsidRPr="00624C95" w14:paraId="616BCFE4"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3F1ACCC"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Z99</w:t>
            </w:r>
          </w:p>
        </w:tc>
        <w:tc>
          <w:tcPr>
            <w:tcW w:w="3906" w:type="dxa"/>
            <w:shd w:val="clear" w:color="auto" w:fill="auto"/>
            <w:hideMark/>
          </w:tcPr>
          <w:p w14:paraId="397EC196"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Dependence on enabling machines and devices</w:t>
            </w:r>
          </w:p>
        </w:tc>
        <w:tc>
          <w:tcPr>
            <w:tcW w:w="993" w:type="dxa"/>
            <w:shd w:val="clear" w:color="auto" w:fill="auto"/>
            <w:noWrap/>
          </w:tcPr>
          <w:p w14:paraId="4ED5692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399</w:t>
            </w:r>
          </w:p>
        </w:tc>
        <w:tc>
          <w:tcPr>
            <w:tcW w:w="850" w:type="dxa"/>
            <w:shd w:val="clear" w:color="auto" w:fill="auto"/>
          </w:tcPr>
          <w:p w14:paraId="6C3049A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1·8%</w:t>
            </w:r>
          </w:p>
        </w:tc>
        <w:tc>
          <w:tcPr>
            <w:tcW w:w="851" w:type="dxa"/>
            <w:shd w:val="clear" w:color="auto" w:fill="auto"/>
          </w:tcPr>
          <w:p w14:paraId="13863388"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167</w:t>
            </w:r>
          </w:p>
        </w:tc>
        <w:tc>
          <w:tcPr>
            <w:tcW w:w="835" w:type="dxa"/>
            <w:shd w:val="clear" w:color="auto" w:fill="auto"/>
            <w:noWrap/>
            <w:hideMark/>
          </w:tcPr>
          <w:p w14:paraId="1E73B42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3·4%</w:t>
            </w:r>
          </w:p>
        </w:tc>
        <w:tc>
          <w:tcPr>
            <w:tcW w:w="1069" w:type="dxa"/>
            <w:shd w:val="clear" w:color="auto" w:fill="auto"/>
            <w:noWrap/>
            <w:hideMark/>
          </w:tcPr>
          <w:p w14:paraId="57D354DF"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0·8</w:t>
            </w:r>
          </w:p>
        </w:tc>
      </w:tr>
      <w:tr w:rsidR="00624C95" w:rsidRPr="00624C95" w14:paraId="2057708B"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001358B7"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U80</w:t>
            </w:r>
          </w:p>
        </w:tc>
        <w:tc>
          <w:tcPr>
            <w:tcW w:w="3906" w:type="dxa"/>
            <w:shd w:val="clear" w:color="auto" w:fill="auto"/>
            <w:hideMark/>
          </w:tcPr>
          <w:p w14:paraId="013F13C4"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 xml:space="preserve">Agent resistant to penicillin and related antibiotics </w:t>
            </w:r>
          </w:p>
        </w:tc>
        <w:tc>
          <w:tcPr>
            <w:tcW w:w="993" w:type="dxa"/>
            <w:shd w:val="clear" w:color="auto" w:fill="auto"/>
            <w:noWrap/>
          </w:tcPr>
          <w:p w14:paraId="6BE5EAEB"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288</w:t>
            </w:r>
          </w:p>
        </w:tc>
        <w:tc>
          <w:tcPr>
            <w:tcW w:w="850" w:type="dxa"/>
            <w:shd w:val="clear" w:color="auto" w:fill="auto"/>
          </w:tcPr>
          <w:p w14:paraId="6E72210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1·3%</w:t>
            </w:r>
          </w:p>
        </w:tc>
        <w:tc>
          <w:tcPr>
            <w:tcW w:w="851" w:type="dxa"/>
            <w:shd w:val="clear" w:color="auto" w:fill="auto"/>
          </w:tcPr>
          <w:p w14:paraId="2B69650E"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177</w:t>
            </w:r>
          </w:p>
        </w:tc>
        <w:tc>
          <w:tcPr>
            <w:tcW w:w="835" w:type="dxa"/>
            <w:shd w:val="clear" w:color="auto" w:fill="auto"/>
            <w:noWrap/>
            <w:hideMark/>
          </w:tcPr>
          <w:p w14:paraId="05569265"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3·6%</w:t>
            </w:r>
          </w:p>
        </w:tc>
        <w:tc>
          <w:tcPr>
            <w:tcW w:w="1069" w:type="dxa"/>
            <w:shd w:val="clear" w:color="auto" w:fill="auto"/>
            <w:noWrap/>
            <w:hideMark/>
          </w:tcPr>
          <w:p w14:paraId="653AEB08"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0·8</w:t>
            </w:r>
          </w:p>
        </w:tc>
      </w:tr>
      <w:tr w:rsidR="00624C95" w:rsidRPr="00624C95" w14:paraId="358F229B"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558547C8"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M80</w:t>
            </w:r>
          </w:p>
        </w:tc>
        <w:tc>
          <w:tcPr>
            <w:tcW w:w="3906" w:type="dxa"/>
            <w:shd w:val="clear" w:color="auto" w:fill="auto"/>
            <w:hideMark/>
          </w:tcPr>
          <w:p w14:paraId="751FA1D7"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Osteoporosis with pathological fracture</w:t>
            </w:r>
          </w:p>
        </w:tc>
        <w:tc>
          <w:tcPr>
            <w:tcW w:w="993" w:type="dxa"/>
            <w:shd w:val="clear" w:color="auto" w:fill="auto"/>
            <w:noWrap/>
          </w:tcPr>
          <w:p w14:paraId="59909B4E"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177</w:t>
            </w:r>
          </w:p>
        </w:tc>
        <w:tc>
          <w:tcPr>
            <w:tcW w:w="850" w:type="dxa"/>
            <w:shd w:val="clear" w:color="auto" w:fill="auto"/>
          </w:tcPr>
          <w:p w14:paraId="1BA2F640"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0·8%</w:t>
            </w:r>
          </w:p>
        </w:tc>
        <w:tc>
          <w:tcPr>
            <w:tcW w:w="851" w:type="dxa"/>
            <w:shd w:val="clear" w:color="auto" w:fill="auto"/>
          </w:tcPr>
          <w:p w14:paraId="55CDB2D7"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83</w:t>
            </w:r>
          </w:p>
        </w:tc>
        <w:tc>
          <w:tcPr>
            <w:tcW w:w="835" w:type="dxa"/>
            <w:shd w:val="clear" w:color="auto" w:fill="auto"/>
            <w:noWrap/>
            <w:hideMark/>
          </w:tcPr>
          <w:p w14:paraId="4F52C7C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1·7%</w:t>
            </w:r>
          </w:p>
        </w:tc>
        <w:tc>
          <w:tcPr>
            <w:tcW w:w="1069" w:type="dxa"/>
            <w:shd w:val="clear" w:color="auto" w:fill="auto"/>
            <w:noWrap/>
            <w:hideMark/>
          </w:tcPr>
          <w:p w14:paraId="35C73027"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0·8</w:t>
            </w:r>
          </w:p>
        </w:tc>
      </w:tr>
      <w:tr w:rsidR="00624C95" w:rsidRPr="00624C95" w14:paraId="38AC1602"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F2F775D"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K92</w:t>
            </w:r>
          </w:p>
        </w:tc>
        <w:tc>
          <w:tcPr>
            <w:tcW w:w="3906" w:type="dxa"/>
            <w:shd w:val="clear" w:color="auto" w:fill="auto"/>
            <w:hideMark/>
          </w:tcPr>
          <w:p w14:paraId="6B030991"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diseases of digestive system</w:t>
            </w:r>
          </w:p>
        </w:tc>
        <w:tc>
          <w:tcPr>
            <w:tcW w:w="993" w:type="dxa"/>
            <w:shd w:val="clear" w:color="auto" w:fill="auto"/>
            <w:noWrap/>
          </w:tcPr>
          <w:p w14:paraId="6E92F742"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018</w:t>
            </w:r>
          </w:p>
        </w:tc>
        <w:tc>
          <w:tcPr>
            <w:tcW w:w="850" w:type="dxa"/>
            <w:shd w:val="clear" w:color="auto" w:fill="auto"/>
          </w:tcPr>
          <w:p w14:paraId="17249B49"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4·6%</w:t>
            </w:r>
          </w:p>
        </w:tc>
        <w:tc>
          <w:tcPr>
            <w:tcW w:w="851" w:type="dxa"/>
            <w:shd w:val="clear" w:color="auto" w:fill="auto"/>
          </w:tcPr>
          <w:p w14:paraId="7266002E"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388</w:t>
            </w:r>
          </w:p>
        </w:tc>
        <w:tc>
          <w:tcPr>
            <w:tcW w:w="835" w:type="dxa"/>
            <w:shd w:val="clear" w:color="auto" w:fill="auto"/>
            <w:noWrap/>
            <w:hideMark/>
          </w:tcPr>
          <w:p w14:paraId="4E21DB8C"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7·9%</w:t>
            </w:r>
          </w:p>
        </w:tc>
        <w:tc>
          <w:tcPr>
            <w:tcW w:w="1069" w:type="dxa"/>
            <w:shd w:val="clear" w:color="auto" w:fill="auto"/>
            <w:noWrap/>
            <w:hideMark/>
          </w:tcPr>
          <w:p w14:paraId="03F06700"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0·8</w:t>
            </w:r>
          </w:p>
        </w:tc>
      </w:tr>
      <w:tr w:rsidR="00624C95" w:rsidRPr="00624C95" w14:paraId="69696FFE"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CD52E9B"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I63</w:t>
            </w:r>
          </w:p>
        </w:tc>
        <w:tc>
          <w:tcPr>
            <w:tcW w:w="3906" w:type="dxa"/>
            <w:shd w:val="clear" w:color="auto" w:fill="auto"/>
            <w:hideMark/>
          </w:tcPr>
          <w:p w14:paraId="5969CF04"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Cerebral Infarction</w:t>
            </w:r>
          </w:p>
        </w:tc>
        <w:tc>
          <w:tcPr>
            <w:tcW w:w="993" w:type="dxa"/>
            <w:shd w:val="clear" w:color="auto" w:fill="auto"/>
            <w:noWrap/>
          </w:tcPr>
          <w:p w14:paraId="4B37BD1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863</w:t>
            </w:r>
          </w:p>
        </w:tc>
        <w:tc>
          <w:tcPr>
            <w:tcW w:w="850" w:type="dxa"/>
            <w:shd w:val="clear" w:color="auto" w:fill="auto"/>
          </w:tcPr>
          <w:p w14:paraId="345D359B"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3·9%</w:t>
            </w:r>
          </w:p>
        </w:tc>
        <w:tc>
          <w:tcPr>
            <w:tcW w:w="851" w:type="dxa"/>
            <w:shd w:val="clear" w:color="auto" w:fill="auto"/>
          </w:tcPr>
          <w:p w14:paraId="76DE3B85"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324</w:t>
            </w:r>
          </w:p>
        </w:tc>
        <w:tc>
          <w:tcPr>
            <w:tcW w:w="835" w:type="dxa"/>
            <w:shd w:val="clear" w:color="auto" w:fill="auto"/>
            <w:noWrap/>
            <w:hideMark/>
          </w:tcPr>
          <w:p w14:paraId="469E50B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6·6%</w:t>
            </w:r>
          </w:p>
        </w:tc>
        <w:tc>
          <w:tcPr>
            <w:tcW w:w="1069" w:type="dxa"/>
            <w:shd w:val="clear" w:color="auto" w:fill="auto"/>
            <w:noWrap/>
            <w:hideMark/>
          </w:tcPr>
          <w:p w14:paraId="428AFF1A"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0·8</w:t>
            </w:r>
          </w:p>
        </w:tc>
      </w:tr>
      <w:tr w:rsidR="00624C95" w:rsidRPr="00624C95" w14:paraId="17AC2894"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0CFA6487"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N20</w:t>
            </w:r>
          </w:p>
        </w:tc>
        <w:tc>
          <w:tcPr>
            <w:tcW w:w="3906" w:type="dxa"/>
            <w:shd w:val="clear" w:color="auto" w:fill="auto"/>
            <w:hideMark/>
          </w:tcPr>
          <w:p w14:paraId="7CEF4F2E"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Calculus of kidney and ureter</w:t>
            </w:r>
          </w:p>
        </w:tc>
        <w:tc>
          <w:tcPr>
            <w:tcW w:w="993" w:type="dxa"/>
            <w:shd w:val="clear" w:color="auto" w:fill="auto"/>
            <w:noWrap/>
          </w:tcPr>
          <w:p w14:paraId="03BD842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133</w:t>
            </w:r>
          </w:p>
        </w:tc>
        <w:tc>
          <w:tcPr>
            <w:tcW w:w="850" w:type="dxa"/>
            <w:shd w:val="clear" w:color="auto" w:fill="auto"/>
          </w:tcPr>
          <w:p w14:paraId="1882DFE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0·6%</w:t>
            </w:r>
          </w:p>
        </w:tc>
        <w:tc>
          <w:tcPr>
            <w:tcW w:w="851" w:type="dxa"/>
            <w:shd w:val="clear" w:color="auto" w:fill="auto"/>
          </w:tcPr>
          <w:p w14:paraId="6FD44255"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54</w:t>
            </w:r>
          </w:p>
        </w:tc>
        <w:tc>
          <w:tcPr>
            <w:tcW w:w="835" w:type="dxa"/>
            <w:shd w:val="clear" w:color="auto" w:fill="auto"/>
            <w:noWrap/>
            <w:hideMark/>
          </w:tcPr>
          <w:p w14:paraId="3D01B78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c>
          <w:tcPr>
            <w:tcW w:w="1069" w:type="dxa"/>
            <w:shd w:val="clear" w:color="auto" w:fill="auto"/>
            <w:noWrap/>
            <w:hideMark/>
          </w:tcPr>
          <w:p w14:paraId="05EAB19B"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0·7</w:t>
            </w:r>
          </w:p>
        </w:tc>
      </w:tr>
      <w:tr w:rsidR="00624C95" w:rsidRPr="00624C95" w14:paraId="49A833F6"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29D821E"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F10</w:t>
            </w:r>
          </w:p>
        </w:tc>
        <w:tc>
          <w:tcPr>
            <w:tcW w:w="3906" w:type="dxa"/>
            <w:shd w:val="clear" w:color="auto" w:fill="auto"/>
            <w:hideMark/>
          </w:tcPr>
          <w:p w14:paraId="2F959643"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Mental and behavioural disorders due to use of alcohol</w:t>
            </w:r>
          </w:p>
        </w:tc>
        <w:tc>
          <w:tcPr>
            <w:tcW w:w="993" w:type="dxa"/>
            <w:shd w:val="clear" w:color="auto" w:fill="auto"/>
            <w:noWrap/>
          </w:tcPr>
          <w:p w14:paraId="18B2484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221</w:t>
            </w:r>
          </w:p>
        </w:tc>
        <w:tc>
          <w:tcPr>
            <w:tcW w:w="850" w:type="dxa"/>
            <w:shd w:val="clear" w:color="auto" w:fill="auto"/>
          </w:tcPr>
          <w:p w14:paraId="0A8ABD2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1·0%</w:t>
            </w:r>
          </w:p>
        </w:tc>
        <w:tc>
          <w:tcPr>
            <w:tcW w:w="851" w:type="dxa"/>
            <w:shd w:val="clear" w:color="auto" w:fill="auto"/>
          </w:tcPr>
          <w:p w14:paraId="07867AD3"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93</w:t>
            </w:r>
          </w:p>
        </w:tc>
        <w:tc>
          <w:tcPr>
            <w:tcW w:w="835" w:type="dxa"/>
            <w:shd w:val="clear" w:color="auto" w:fill="auto"/>
            <w:noWrap/>
            <w:hideMark/>
          </w:tcPr>
          <w:p w14:paraId="4D22B057"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1·9%</w:t>
            </w:r>
          </w:p>
        </w:tc>
        <w:tc>
          <w:tcPr>
            <w:tcW w:w="1069" w:type="dxa"/>
            <w:shd w:val="clear" w:color="auto" w:fill="auto"/>
            <w:noWrap/>
            <w:hideMark/>
          </w:tcPr>
          <w:p w14:paraId="46D3E294"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0·7</w:t>
            </w:r>
          </w:p>
        </w:tc>
      </w:tr>
      <w:tr w:rsidR="00624C95" w:rsidRPr="00624C95" w14:paraId="688E89BE"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54DE494B"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Y84</w:t>
            </w:r>
          </w:p>
        </w:tc>
        <w:tc>
          <w:tcPr>
            <w:tcW w:w="3906" w:type="dxa"/>
            <w:shd w:val="clear" w:color="auto" w:fill="auto"/>
            <w:hideMark/>
          </w:tcPr>
          <w:p w14:paraId="6EAEB5C8"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medical procedures as the cause of abnormal reaction of the patient</w:t>
            </w:r>
          </w:p>
        </w:tc>
        <w:tc>
          <w:tcPr>
            <w:tcW w:w="993" w:type="dxa"/>
            <w:shd w:val="clear" w:color="auto" w:fill="auto"/>
            <w:noWrap/>
          </w:tcPr>
          <w:p w14:paraId="3F80BD4E"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332</w:t>
            </w:r>
          </w:p>
        </w:tc>
        <w:tc>
          <w:tcPr>
            <w:tcW w:w="850" w:type="dxa"/>
            <w:shd w:val="clear" w:color="auto" w:fill="auto"/>
          </w:tcPr>
          <w:p w14:paraId="48EB38B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1·5%</w:t>
            </w:r>
          </w:p>
        </w:tc>
        <w:tc>
          <w:tcPr>
            <w:tcW w:w="851" w:type="dxa"/>
            <w:shd w:val="clear" w:color="auto" w:fill="auto"/>
          </w:tcPr>
          <w:p w14:paraId="02EBCD74"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147</w:t>
            </w:r>
          </w:p>
        </w:tc>
        <w:tc>
          <w:tcPr>
            <w:tcW w:w="835" w:type="dxa"/>
            <w:shd w:val="clear" w:color="auto" w:fill="auto"/>
            <w:noWrap/>
            <w:hideMark/>
          </w:tcPr>
          <w:p w14:paraId="2B35901E"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3·0%</w:t>
            </w:r>
          </w:p>
        </w:tc>
        <w:tc>
          <w:tcPr>
            <w:tcW w:w="1069" w:type="dxa"/>
            <w:shd w:val="clear" w:color="auto" w:fill="auto"/>
            <w:noWrap/>
            <w:hideMark/>
          </w:tcPr>
          <w:p w14:paraId="40E6927D"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0·7</w:t>
            </w:r>
          </w:p>
        </w:tc>
      </w:tr>
      <w:tr w:rsidR="00624C95" w:rsidRPr="00624C95" w14:paraId="417BB597"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F47310A"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R00</w:t>
            </w:r>
          </w:p>
        </w:tc>
        <w:tc>
          <w:tcPr>
            <w:tcW w:w="3906" w:type="dxa"/>
            <w:shd w:val="clear" w:color="auto" w:fill="auto"/>
            <w:hideMark/>
          </w:tcPr>
          <w:p w14:paraId="29311F81"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Abnormalities of heart beat</w:t>
            </w:r>
          </w:p>
        </w:tc>
        <w:tc>
          <w:tcPr>
            <w:tcW w:w="993" w:type="dxa"/>
            <w:shd w:val="clear" w:color="auto" w:fill="auto"/>
            <w:noWrap/>
          </w:tcPr>
          <w:p w14:paraId="5C926DA8"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284</w:t>
            </w:r>
          </w:p>
        </w:tc>
        <w:tc>
          <w:tcPr>
            <w:tcW w:w="850" w:type="dxa"/>
            <w:shd w:val="clear" w:color="auto" w:fill="auto"/>
          </w:tcPr>
          <w:p w14:paraId="78859F0B"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5·8%</w:t>
            </w:r>
          </w:p>
        </w:tc>
        <w:tc>
          <w:tcPr>
            <w:tcW w:w="851" w:type="dxa"/>
            <w:shd w:val="clear" w:color="auto" w:fill="auto"/>
          </w:tcPr>
          <w:p w14:paraId="3933611B"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481</w:t>
            </w:r>
          </w:p>
        </w:tc>
        <w:tc>
          <w:tcPr>
            <w:tcW w:w="835" w:type="dxa"/>
            <w:shd w:val="clear" w:color="auto" w:fill="auto"/>
            <w:noWrap/>
            <w:hideMark/>
          </w:tcPr>
          <w:p w14:paraId="0321293F"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9·8%</w:t>
            </w:r>
          </w:p>
        </w:tc>
        <w:tc>
          <w:tcPr>
            <w:tcW w:w="1069" w:type="dxa"/>
            <w:shd w:val="clear" w:color="auto" w:fill="auto"/>
            <w:noWrap/>
            <w:hideMark/>
          </w:tcPr>
          <w:p w14:paraId="2A380099"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0·7</w:t>
            </w:r>
          </w:p>
        </w:tc>
      </w:tr>
      <w:tr w:rsidR="00624C95" w:rsidRPr="00624C95" w14:paraId="416A549E"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1F241B0"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lastRenderedPageBreak/>
              <w:t>J22</w:t>
            </w:r>
          </w:p>
        </w:tc>
        <w:tc>
          <w:tcPr>
            <w:tcW w:w="3906" w:type="dxa"/>
            <w:shd w:val="clear" w:color="auto" w:fill="auto"/>
            <w:hideMark/>
          </w:tcPr>
          <w:p w14:paraId="05CEE2FE"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Unspecified acute lower respiratory infection</w:t>
            </w:r>
          </w:p>
        </w:tc>
        <w:tc>
          <w:tcPr>
            <w:tcW w:w="993" w:type="dxa"/>
            <w:shd w:val="clear" w:color="auto" w:fill="auto"/>
            <w:noWrap/>
          </w:tcPr>
          <w:p w14:paraId="6CE6ECE2"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059</w:t>
            </w:r>
          </w:p>
        </w:tc>
        <w:tc>
          <w:tcPr>
            <w:tcW w:w="850" w:type="dxa"/>
            <w:shd w:val="clear" w:color="auto" w:fill="auto"/>
          </w:tcPr>
          <w:p w14:paraId="721A864C"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9·3%</w:t>
            </w:r>
          </w:p>
        </w:tc>
        <w:tc>
          <w:tcPr>
            <w:tcW w:w="851" w:type="dxa"/>
            <w:shd w:val="clear" w:color="auto" w:fill="auto"/>
          </w:tcPr>
          <w:p w14:paraId="7E9EF689"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878</w:t>
            </w:r>
          </w:p>
        </w:tc>
        <w:tc>
          <w:tcPr>
            <w:tcW w:w="835" w:type="dxa"/>
            <w:shd w:val="clear" w:color="auto" w:fill="auto"/>
            <w:noWrap/>
            <w:hideMark/>
          </w:tcPr>
          <w:p w14:paraId="3364D963"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17·9%</w:t>
            </w:r>
          </w:p>
        </w:tc>
        <w:tc>
          <w:tcPr>
            <w:tcW w:w="1069" w:type="dxa"/>
            <w:shd w:val="clear" w:color="auto" w:fill="auto"/>
            <w:noWrap/>
            <w:hideMark/>
          </w:tcPr>
          <w:p w14:paraId="3EF468EE"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0·7</w:t>
            </w:r>
          </w:p>
        </w:tc>
      </w:tr>
      <w:tr w:rsidR="00624C95" w:rsidRPr="00624C95" w14:paraId="32F333C7"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73D094B"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Z73</w:t>
            </w:r>
          </w:p>
        </w:tc>
        <w:tc>
          <w:tcPr>
            <w:tcW w:w="3906" w:type="dxa"/>
            <w:shd w:val="clear" w:color="auto" w:fill="auto"/>
            <w:hideMark/>
          </w:tcPr>
          <w:p w14:paraId="6B9A3831"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Problems related to life-management difficulty</w:t>
            </w:r>
          </w:p>
        </w:tc>
        <w:tc>
          <w:tcPr>
            <w:tcW w:w="993" w:type="dxa"/>
            <w:shd w:val="clear" w:color="auto" w:fill="auto"/>
            <w:noWrap/>
          </w:tcPr>
          <w:p w14:paraId="166AA79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421</w:t>
            </w:r>
          </w:p>
        </w:tc>
        <w:tc>
          <w:tcPr>
            <w:tcW w:w="850" w:type="dxa"/>
            <w:shd w:val="clear" w:color="auto" w:fill="auto"/>
          </w:tcPr>
          <w:p w14:paraId="14ACF69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1·9%</w:t>
            </w:r>
          </w:p>
        </w:tc>
        <w:tc>
          <w:tcPr>
            <w:tcW w:w="851" w:type="dxa"/>
            <w:shd w:val="clear" w:color="auto" w:fill="auto"/>
          </w:tcPr>
          <w:p w14:paraId="4A7D06C6"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250</w:t>
            </w:r>
          </w:p>
        </w:tc>
        <w:tc>
          <w:tcPr>
            <w:tcW w:w="835" w:type="dxa"/>
            <w:shd w:val="clear" w:color="auto" w:fill="auto"/>
            <w:noWrap/>
            <w:hideMark/>
          </w:tcPr>
          <w:p w14:paraId="3979C6CD"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5·1%</w:t>
            </w:r>
          </w:p>
        </w:tc>
        <w:tc>
          <w:tcPr>
            <w:tcW w:w="1069" w:type="dxa"/>
            <w:shd w:val="clear" w:color="auto" w:fill="auto"/>
            <w:noWrap/>
            <w:hideMark/>
          </w:tcPr>
          <w:p w14:paraId="0FCC7D65"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0·6</w:t>
            </w:r>
          </w:p>
        </w:tc>
      </w:tr>
      <w:tr w:rsidR="00624C95" w:rsidRPr="00624C95" w14:paraId="6D68A566"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71639F4"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R79</w:t>
            </w:r>
          </w:p>
        </w:tc>
        <w:tc>
          <w:tcPr>
            <w:tcW w:w="3906" w:type="dxa"/>
            <w:shd w:val="clear" w:color="auto" w:fill="auto"/>
            <w:hideMark/>
          </w:tcPr>
          <w:p w14:paraId="6ABA0541"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abnormal findings of blood chemistry</w:t>
            </w:r>
          </w:p>
        </w:tc>
        <w:tc>
          <w:tcPr>
            <w:tcW w:w="993" w:type="dxa"/>
            <w:shd w:val="clear" w:color="auto" w:fill="auto"/>
            <w:noWrap/>
          </w:tcPr>
          <w:p w14:paraId="7D68709E"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819</w:t>
            </w:r>
          </w:p>
        </w:tc>
        <w:tc>
          <w:tcPr>
            <w:tcW w:w="850" w:type="dxa"/>
            <w:shd w:val="clear" w:color="auto" w:fill="auto"/>
          </w:tcPr>
          <w:p w14:paraId="2AB54DB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3·7%</w:t>
            </w:r>
          </w:p>
        </w:tc>
        <w:tc>
          <w:tcPr>
            <w:tcW w:w="851" w:type="dxa"/>
            <w:shd w:val="clear" w:color="auto" w:fill="auto"/>
          </w:tcPr>
          <w:p w14:paraId="08734A1D"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324</w:t>
            </w:r>
          </w:p>
        </w:tc>
        <w:tc>
          <w:tcPr>
            <w:tcW w:w="835" w:type="dxa"/>
            <w:shd w:val="clear" w:color="auto" w:fill="auto"/>
            <w:noWrap/>
            <w:hideMark/>
          </w:tcPr>
          <w:p w14:paraId="49EEEBD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6·6%</w:t>
            </w:r>
          </w:p>
        </w:tc>
        <w:tc>
          <w:tcPr>
            <w:tcW w:w="1069" w:type="dxa"/>
            <w:shd w:val="clear" w:color="auto" w:fill="auto"/>
            <w:noWrap/>
            <w:hideMark/>
          </w:tcPr>
          <w:p w14:paraId="6DDA5E82"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0·6</w:t>
            </w:r>
          </w:p>
        </w:tc>
      </w:tr>
      <w:tr w:rsidR="00624C95" w:rsidRPr="00624C95" w14:paraId="7C9B6E0A"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29E23C7"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Z91</w:t>
            </w:r>
          </w:p>
        </w:tc>
        <w:tc>
          <w:tcPr>
            <w:tcW w:w="3906" w:type="dxa"/>
            <w:shd w:val="clear" w:color="auto" w:fill="auto"/>
            <w:hideMark/>
          </w:tcPr>
          <w:p w14:paraId="67CF6E85"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Personal history of risk-factors, not elsewhere classified</w:t>
            </w:r>
          </w:p>
        </w:tc>
        <w:tc>
          <w:tcPr>
            <w:tcW w:w="993" w:type="dxa"/>
            <w:shd w:val="clear" w:color="auto" w:fill="auto"/>
            <w:noWrap/>
          </w:tcPr>
          <w:p w14:paraId="1BCFCD5E"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443</w:t>
            </w:r>
          </w:p>
        </w:tc>
        <w:tc>
          <w:tcPr>
            <w:tcW w:w="850" w:type="dxa"/>
            <w:shd w:val="clear" w:color="auto" w:fill="auto"/>
          </w:tcPr>
          <w:p w14:paraId="0E065BF4"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2·0%</w:t>
            </w:r>
          </w:p>
        </w:tc>
        <w:tc>
          <w:tcPr>
            <w:tcW w:w="851" w:type="dxa"/>
            <w:shd w:val="clear" w:color="auto" w:fill="auto"/>
          </w:tcPr>
          <w:p w14:paraId="25025A16"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182</w:t>
            </w:r>
          </w:p>
        </w:tc>
        <w:tc>
          <w:tcPr>
            <w:tcW w:w="835" w:type="dxa"/>
            <w:shd w:val="clear" w:color="auto" w:fill="auto"/>
            <w:noWrap/>
            <w:hideMark/>
          </w:tcPr>
          <w:p w14:paraId="6646CB8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3·7%</w:t>
            </w:r>
          </w:p>
        </w:tc>
        <w:tc>
          <w:tcPr>
            <w:tcW w:w="1069" w:type="dxa"/>
            <w:shd w:val="clear" w:color="auto" w:fill="auto"/>
            <w:noWrap/>
            <w:hideMark/>
          </w:tcPr>
          <w:p w14:paraId="44FB6D43"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0·5</w:t>
            </w:r>
          </w:p>
        </w:tc>
      </w:tr>
      <w:tr w:rsidR="00624C95" w:rsidRPr="00624C95" w14:paraId="2A289E3F"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1D97981"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S51</w:t>
            </w:r>
          </w:p>
        </w:tc>
        <w:tc>
          <w:tcPr>
            <w:tcW w:w="3906" w:type="dxa"/>
            <w:shd w:val="clear" w:color="auto" w:fill="auto"/>
            <w:hideMark/>
          </w:tcPr>
          <w:p w14:paraId="3F173E14"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Open wound of forearm</w:t>
            </w:r>
          </w:p>
        </w:tc>
        <w:tc>
          <w:tcPr>
            <w:tcW w:w="993" w:type="dxa"/>
            <w:shd w:val="clear" w:color="auto" w:fill="auto"/>
            <w:noWrap/>
          </w:tcPr>
          <w:p w14:paraId="79B5549D"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177</w:t>
            </w:r>
          </w:p>
        </w:tc>
        <w:tc>
          <w:tcPr>
            <w:tcW w:w="850" w:type="dxa"/>
            <w:shd w:val="clear" w:color="auto" w:fill="auto"/>
          </w:tcPr>
          <w:p w14:paraId="3C7BF296"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0·8%</w:t>
            </w:r>
          </w:p>
        </w:tc>
        <w:tc>
          <w:tcPr>
            <w:tcW w:w="851" w:type="dxa"/>
            <w:shd w:val="clear" w:color="auto" w:fill="auto"/>
          </w:tcPr>
          <w:p w14:paraId="7A163F87"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103</w:t>
            </w:r>
          </w:p>
        </w:tc>
        <w:tc>
          <w:tcPr>
            <w:tcW w:w="835" w:type="dxa"/>
            <w:shd w:val="clear" w:color="auto" w:fill="auto"/>
            <w:noWrap/>
            <w:hideMark/>
          </w:tcPr>
          <w:p w14:paraId="4290127B"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2·1%</w:t>
            </w:r>
          </w:p>
        </w:tc>
        <w:tc>
          <w:tcPr>
            <w:tcW w:w="1069" w:type="dxa"/>
            <w:shd w:val="clear" w:color="auto" w:fill="auto"/>
            <w:noWrap/>
            <w:hideMark/>
          </w:tcPr>
          <w:p w14:paraId="2C21DD04"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0·5</w:t>
            </w:r>
          </w:p>
        </w:tc>
      </w:tr>
      <w:tr w:rsidR="00624C95" w:rsidRPr="00624C95" w14:paraId="321782AA"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34BAEC6"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F32</w:t>
            </w:r>
          </w:p>
        </w:tc>
        <w:tc>
          <w:tcPr>
            <w:tcW w:w="3906" w:type="dxa"/>
            <w:shd w:val="clear" w:color="auto" w:fill="auto"/>
            <w:hideMark/>
          </w:tcPr>
          <w:p w14:paraId="397CE49B"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Depressive episode</w:t>
            </w:r>
          </w:p>
        </w:tc>
        <w:tc>
          <w:tcPr>
            <w:tcW w:w="993" w:type="dxa"/>
            <w:shd w:val="clear" w:color="auto" w:fill="auto"/>
            <w:noWrap/>
          </w:tcPr>
          <w:p w14:paraId="075ADFC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1395</w:t>
            </w:r>
          </w:p>
        </w:tc>
        <w:tc>
          <w:tcPr>
            <w:tcW w:w="850" w:type="dxa"/>
            <w:shd w:val="clear" w:color="auto" w:fill="auto"/>
          </w:tcPr>
          <w:p w14:paraId="4446D9F6"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6·3%</w:t>
            </w:r>
          </w:p>
        </w:tc>
        <w:tc>
          <w:tcPr>
            <w:tcW w:w="851" w:type="dxa"/>
            <w:shd w:val="clear" w:color="auto" w:fill="auto"/>
          </w:tcPr>
          <w:p w14:paraId="6D248CF4"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613</w:t>
            </w:r>
          </w:p>
        </w:tc>
        <w:tc>
          <w:tcPr>
            <w:tcW w:w="835" w:type="dxa"/>
            <w:shd w:val="clear" w:color="auto" w:fill="auto"/>
            <w:noWrap/>
            <w:hideMark/>
          </w:tcPr>
          <w:p w14:paraId="2E405DA2"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12·5%</w:t>
            </w:r>
          </w:p>
        </w:tc>
        <w:tc>
          <w:tcPr>
            <w:tcW w:w="1069" w:type="dxa"/>
            <w:shd w:val="clear" w:color="auto" w:fill="auto"/>
            <w:noWrap/>
            <w:hideMark/>
          </w:tcPr>
          <w:p w14:paraId="7654E664"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0·5</w:t>
            </w:r>
          </w:p>
        </w:tc>
      </w:tr>
      <w:tr w:rsidR="00624C95" w:rsidRPr="00624C95" w14:paraId="0508BD09"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AFC82CF"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M48</w:t>
            </w:r>
          </w:p>
        </w:tc>
        <w:tc>
          <w:tcPr>
            <w:tcW w:w="3906" w:type="dxa"/>
            <w:shd w:val="clear" w:color="auto" w:fill="auto"/>
            <w:hideMark/>
          </w:tcPr>
          <w:p w14:paraId="54330AE0"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Spinal stenosis (secondary code only)</w:t>
            </w:r>
          </w:p>
        </w:tc>
        <w:tc>
          <w:tcPr>
            <w:tcW w:w="993" w:type="dxa"/>
            <w:shd w:val="clear" w:color="auto" w:fill="auto"/>
            <w:noWrap/>
          </w:tcPr>
          <w:p w14:paraId="45351EBF"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487</w:t>
            </w:r>
          </w:p>
        </w:tc>
        <w:tc>
          <w:tcPr>
            <w:tcW w:w="850" w:type="dxa"/>
            <w:shd w:val="clear" w:color="auto" w:fill="auto"/>
          </w:tcPr>
          <w:p w14:paraId="21E96A64"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2·2%</w:t>
            </w:r>
          </w:p>
        </w:tc>
        <w:tc>
          <w:tcPr>
            <w:tcW w:w="851" w:type="dxa"/>
            <w:shd w:val="clear" w:color="auto" w:fill="auto"/>
          </w:tcPr>
          <w:p w14:paraId="12A3527A"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177</w:t>
            </w:r>
          </w:p>
        </w:tc>
        <w:tc>
          <w:tcPr>
            <w:tcW w:w="835" w:type="dxa"/>
            <w:shd w:val="clear" w:color="auto" w:fill="auto"/>
            <w:noWrap/>
            <w:hideMark/>
          </w:tcPr>
          <w:p w14:paraId="1E9FC520"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3·6%</w:t>
            </w:r>
          </w:p>
        </w:tc>
        <w:tc>
          <w:tcPr>
            <w:tcW w:w="1069" w:type="dxa"/>
            <w:shd w:val="clear" w:color="auto" w:fill="auto"/>
            <w:noWrap/>
            <w:hideMark/>
          </w:tcPr>
          <w:p w14:paraId="725A15F1"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0·5</w:t>
            </w:r>
          </w:p>
        </w:tc>
      </w:tr>
      <w:tr w:rsidR="00624C95" w:rsidRPr="00624C95" w14:paraId="7FDEC5D2"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3B48A6C3"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E83</w:t>
            </w:r>
          </w:p>
        </w:tc>
        <w:tc>
          <w:tcPr>
            <w:tcW w:w="3906" w:type="dxa"/>
            <w:shd w:val="clear" w:color="auto" w:fill="auto"/>
            <w:hideMark/>
          </w:tcPr>
          <w:p w14:paraId="6D324BEC"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Disorders of mineral metabolism</w:t>
            </w:r>
          </w:p>
        </w:tc>
        <w:tc>
          <w:tcPr>
            <w:tcW w:w="993" w:type="dxa"/>
            <w:shd w:val="clear" w:color="auto" w:fill="auto"/>
            <w:noWrap/>
          </w:tcPr>
          <w:p w14:paraId="3D9788B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288</w:t>
            </w:r>
          </w:p>
        </w:tc>
        <w:tc>
          <w:tcPr>
            <w:tcW w:w="850" w:type="dxa"/>
            <w:shd w:val="clear" w:color="auto" w:fill="auto"/>
          </w:tcPr>
          <w:p w14:paraId="796457D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1·3%</w:t>
            </w:r>
          </w:p>
        </w:tc>
        <w:tc>
          <w:tcPr>
            <w:tcW w:w="851" w:type="dxa"/>
            <w:shd w:val="clear" w:color="auto" w:fill="auto"/>
          </w:tcPr>
          <w:p w14:paraId="198B26B5"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132</w:t>
            </w:r>
          </w:p>
        </w:tc>
        <w:tc>
          <w:tcPr>
            <w:tcW w:w="835" w:type="dxa"/>
            <w:shd w:val="clear" w:color="auto" w:fill="auto"/>
            <w:noWrap/>
            <w:hideMark/>
          </w:tcPr>
          <w:p w14:paraId="0A589F6F"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2·7%</w:t>
            </w:r>
          </w:p>
        </w:tc>
        <w:tc>
          <w:tcPr>
            <w:tcW w:w="1069" w:type="dxa"/>
            <w:shd w:val="clear" w:color="auto" w:fill="auto"/>
            <w:noWrap/>
            <w:hideMark/>
          </w:tcPr>
          <w:p w14:paraId="04E92937"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0·4</w:t>
            </w:r>
          </w:p>
        </w:tc>
      </w:tr>
      <w:tr w:rsidR="00624C95" w:rsidRPr="00624C95" w14:paraId="774014E3"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2057F4E3"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M15</w:t>
            </w:r>
          </w:p>
        </w:tc>
        <w:tc>
          <w:tcPr>
            <w:tcW w:w="3906" w:type="dxa"/>
            <w:shd w:val="clear" w:color="auto" w:fill="auto"/>
            <w:hideMark/>
          </w:tcPr>
          <w:p w14:paraId="695A7C02"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Polyarthrosis</w:t>
            </w:r>
          </w:p>
        </w:tc>
        <w:tc>
          <w:tcPr>
            <w:tcW w:w="993" w:type="dxa"/>
            <w:shd w:val="clear" w:color="auto" w:fill="auto"/>
            <w:noWrap/>
          </w:tcPr>
          <w:p w14:paraId="4F5446DF"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288</w:t>
            </w:r>
          </w:p>
        </w:tc>
        <w:tc>
          <w:tcPr>
            <w:tcW w:w="850" w:type="dxa"/>
            <w:shd w:val="clear" w:color="auto" w:fill="auto"/>
          </w:tcPr>
          <w:p w14:paraId="6F2FB34C"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1·3%</w:t>
            </w:r>
          </w:p>
        </w:tc>
        <w:tc>
          <w:tcPr>
            <w:tcW w:w="851" w:type="dxa"/>
            <w:shd w:val="clear" w:color="auto" w:fill="auto"/>
          </w:tcPr>
          <w:p w14:paraId="13FE6618"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113</w:t>
            </w:r>
          </w:p>
        </w:tc>
        <w:tc>
          <w:tcPr>
            <w:tcW w:w="835" w:type="dxa"/>
            <w:shd w:val="clear" w:color="auto" w:fill="auto"/>
            <w:noWrap/>
            <w:hideMark/>
          </w:tcPr>
          <w:p w14:paraId="219F6762"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2·3%</w:t>
            </w:r>
          </w:p>
        </w:tc>
        <w:tc>
          <w:tcPr>
            <w:tcW w:w="1069" w:type="dxa"/>
            <w:shd w:val="clear" w:color="auto" w:fill="auto"/>
            <w:noWrap/>
            <w:hideMark/>
          </w:tcPr>
          <w:p w14:paraId="7B4DEB12"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0·4</w:t>
            </w:r>
          </w:p>
        </w:tc>
      </w:tr>
      <w:tr w:rsidR="00624C95" w:rsidRPr="00624C95" w14:paraId="372A6027"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06E3256"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D64</w:t>
            </w:r>
          </w:p>
        </w:tc>
        <w:tc>
          <w:tcPr>
            <w:tcW w:w="3906" w:type="dxa"/>
            <w:shd w:val="clear" w:color="auto" w:fill="auto"/>
            <w:hideMark/>
          </w:tcPr>
          <w:p w14:paraId="4E8E0068"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anaemias</w:t>
            </w:r>
          </w:p>
        </w:tc>
        <w:tc>
          <w:tcPr>
            <w:tcW w:w="993" w:type="dxa"/>
            <w:shd w:val="clear" w:color="auto" w:fill="auto"/>
            <w:noWrap/>
          </w:tcPr>
          <w:p w14:paraId="38B276A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w:t>
            </w:r>
            <w:r>
              <w:rPr>
                <w:rFonts w:ascii="Times New Roman" w:hAnsi="Times New Roman" w:cs="Times New Roman"/>
                <w:sz w:val="20"/>
                <w:szCs w:val="20"/>
              </w:rPr>
              <w:t>,</w:t>
            </w:r>
            <w:r w:rsidRPr="00624C95">
              <w:rPr>
                <w:rFonts w:ascii="Times New Roman" w:hAnsi="Times New Roman" w:cs="Times New Roman"/>
                <w:sz w:val="20"/>
                <w:szCs w:val="20"/>
              </w:rPr>
              <w:t>125</w:t>
            </w:r>
          </w:p>
        </w:tc>
        <w:tc>
          <w:tcPr>
            <w:tcW w:w="850" w:type="dxa"/>
            <w:shd w:val="clear" w:color="auto" w:fill="auto"/>
          </w:tcPr>
          <w:p w14:paraId="317F2C47"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9·6%</w:t>
            </w:r>
          </w:p>
        </w:tc>
        <w:tc>
          <w:tcPr>
            <w:tcW w:w="851" w:type="dxa"/>
            <w:shd w:val="clear" w:color="auto" w:fill="auto"/>
          </w:tcPr>
          <w:p w14:paraId="76D2756F"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829</w:t>
            </w:r>
          </w:p>
        </w:tc>
        <w:tc>
          <w:tcPr>
            <w:tcW w:w="835" w:type="dxa"/>
            <w:shd w:val="clear" w:color="auto" w:fill="auto"/>
            <w:noWrap/>
            <w:hideMark/>
          </w:tcPr>
          <w:p w14:paraId="02F014C5"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16·9%</w:t>
            </w:r>
          </w:p>
        </w:tc>
        <w:tc>
          <w:tcPr>
            <w:tcW w:w="1069" w:type="dxa"/>
            <w:shd w:val="clear" w:color="auto" w:fill="auto"/>
            <w:noWrap/>
            <w:hideMark/>
          </w:tcPr>
          <w:p w14:paraId="4F597D57"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0·4</w:t>
            </w:r>
          </w:p>
        </w:tc>
      </w:tr>
      <w:tr w:rsidR="00624C95" w:rsidRPr="00624C95" w14:paraId="0F56E6D3" w14:textId="77777777" w:rsidTr="00624C95">
        <w:trPr>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6FB79813"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L08</w:t>
            </w:r>
          </w:p>
        </w:tc>
        <w:tc>
          <w:tcPr>
            <w:tcW w:w="3906" w:type="dxa"/>
            <w:shd w:val="clear" w:color="auto" w:fill="auto"/>
            <w:hideMark/>
          </w:tcPr>
          <w:p w14:paraId="7151FDEC"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local infections of skin and subcutaneous tissue</w:t>
            </w:r>
          </w:p>
        </w:tc>
        <w:tc>
          <w:tcPr>
            <w:tcW w:w="993" w:type="dxa"/>
            <w:shd w:val="clear" w:color="auto" w:fill="auto"/>
            <w:noWrap/>
          </w:tcPr>
          <w:p w14:paraId="71872BA9"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155</w:t>
            </w:r>
          </w:p>
        </w:tc>
        <w:tc>
          <w:tcPr>
            <w:tcW w:w="850" w:type="dxa"/>
            <w:shd w:val="clear" w:color="auto" w:fill="auto"/>
          </w:tcPr>
          <w:p w14:paraId="69A2E602"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0·7%</w:t>
            </w:r>
          </w:p>
        </w:tc>
        <w:tc>
          <w:tcPr>
            <w:tcW w:w="851" w:type="dxa"/>
            <w:shd w:val="clear" w:color="auto" w:fill="auto"/>
          </w:tcPr>
          <w:p w14:paraId="295EBF0F"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83</w:t>
            </w:r>
          </w:p>
        </w:tc>
        <w:tc>
          <w:tcPr>
            <w:tcW w:w="835" w:type="dxa"/>
            <w:shd w:val="clear" w:color="auto" w:fill="auto"/>
            <w:noWrap/>
            <w:hideMark/>
          </w:tcPr>
          <w:p w14:paraId="32D45E3E"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1·7%</w:t>
            </w:r>
          </w:p>
        </w:tc>
        <w:tc>
          <w:tcPr>
            <w:tcW w:w="1069" w:type="dxa"/>
            <w:shd w:val="clear" w:color="auto" w:fill="auto"/>
            <w:noWrap/>
            <w:hideMark/>
          </w:tcPr>
          <w:p w14:paraId="1830486B"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0·4</w:t>
            </w:r>
          </w:p>
        </w:tc>
      </w:tr>
      <w:tr w:rsidR="00624C95" w:rsidRPr="00624C95" w14:paraId="32462EBB"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13E1D7BD"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R11</w:t>
            </w:r>
          </w:p>
        </w:tc>
        <w:tc>
          <w:tcPr>
            <w:tcW w:w="3906" w:type="dxa"/>
            <w:shd w:val="clear" w:color="auto" w:fill="auto"/>
            <w:hideMark/>
          </w:tcPr>
          <w:p w14:paraId="5A1E3225"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Nausea and vomiting</w:t>
            </w:r>
          </w:p>
        </w:tc>
        <w:tc>
          <w:tcPr>
            <w:tcW w:w="993" w:type="dxa"/>
            <w:shd w:val="clear" w:color="auto" w:fill="auto"/>
            <w:noWrap/>
          </w:tcPr>
          <w:p w14:paraId="53769007"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w:t>
            </w:r>
            <w:r>
              <w:rPr>
                <w:rFonts w:ascii="Times New Roman" w:hAnsi="Times New Roman" w:cs="Times New Roman"/>
                <w:sz w:val="20"/>
                <w:szCs w:val="20"/>
              </w:rPr>
              <w:t>,</w:t>
            </w:r>
            <w:r w:rsidRPr="00624C95">
              <w:rPr>
                <w:rFonts w:ascii="Times New Roman" w:hAnsi="Times New Roman" w:cs="Times New Roman"/>
                <w:sz w:val="20"/>
                <w:szCs w:val="20"/>
              </w:rPr>
              <w:t>196</w:t>
            </w:r>
          </w:p>
        </w:tc>
        <w:tc>
          <w:tcPr>
            <w:tcW w:w="850" w:type="dxa"/>
            <w:shd w:val="clear" w:color="auto" w:fill="auto"/>
          </w:tcPr>
          <w:p w14:paraId="06804D8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5·4%</w:t>
            </w:r>
          </w:p>
        </w:tc>
        <w:tc>
          <w:tcPr>
            <w:tcW w:w="851" w:type="dxa"/>
            <w:shd w:val="clear" w:color="auto" w:fill="auto"/>
          </w:tcPr>
          <w:p w14:paraId="032B5751"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451</w:t>
            </w:r>
          </w:p>
        </w:tc>
        <w:tc>
          <w:tcPr>
            <w:tcW w:w="835" w:type="dxa"/>
            <w:shd w:val="clear" w:color="auto" w:fill="auto"/>
            <w:noWrap/>
            <w:hideMark/>
          </w:tcPr>
          <w:p w14:paraId="30C16A09"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9·2%</w:t>
            </w:r>
          </w:p>
        </w:tc>
        <w:tc>
          <w:tcPr>
            <w:tcW w:w="1069" w:type="dxa"/>
            <w:shd w:val="clear" w:color="auto" w:fill="auto"/>
            <w:noWrap/>
            <w:hideMark/>
          </w:tcPr>
          <w:p w14:paraId="070DAA2D"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0·3</w:t>
            </w:r>
          </w:p>
        </w:tc>
      </w:tr>
      <w:tr w:rsidR="00624C95" w:rsidRPr="00624C95" w14:paraId="609959DF" w14:textId="77777777" w:rsidTr="00624C95">
        <w:trPr>
          <w:trHeight w:val="113"/>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497B801E"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K52</w:t>
            </w:r>
          </w:p>
        </w:tc>
        <w:tc>
          <w:tcPr>
            <w:tcW w:w="3906" w:type="dxa"/>
            <w:shd w:val="clear" w:color="auto" w:fill="auto"/>
            <w:hideMark/>
          </w:tcPr>
          <w:p w14:paraId="21EEE3FB" w14:textId="77777777" w:rsidR="00624C95" w:rsidRPr="00624C95" w:rsidRDefault="00624C95" w:rsidP="002C7B4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Other noninfective gastroenteritis and colitis</w:t>
            </w:r>
          </w:p>
        </w:tc>
        <w:tc>
          <w:tcPr>
            <w:tcW w:w="993" w:type="dxa"/>
            <w:shd w:val="clear" w:color="auto" w:fill="auto"/>
            <w:noWrap/>
          </w:tcPr>
          <w:p w14:paraId="64ACC8EE"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244</w:t>
            </w:r>
          </w:p>
        </w:tc>
        <w:tc>
          <w:tcPr>
            <w:tcW w:w="850" w:type="dxa"/>
            <w:shd w:val="clear" w:color="auto" w:fill="auto"/>
          </w:tcPr>
          <w:p w14:paraId="53A54DDE"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1·1%</w:t>
            </w:r>
          </w:p>
        </w:tc>
        <w:tc>
          <w:tcPr>
            <w:tcW w:w="851" w:type="dxa"/>
            <w:shd w:val="clear" w:color="auto" w:fill="auto"/>
          </w:tcPr>
          <w:p w14:paraId="07A91DB6" w14:textId="77777777" w:rsidR="00624C95" w:rsidRPr="00624C95" w:rsidRDefault="00624C95" w:rsidP="00004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93</w:t>
            </w:r>
          </w:p>
        </w:tc>
        <w:tc>
          <w:tcPr>
            <w:tcW w:w="835" w:type="dxa"/>
            <w:shd w:val="clear" w:color="auto" w:fill="auto"/>
            <w:noWrap/>
            <w:hideMark/>
          </w:tcPr>
          <w:p w14:paraId="7DE57D58" w14:textId="77777777" w:rsidR="00624C95" w:rsidRPr="00624C95" w:rsidRDefault="00624C95" w:rsidP="008C796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1·9%</w:t>
            </w:r>
          </w:p>
        </w:tc>
        <w:tc>
          <w:tcPr>
            <w:tcW w:w="1069" w:type="dxa"/>
            <w:shd w:val="clear" w:color="auto" w:fill="auto"/>
            <w:noWrap/>
            <w:hideMark/>
          </w:tcPr>
          <w:p w14:paraId="68069BF1" w14:textId="77777777" w:rsidR="00624C95" w:rsidRPr="00624C95" w:rsidRDefault="00624C95" w:rsidP="008C796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0·3</w:t>
            </w:r>
          </w:p>
        </w:tc>
      </w:tr>
      <w:tr w:rsidR="00624C95" w:rsidRPr="00624C95" w14:paraId="1D580FA9" w14:textId="77777777" w:rsidTr="00624C9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738" w:type="dxa"/>
            <w:shd w:val="clear" w:color="auto" w:fill="auto"/>
            <w:noWrap/>
            <w:hideMark/>
          </w:tcPr>
          <w:p w14:paraId="76199A5F" w14:textId="77777777" w:rsidR="00624C95" w:rsidRPr="00624C95" w:rsidRDefault="00624C95" w:rsidP="002C7B49">
            <w:pPr>
              <w:rPr>
                <w:rFonts w:ascii="Times New Roman" w:eastAsia="Calibri" w:hAnsi="Times New Roman" w:cs="Times New Roman"/>
                <w:sz w:val="20"/>
                <w:szCs w:val="20"/>
              </w:rPr>
            </w:pPr>
            <w:r w:rsidRPr="00624C95">
              <w:rPr>
                <w:rFonts w:ascii="Times New Roman" w:eastAsia="Calibri" w:hAnsi="Times New Roman" w:cs="Times New Roman"/>
                <w:sz w:val="20"/>
                <w:szCs w:val="20"/>
              </w:rPr>
              <w:t>R50</w:t>
            </w:r>
          </w:p>
        </w:tc>
        <w:tc>
          <w:tcPr>
            <w:tcW w:w="3906" w:type="dxa"/>
            <w:shd w:val="clear" w:color="auto" w:fill="auto"/>
            <w:hideMark/>
          </w:tcPr>
          <w:p w14:paraId="4F4430F6" w14:textId="77777777" w:rsidR="00624C95" w:rsidRPr="00624C95" w:rsidRDefault="00624C95" w:rsidP="002C7B4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Fever of unknown origin</w:t>
            </w:r>
          </w:p>
        </w:tc>
        <w:tc>
          <w:tcPr>
            <w:tcW w:w="993" w:type="dxa"/>
            <w:shd w:val="clear" w:color="auto" w:fill="auto"/>
            <w:noWrap/>
          </w:tcPr>
          <w:p w14:paraId="0617305A"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354</w:t>
            </w:r>
          </w:p>
        </w:tc>
        <w:tc>
          <w:tcPr>
            <w:tcW w:w="850" w:type="dxa"/>
            <w:shd w:val="clear" w:color="auto" w:fill="auto"/>
          </w:tcPr>
          <w:p w14:paraId="42A69E26"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1·6%</w:t>
            </w:r>
          </w:p>
        </w:tc>
        <w:tc>
          <w:tcPr>
            <w:tcW w:w="851" w:type="dxa"/>
            <w:shd w:val="clear" w:color="auto" w:fill="auto"/>
          </w:tcPr>
          <w:p w14:paraId="0D0DED27" w14:textId="77777777" w:rsidR="00624C95" w:rsidRPr="00624C95" w:rsidRDefault="00624C95" w:rsidP="00004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24C95">
              <w:rPr>
                <w:rFonts w:ascii="Times New Roman" w:hAnsi="Times New Roman" w:cs="Times New Roman"/>
                <w:sz w:val="20"/>
                <w:szCs w:val="20"/>
              </w:rPr>
              <w:t>147</w:t>
            </w:r>
          </w:p>
        </w:tc>
        <w:tc>
          <w:tcPr>
            <w:tcW w:w="835" w:type="dxa"/>
            <w:shd w:val="clear" w:color="auto" w:fill="auto"/>
            <w:noWrap/>
            <w:hideMark/>
          </w:tcPr>
          <w:p w14:paraId="6A4FA05F" w14:textId="77777777" w:rsidR="00624C95" w:rsidRPr="00624C95" w:rsidRDefault="00624C95" w:rsidP="008C7966">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3·0%</w:t>
            </w:r>
          </w:p>
        </w:tc>
        <w:tc>
          <w:tcPr>
            <w:tcW w:w="1069" w:type="dxa"/>
            <w:shd w:val="clear" w:color="auto" w:fill="auto"/>
            <w:noWrap/>
            <w:hideMark/>
          </w:tcPr>
          <w:p w14:paraId="0BC846FD" w14:textId="77777777" w:rsidR="00624C95" w:rsidRPr="00624C95" w:rsidRDefault="00624C95" w:rsidP="008C796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624C95">
              <w:rPr>
                <w:rFonts w:ascii="Times New Roman" w:eastAsia="Calibri" w:hAnsi="Times New Roman" w:cs="Times New Roman"/>
                <w:sz w:val="20"/>
                <w:szCs w:val="20"/>
              </w:rPr>
              <w:t>0·1</w:t>
            </w:r>
          </w:p>
        </w:tc>
      </w:tr>
    </w:tbl>
    <w:p w14:paraId="565D7F44" w14:textId="77777777" w:rsidR="008C7966" w:rsidRDefault="008C7966" w:rsidP="002C7B49">
      <w:pPr>
        <w:autoSpaceDE w:val="0"/>
        <w:autoSpaceDN w:val="0"/>
        <w:adjustRightInd w:val="0"/>
        <w:spacing w:after="0" w:line="240" w:lineRule="auto"/>
        <w:rPr>
          <w:rFonts w:ascii="Times New Roman" w:eastAsia="Calibri" w:hAnsi="Times New Roman" w:cs="Times New Roman"/>
          <w:b/>
          <w:sz w:val="20"/>
          <w:szCs w:val="20"/>
          <w:shd w:val="clear" w:color="auto" w:fill="FFFFFF"/>
        </w:rPr>
      </w:pPr>
    </w:p>
    <w:p w14:paraId="5BE8285F" w14:textId="77777777" w:rsidR="008C7966" w:rsidRDefault="008C7966">
      <w:pPr>
        <w:spacing w:after="160" w:line="259" w:lineRule="auto"/>
        <w:rPr>
          <w:rFonts w:ascii="Times New Roman" w:eastAsia="Calibri" w:hAnsi="Times New Roman" w:cs="Times New Roman"/>
          <w:b/>
          <w:sz w:val="20"/>
          <w:szCs w:val="20"/>
          <w:shd w:val="clear" w:color="auto" w:fill="FFFFFF"/>
        </w:rPr>
      </w:pPr>
      <w:r>
        <w:rPr>
          <w:rFonts w:ascii="Times New Roman" w:eastAsia="Calibri" w:hAnsi="Times New Roman" w:cs="Times New Roman"/>
          <w:b/>
          <w:sz w:val="20"/>
          <w:szCs w:val="20"/>
          <w:shd w:val="clear" w:color="auto" w:fill="FFFFFF"/>
        </w:rPr>
        <w:br w:type="page"/>
      </w:r>
    </w:p>
    <w:p w14:paraId="7461A81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b/>
          <w:sz w:val="20"/>
          <w:szCs w:val="20"/>
          <w:shd w:val="clear" w:color="auto" w:fill="FFFFFF"/>
        </w:rPr>
      </w:pPr>
      <w:r w:rsidRPr="00BA41A8">
        <w:rPr>
          <w:rFonts w:ascii="Times New Roman" w:eastAsia="Calibri" w:hAnsi="Times New Roman" w:cs="Times New Roman"/>
          <w:b/>
          <w:sz w:val="20"/>
          <w:szCs w:val="20"/>
          <w:shd w:val="clear" w:color="auto" w:fill="FFFFFF"/>
        </w:rPr>
        <w:lastRenderedPageBreak/>
        <w:t>Appendix 2 continued – SAS codes used to create the frailty algorithm</w:t>
      </w:r>
    </w:p>
    <w:p w14:paraId="617A638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8000"/>
          <w:sz w:val="20"/>
          <w:szCs w:val="20"/>
          <w:shd w:val="clear" w:color="auto" w:fill="FFFFFF"/>
        </w:rPr>
      </w:pPr>
    </w:p>
    <w:p w14:paraId="2F4A1953"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w:t>
      </w:r>
    </w:p>
    <w:p w14:paraId="48BA5DB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FRAILTY RISK SCORE MACRO                            */</w:t>
      </w:r>
    </w:p>
    <w:p w14:paraId="30AA2A2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frailtyriskscore.sas                              */</w:t>
      </w:r>
    </w:p>
    <w:p w14:paraId="0B1FA02A"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Version 1.0  01/07/2017                            */</w:t>
      </w:r>
    </w:p>
    <w:p w14:paraId="5750331D"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Created by Jenny Neuburger and Eilís Keeble, Nuffield Trust        */</w:t>
      </w:r>
    </w:p>
    <w:p w14:paraId="3AC5C0CB"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xml:space="preserve">/*                  Contact: </w:t>
      </w:r>
      <w:r>
        <w:rPr>
          <w:rFonts w:ascii="Times New Roman" w:eastAsia="Calibri" w:hAnsi="Times New Roman" w:cs="Times New Roman"/>
          <w:color w:val="008000"/>
          <w:sz w:val="20"/>
          <w:szCs w:val="20"/>
          <w:shd w:val="clear" w:color="auto" w:fill="FFFFFF"/>
        </w:rPr>
        <w:t>eilis.keeble</w:t>
      </w:r>
      <w:r w:rsidRPr="00BA41A8">
        <w:rPr>
          <w:rFonts w:ascii="Times New Roman" w:eastAsia="Calibri" w:hAnsi="Times New Roman" w:cs="Times New Roman"/>
          <w:color w:val="008000"/>
          <w:sz w:val="20"/>
          <w:szCs w:val="20"/>
          <w:shd w:val="clear" w:color="auto" w:fill="FFFFFF"/>
        </w:rPr>
        <w:t>@nuffieldtrust.org.uk               */</w:t>
      </w:r>
    </w:p>
    <w:p w14:paraId="4F81FCB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w:t>
      </w:r>
    </w:p>
    <w:p w14:paraId="48C9EC6D"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This macro is to be used to calculate frailty risk scores using patient     */</w:t>
      </w:r>
    </w:p>
    <w:p w14:paraId="057FDE8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-level historic data from the HES inpatient dataset over two years.         */</w:t>
      </w:r>
    </w:p>
    <w:p w14:paraId="15898F9B"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w:t>
      </w:r>
    </w:p>
    <w:p w14:paraId="5956F29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The macro requires two inputs:                                              */</w:t>
      </w:r>
    </w:p>
    <w:p w14:paraId="77A671E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1. A CSV file provided with this code which contains ICD10 codes and    */</w:t>
      </w:r>
    </w:p>
    <w:p w14:paraId="476CE1AB"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points to create the score. The selection of these ICD10 codes and   */</w:t>
      </w:r>
    </w:p>
    <w:p w14:paraId="371A37DC"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points is outlined in the methods section of the paper.              */</w:t>
      </w:r>
    </w:p>
    <w:p w14:paraId="03DDCB7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2. A SAS data file containing episode level information of the patients */</w:t>
      </w:r>
    </w:p>
    <w:p w14:paraId="6ED448B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admission history with an index date of the most recent admission.   */</w:t>
      </w:r>
    </w:p>
    <w:p w14:paraId="60F640D6"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The score to be produced can be determined by specifying how much    */</w:t>
      </w:r>
    </w:p>
    <w:p w14:paraId="62223FF6"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history to read in on the "indat" command. For example to get only   */</w:t>
      </w:r>
    </w:p>
    <w:p w14:paraId="56FCA19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history and not current admission, only admission dates less than    */</w:t>
      </w:r>
    </w:p>
    <w:p w14:paraId="34D1482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the index date should be imported.                                   */</w:t>
      </w:r>
    </w:p>
    <w:p w14:paraId="5BC8B4A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w:t>
      </w:r>
    </w:p>
    <w:p w14:paraId="3DC7AAB6"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The resulting dataset, produced by the macro and named as the users sees    */</w:t>
      </w:r>
    </w:p>
    <w:p w14:paraId="2FECD08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fit, contains the id of the patients along with their frailty risk score.   */</w:t>
      </w:r>
    </w:p>
    <w:p w14:paraId="2B0783C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w:t>
      </w:r>
    </w:p>
    <w:p w14:paraId="5A5876B6"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The syntax for calling the macro is:                                        */</w:t>
      </w:r>
    </w:p>
    <w:p w14:paraId="0ECF0E2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w:t>
      </w:r>
    </w:p>
    <w:p w14:paraId="385E55B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%create_score(csvfile = , indata = , outdat = , score = )                   */</w:t>
      </w:r>
    </w:p>
    <w:p w14:paraId="160C2BA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w:t>
      </w:r>
    </w:p>
    <w:p w14:paraId="6BF2452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where                                                                       */</w:t>
      </w:r>
    </w:p>
    <w:p w14:paraId="4854EE6C"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w:t>
      </w:r>
    </w:p>
    <w:p w14:paraId="7D4B70A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"csvfile"   * Specifies the CSV file with the ICD10 codes and points        */</w:t>
      </w:r>
    </w:p>
    <w:p w14:paraId="522EE66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"indat"     * Specifies the dataset to be used and any conditions on how    */</w:t>
      </w:r>
    </w:p>
    <w:p w14:paraId="6C49EEE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much of the patients history to use for the score             */</w:t>
      </w:r>
    </w:p>
    <w:p w14:paraId="6B6027C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"outdat"    * Specifies the name of the resulting dataset containing the    */</w:t>
      </w:r>
    </w:p>
    <w:p w14:paraId="62E2FF4B"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score                                                         */</w:t>
      </w:r>
    </w:p>
    <w:p w14:paraId="3968BFC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"score"     * Specifies the name of the score variable created              */</w:t>
      </w:r>
    </w:p>
    <w:p w14:paraId="029225D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w:t>
      </w:r>
    </w:p>
    <w:p w14:paraId="3BC255D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w:t>
      </w:r>
    </w:p>
    <w:p w14:paraId="2963DD72"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77331BB4"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b/>
          <w:bCs/>
          <w:color w:val="000080"/>
          <w:sz w:val="20"/>
          <w:szCs w:val="20"/>
          <w:shd w:val="clear" w:color="auto" w:fill="FFFFFF"/>
        </w:rPr>
        <w:t>%macro</w:t>
      </w:r>
      <w:r w:rsidRPr="00BA41A8">
        <w:rPr>
          <w:rFonts w:ascii="Times New Roman" w:eastAsia="Calibri" w:hAnsi="Times New Roman" w:cs="Times New Roman"/>
          <w:color w:val="000000"/>
          <w:sz w:val="20"/>
          <w:szCs w:val="20"/>
          <w:shd w:val="clear" w:color="auto" w:fill="FFFFFF"/>
        </w:rPr>
        <w:t xml:space="preserve"> create_score(Csvfile , Indat , Outdat , Score) ;</w:t>
      </w:r>
    </w:p>
    <w:p w14:paraId="7EBAB88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5C471CA4"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/*Imports the csv file containing ICD-codes and associated points to calculate  */</w:t>
      </w:r>
      <w:r w:rsidRPr="00BA41A8">
        <w:rPr>
          <w:rFonts w:ascii="Times New Roman" w:eastAsia="Calibri" w:hAnsi="Times New Roman" w:cs="Times New Roman"/>
          <w:color w:val="000000"/>
          <w:sz w:val="20"/>
          <w:szCs w:val="20"/>
          <w:shd w:val="clear" w:color="auto" w:fill="FFFFFF"/>
        </w:rPr>
        <w:t xml:space="preserve"> </w:t>
      </w:r>
    </w:p>
    <w:p w14:paraId="2F229F9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/*the frailty risk score                                                        */</w:t>
      </w:r>
    </w:p>
    <w:p w14:paraId="5E5024F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43A5EBEC"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DATA Frailty_Score1;</w:t>
      </w:r>
    </w:p>
    <w:p w14:paraId="4F588351"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%let</w:t>
      </w:r>
      <w:r w:rsidRPr="00BA41A8">
        <w:rPr>
          <w:rFonts w:ascii="Times New Roman" w:eastAsia="Calibri" w:hAnsi="Times New Roman" w:cs="Times New Roman"/>
          <w:color w:val="000000"/>
          <w:sz w:val="20"/>
          <w:szCs w:val="20"/>
          <w:shd w:val="clear" w:color="auto" w:fill="FFFFFF"/>
        </w:rPr>
        <w:t xml:space="preserve"> _EFIERR_ = 0; </w:t>
      </w:r>
    </w:p>
    <w:p w14:paraId="11B2985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infile &amp;</w:t>
      </w:r>
      <w:r w:rsidRPr="00BA41A8">
        <w:rPr>
          <w:rFonts w:ascii="Times New Roman" w:eastAsia="Calibri" w:hAnsi="Times New Roman" w:cs="Times New Roman"/>
          <w:color w:val="008080"/>
          <w:sz w:val="20"/>
          <w:szCs w:val="20"/>
          <w:shd w:val="clear" w:color="auto" w:fill="FFFFFF"/>
        </w:rPr>
        <w:t>Csvfile.</w:t>
      </w:r>
      <w:r w:rsidRPr="00BA41A8">
        <w:rPr>
          <w:rFonts w:ascii="Times New Roman" w:eastAsia="Calibri" w:hAnsi="Times New Roman" w:cs="Times New Roman"/>
          <w:color w:val="000000"/>
          <w:sz w:val="20"/>
          <w:szCs w:val="20"/>
          <w:shd w:val="clear" w:color="auto" w:fill="FFFFFF"/>
        </w:rPr>
        <w:t xml:space="preserve"> delimiter = </w:t>
      </w:r>
      <w:r w:rsidRPr="00BA41A8">
        <w:rPr>
          <w:rFonts w:ascii="Times New Roman" w:eastAsia="Calibri" w:hAnsi="Times New Roman" w:cs="Times New Roman"/>
          <w:color w:val="800080"/>
          <w:sz w:val="20"/>
          <w:szCs w:val="20"/>
          <w:shd w:val="clear" w:color="auto" w:fill="FFFFFF"/>
        </w:rPr>
        <w:t>','</w:t>
      </w:r>
      <w:r w:rsidRPr="00BA41A8">
        <w:rPr>
          <w:rFonts w:ascii="Times New Roman" w:eastAsia="Calibri" w:hAnsi="Times New Roman" w:cs="Times New Roman"/>
          <w:color w:val="000000"/>
          <w:sz w:val="20"/>
          <w:szCs w:val="20"/>
          <w:shd w:val="clear" w:color="auto" w:fill="FFFFFF"/>
        </w:rPr>
        <w:t xml:space="preserve"> MISSOVER DSD lrecl=</w:t>
      </w:r>
      <w:r w:rsidRPr="00BA41A8">
        <w:rPr>
          <w:rFonts w:ascii="Times New Roman" w:eastAsia="Calibri" w:hAnsi="Times New Roman" w:cs="Times New Roman"/>
          <w:b/>
          <w:bCs/>
          <w:color w:val="008080"/>
          <w:sz w:val="20"/>
          <w:szCs w:val="20"/>
          <w:shd w:val="clear" w:color="auto" w:fill="FFFFFF"/>
        </w:rPr>
        <w:t>32767</w:t>
      </w:r>
      <w:r w:rsidRPr="00BA41A8">
        <w:rPr>
          <w:rFonts w:ascii="Times New Roman" w:eastAsia="Calibri" w:hAnsi="Times New Roman" w:cs="Times New Roman"/>
          <w:color w:val="000000"/>
          <w:sz w:val="20"/>
          <w:szCs w:val="20"/>
          <w:shd w:val="clear" w:color="auto" w:fill="FFFFFF"/>
        </w:rPr>
        <w:t xml:space="preserve"> firstobs=</w:t>
      </w:r>
      <w:r w:rsidRPr="00BA41A8">
        <w:rPr>
          <w:rFonts w:ascii="Times New Roman" w:eastAsia="Calibri" w:hAnsi="Times New Roman" w:cs="Times New Roman"/>
          <w:b/>
          <w:bCs/>
          <w:color w:val="008080"/>
          <w:sz w:val="20"/>
          <w:szCs w:val="20"/>
          <w:shd w:val="clear" w:color="auto" w:fill="FFFFFF"/>
        </w:rPr>
        <w:t>2</w:t>
      </w:r>
      <w:r w:rsidRPr="00BA41A8">
        <w:rPr>
          <w:rFonts w:ascii="Times New Roman" w:eastAsia="Calibri" w:hAnsi="Times New Roman" w:cs="Times New Roman"/>
          <w:color w:val="000000"/>
          <w:sz w:val="20"/>
          <w:szCs w:val="20"/>
          <w:shd w:val="clear" w:color="auto" w:fill="FFFFFF"/>
        </w:rPr>
        <w:t xml:space="preserve"> obs=</w:t>
      </w:r>
      <w:r w:rsidRPr="00BA41A8">
        <w:rPr>
          <w:rFonts w:ascii="Times New Roman" w:eastAsia="Calibri" w:hAnsi="Times New Roman" w:cs="Times New Roman"/>
          <w:b/>
          <w:bCs/>
          <w:color w:val="008080"/>
          <w:sz w:val="20"/>
          <w:szCs w:val="20"/>
          <w:shd w:val="clear" w:color="auto" w:fill="FFFFFF"/>
        </w:rPr>
        <w:t>110</w:t>
      </w:r>
      <w:r w:rsidRPr="00BA41A8">
        <w:rPr>
          <w:rFonts w:ascii="Times New Roman" w:eastAsia="Calibri" w:hAnsi="Times New Roman" w:cs="Times New Roman"/>
          <w:color w:val="000000"/>
          <w:sz w:val="20"/>
          <w:szCs w:val="20"/>
          <w:shd w:val="clear" w:color="auto" w:fill="FFFFFF"/>
        </w:rPr>
        <w:t>;</w:t>
      </w:r>
    </w:p>
    <w:p w14:paraId="0B89FF6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00"/>
          <w:sz w:val="20"/>
          <w:szCs w:val="20"/>
          <w:shd w:val="clear" w:color="auto" w:fill="FFFFFF"/>
          <w:lang w:val="fr-FR"/>
        </w:rPr>
        <w:t xml:space="preserve">informat icd_code </w:t>
      </w:r>
      <w:r w:rsidRPr="00BA41A8">
        <w:rPr>
          <w:rFonts w:ascii="Times New Roman" w:eastAsia="Calibri" w:hAnsi="Times New Roman" w:cs="Times New Roman"/>
          <w:color w:val="008080"/>
          <w:sz w:val="20"/>
          <w:szCs w:val="20"/>
          <w:shd w:val="clear" w:color="auto" w:fill="FFFFFF"/>
          <w:lang w:val="fr-FR"/>
        </w:rPr>
        <w:t>$3.</w:t>
      </w:r>
      <w:r w:rsidRPr="00BA41A8">
        <w:rPr>
          <w:rFonts w:ascii="Times New Roman" w:eastAsia="Calibri" w:hAnsi="Times New Roman" w:cs="Times New Roman"/>
          <w:color w:val="000000"/>
          <w:sz w:val="20"/>
          <w:szCs w:val="20"/>
          <w:shd w:val="clear" w:color="auto" w:fill="FFFFFF"/>
          <w:lang w:val="fr-FR"/>
        </w:rPr>
        <w:t xml:space="preserve"> ; </w:t>
      </w:r>
    </w:p>
    <w:p w14:paraId="4817805C"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lang w:val="fr-FR"/>
        </w:rPr>
        <w:t xml:space="preserve">            informat icd_description </w:t>
      </w:r>
      <w:r w:rsidRPr="00BA41A8">
        <w:rPr>
          <w:rFonts w:ascii="Times New Roman" w:eastAsia="Calibri" w:hAnsi="Times New Roman" w:cs="Times New Roman"/>
          <w:color w:val="008080"/>
          <w:sz w:val="20"/>
          <w:szCs w:val="20"/>
          <w:shd w:val="clear" w:color="auto" w:fill="FFFFFF"/>
          <w:lang w:val="fr-FR"/>
        </w:rPr>
        <w:t>$100.</w:t>
      </w:r>
      <w:r w:rsidRPr="00BA41A8">
        <w:rPr>
          <w:rFonts w:ascii="Times New Roman" w:eastAsia="Calibri" w:hAnsi="Times New Roman" w:cs="Times New Roman"/>
          <w:color w:val="000000"/>
          <w:sz w:val="20"/>
          <w:szCs w:val="20"/>
          <w:shd w:val="clear" w:color="auto" w:fill="FFFFFF"/>
          <w:lang w:val="fr-FR"/>
        </w:rPr>
        <w:t xml:space="preserve"> ; </w:t>
      </w:r>
    </w:p>
    <w:p w14:paraId="48A42BE1"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lang w:val="fr-FR"/>
        </w:rPr>
        <w:t xml:space="preserve">            </w:t>
      </w:r>
      <w:r w:rsidRPr="00BA41A8">
        <w:rPr>
          <w:rFonts w:ascii="Times New Roman" w:eastAsia="Calibri" w:hAnsi="Times New Roman" w:cs="Times New Roman"/>
          <w:color w:val="000000"/>
          <w:sz w:val="20"/>
          <w:szCs w:val="20"/>
          <w:shd w:val="clear" w:color="auto" w:fill="FFFFFF"/>
        </w:rPr>
        <w:t xml:space="preserve">informat deficit_category </w:t>
      </w:r>
      <w:r w:rsidRPr="00BA41A8">
        <w:rPr>
          <w:rFonts w:ascii="Times New Roman" w:eastAsia="Calibri" w:hAnsi="Times New Roman" w:cs="Times New Roman"/>
          <w:color w:val="008080"/>
          <w:sz w:val="20"/>
          <w:szCs w:val="20"/>
          <w:shd w:val="clear" w:color="auto" w:fill="FFFFFF"/>
        </w:rPr>
        <w:t>$52.</w:t>
      </w:r>
      <w:r w:rsidRPr="00BA41A8">
        <w:rPr>
          <w:rFonts w:ascii="Times New Roman" w:eastAsia="Calibri" w:hAnsi="Times New Roman" w:cs="Times New Roman"/>
          <w:color w:val="000000"/>
          <w:sz w:val="20"/>
          <w:szCs w:val="20"/>
          <w:shd w:val="clear" w:color="auto" w:fill="FFFFFF"/>
        </w:rPr>
        <w:t xml:space="preserve"> ;</w:t>
      </w:r>
    </w:p>
    <w:p w14:paraId="5D342423"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informat perc_in_devt_cohort </w:t>
      </w:r>
      <w:r w:rsidRPr="00BA41A8">
        <w:rPr>
          <w:rFonts w:ascii="Times New Roman" w:eastAsia="Calibri" w:hAnsi="Times New Roman" w:cs="Times New Roman"/>
          <w:color w:val="008080"/>
          <w:sz w:val="20"/>
          <w:szCs w:val="20"/>
          <w:shd w:val="clear" w:color="auto" w:fill="FFFFFF"/>
        </w:rPr>
        <w:t>$6.</w:t>
      </w:r>
      <w:r w:rsidRPr="00BA41A8">
        <w:rPr>
          <w:rFonts w:ascii="Times New Roman" w:eastAsia="Calibri" w:hAnsi="Times New Roman" w:cs="Times New Roman"/>
          <w:color w:val="000000"/>
          <w:sz w:val="20"/>
          <w:szCs w:val="20"/>
          <w:shd w:val="clear" w:color="auto" w:fill="FFFFFF"/>
        </w:rPr>
        <w:t xml:space="preserve"> ; </w:t>
      </w:r>
    </w:p>
    <w:p w14:paraId="345B44E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informat perc_in_frail_group </w:t>
      </w:r>
      <w:r w:rsidRPr="00BA41A8">
        <w:rPr>
          <w:rFonts w:ascii="Times New Roman" w:eastAsia="Calibri" w:hAnsi="Times New Roman" w:cs="Times New Roman"/>
          <w:color w:val="008080"/>
          <w:sz w:val="20"/>
          <w:szCs w:val="20"/>
          <w:shd w:val="clear" w:color="auto" w:fill="FFFFFF"/>
        </w:rPr>
        <w:t>$6.</w:t>
      </w:r>
      <w:r w:rsidRPr="00BA41A8">
        <w:rPr>
          <w:rFonts w:ascii="Times New Roman" w:eastAsia="Calibri" w:hAnsi="Times New Roman" w:cs="Times New Roman"/>
          <w:color w:val="000000"/>
          <w:sz w:val="20"/>
          <w:szCs w:val="20"/>
          <w:shd w:val="clear" w:color="auto" w:fill="FFFFFF"/>
        </w:rPr>
        <w:t xml:space="preserve"> ;</w:t>
      </w:r>
    </w:p>
    <w:p w14:paraId="2C6F4B3A"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00"/>
          <w:sz w:val="20"/>
          <w:szCs w:val="20"/>
          <w:shd w:val="clear" w:color="auto" w:fill="FFFFFF"/>
          <w:lang w:val="fr-FR"/>
        </w:rPr>
        <w:t xml:space="preserve">informat points </w:t>
      </w:r>
      <w:r w:rsidRPr="00BA41A8">
        <w:rPr>
          <w:rFonts w:ascii="Times New Roman" w:eastAsia="Calibri" w:hAnsi="Times New Roman" w:cs="Times New Roman"/>
          <w:color w:val="008080"/>
          <w:sz w:val="20"/>
          <w:szCs w:val="20"/>
          <w:shd w:val="clear" w:color="auto" w:fill="FFFFFF"/>
          <w:lang w:val="fr-FR"/>
        </w:rPr>
        <w:t>$3.</w:t>
      </w:r>
      <w:r w:rsidRPr="00BA41A8">
        <w:rPr>
          <w:rFonts w:ascii="Times New Roman" w:eastAsia="Calibri" w:hAnsi="Times New Roman" w:cs="Times New Roman"/>
          <w:color w:val="000000"/>
          <w:sz w:val="20"/>
          <w:szCs w:val="20"/>
          <w:shd w:val="clear" w:color="auto" w:fill="FFFFFF"/>
          <w:lang w:val="fr-FR"/>
        </w:rPr>
        <w:t xml:space="preserve"> ;</w:t>
      </w:r>
    </w:p>
    <w:p w14:paraId="44A5CCD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lang w:val="fr-FR"/>
        </w:rPr>
        <w:t xml:space="preserve">                format icd_code </w:t>
      </w:r>
      <w:r w:rsidRPr="00BA41A8">
        <w:rPr>
          <w:rFonts w:ascii="Times New Roman" w:eastAsia="Calibri" w:hAnsi="Times New Roman" w:cs="Times New Roman"/>
          <w:color w:val="008080"/>
          <w:sz w:val="20"/>
          <w:szCs w:val="20"/>
          <w:shd w:val="clear" w:color="auto" w:fill="FFFFFF"/>
          <w:lang w:val="fr-FR"/>
        </w:rPr>
        <w:t>$3.</w:t>
      </w:r>
      <w:r w:rsidRPr="00BA41A8">
        <w:rPr>
          <w:rFonts w:ascii="Times New Roman" w:eastAsia="Calibri" w:hAnsi="Times New Roman" w:cs="Times New Roman"/>
          <w:color w:val="000000"/>
          <w:sz w:val="20"/>
          <w:szCs w:val="20"/>
          <w:shd w:val="clear" w:color="auto" w:fill="FFFFFF"/>
          <w:lang w:val="fr-FR"/>
        </w:rPr>
        <w:t xml:space="preserve"> ; </w:t>
      </w:r>
    </w:p>
    <w:p w14:paraId="27AFDC46"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lang w:val="fr-FR"/>
        </w:rPr>
        <w:t xml:space="preserve">                </w:t>
      </w:r>
      <w:r w:rsidRPr="00BA41A8">
        <w:rPr>
          <w:rFonts w:ascii="Times New Roman" w:eastAsia="Calibri" w:hAnsi="Times New Roman" w:cs="Times New Roman"/>
          <w:color w:val="000000"/>
          <w:sz w:val="20"/>
          <w:szCs w:val="20"/>
          <w:shd w:val="clear" w:color="auto" w:fill="FFFFFF"/>
        </w:rPr>
        <w:t xml:space="preserve">format icd_description </w:t>
      </w:r>
      <w:r w:rsidRPr="00BA41A8">
        <w:rPr>
          <w:rFonts w:ascii="Times New Roman" w:eastAsia="Calibri" w:hAnsi="Times New Roman" w:cs="Times New Roman"/>
          <w:color w:val="008080"/>
          <w:sz w:val="20"/>
          <w:szCs w:val="20"/>
          <w:shd w:val="clear" w:color="auto" w:fill="FFFFFF"/>
        </w:rPr>
        <w:t>$100.</w:t>
      </w:r>
      <w:r w:rsidRPr="00BA41A8">
        <w:rPr>
          <w:rFonts w:ascii="Times New Roman" w:eastAsia="Calibri" w:hAnsi="Times New Roman" w:cs="Times New Roman"/>
          <w:color w:val="000000"/>
          <w:sz w:val="20"/>
          <w:szCs w:val="20"/>
          <w:shd w:val="clear" w:color="auto" w:fill="FFFFFF"/>
        </w:rPr>
        <w:t xml:space="preserve"> ; </w:t>
      </w:r>
    </w:p>
    <w:p w14:paraId="20A23B8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format deficit_category </w:t>
      </w:r>
      <w:r w:rsidRPr="00BA41A8">
        <w:rPr>
          <w:rFonts w:ascii="Times New Roman" w:eastAsia="Calibri" w:hAnsi="Times New Roman" w:cs="Times New Roman"/>
          <w:color w:val="008080"/>
          <w:sz w:val="20"/>
          <w:szCs w:val="20"/>
          <w:shd w:val="clear" w:color="auto" w:fill="FFFFFF"/>
        </w:rPr>
        <w:t>$52.</w:t>
      </w:r>
      <w:r w:rsidRPr="00BA41A8">
        <w:rPr>
          <w:rFonts w:ascii="Times New Roman" w:eastAsia="Calibri" w:hAnsi="Times New Roman" w:cs="Times New Roman"/>
          <w:color w:val="000000"/>
          <w:sz w:val="20"/>
          <w:szCs w:val="20"/>
          <w:shd w:val="clear" w:color="auto" w:fill="FFFFFF"/>
        </w:rPr>
        <w:t xml:space="preserve"> ;</w:t>
      </w:r>
    </w:p>
    <w:p w14:paraId="0AD36D1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format perc_in_devt_cohort </w:t>
      </w:r>
      <w:r w:rsidRPr="00BA41A8">
        <w:rPr>
          <w:rFonts w:ascii="Times New Roman" w:eastAsia="Calibri" w:hAnsi="Times New Roman" w:cs="Times New Roman"/>
          <w:color w:val="008080"/>
          <w:sz w:val="20"/>
          <w:szCs w:val="20"/>
          <w:shd w:val="clear" w:color="auto" w:fill="FFFFFF"/>
        </w:rPr>
        <w:t>$6.</w:t>
      </w:r>
      <w:r w:rsidRPr="00BA41A8">
        <w:rPr>
          <w:rFonts w:ascii="Times New Roman" w:eastAsia="Calibri" w:hAnsi="Times New Roman" w:cs="Times New Roman"/>
          <w:color w:val="000000"/>
          <w:sz w:val="20"/>
          <w:szCs w:val="20"/>
          <w:shd w:val="clear" w:color="auto" w:fill="FFFFFF"/>
        </w:rPr>
        <w:t xml:space="preserve"> ; </w:t>
      </w:r>
    </w:p>
    <w:p w14:paraId="6C0BB44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format perc_in_frail_group </w:t>
      </w:r>
      <w:r w:rsidRPr="00BA41A8">
        <w:rPr>
          <w:rFonts w:ascii="Times New Roman" w:eastAsia="Calibri" w:hAnsi="Times New Roman" w:cs="Times New Roman"/>
          <w:color w:val="008080"/>
          <w:sz w:val="20"/>
          <w:szCs w:val="20"/>
          <w:shd w:val="clear" w:color="auto" w:fill="FFFFFF"/>
        </w:rPr>
        <w:t>$6.</w:t>
      </w:r>
      <w:r w:rsidRPr="00BA41A8">
        <w:rPr>
          <w:rFonts w:ascii="Times New Roman" w:eastAsia="Calibri" w:hAnsi="Times New Roman" w:cs="Times New Roman"/>
          <w:color w:val="000000"/>
          <w:sz w:val="20"/>
          <w:szCs w:val="20"/>
          <w:shd w:val="clear" w:color="auto" w:fill="FFFFFF"/>
        </w:rPr>
        <w:t xml:space="preserve"> ;</w:t>
      </w:r>
    </w:p>
    <w:p w14:paraId="18112F11"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rPr>
        <w:lastRenderedPageBreak/>
        <w:t xml:space="preserve">                </w:t>
      </w:r>
      <w:r w:rsidRPr="00BA41A8">
        <w:rPr>
          <w:rFonts w:ascii="Times New Roman" w:eastAsia="Calibri" w:hAnsi="Times New Roman" w:cs="Times New Roman"/>
          <w:color w:val="000000"/>
          <w:sz w:val="20"/>
          <w:szCs w:val="20"/>
          <w:shd w:val="clear" w:color="auto" w:fill="FFFFFF"/>
          <w:lang w:val="fr-FR"/>
        </w:rPr>
        <w:t xml:space="preserve">format points </w:t>
      </w:r>
      <w:r w:rsidRPr="00BA41A8">
        <w:rPr>
          <w:rFonts w:ascii="Times New Roman" w:eastAsia="Calibri" w:hAnsi="Times New Roman" w:cs="Times New Roman"/>
          <w:color w:val="008080"/>
          <w:sz w:val="20"/>
          <w:szCs w:val="20"/>
          <w:shd w:val="clear" w:color="auto" w:fill="FFFFFF"/>
          <w:lang w:val="fr-FR"/>
        </w:rPr>
        <w:t>$3.</w:t>
      </w:r>
      <w:r w:rsidRPr="00BA41A8">
        <w:rPr>
          <w:rFonts w:ascii="Times New Roman" w:eastAsia="Calibri" w:hAnsi="Times New Roman" w:cs="Times New Roman"/>
          <w:color w:val="000000"/>
          <w:sz w:val="20"/>
          <w:szCs w:val="20"/>
          <w:shd w:val="clear" w:color="auto" w:fill="FFFFFF"/>
          <w:lang w:val="fr-FR"/>
        </w:rPr>
        <w:t xml:space="preserve"> ;</w:t>
      </w:r>
    </w:p>
    <w:p w14:paraId="6647561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lang w:val="fr-FR"/>
        </w:rPr>
        <w:t xml:space="preserve">                    input</w:t>
      </w:r>
    </w:p>
    <w:p w14:paraId="59BEDC64"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lang w:val="fr-FR"/>
        </w:rPr>
        <w:t xml:space="preserve">                    icd_code</w:t>
      </w:r>
    </w:p>
    <w:p w14:paraId="0A19C3F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lang w:val="fr-FR"/>
        </w:rPr>
        <w:t xml:space="preserve">                    icd_description</w:t>
      </w:r>
    </w:p>
    <w:p w14:paraId="197FBA31"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lang w:val="fr-FR"/>
        </w:rPr>
        <w:t xml:space="preserve">                    </w:t>
      </w:r>
      <w:r w:rsidRPr="00BA41A8">
        <w:rPr>
          <w:rFonts w:ascii="Times New Roman" w:eastAsia="Calibri" w:hAnsi="Times New Roman" w:cs="Times New Roman"/>
          <w:color w:val="000000"/>
          <w:sz w:val="20"/>
          <w:szCs w:val="20"/>
          <w:shd w:val="clear" w:color="auto" w:fill="FFFFFF"/>
        </w:rPr>
        <w:t>deficit_category</w:t>
      </w:r>
    </w:p>
    <w:p w14:paraId="5416AD03"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perc_in_devt_cohort</w:t>
      </w:r>
    </w:p>
    <w:p w14:paraId="04F8234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perc_in_frail_group</w:t>
      </w:r>
    </w:p>
    <w:p w14:paraId="3E6F51A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points</w:t>
      </w:r>
    </w:p>
    <w:p w14:paraId="4F9C9091"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p>
    <w:p w14:paraId="4462F22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if _ERROR_ then call symputx(</w:t>
      </w:r>
      <w:r w:rsidRPr="00BA41A8">
        <w:rPr>
          <w:rFonts w:ascii="Times New Roman" w:eastAsia="Calibri" w:hAnsi="Times New Roman" w:cs="Times New Roman"/>
          <w:color w:val="800080"/>
          <w:sz w:val="20"/>
          <w:szCs w:val="20"/>
          <w:shd w:val="clear" w:color="auto" w:fill="FFFFFF"/>
        </w:rPr>
        <w:t>'_EFIERR_'</w:t>
      </w:r>
      <w:r w:rsidRPr="00BA41A8">
        <w:rPr>
          <w:rFonts w:ascii="Times New Roman" w:eastAsia="Calibri" w:hAnsi="Times New Roman" w:cs="Times New Roman"/>
          <w:color w:val="000000"/>
          <w:sz w:val="20"/>
          <w:szCs w:val="20"/>
          <w:shd w:val="clear" w:color="auto" w:fill="FFFFFF"/>
        </w:rPr>
        <w:t>,</w:t>
      </w:r>
      <w:r w:rsidRPr="00BA41A8">
        <w:rPr>
          <w:rFonts w:ascii="Times New Roman" w:eastAsia="Calibri" w:hAnsi="Times New Roman" w:cs="Times New Roman"/>
          <w:b/>
          <w:bCs/>
          <w:color w:val="008080"/>
          <w:sz w:val="20"/>
          <w:szCs w:val="20"/>
          <w:shd w:val="clear" w:color="auto" w:fill="FFFFFF"/>
        </w:rPr>
        <w:t>1</w:t>
      </w:r>
      <w:r w:rsidRPr="00BA41A8">
        <w:rPr>
          <w:rFonts w:ascii="Times New Roman" w:eastAsia="Calibri" w:hAnsi="Times New Roman" w:cs="Times New Roman"/>
          <w:color w:val="000000"/>
          <w:sz w:val="20"/>
          <w:szCs w:val="20"/>
          <w:shd w:val="clear" w:color="auto" w:fill="FFFFFF"/>
        </w:rPr>
        <w:t>);</w:t>
      </w:r>
    </w:p>
    <w:p w14:paraId="22F0961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run;</w:t>
      </w:r>
    </w:p>
    <w:p w14:paraId="02BAB49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4FAFD71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DATA Frailty_score2 ;</w:t>
      </w:r>
    </w:p>
    <w:p w14:paraId="27DB17A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set Frailty_score1 ;</w:t>
      </w:r>
    </w:p>
    <w:p w14:paraId="1B261B2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rowid   = _n_ ;</w:t>
      </w:r>
    </w:p>
    <w:p w14:paraId="1FEDAD8C"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name    = cats(</w:t>
      </w:r>
      <w:r w:rsidRPr="00BA41A8">
        <w:rPr>
          <w:rFonts w:ascii="Times New Roman" w:eastAsia="Calibri" w:hAnsi="Times New Roman" w:cs="Times New Roman"/>
          <w:color w:val="800080"/>
          <w:sz w:val="20"/>
          <w:szCs w:val="20"/>
          <w:shd w:val="clear" w:color="auto" w:fill="FFFFFF"/>
        </w:rPr>
        <w:t>"dxs_"</w:t>
      </w:r>
      <w:r w:rsidRPr="00BA41A8">
        <w:rPr>
          <w:rFonts w:ascii="Times New Roman" w:eastAsia="Calibri" w:hAnsi="Times New Roman" w:cs="Times New Roman"/>
          <w:color w:val="000000"/>
          <w:sz w:val="20"/>
          <w:szCs w:val="20"/>
          <w:shd w:val="clear" w:color="auto" w:fill="FFFFFF"/>
        </w:rPr>
        <w:t>,ICD_code,</w:t>
      </w:r>
      <w:r w:rsidRPr="00BA41A8">
        <w:rPr>
          <w:rFonts w:ascii="Times New Roman" w:eastAsia="Calibri" w:hAnsi="Times New Roman" w:cs="Times New Roman"/>
          <w:color w:val="800080"/>
          <w:sz w:val="20"/>
          <w:szCs w:val="20"/>
          <w:shd w:val="clear" w:color="auto" w:fill="FFFFFF"/>
        </w:rPr>
        <w:t>""</w:t>
      </w:r>
      <w:r w:rsidRPr="00BA41A8">
        <w:rPr>
          <w:rFonts w:ascii="Times New Roman" w:eastAsia="Calibri" w:hAnsi="Times New Roman" w:cs="Times New Roman"/>
          <w:color w:val="000000"/>
          <w:sz w:val="20"/>
          <w:szCs w:val="20"/>
          <w:shd w:val="clear" w:color="auto" w:fill="FFFFFF"/>
        </w:rPr>
        <w:t>) ;</w:t>
      </w:r>
    </w:p>
    <w:p w14:paraId="7C2794AB"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00"/>
          <w:sz w:val="20"/>
          <w:szCs w:val="20"/>
          <w:shd w:val="clear" w:color="auto" w:fill="FFFFFF"/>
          <w:lang w:val="fr-FR"/>
        </w:rPr>
        <w:t>diag    = cats(</w:t>
      </w:r>
      <w:r w:rsidRPr="00BA41A8">
        <w:rPr>
          <w:rFonts w:ascii="Times New Roman" w:eastAsia="Calibri" w:hAnsi="Times New Roman" w:cs="Times New Roman"/>
          <w:color w:val="800080"/>
          <w:sz w:val="20"/>
          <w:szCs w:val="20"/>
          <w:shd w:val="clear" w:color="auto" w:fill="FFFFFF"/>
          <w:lang w:val="fr-FR"/>
        </w:rPr>
        <w:t>"'"</w:t>
      </w:r>
      <w:r w:rsidRPr="00BA41A8">
        <w:rPr>
          <w:rFonts w:ascii="Times New Roman" w:eastAsia="Calibri" w:hAnsi="Times New Roman" w:cs="Times New Roman"/>
          <w:color w:val="000000"/>
          <w:sz w:val="20"/>
          <w:szCs w:val="20"/>
          <w:shd w:val="clear" w:color="auto" w:fill="FFFFFF"/>
          <w:lang w:val="fr-FR"/>
        </w:rPr>
        <w:t>,ICD_code,</w:t>
      </w:r>
      <w:r w:rsidRPr="00BA41A8">
        <w:rPr>
          <w:rFonts w:ascii="Times New Roman" w:eastAsia="Calibri" w:hAnsi="Times New Roman" w:cs="Times New Roman"/>
          <w:color w:val="800080"/>
          <w:sz w:val="20"/>
          <w:szCs w:val="20"/>
          <w:shd w:val="clear" w:color="auto" w:fill="FFFFFF"/>
          <w:lang w:val="fr-FR"/>
        </w:rPr>
        <w:t>"'"</w:t>
      </w:r>
      <w:r w:rsidRPr="00BA41A8">
        <w:rPr>
          <w:rFonts w:ascii="Times New Roman" w:eastAsia="Calibri" w:hAnsi="Times New Roman" w:cs="Times New Roman"/>
          <w:color w:val="000000"/>
          <w:sz w:val="20"/>
          <w:szCs w:val="20"/>
          <w:shd w:val="clear" w:color="auto" w:fill="FFFFFF"/>
          <w:lang w:val="fr-FR"/>
        </w:rPr>
        <w:t>) ;</w:t>
      </w:r>
    </w:p>
    <w:p w14:paraId="157F68E6"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lang w:val="fr-FR"/>
        </w:rPr>
        <w:t xml:space="preserve">        ICDCode = cats(</w:t>
      </w:r>
      <w:r w:rsidRPr="00BA41A8">
        <w:rPr>
          <w:rFonts w:ascii="Times New Roman" w:eastAsia="Calibri" w:hAnsi="Times New Roman" w:cs="Times New Roman"/>
          <w:color w:val="800080"/>
          <w:sz w:val="20"/>
          <w:szCs w:val="20"/>
          <w:shd w:val="clear" w:color="auto" w:fill="FFFFFF"/>
          <w:lang w:val="fr-FR"/>
        </w:rPr>
        <w:t>""</w:t>
      </w:r>
      <w:r w:rsidRPr="00BA41A8">
        <w:rPr>
          <w:rFonts w:ascii="Times New Roman" w:eastAsia="Calibri" w:hAnsi="Times New Roman" w:cs="Times New Roman"/>
          <w:color w:val="000000"/>
          <w:sz w:val="20"/>
          <w:szCs w:val="20"/>
          <w:shd w:val="clear" w:color="auto" w:fill="FFFFFF"/>
          <w:lang w:val="fr-FR"/>
        </w:rPr>
        <w:t>,ICD_code,</w:t>
      </w:r>
      <w:r w:rsidRPr="00BA41A8">
        <w:rPr>
          <w:rFonts w:ascii="Times New Roman" w:eastAsia="Calibri" w:hAnsi="Times New Roman" w:cs="Times New Roman"/>
          <w:color w:val="800080"/>
          <w:sz w:val="20"/>
          <w:szCs w:val="20"/>
          <w:shd w:val="clear" w:color="auto" w:fill="FFFFFF"/>
          <w:lang w:val="fr-FR"/>
        </w:rPr>
        <w:t>""</w:t>
      </w:r>
      <w:r w:rsidRPr="00BA41A8">
        <w:rPr>
          <w:rFonts w:ascii="Times New Roman" w:eastAsia="Calibri" w:hAnsi="Times New Roman" w:cs="Times New Roman"/>
          <w:color w:val="000000"/>
          <w:sz w:val="20"/>
          <w:szCs w:val="20"/>
          <w:shd w:val="clear" w:color="auto" w:fill="FFFFFF"/>
          <w:lang w:val="fr-FR"/>
        </w:rPr>
        <w:t>) ;</w:t>
      </w:r>
    </w:p>
    <w:p w14:paraId="53E7EDE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r w:rsidRPr="00BA41A8">
        <w:rPr>
          <w:rFonts w:ascii="Times New Roman" w:eastAsia="Calibri" w:hAnsi="Times New Roman" w:cs="Times New Roman"/>
          <w:color w:val="000000"/>
          <w:sz w:val="20"/>
          <w:szCs w:val="20"/>
          <w:shd w:val="clear" w:color="auto" w:fill="FFFFFF"/>
          <w:lang w:val="fr-FR"/>
        </w:rPr>
        <w:t xml:space="preserve">    run ;</w:t>
      </w:r>
    </w:p>
    <w:p w14:paraId="039FD46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lang w:val="fr-FR"/>
        </w:rPr>
      </w:pPr>
    </w:p>
    <w:p w14:paraId="25A3259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lang w:val="fr-FR"/>
        </w:rPr>
        <w:t xml:space="preserve">    </w:t>
      </w:r>
      <w:r w:rsidRPr="00BA41A8">
        <w:rPr>
          <w:rFonts w:ascii="Times New Roman" w:eastAsia="Calibri" w:hAnsi="Times New Roman" w:cs="Times New Roman"/>
          <w:color w:val="000000"/>
          <w:sz w:val="20"/>
          <w:szCs w:val="20"/>
          <w:shd w:val="clear" w:color="auto" w:fill="FFFFFF"/>
        </w:rPr>
        <w:t>PROC sort data = Frailty_score2 ;</w:t>
      </w:r>
    </w:p>
    <w:p w14:paraId="7EE5ECF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by ICDCode ;</w:t>
      </w:r>
    </w:p>
    <w:p w14:paraId="55C0BB23"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run ;</w:t>
      </w:r>
    </w:p>
    <w:p w14:paraId="5DD80DD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4498196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Total number of diagnoses included in score is contained in macro variable   */</w:t>
      </w:r>
    </w:p>
    <w:p w14:paraId="1A13102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&amp;total.                                                                      */</w:t>
      </w:r>
    </w:p>
    <w:p w14:paraId="6860A26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5E43469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PROC sql noprint;</w:t>
      </w:r>
    </w:p>
    <w:p w14:paraId="55F92F9B"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select count(*) into: total</w:t>
      </w:r>
    </w:p>
    <w:p w14:paraId="53A43216"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from Frailty_score2</w:t>
      </w:r>
    </w:p>
    <w:p w14:paraId="5D225B9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w:t>
      </w:r>
    </w:p>
    <w:p w14:paraId="0A20BBC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quit;</w:t>
      </w:r>
    </w:p>
    <w:p w14:paraId="24CF6CF3"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4493629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Assigns individual diagnoses to numbered set of macro variables             */</w:t>
      </w:r>
    </w:p>
    <w:p w14:paraId="653A4386"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(&amp;diag1 to &amp;diag109) and assigns points (based on model coefficients) to    */</w:t>
      </w:r>
    </w:p>
    <w:p w14:paraId="073D5183"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corresponding set of numbered macro variables (&amp;points1 to &amp;points109)      */</w:t>
      </w:r>
    </w:p>
    <w:p w14:paraId="566CBC4C"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248081C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%do</w:t>
      </w:r>
      <w:r w:rsidRPr="00BA41A8">
        <w:rPr>
          <w:rFonts w:ascii="Times New Roman" w:eastAsia="Calibri" w:hAnsi="Times New Roman" w:cs="Times New Roman"/>
          <w:color w:val="000000"/>
          <w:sz w:val="20"/>
          <w:szCs w:val="20"/>
          <w:shd w:val="clear" w:color="auto" w:fill="FFFFFF"/>
        </w:rPr>
        <w:t xml:space="preserve"> i=</w:t>
      </w:r>
      <w:r w:rsidRPr="00BA41A8">
        <w:rPr>
          <w:rFonts w:ascii="Times New Roman" w:eastAsia="Calibri" w:hAnsi="Times New Roman" w:cs="Times New Roman"/>
          <w:b/>
          <w:bCs/>
          <w:color w:val="008080"/>
          <w:sz w:val="20"/>
          <w:szCs w:val="20"/>
          <w:shd w:val="clear" w:color="auto" w:fill="FFFFFF"/>
        </w:rPr>
        <w:t>1</w:t>
      </w: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%to</w:t>
      </w:r>
      <w:r w:rsidRPr="00BA41A8">
        <w:rPr>
          <w:rFonts w:ascii="Times New Roman" w:eastAsia="Calibri" w:hAnsi="Times New Roman" w:cs="Times New Roman"/>
          <w:color w:val="000000"/>
          <w:sz w:val="20"/>
          <w:szCs w:val="20"/>
          <w:shd w:val="clear" w:color="auto" w:fill="FFFFFF"/>
        </w:rPr>
        <w:t xml:space="preserve"> &amp;total ;</w:t>
      </w:r>
    </w:p>
    <w:p w14:paraId="71009FA3"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3FF92E52"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%global</w:t>
      </w:r>
      <w:r w:rsidRPr="00BA41A8">
        <w:rPr>
          <w:rFonts w:ascii="Times New Roman" w:eastAsia="Calibri" w:hAnsi="Times New Roman" w:cs="Times New Roman"/>
          <w:color w:val="000000"/>
          <w:sz w:val="20"/>
          <w:szCs w:val="20"/>
          <w:shd w:val="clear" w:color="auto" w:fill="FFFFFF"/>
        </w:rPr>
        <w:t xml:space="preserve"> diag&amp;</w:t>
      </w:r>
      <w:r w:rsidRPr="00BA41A8">
        <w:rPr>
          <w:rFonts w:ascii="Times New Roman" w:eastAsia="Calibri" w:hAnsi="Times New Roman" w:cs="Times New Roman"/>
          <w:color w:val="008080"/>
          <w:sz w:val="20"/>
          <w:szCs w:val="20"/>
          <w:shd w:val="clear" w:color="auto" w:fill="FFFFFF"/>
        </w:rPr>
        <w:t>i.</w:t>
      </w:r>
      <w:r w:rsidRPr="00BA41A8">
        <w:rPr>
          <w:rFonts w:ascii="Times New Roman" w:eastAsia="Calibri" w:hAnsi="Times New Roman" w:cs="Times New Roman"/>
          <w:color w:val="000000"/>
          <w:sz w:val="20"/>
          <w:szCs w:val="20"/>
          <w:shd w:val="clear" w:color="auto" w:fill="FFFFFF"/>
        </w:rPr>
        <w:t xml:space="preserve"> ;</w:t>
      </w:r>
    </w:p>
    <w:p w14:paraId="5572CE3D"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%global</w:t>
      </w:r>
      <w:r w:rsidRPr="00BA41A8">
        <w:rPr>
          <w:rFonts w:ascii="Times New Roman" w:eastAsia="Calibri" w:hAnsi="Times New Roman" w:cs="Times New Roman"/>
          <w:color w:val="000000"/>
          <w:sz w:val="20"/>
          <w:szCs w:val="20"/>
          <w:shd w:val="clear" w:color="auto" w:fill="FFFFFF"/>
        </w:rPr>
        <w:t xml:space="preserve"> dstr&amp;</w:t>
      </w:r>
      <w:r w:rsidRPr="00BA41A8">
        <w:rPr>
          <w:rFonts w:ascii="Times New Roman" w:eastAsia="Calibri" w:hAnsi="Times New Roman" w:cs="Times New Roman"/>
          <w:color w:val="008080"/>
          <w:sz w:val="20"/>
          <w:szCs w:val="20"/>
          <w:shd w:val="clear" w:color="auto" w:fill="FFFFFF"/>
        </w:rPr>
        <w:t>i.</w:t>
      </w:r>
      <w:r w:rsidRPr="00BA41A8">
        <w:rPr>
          <w:rFonts w:ascii="Times New Roman" w:eastAsia="Calibri" w:hAnsi="Times New Roman" w:cs="Times New Roman"/>
          <w:color w:val="000000"/>
          <w:sz w:val="20"/>
          <w:szCs w:val="20"/>
          <w:shd w:val="clear" w:color="auto" w:fill="FFFFFF"/>
        </w:rPr>
        <w:t xml:space="preserve"> ;</w:t>
      </w:r>
    </w:p>
    <w:p w14:paraId="305EDAD2"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%global</w:t>
      </w:r>
      <w:r w:rsidRPr="00BA41A8">
        <w:rPr>
          <w:rFonts w:ascii="Times New Roman" w:eastAsia="Calibri" w:hAnsi="Times New Roman" w:cs="Times New Roman"/>
          <w:color w:val="000000"/>
          <w:sz w:val="20"/>
          <w:szCs w:val="20"/>
          <w:shd w:val="clear" w:color="auto" w:fill="FFFFFF"/>
        </w:rPr>
        <w:t xml:space="preserve"> points&amp;</w:t>
      </w:r>
      <w:r w:rsidRPr="00BA41A8">
        <w:rPr>
          <w:rFonts w:ascii="Times New Roman" w:eastAsia="Calibri" w:hAnsi="Times New Roman" w:cs="Times New Roman"/>
          <w:color w:val="008080"/>
          <w:sz w:val="20"/>
          <w:szCs w:val="20"/>
          <w:shd w:val="clear" w:color="auto" w:fill="FFFFFF"/>
        </w:rPr>
        <w:t>i.</w:t>
      </w:r>
      <w:r w:rsidRPr="00BA41A8">
        <w:rPr>
          <w:rFonts w:ascii="Times New Roman" w:eastAsia="Calibri" w:hAnsi="Times New Roman" w:cs="Times New Roman"/>
          <w:color w:val="000000"/>
          <w:sz w:val="20"/>
          <w:szCs w:val="20"/>
          <w:shd w:val="clear" w:color="auto" w:fill="FFFFFF"/>
        </w:rPr>
        <w:t xml:space="preserve"> ;</w:t>
      </w:r>
    </w:p>
    <w:p w14:paraId="41FD69E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31D4A4ED"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DATA _null_ ;</w:t>
      </w:r>
    </w:p>
    <w:p w14:paraId="45C7E20D"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set Frailty_score2 ;</w:t>
      </w:r>
    </w:p>
    <w:p w14:paraId="2037F14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if &amp;</w:t>
      </w:r>
      <w:r w:rsidRPr="00BA41A8">
        <w:rPr>
          <w:rFonts w:ascii="Times New Roman" w:eastAsia="Calibri" w:hAnsi="Times New Roman" w:cs="Times New Roman"/>
          <w:color w:val="008080"/>
          <w:sz w:val="20"/>
          <w:szCs w:val="20"/>
          <w:shd w:val="clear" w:color="auto" w:fill="FFFFFF"/>
        </w:rPr>
        <w:t>i.</w:t>
      </w:r>
      <w:r w:rsidRPr="00BA41A8">
        <w:rPr>
          <w:rFonts w:ascii="Times New Roman" w:eastAsia="Calibri" w:hAnsi="Times New Roman" w:cs="Times New Roman"/>
          <w:color w:val="000000"/>
          <w:sz w:val="20"/>
          <w:szCs w:val="20"/>
          <w:shd w:val="clear" w:color="auto" w:fill="FFFFFF"/>
        </w:rPr>
        <w:t xml:space="preserve"> = _n_ ;</w:t>
      </w:r>
    </w:p>
    <w:p w14:paraId="1D30017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call symput(</w:t>
      </w:r>
      <w:r w:rsidRPr="00BA41A8">
        <w:rPr>
          <w:rFonts w:ascii="Times New Roman" w:eastAsia="Calibri" w:hAnsi="Times New Roman" w:cs="Times New Roman"/>
          <w:color w:val="800080"/>
          <w:sz w:val="20"/>
          <w:szCs w:val="20"/>
          <w:shd w:val="clear" w:color="auto" w:fill="FFFFFF"/>
        </w:rPr>
        <w:t>"dstr&amp;i."</w:t>
      </w:r>
      <w:r w:rsidRPr="00BA41A8">
        <w:rPr>
          <w:rFonts w:ascii="Times New Roman" w:eastAsia="Calibri" w:hAnsi="Times New Roman" w:cs="Times New Roman"/>
          <w:color w:val="000000"/>
          <w:sz w:val="20"/>
          <w:szCs w:val="20"/>
          <w:shd w:val="clear" w:color="auto" w:fill="FFFFFF"/>
        </w:rPr>
        <w:t>,diag) ;</w:t>
      </w:r>
    </w:p>
    <w:p w14:paraId="55B60A4D"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call symput(</w:t>
      </w:r>
      <w:r w:rsidRPr="00BA41A8">
        <w:rPr>
          <w:rFonts w:ascii="Times New Roman" w:eastAsia="Calibri" w:hAnsi="Times New Roman" w:cs="Times New Roman"/>
          <w:color w:val="800080"/>
          <w:sz w:val="20"/>
          <w:szCs w:val="20"/>
          <w:shd w:val="clear" w:color="auto" w:fill="FFFFFF"/>
        </w:rPr>
        <w:t>"diag&amp;i."</w:t>
      </w:r>
      <w:r w:rsidRPr="00BA41A8">
        <w:rPr>
          <w:rFonts w:ascii="Times New Roman" w:eastAsia="Calibri" w:hAnsi="Times New Roman" w:cs="Times New Roman"/>
          <w:color w:val="000000"/>
          <w:sz w:val="20"/>
          <w:szCs w:val="20"/>
          <w:shd w:val="clear" w:color="auto" w:fill="FFFFFF"/>
        </w:rPr>
        <w:t>,name) ;</w:t>
      </w:r>
    </w:p>
    <w:p w14:paraId="43B6096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call symput(</w:t>
      </w:r>
      <w:r w:rsidRPr="00BA41A8">
        <w:rPr>
          <w:rFonts w:ascii="Times New Roman" w:eastAsia="Calibri" w:hAnsi="Times New Roman" w:cs="Times New Roman"/>
          <w:color w:val="800080"/>
          <w:sz w:val="20"/>
          <w:szCs w:val="20"/>
          <w:shd w:val="clear" w:color="auto" w:fill="FFFFFF"/>
        </w:rPr>
        <w:t>"points&amp;i."</w:t>
      </w:r>
      <w:r w:rsidRPr="00BA41A8">
        <w:rPr>
          <w:rFonts w:ascii="Times New Roman" w:eastAsia="Calibri" w:hAnsi="Times New Roman" w:cs="Times New Roman"/>
          <w:color w:val="000000"/>
          <w:sz w:val="20"/>
          <w:szCs w:val="20"/>
          <w:shd w:val="clear" w:color="auto" w:fill="FFFFFF"/>
        </w:rPr>
        <w:t>,points) ;</w:t>
      </w:r>
    </w:p>
    <w:p w14:paraId="3993C80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run ;</w:t>
      </w:r>
    </w:p>
    <w:p w14:paraId="756D87E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p>
    <w:p w14:paraId="0604E266"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%end</w:t>
      </w:r>
      <w:r w:rsidRPr="00BA41A8">
        <w:rPr>
          <w:rFonts w:ascii="Times New Roman" w:eastAsia="Calibri" w:hAnsi="Times New Roman" w:cs="Times New Roman"/>
          <w:color w:val="000000"/>
          <w:sz w:val="20"/>
          <w:szCs w:val="20"/>
          <w:shd w:val="clear" w:color="auto" w:fill="FFFFFF"/>
        </w:rPr>
        <w:t xml:space="preserve"> ;</w:t>
      </w:r>
    </w:p>
    <w:p w14:paraId="046E1F3A"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0FB0A214"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Uses the HES episode-level extract &amp;indat. to create a patient-level dataset*/</w:t>
      </w:r>
    </w:p>
    <w:p w14:paraId="0646A0FA"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with variables indicating presence or absence of ICD-10 codes in frailty    */</w:t>
      </w:r>
    </w:p>
    <w:p w14:paraId="5E9A43C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score over relevant time period (2 years recommended)                       */</w:t>
      </w:r>
    </w:p>
    <w:p w14:paraId="5F27028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7699020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DATA Dataset1 ;</w:t>
      </w:r>
    </w:p>
    <w:p w14:paraId="66F0CD71"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set &amp;</w:t>
      </w:r>
      <w:r w:rsidRPr="00BA41A8">
        <w:rPr>
          <w:rFonts w:ascii="Times New Roman" w:eastAsia="Calibri" w:hAnsi="Times New Roman" w:cs="Times New Roman"/>
          <w:color w:val="008080"/>
          <w:sz w:val="20"/>
          <w:szCs w:val="20"/>
          <w:shd w:val="clear" w:color="auto" w:fill="FFFFFF"/>
        </w:rPr>
        <w:t>Indat.</w:t>
      </w:r>
      <w:r w:rsidRPr="00BA41A8">
        <w:rPr>
          <w:rFonts w:ascii="Times New Roman" w:eastAsia="Calibri" w:hAnsi="Times New Roman" w:cs="Times New Roman"/>
          <w:color w:val="000000"/>
          <w:sz w:val="20"/>
          <w:szCs w:val="20"/>
          <w:shd w:val="clear" w:color="auto" w:fill="FFFFFF"/>
        </w:rPr>
        <w:t xml:space="preserve"> ;</w:t>
      </w:r>
    </w:p>
    <w:p w14:paraId="3F0659B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diagstr = catx(</w:t>
      </w:r>
      <w:r w:rsidRPr="00BA41A8">
        <w:rPr>
          <w:rFonts w:ascii="Times New Roman" w:eastAsia="Calibri" w:hAnsi="Times New Roman" w:cs="Times New Roman"/>
          <w:color w:val="800080"/>
          <w:sz w:val="20"/>
          <w:szCs w:val="20"/>
          <w:shd w:val="clear" w:color="auto" w:fill="FFFFFF"/>
        </w:rPr>
        <w:t>", "</w:t>
      </w:r>
      <w:r w:rsidRPr="00BA41A8">
        <w:rPr>
          <w:rFonts w:ascii="Times New Roman" w:eastAsia="Calibri" w:hAnsi="Times New Roman" w:cs="Times New Roman"/>
          <w:color w:val="000000"/>
          <w:sz w:val="20"/>
          <w:szCs w:val="20"/>
          <w:shd w:val="clear" w:color="auto" w:fill="FFFFFF"/>
        </w:rPr>
        <w:t xml:space="preserve">, of diag_01 diag_02 diag_03 diag_04 diag_05 diag_06 </w:t>
      </w:r>
    </w:p>
    <w:p w14:paraId="71ACB05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lastRenderedPageBreak/>
        <w:t xml:space="preserve">                                diag_07 diag_08 diag_09 diag_10 diag_11 diag_12 </w:t>
      </w:r>
    </w:p>
    <w:p w14:paraId="08F7262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diag_13 diag_14 diag_15 diag_16 diag_17 diag_18 </w:t>
      </w:r>
    </w:p>
    <w:p w14:paraId="0C7E459D"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diag_19 diag_20) ;</w:t>
      </w:r>
    </w:p>
    <w:p w14:paraId="63413D0C"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%do</w:t>
      </w:r>
      <w:r w:rsidRPr="00BA41A8">
        <w:rPr>
          <w:rFonts w:ascii="Times New Roman" w:eastAsia="Calibri" w:hAnsi="Times New Roman" w:cs="Times New Roman"/>
          <w:color w:val="000000"/>
          <w:sz w:val="20"/>
          <w:szCs w:val="20"/>
          <w:shd w:val="clear" w:color="auto" w:fill="FFFFFF"/>
        </w:rPr>
        <w:t xml:space="preserve"> j = </w:t>
      </w:r>
      <w:r w:rsidRPr="00BA41A8">
        <w:rPr>
          <w:rFonts w:ascii="Times New Roman" w:eastAsia="Calibri" w:hAnsi="Times New Roman" w:cs="Times New Roman"/>
          <w:b/>
          <w:bCs/>
          <w:color w:val="008080"/>
          <w:sz w:val="20"/>
          <w:szCs w:val="20"/>
          <w:shd w:val="clear" w:color="auto" w:fill="FFFFFF"/>
        </w:rPr>
        <w:t>1</w:t>
      </w: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%to</w:t>
      </w:r>
      <w:r w:rsidRPr="00BA41A8">
        <w:rPr>
          <w:rFonts w:ascii="Times New Roman" w:eastAsia="Calibri" w:hAnsi="Times New Roman" w:cs="Times New Roman"/>
          <w:color w:val="000000"/>
          <w:sz w:val="20"/>
          <w:szCs w:val="20"/>
          <w:shd w:val="clear" w:color="auto" w:fill="FFFFFF"/>
        </w:rPr>
        <w:t xml:space="preserve"> &amp;</w:t>
      </w:r>
      <w:r w:rsidRPr="00BA41A8">
        <w:rPr>
          <w:rFonts w:ascii="Times New Roman" w:eastAsia="Calibri" w:hAnsi="Times New Roman" w:cs="Times New Roman"/>
          <w:color w:val="008080"/>
          <w:sz w:val="20"/>
          <w:szCs w:val="20"/>
          <w:shd w:val="clear" w:color="auto" w:fill="FFFFFF"/>
        </w:rPr>
        <w:t>total.</w:t>
      </w:r>
      <w:r w:rsidRPr="00BA41A8">
        <w:rPr>
          <w:rFonts w:ascii="Times New Roman" w:eastAsia="Calibri" w:hAnsi="Times New Roman" w:cs="Times New Roman"/>
          <w:color w:val="000000"/>
          <w:sz w:val="20"/>
          <w:szCs w:val="20"/>
          <w:shd w:val="clear" w:color="auto" w:fill="FFFFFF"/>
        </w:rPr>
        <w:t xml:space="preserve"> ;     </w:t>
      </w:r>
    </w:p>
    <w:p w14:paraId="58CFEB3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if find(diagstr,&amp;&amp;dstr&amp;</w:t>
      </w:r>
      <w:r w:rsidRPr="00BA41A8">
        <w:rPr>
          <w:rFonts w:ascii="Times New Roman" w:eastAsia="Calibri" w:hAnsi="Times New Roman" w:cs="Times New Roman"/>
          <w:color w:val="008080"/>
          <w:sz w:val="20"/>
          <w:szCs w:val="20"/>
          <w:shd w:val="clear" w:color="auto" w:fill="FFFFFF"/>
        </w:rPr>
        <w:t>j.</w:t>
      </w:r>
      <w:r w:rsidRPr="00BA41A8">
        <w:rPr>
          <w:rFonts w:ascii="Times New Roman" w:eastAsia="Calibri" w:hAnsi="Times New Roman" w:cs="Times New Roman"/>
          <w:color w:val="000000"/>
          <w:sz w:val="20"/>
          <w:szCs w:val="20"/>
          <w:shd w:val="clear" w:color="auto" w:fill="FFFFFF"/>
        </w:rPr>
        <w:t>,</w:t>
      </w:r>
      <w:r w:rsidRPr="00BA41A8">
        <w:rPr>
          <w:rFonts w:ascii="Times New Roman" w:eastAsia="Calibri" w:hAnsi="Times New Roman" w:cs="Times New Roman"/>
          <w:color w:val="800080"/>
          <w:sz w:val="20"/>
          <w:szCs w:val="20"/>
          <w:shd w:val="clear" w:color="auto" w:fill="FFFFFF"/>
        </w:rPr>
        <w:t>'i'</w:t>
      </w:r>
      <w:r w:rsidRPr="00BA41A8">
        <w:rPr>
          <w:rFonts w:ascii="Times New Roman" w:eastAsia="Calibri" w:hAnsi="Times New Roman" w:cs="Times New Roman"/>
          <w:color w:val="000000"/>
          <w:sz w:val="20"/>
          <w:szCs w:val="20"/>
          <w:shd w:val="clear" w:color="auto" w:fill="FFFFFF"/>
        </w:rPr>
        <w:t xml:space="preserve">) ge </w:t>
      </w:r>
      <w:r w:rsidRPr="00BA41A8">
        <w:rPr>
          <w:rFonts w:ascii="Times New Roman" w:eastAsia="Calibri" w:hAnsi="Times New Roman" w:cs="Times New Roman"/>
          <w:b/>
          <w:bCs/>
          <w:color w:val="008080"/>
          <w:sz w:val="20"/>
          <w:szCs w:val="20"/>
          <w:shd w:val="clear" w:color="auto" w:fill="FFFFFF"/>
        </w:rPr>
        <w:t>1</w:t>
      </w:r>
      <w:r w:rsidRPr="00BA41A8">
        <w:rPr>
          <w:rFonts w:ascii="Times New Roman" w:eastAsia="Calibri" w:hAnsi="Times New Roman" w:cs="Times New Roman"/>
          <w:color w:val="000000"/>
          <w:sz w:val="20"/>
          <w:szCs w:val="20"/>
          <w:shd w:val="clear" w:color="auto" w:fill="FFFFFF"/>
        </w:rPr>
        <w:t xml:space="preserve"> then &amp;&amp;diag&amp;</w:t>
      </w:r>
      <w:r w:rsidRPr="00BA41A8">
        <w:rPr>
          <w:rFonts w:ascii="Times New Roman" w:eastAsia="Calibri" w:hAnsi="Times New Roman" w:cs="Times New Roman"/>
          <w:color w:val="008080"/>
          <w:sz w:val="20"/>
          <w:szCs w:val="20"/>
          <w:shd w:val="clear" w:color="auto" w:fill="FFFFFF"/>
        </w:rPr>
        <w:t>j.</w:t>
      </w:r>
      <w:r w:rsidRPr="00BA41A8">
        <w:rPr>
          <w:rFonts w:ascii="Times New Roman" w:eastAsia="Calibri" w:hAnsi="Times New Roman" w:cs="Times New Roman"/>
          <w:color w:val="000000"/>
          <w:sz w:val="20"/>
          <w:szCs w:val="20"/>
          <w:shd w:val="clear" w:color="auto" w:fill="FFFFFF"/>
        </w:rPr>
        <w:t xml:space="preserve"> = </w:t>
      </w:r>
      <w:r w:rsidRPr="00BA41A8">
        <w:rPr>
          <w:rFonts w:ascii="Times New Roman" w:eastAsia="Calibri" w:hAnsi="Times New Roman" w:cs="Times New Roman"/>
          <w:b/>
          <w:bCs/>
          <w:color w:val="008080"/>
          <w:sz w:val="20"/>
          <w:szCs w:val="20"/>
          <w:shd w:val="clear" w:color="auto" w:fill="FFFFFF"/>
        </w:rPr>
        <w:t>1</w:t>
      </w:r>
      <w:r w:rsidRPr="00BA41A8">
        <w:rPr>
          <w:rFonts w:ascii="Times New Roman" w:eastAsia="Calibri" w:hAnsi="Times New Roman" w:cs="Times New Roman"/>
          <w:color w:val="000000"/>
          <w:sz w:val="20"/>
          <w:szCs w:val="20"/>
          <w:shd w:val="clear" w:color="auto" w:fill="FFFFFF"/>
        </w:rPr>
        <w:t xml:space="preserve"> ;</w:t>
      </w:r>
    </w:p>
    <w:p w14:paraId="3B7FB8D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else &amp;&amp;diag&amp;</w:t>
      </w:r>
      <w:r w:rsidRPr="00BA41A8">
        <w:rPr>
          <w:rFonts w:ascii="Times New Roman" w:eastAsia="Calibri" w:hAnsi="Times New Roman" w:cs="Times New Roman"/>
          <w:color w:val="008080"/>
          <w:sz w:val="20"/>
          <w:szCs w:val="20"/>
          <w:shd w:val="clear" w:color="auto" w:fill="FFFFFF"/>
        </w:rPr>
        <w:t>j.</w:t>
      </w:r>
      <w:r w:rsidRPr="00BA41A8">
        <w:rPr>
          <w:rFonts w:ascii="Times New Roman" w:eastAsia="Calibri" w:hAnsi="Times New Roman" w:cs="Times New Roman"/>
          <w:color w:val="000000"/>
          <w:sz w:val="20"/>
          <w:szCs w:val="20"/>
          <w:shd w:val="clear" w:color="auto" w:fill="FFFFFF"/>
        </w:rPr>
        <w:t xml:space="preserve"> = </w:t>
      </w:r>
      <w:r w:rsidRPr="00BA41A8">
        <w:rPr>
          <w:rFonts w:ascii="Times New Roman" w:eastAsia="Calibri" w:hAnsi="Times New Roman" w:cs="Times New Roman"/>
          <w:b/>
          <w:bCs/>
          <w:color w:val="008080"/>
          <w:sz w:val="20"/>
          <w:szCs w:val="20"/>
          <w:shd w:val="clear" w:color="auto" w:fill="FFFFFF"/>
        </w:rPr>
        <w:t>0</w:t>
      </w:r>
      <w:r w:rsidRPr="00BA41A8">
        <w:rPr>
          <w:rFonts w:ascii="Times New Roman" w:eastAsia="Calibri" w:hAnsi="Times New Roman" w:cs="Times New Roman"/>
          <w:color w:val="000000"/>
          <w:sz w:val="20"/>
          <w:szCs w:val="20"/>
          <w:shd w:val="clear" w:color="auto" w:fill="FFFFFF"/>
        </w:rPr>
        <w:t xml:space="preserve"> ;</w:t>
      </w:r>
    </w:p>
    <w:p w14:paraId="2DE2960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%end</w:t>
      </w:r>
      <w:r w:rsidRPr="00BA41A8">
        <w:rPr>
          <w:rFonts w:ascii="Times New Roman" w:eastAsia="Calibri" w:hAnsi="Times New Roman" w:cs="Times New Roman"/>
          <w:color w:val="000000"/>
          <w:sz w:val="20"/>
          <w:szCs w:val="20"/>
          <w:shd w:val="clear" w:color="auto" w:fill="FFFFFF"/>
        </w:rPr>
        <w:t xml:space="preserve"> ;</w:t>
      </w:r>
    </w:p>
    <w:p w14:paraId="68A24B6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run ;</w:t>
      </w:r>
    </w:p>
    <w:p w14:paraId="3534A057"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3EF7FA3B"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PROC sql ;</w:t>
      </w:r>
    </w:p>
    <w:p w14:paraId="4A476DF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create table Dataset2 as </w:t>
      </w:r>
    </w:p>
    <w:p w14:paraId="31538AD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select  xhesid</w:t>
      </w:r>
    </w:p>
    <w:p w14:paraId="6D01D3E2"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%do</w:t>
      </w:r>
      <w:r w:rsidRPr="00BA41A8">
        <w:rPr>
          <w:rFonts w:ascii="Times New Roman" w:eastAsia="Calibri" w:hAnsi="Times New Roman" w:cs="Times New Roman"/>
          <w:color w:val="000000"/>
          <w:sz w:val="20"/>
          <w:szCs w:val="20"/>
          <w:shd w:val="clear" w:color="auto" w:fill="FFFFFF"/>
        </w:rPr>
        <w:t xml:space="preserve"> j = </w:t>
      </w:r>
      <w:r w:rsidRPr="00BA41A8">
        <w:rPr>
          <w:rFonts w:ascii="Times New Roman" w:eastAsia="Calibri" w:hAnsi="Times New Roman" w:cs="Times New Roman"/>
          <w:b/>
          <w:bCs/>
          <w:color w:val="008080"/>
          <w:sz w:val="20"/>
          <w:szCs w:val="20"/>
          <w:shd w:val="clear" w:color="auto" w:fill="FFFFFF"/>
        </w:rPr>
        <w:t>1</w:t>
      </w: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%to</w:t>
      </w:r>
      <w:r w:rsidRPr="00BA41A8">
        <w:rPr>
          <w:rFonts w:ascii="Times New Roman" w:eastAsia="Calibri" w:hAnsi="Times New Roman" w:cs="Times New Roman"/>
          <w:color w:val="000000"/>
          <w:sz w:val="20"/>
          <w:szCs w:val="20"/>
          <w:shd w:val="clear" w:color="auto" w:fill="FFFFFF"/>
        </w:rPr>
        <w:t xml:space="preserve"> &amp;</w:t>
      </w:r>
      <w:r w:rsidRPr="00BA41A8">
        <w:rPr>
          <w:rFonts w:ascii="Times New Roman" w:eastAsia="Calibri" w:hAnsi="Times New Roman" w:cs="Times New Roman"/>
          <w:color w:val="008080"/>
          <w:sz w:val="20"/>
          <w:szCs w:val="20"/>
          <w:shd w:val="clear" w:color="auto" w:fill="FFFFFF"/>
        </w:rPr>
        <w:t>total.</w:t>
      </w:r>
      <w:r w:rsidRPr="00BA41A8">
        <w:rPr>
          <w:rFonts w:ascii="Times New Roman" w:eastAsia="Calibri" w:hAnsi="Times New Roman" w:cs="Times New Roman"/>
          <w:color w:val="000000"/>
          <w:sz w:val="20"/>
          <w:szCs w:val="20"/>
          <w:shd w:val="clear" w:color="auto" w:fill="FFFFFF"/>
        </w:rPr>
        <w:t xml:space="preserve"> ;</w:t>
      </w:r>
    </w:p>
    <w:p w14:paraId="7A2A8261"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 max(&amp;&amp;diag&amp;</w:t>
      </w:r>
      <w:r w:rsidRPr="00BA41A8">
        <w:rPr>
          <w:rFonts w:ascii="Times New Roman" w:eastAsia="Calibri" w:hAnsi="Times New Roman" w:cs="Times New Roman"/>
          <w:color w:val="008080"/>
          <w:sz w:val="20"/>
          <w:szCs w:val="20"/>
          <w:shd w:val="clear" w:color="auto" w:fill="FFFFFF"/>
        </w:rPr>
        <w:t>j.</w:t>
      </w:r>
      <w:r w:rsidRPr="00BA41A8">
        <w:rPr>
          <w:rFonts w:ascii="Times New Roman" w:eastAsia="Calibri" w:hAnsi="Times New Roman" w:cs="Times New Roman"/>
          <w:color w:val="000000"/>
          <w:sz w:val="20"/>
          <w:szCs w:val="20"/>
          <w:shd w:val="clear" w:color="auto" w:fill="FFFFFF"/>
        </w:rPr>
        <w:t>) as &amp;&amp;diag&amp;</w:t>
      </w:r>
      <w:r w:rsidRPr="00BA41A8">
        <w:rPr>
          <w:rFonts w:ascii="Times New Roman" w:eastAsia="Calibri" w:hAnsi="Times New Roman" w:cs="Times New Roman"/>
          <w:color w:val="008080"/>
          <w:sz w:val="20"/>
          <w:szCs w:val="20"/>
          <w:shd w:val="clear" w:color="auto" w:fill="FFFFFF"/>
        </w:rPr>
        <w:t>j.</w:t>
      </w:r>
    </w:p>
    <w:p w14:paraId="4BD8B80D"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%end</w:t>
      </w:r>
      <w:r w:rsidRPr="00BA41A8">
        <w:rPr>
          <w:rFonts w:ascii="Times New Roman" w:eastAsia="Calibri" w:hAnsi="Times New Roman" w:cs="Times New Roman"/>
          <w:color w:val="000000"/>
          <w:sz w:val="20"/>
          <w:szCs w:val="20"/>
          <w:shd w:val="clear" w:color="auto" w:fill="FFFFFF"/>
        </w:rPr>
        <w:t xml:space="preserve"> ;</w:t>
      </w:r>
    </w:p>
    <w:p w14:paraId="5419AB74"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from  Dataset1</w:t>
      </w:r>
    </w:p>
    <w:p w14:paraId="77D36E1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group by  xhesid</w:t>
      </w:r>
    </w:p>
    <w:p w14:paraId="05331FE2"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p>
    <w:p w14:paraId="155AC52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quit ; </w:t>
      </w:r>
    </w:p>
    <w:p w14:paraId="5649DE14"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p>
    <w:p w14:paraId="6AD9839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PROC sort data = Dataset2 nodup out = Dataset3 ;</w:t>
      </w:r>
    </w:p>
    <w:p w14:paraId="359A78B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by xhesid ;</w:t>
      </w:r>
    </w:p>
    <w:p w14:paraId="021619AB"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run ;</w:t>
      </w:r>
    </w:p>
    <w:p w14:paraId="24E35B0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41283EAA"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3FF8DACC"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Creates dataset with extra set of variables containing points for each  */</w:t>
      </w:r>
    </w:p>
    <w:p w14:paraId="48EE922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diagnosis                                                               */</w:t>
      </w:r>
      <w:r w:rsidRPr="00BA41A8">
        <w:rPr>
          <w:rFonts w:ascii="Times New Roman" w:eastAsia="Calibri" w:hAnsi="Times New Roman" w:cs="Times New Roman"/>
          <w:color w:val="000000"/>
          <w:sz w:val="20"/>
          <w:szCs w:val="20"/>
          <w:shd w:val="clear" w:color="auto" w:fill="FFFFFF"/>
        </w:rPr>
        <w:t xml:space="preserve">    </w:t>
      </w:r>
    </w:p>
    <w:p w14:paraId="036AF942"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DATA Dataset4 ;</w:t>
      </w:r>
    </w:p>
    <w:p w14:paraId="39E906D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set Dataset3 ;</w:t>
      </w:r>
    </w:p>
    <w:p w14:paraId="3BB7F983"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%do</w:t>
      </w:r>
      <w:r w:rsidRPr="00BA41A8">
        <w:rPr>
          <w:rFonts w:ascii="Times New Roman" w:eastAsia="Calibri" w:hAnsi="Times New Roman" w:cs="Times New Roman"/>
          <w:color w:val="000000"/>
          <w:sz w:val="20"/>
          <w:szCs w:val="20"/>
          <w:shd w:val="clear" w:color="auto" w:fill="FFFFFF"/>
        </w:rPr>
        <w:t xml:space="preserve"> j = </w:t>
      </w:r>
      <w:r w:rsidRPr="00BA41A8">
        <w:rPr>
          <w:rFonts w:ascii="Times New Roman" w:eastAsia="Calibri" w:hAnsi="Times New Roman" w:cs="Times New Roman"/>
          <w:b/>
          <w:bCs/>
          <w:color w:val="008080"/>
          <w:sz w:val="20"/>
          <w:szCs w:val="20"/>
          <w:shd w:val="clear" w:color="auto" w:fill="FFFFFF"/>
        </w:rPr>
        <w:t>1</w:t>
      </w: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%to</w:t>
      </w:r>
      <w:r w:rsidRPr="00BA41A8">
        <w:rPr>
          <w:rFonts w:ascii="Times New Roman" w:eastAsia="Calibri" w:hAnsi="Times New Roman" w:cs="Times New Roman"/>
          <w:color w:val="000000"/>
          <w:sz w:val="20"/>
          <w:szCs w:val="20"/>
          <w:shd w:val="clear" w:color="auto" w:fill="FFFFFF"/>
        </w:rPr>
        <w:t xml:space="preserve"> &amp;</w:t>
      </w:r>
      <w:r w:rsidRPr="00BA41A8">
        <w:rPr>
          <w:rFonts w:ascii="Times New Roman" w:eastAsia="Calibri" w:hAnsi="Times New Roman" w:cs="Times New Roman"/>
          <w:color w:val="008080"/>
          <w:sz w:val="20"/>
          <w:szCs w:val="20"/>
          <w:shd w:val="clear" w:color="auto" w:fill="FFFFFF"/>
        </w:rPr>
        <w:t>total.</w:t>
      </w:r>
      <w:r w:rsidRPr="00BA41A8">
        <w:rPr>
          <w:rFonts w:ascii="Times New Roman" w:eastAsia="Calibri" w:hAnsi="Times New Roman" w:cs="Times New Roman"/>
          <w:color w:val="000000"/>
          <w:sz w:val="20"/>
          <w:szCs w:val="20"/>
          <w:shd w:val="clear" w:color="auto" w:fill="FFFFFF"/>
        </w:rPr>
        <w:t xml:space="preserve"> ;</w:t>
      </w:r>
    </w:p>
    <w:p w14:paraId="1BEBF22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if &amp;&amp;diag&amp;</w:t>
      </w:r>
      <w:r w:rsidRPr="00BA41A8">
        <w:rPr>
          <w:rFonts w:ascii="Times New Roman" w:eastAsia="Calibri" w:hAnsi="Times New Roman" w:cs="Times New Roman"/>
          <w:color w:val="008080"/>
          <w:sz w:val="20"/>
          <w:szCs w:val="20"/>
          <w:shd w:val="clear" w:color="auto" w:fill="FFFFFF"/>
        </w:rPr>
        <w:t>j.</w:t>
      </w:r>
      <w:r w:rsidRPr="00BA41A8">
        <w:rPr>
          <w:rFonts w:ascii="Times New Roman" w:eastAsia="Calibri" w:hAnsi="Times New Roman" w:cs="Times New Roman"/>
          <w:color w:val="000000"/>
          <w:sz w:val="20"/>
          <w:szCs w:val="20"/>
          <w:shd w:val="clear" w:color="auto" w:fill="FFFFFF"/>
        </w:rPr>
        <w:t xml:space="preserve"> = </w:t>
      </w:r>
      <w:r w:rsidRPr="00BA41A8">
        <w:rPr>
          <w:rFonts w:ascii="Times New Roman" w:eastAsia="Calibri" w:hAnsi="Times New Roman" w:cs="Times New Roman"/>
          <w:b/>
          <w:bCs/>
          <w:color w:val="008080"/>
          <w:sz w:val="20"/>
          <w:szCs w:val="20"/>
          <w:shd w:val="clear" w:color="auto" w:fill="FFFFFF"/>
        </w:rPr>
        <w:t>1</w:t>
      </w:r>
      <w:r w:rsidRPr="00BA41A8">
        <w:rPr>
          <w:rFonts w:ascii="Times New Roman" w:eastAsia="Calibri" w:hAnsi="Times New Roman" w:cs="Times New Roman"/>
          <w:color w:val="000000"/>
          <w:sz w:val="20"/>
          <w:szCs w:val="20"/>
          <w:shd w:val="clear" w:color="auto" w:fill="FFFFFF"/>
        </w:rPr>
        <w:t xml:space="preserve"> then points&amp;</w:t>
      </w:r>
      <w:r w:rsidRPr="00BA41A8">
        <w:rPr>
          <w:rFonts w:ascii="Times New Roman" w:eastAsia="Calibri" w:hAnsi="Times New Roman" w:cs="Times New Roman"/>
          <w:color w:val="008080"/>
          <w:sz w:val="20"/>
          <w:szCs w:val="20"/>
          <w:shd w:val="clear" w:color="auto" w:fill="FFFFFF"/>
        </w:rPr>
        <w:t>j.</w:t>
      </w:r>
      <w:r w:rsidRPr="00BA41A8">
        <w:rPr>
          <w:rFonts w:ascii="Times New Roman" w:eastAsia="Calibri" w:hAnsi="Times New Roman" w:cs="Times New Roman"/>
          <w:color w:val="000000"/>
          <w:sz w:val="20"/>
          <w:szCs w:val="20"/>
          <w:shd w:val="clear" w:color="auto" w:fill="FFFFFF"/>
        </w:rPr>
        <w:t xml:space="preserve"> = &amp;&amp;points&amp;</w:t>
      </w:r>
      <w:r w:rsidRPr="00BA41A8">
        <w:rPr>
          <w:rFonts w:ascii="Times New Roman" w:eastAsia="Calibri" w:hAnsi="Times New Roman" w:cs="Times New Roman"/>
          <w:color w:val="008080"/>
          <w:sz w:val="20"/>
          <w:szCs w:val="20"/>
          <w:shd w:val="clear" w:color="auto" w:fill="FFFFFF"/>
        </w:rPr>
        <w:t>j.</w:t>
      </w:r>
      <w:r w:rsidRPr="00BA41A8">
        <w:rPr>
          <w:rFonts w:ascii="Times New Roman" w:eastAsia="Calibri" w:hAnsi="Times New Roman" w:cs="Times New Roman"/>
          <w:color w:val="000000"/>
          <w:sz w:val="20"/>
          <w:szCs w:val="20"/>
          <w:shd w:val="clear" w:color="auto" w:fill="FFFFFF"/>
        </w:rPr>
        <w:t xml:space="preserve"> ;</w:t>
      </w:r>
    </w:p>
    <w:p w14:paraId="45B59AA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else points&amp;</w:t>
      </w:r>
      <w:r w:rsidRPr="00BA41A8">
        <w:rPr>
          <w:rFonts w:ascii="Times New Roman" w:eastAsia="Calibri" w:hAnsi="Times New Roman" w:cs="Times New Roman"/>
          <w:color w:val="008080"/>
          <w:sz w:val="20"/>
          <w:szCs w:val="20"/>
          <w:shd w:val="clear" w:color="auto" w:fill="FFFFFF"/>
        </w:rPr>
        <w:t>j.</w:t>
      </w:r>
      <w:r w:rsidRPr="00BA41A8">
        <w:rPr>
          <w:rFonts w:ascii="Times New Roman" w:eastAsia="Calibri" w:hAnsi="Times New Roman" w:cs="Times New Roman"/>
          <w:color w:val="000000"/>
          <w:sz w:val="20"/>
          <w:szCs w:val="20"/>
          <w:shd w:val="clear" w:color="auto" w:fill="FFFFFF"/>
        </w:rPr>
        <w:t xml:space="preserve"> = </w:t>
      </w:r>
      <w:r w:rsidRPr="00BA41A8">
        <w:rPr>
          <w:rFonts w:ascii="Times New Roman" w:eastAsia="Calibri" w:hAnsi="Times New Roman" w:cs="Times New Roman"/>
          <w:b/>
          <w:bCs/>
          <w:color w:val="008080"/>
          <w:sz w:val="20"/>
          <w:szCs w:val="20"/>
          <w:shd w:val="clear" w:color="auto" w:fill="FFFFFF"/>
        </w:rPr>
        <w:t>0</w:t>
      </w:r>
      <w:r w:rsidRPr="00BA41A8">
        <w:rPr>
          <w:rFonts w:ascii="Times New Roman" w:eastAsia="Calibri" w:hAnsi="Times New Roman" w:cs="Times New Roman"/>
          <w:color w:val="000000"/>
          <w:sz w:val="20"/>
          <w:szCs w:val="20"/>
          <w:shd w:val="clear" w:color="auto" w:fill="FFFFFF"/>
        </w:rPr>
        <w:t xml:space="preserve"> ;</w:t>
      </w:r>
    </w:p>
    <w:p w14:paraId="62FB0CB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%end</w:t>
      </w:r>
      <w:r w:rsidRPr="00BA41A8">
        <w:rPr>
          <w:rFonts w:ascii="Times New Roman" w:eastAsia="Calibri" w:hAnsi="Times New Roman" w:cs="Times New Roman"/>
          <w:color w:val="000000"/>
          <w:sz w:val="20"/>
          <w:szCs w:val="20"/>
          <w:shd w:val="clear" w:color="auto" w:fill="FFFFFF"/>
        </w:rPr>
        <w:t xml:space="preserve"> ;</w:t>
      </w:r>
    </w:p>
    <w:p w14:paraId="5424126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run ;</w:t>
      </w:r>
    </w:p>
    <w:p w14:paraId="06E333FE"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554E55B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Sums the points to create the frailty risk score                        */</w:t>
      </w:r>
      <w:r w:rsidRPr="00BA41A8">
        <w:rPr>
          <w:rFonts w:ascii="Times New Roman" w:eastAsia="Calibri" w:hAnsi="Times New Roman" w:cs="Times New Roman"/>
          <w:color w:val="000000"/>
          <w:sz w:val="20"/>
          <w:szCs w:val="20"/>
          <w:shd w:val="clear" w:color="auto" w:fill="FFFFFF"/>
        </w:rPr>
        <w:t xml:space="preserve">   </w:t>
      </w:r>
    </w:p>
    <w:p w14:paraId="393A268A"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PROC sql ;</w:t>
      </w:r>
    </w:p>
    <w:p w14:paraId="06E561AA"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create table Dataset5 as</w:t>
      </w:r>
    </w:p>
    <w:p w14:paraId="28E06EF5"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select  xhesid , </w:t>
      </w:r>
    </w:p>
    <w:p w14:paraId="450D6952"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%do</w:t>
      </w:r>
      <w:r w:rsidRPr="00BA41A8">
        <w:rPr>
          <w:rFonts w:ascii="Times New Roman" w:eastAsia="Calibri" w:hAnsi="Times New Roman" w:cs="Times New Roman"/>
          <w:color w:val="000000"/>
          <w:sz w:val="20"/>
          <w:szCs w:val="20"/>
          <w:shd w:val="clear" w:color="auto" w:fill="FFFFFF"/>
        </w:rPr>
        <w:t xml:space="preserve"> j = </w:t>
      </w:r>
      <w:r w:rsidRPr="00BA41A8">
        <w:rPr>
          <w:rFonts w:ascii="Times New Roman" w:eastAsia="Calibri" w:hAnsi="Times New Roman" w:cs="Times New Roman"/>
          <w:b/>
          <w:bCs/>
          <w:color w:val="008080"/>
          <w:sz w:val="20"/>
          <w:szCs w:val="20"/>
          <w:shd w:val="clear" w:color="auto" w:fill="FFFFFF"/>
        </w:rPr>
        <w:t>1</w:t>
      </w: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%to</w:t>
      </w:r>
      <w:r w:rsidRPr="00BA41A8">
        <w:rPr>
          <w:rFonts w:ascii="Times New Roman" w:eastAsia="Calibri" w:hAnsi="Times New Roman" w:cs="Times New Roman"/>
          <w:color w:val="000000"/>
          <w:sz w:val="20"/>
          <w:szCs w:val="20"/>
          <w:shd w:val="clear" w:color="auto" w:fill="FFFFFF"/>
        </w:rPr>
        <w:t xml:space="preserve"> &amp;</w:t>
      </w:r>
      <w:r w:rsidRPr="00BA41A8">
        <w:rPr>
          <w:rFonts w:ascii="Times New Roman" w:eastAsia="Calibri" w:hAnsi="Times New Roman" w:cs="Times New Roman"/>
          <w:color w:val="008080"/>
          <w:sz w:val="20"/>
          <w:szCs w:val="20"/>
          <w:shd w:val="clear" w:color="auto" w:fill="FFFFFF"/>
        </w:rPr>
        <w:t>Total.</w:t>
      </w:r>
      <w:r w:rsidRPr="00BA41A8">
        <w:rPr>
          <w:rFonts w:ascii="Times New Roman" w:eastAsia="Calibri" w:hAnsi="Times New Roman" w:cs="Times New Roman"/>
          <w:color w:val="000000"/>
          <w:sz w:val="20"/>
          <w:szCs w:val="20"/>
          <w:shd w:val="clear" w:color="auto" w:fill="FFFFFF"/>
        </w:rPr>
        <w:t xml:space="preserve"> ;</w:t>
      </w:r>
    </w:p>
    <w:p w14:paraId="2E8E511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 points&amp;</w:t>
      </w:r>
      <w:r w:rsidRPr="00BA41A8">
        <w:rPr>
          <w:rFonts w:ascii="Times New Roman" w:eastAsia="Calibri" w:hAnsi="Times New Roman" w:cs="Times New Roman"/>
          <w:color w:val="008080"/>
          <w:sz w:val="20"/>
          <w:szCs w:val="20"/>
          <w:shd w:val="clear" w:color="auto" w:fill="FFFFFF"/>
        </w:rPr>
        <w:t>j.</w:t>
      </w:r>
      <w:r w:rsidRPr="00BA41A8">
        <w:rPr>
          <w:rFonts w:ascii="Times New Roman" w:eastAsia="Calibri" w:hAnsi="Times New Roman" w:cs="Times New Roman"/>
          <w:color w:val="000000"/>
          <w:sz w:val="20"/>
          <w:szCs w:val="20"/>
          <w:shd w:val="clear" w:color="auto" w:fill="FFFFFF"/>
        </w:rPr>
        <w:t xml:space="preserve"> </w:t>
      </w:r>
    </w:p>
    <w:p w14:paraId="24C9EB8C"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r w:rsidRPr="00BA41A8">
        <w:rPr>
          <w:rFonts w:ascii="Times New Roman" w:eastAsia="Calibri" w:hAnsi="Times New Roman" w:cs="Times New Roman"/>
          <w:color w:val="0000FF"/>
          <w:sz w:val="20"/>
          <w:szCs w:val="20"/>
          <w:shd w:val="clear" w:color="auto" w:fill="FFFFFF"/>
        </w:rPr>
        <w:t>%end</w:t>
      </w:r>
      <w:r w:rsidRPr="00BA41A8">
        <w:rPr>
          <w:rFonts w:ascii="Times New Roman" w:eastAsia="Calibri" w:hAnsi="Times New Roman" w:cs="Times New Roman"/>
          <w:color w:val="000000"/>
          <w:sz w:val="20"/>
          <w:szCs w:val="20"/>
          <w:shd w:val="clear" w:color="auto" w:fill="FFFFFF"/>
        </w:rPr>
        <w:t xml:space="preserve"> ;</w:t>
      </w:r>
    </w:p>
    <w:p w14:paraId="715E2DED"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as &amp;</w:t>
      </w:r>
      <w:r w:rsidRPr="00BA41A8">
        <w:rPr>
          <w:rFonts w:ascii="Times New Roman" w:eastAsia="Calibri" w:hAnsi="Times New Roman" w:cs="Times New Roman"/>
          <w:color w:val="008080"/>
          <w:sz w:val="20"/>
          <w:szCs w:val="20"/>
          <w:shd w:val="clear" w:color="auto" w:fill="FFFFFF"/>
        </w:rPr>
        <w:t>Score.</w:t>
      </w:r>
    </w:p>
    <w:p w14:paraId="4514D5A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from  Dataset4</w:t>
      </w:r>
    </w:p>
    <w:p w14:paraId="4B5571E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p>
    <w:p w14:paraId="27FFD65B"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quit ;  </w:t>
      </w:r>
    </w:p>
    <w:p w14:paraId="1CCF2B51"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52BD7620"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Creates output dataset with a variable which assigns the score to       */</w:t>
      </w:r>
    </w:p>
    <w:p w14:paraId="49699034"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three categories                                                        */</w:t>
      </w:r>
    </w:p>
    <w:p w14:paraId="71CDE7EA"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DATA &amp;Outdat ;</w:t>
      </w:r>
    </w:p>
    <w:p w14:paraId="0346F1B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set Dataset5 ;</w:t>
      </w:r>
    </w:p>
    <w:p w14:paraId="53B4077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if &amp;</w:t>
      </w:r>
      <w:r w:rsidRPr="00BA41A8">
        <w:rPr>
          <w:rFonts w:ascii="Times New Roman" w:eastAsia="Calibri" w:hAnsi="Times New Roman" w:cs="Times New Roman"/>
          <w:color w:val="008080"/>
          <w:sz w:val="20"/>
          <w:szCs w:val="20"/>
          <w:shd w:val="clear" w:color="auto" w:fill="FFFFFF"/>
        </w:rPr>
        <w:t>Score.</w:t>
      </w:r>
      <w:r w:rsidRPr="00BA41A8">
        <w:rPr>
          <w:rFonts w:ascii="Times New Roman" w:eastAsia="Calibri" w:hAnsi="Times New Roman" w:cs="Times New Roman"/>
          <w:color w:val="000000"/>
          <w:sz w:val="20"/>
          <w:szCs w:val="20"/>
          <w:shd w:val="clear" w:color="auto" w:fill="FFFFFF"/>
        </w:rPr>
        <w:t xml:space="preserve"> &lt; </w:t>
      </w:r>
      <w:r w:rsidRPr="00BA41A8">
        <w:rPr>
          <w:rFonts w:ascii="Times New Roman" w:eastAsia="Calibri" w:hAnsi="Times New Roman" w:cs="Times New Roman"/>
          <w:b/>
          <w:bCs/>
          <w:color w:val="008080"/>
          <w:sz w:val="20"/>
          <w:szCs w:val="20"/>
          <w:shd w:val="clear" w:color="auto" w:fill="FFFFFF"/>
        </w:rPr>
        <w:t>5</w:t>
      </w:r>
      <w:r w:rsidRPr="00BA41A8">
        <w:rPr>
          <w:rFonts w:ascii="Times New Roman" w:eastAsia="Calibri" w:hAnsi="Times New Roman" w:cs="Times New Roman"/>
          <w:color w:val="000000"/>
          <w:sz w:val="20"/>
          <w:szCs w:val="20"/>
          <w:shd w:val="clear" w:color="auto" w:fill="FFFFFF"/>
        </w:rPr>
        <w:t xml:space="preserve"> then score_grp                               = </w:t>
      </w:r>
      <w:r w:rsidRPr="00BA41A8">
        <w:rPr>
          <w:rFonts w:ascii="Times New Roman" w:eastAsia="Calibri" w:hAnsi="Times New Roman" w:cs="Times New Roman"/>
          <w:b/>
          <w:bCs/>
          <w:color w:val="008080"/>
          <w:sz w:val="20"/>
          <w:szCs w:val="20"/>
          <w:shd w:val="clear" w:color="auto" w:fill="FFFFFF"/>
        </w:rPr>
        <w:t>1</w:t>
      </w:r>
      <w:r w:rsidRPr="00BA41A8">
        <w:rPr>
          <w:rFonts w:ascii="Times New Roman" w:eastAsia="Calibri" w:hAnsi="Times New Roman" w:cs="Times New Roman"/>
          <w:color w:val="000000"/>
          <w:sz w:val="20"/>
          <w:szCs w:val="20"/>
          <w:shd w:val="clear" w:color="auto" w:fill="FFFFFF"/>
        </w:rPr>
        <w:t xml:space="preserve"> ;</w:t>
      </w:r>
    </w:p>
    <w:p w14:paraId="3C8F6874"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else if (&amp;</w:t>
      </w:r>
      <w:r w:rsidRPr="00BA41A8">
        <w:rPr>
          <w:rFonts w:ascii="Times New Roman" w:eastAsia="Calibri" w:hAnsi="Times New Roman" w:cs="Times New Roman"/>
          <w:color w:val="008080"/>
          <w:sz w:val="20"/>
          <w:szCs w:val="20"/>
          <w:shd w:val="clear" w:color="auto" w:fill="FFFFFF"/>
        </w:rPr>
        <w:t>Score.</w:t>
      </w:r>
      <w:r w:rsidRPr="00BA41A8">
        <w:rPr>
          <w:rFonts w:ascii="Times New Roman" w:eastAsia="Calibri" w:hAnsi="Times New Roman" w:cs="Times New Roman"/>
          <w:color w:val="000000"/>
          <w:sz w:val="20"/>
          <w:szCs w:val="20"/>
          <w:shd w:val="clear" w:color="auto" w:fill="FFFFFF"/>
        </w:rPr>
        <w:t xml:space="preserve"> le </w:t>
      </w:r>
      <w:r w:rsidRPr="00BA41A8">
        <w:rPr>
          <w:rFonts w:ascii="Times New Roman" w:eastAsia="Calibri" w:hAnsi="Times New Roman" w:cs="Times New Roman"/>
          <w:b/>
          <w:bCs/>
          <w:color w:val="008080"/>
          <w:sz w:val="20"/>
          <w:szCs w:val="20"/>
          <w:shd w:val="clear" w:color="auto" w:fill="FFFFFF"/>
        </w:rPr>
        <w:t>15</w:t>
      </w:r>
      <w:r w:rsidRPr="00BA41A8">
        <w:rPr>
          <w:rFonts w:ascii="Times New Roman" w:eastAsia="Calibri" w:hAnsi="Times New Roman" w:cs="Times New Roman"/>
          <w:color w:val="000000"/>
          <w:sz w:val="20"/>
          <w:szCs w:val="20"/>
          <w:shd w:val="clear" w:color="auto" w:fill="FFFFFF"/>
        </w:rPr>
        <w:t xml:space="preserve"> and &amp;</w:t>
      </w:r>
      <w:r w:rsidRPr="00BA41A8">
        <w:rPr>
          <w:rFonts w:ascii="Times New Roman" w:eastAsia="Calibri" w:hAnsi="Times New Roman" w:cs="Times New Roman"/>
          <w:color w:val="008080"/>
          <w:sz w:val="20"/>
          <w:szCs w:val="20"/>
          <w:shd w:val="clear" w:color="auto" w:fill="FFFFFF"/>
        </w:rPr>
        <w:t>Score.</w:t>
      </w:r>
      <w:r w:rsidRPr="00BA41A8">
        <w:rPr>
          <w:rFonts w:ascii="Times New Roman" w:eastAsia="Calibri" w:hAnsi="Times New Roman" w:cs="Times New Roman"/>
          <w:color w:val="000000"/>
          <w:sz w:val="20"/>
          <w:szCs w:val="20"/>
          <w:shd w:val="clear" w:color="auto" w:fill="FFFFFF"/>
        </w:rPr>
        <w:t xml:space="preserve"> ge </w:t>
      </w:r>
      <w:r w:rsidRPr="00BA41A8">
        <w:rPr>
          <w:rFonts w:ascii="Times New Roman" w:eastAsia="Calibri" w:hAnsi="Times New Roman" w:cs="Times New Roman"/>
          <w:b/>
          <w:bCs/>
          <w:color w:val="008080"/>
          <w:sz w:val="20"/>
          <w:szCs w:val="20"/>
          <w:shd w:val="clear" w:color="auto" w:fill="FFFFFF"/>
        </w:rPr>
        <w:t>5</w:t>
      </w:r>
      <w:r w:rsidRPr="00BA41A8">
        <w:rPr>
          <w:rFonts w:ascii="Times New Roman" w:eastAsia="Calibri" w:hAnsi="Times New Roman" w:cs="Times New Roman"/>
          <w:color w:val="000000"/>
          <w:sz w:val="20"/>
          <w:szCs w:val="20"/>
          <w:shd w:val="clear" w:color="auto" w:fill="FFFFFF"/>
        </w:rPr>
        <w:t xml:space="preserve">) then score_grp     = </w:t>
      </w:r>
      <w:r w:rsidRPr="00BA41A8">
        <w:rPr>
          <w:rFonts w:ascii="Times New Roman" w:eastAsia="Calibri" w:hAnsi="Times New Roman" w:cs="Times New Roman"/>
          <w:b/>
          <w:bCs/>
          <w:color w:val="008080"/>
          <w:sz w:val="20"/>
          <w:szCs w:val="20"/>
          <w:shd w:val="clear" w:color="auto" w:fill="FFFFFF"/>
        </w:rPr>
        <w:t>2</w:t>
      </w:r>
      <w:r w:rsidRPr="00BA41A8">
        <w:rPr>
          <w:rFonts w:ascii="Times New Roman" w:eastAsia="Calibri" w:hAnsi="Times New Roman" w:cs="Times New Roman"/>
          <w:color w:val="000000"/>
          <w:sz w:val="20"/>
          <w:szCs w:val="20"/>
          <w:shd w:val="clear" w:color="auto" w:fill="FFFFFF"/>
        </w:rPr>
        <w:t xml:space="preserve"> ;</w:t>
      </w:r>
    </w:p>
    <w:p w14:paraId="64A6FD29"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else if &amp;</w:t>
      </w:r>
      <w:r w:rsidRPr="00BA41A8">
        <w:rPr>
          <w:rFonts w:ascii="Times New Roman" w:eastAsia="Calibri" w:hAnsi="Times New Roman" w:cs="Times New Roman"/>
          <w:color w:val="008080"/>
          <w:sz w:val="20"/>
          <w:szCs w:val="20"/>
          <w:shd w:val="clear" w:color="auto" w:fill="FFFFFF"/>
        </w:rPr>
        <w:t>Score.</w:t>
      </w:r>
      <w:r w:rsidRPr="00BA41A8">
        <w:rPr>
          <w:rFonts w:ascii="Times New Roman" w:eastAsia="Calibri" w:hAnsi="Times New Roman" w:cs="Times New Roman"/>
          <w:color w:val="000000"/>
          <w:sz w:val="20"/>
          <w:szCs w:val="20"/>
          <w:shd w:val="clear" w:color="auto" w:fill="FFFFFF"/>
        </w:rPr>
        <w:t xml:space="preserve"> &gt; </w:t>
      </w:r>
      <w:r w:rsidRPr="00BA41A8">
        <w:rPr>
          <w:rFonts w:ascii="Times New Roman" w:eastAsia="Calibri" w:hAnsi="Times New Roman" w:cs="Times New Roman"/>
          <w:b/>
          <w:bCs/>
          <w:color w:val="008080"/>
          <w:sz w:val="20"/>
          <w:szCs w:val="20"/>
          <w:shd w:val="clear" w:color="auto" w:fill="FFFFFF"/>
        </w:rPr>
        <w:t>15</w:t>
      </w:r>
      <w:r w:rsidRPr="00BA41A8">
        <w:rPr>
          <w:rFonts w:ascii="Times New Roman" w:eastAsia="Calibri" w:hAnsi="Times New Roman" w:cs="Times New Roman"/>
          <w:color w:val="000000"/>
          <w:sz w:val="20"/>
          <w:szCs w:val="20"/>
          <w:shd w:val="clear" w:color="auto" w:fill="FFFFFF"/>
        </w:rPr>
        <w:t xml:space="preserve"> then score_grp                         = </w:t>
      </w:r>
      <w:r w:rsidRPr="00BA41A8">
        <w:rPr>
          <w:rFonts w:ascii="Times New Roman" w:eastAsia="Calibri" w:hAnsi="Times New Roman" w:cs="Times New Roman"/>
          <w:b/>
          <w:bCs/>
          <w:color w:val="008080"/>
          <w:sz w:val="20"/>
          <w:szCs w:val="20"/>
          <w:shd w:val="clear" w:color="auto" w:fill="FFFFFF"/>
        </w:rPr>
        <w:t>3</w:t>
      </w:r>
      <w:r w:rsidRPr="00BA41A8">
        <w:rPr>
          <w:rFonts w:ascii="Times New Roman" w:eastAsia="Calibri" w:hAnsi="Times New Roman" w:cs="Times New Roman"/>
          <w:color w:val="000000"/>
          <w:sz w:val="20"/>
          <w:szCs w:val="20"/>
          <w:shd w:val="clear" w:color="auto" w:fill="FFFFFF"/>
        </w:rPr>
        <w:t xml:space="preserve"> ;</w:t>
      </w:r>
    </w:p>
    <w:p w14:paraId="754AF19F"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run ;</w:t>
      </w:r>
    </w:p>
    <w:p w14:paraId="572457E6"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0000"/>
          <w:sz w:val="20"/>
          <w:szCs w:val="20"/>
          <w:shd w:val="clear" w:color="auto" w:fill="FFFFFF"/>
        </w:rPr>
        <w:t xml:space="preserve">        </w:t>
      </w:r>
    </w:p>
    <w:p w14:paraId="284CE534"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b/>
          <w:bCs/>
          <w:color w:val="000080"/>
          <w:sz w:val="20"/>
          <w:szCs w:val="20"/>
          <w:shd w:val="clear" w:color="auto" w:fill="FFFFFF"/>
        </w:rPr>
        <w:t>%mend</w:t>
      </w:r>
      <w:r w:rsidRPr="00BA41A8">
        <w:rPr>
          <w:rFonts w:ascii="Times New Roman" w:eastAsia="Calibri" w:hAnsi="Times New Roman" w:cs="Times New Roman"/>
          <w:color w:val="000000"/>
          <w:sz w:val="20"/>
          <w:szCs w:val="20"/>
          <w:shd w:val="clear" w:color="auto" w:fill="FFFFFF"/>
        </w:rPr>
        <w:t xml:space="preserve"> create_score ;</w:t>
      </w:r>
    </w:p>
    <w:p w14:paraId="2901BCC8"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p>
    <w:p w14:paraId="42B403AC" w14:textId="77777777" w:rsidR="005178B0" w:rsidRPr="00BA41A8" w:rsidRDefault="005178B0" w:rsidP="002C7B49">
      <w:pPr>
        <w:autoSpaceDE w:val="0"/>
        <w:autoSpaceDN w:val="0"/>
        <w:adjustRightInd w:val="0"/>
        <w:spacing w:after="0" w:line="240" w:lineRule="auto"/>
        <w:rPr>
          <w:rFonts w:ascii="Times New Roman" w:eastAsia="Calibri" w:hAnsi="Times New Roman" w:cs="Times New Roman"/>
          <w:color w:val="000000"/>
          <w:sz w:val="20"/>
          <w:szCs w:val="20"/>
          <w:shd w:val="clear" w:color="auto" w:fill="FFFFFF"/>
        </w:rPr>
      </w:pPr>
      <w:r w:rsidRPr="00BA41A8">
        <w:rPr>
          <w:rFonts w:ascii="Times New Roman" w:eastAsia="Calibri" w:hAnsi="Times New Roman" w:cs="Times New Roman"/>
          <w:color w:val="008000"/>
          <w:sz w:val="20"/>
          <w:szCs w:val="20"/>
          <w:shd w:val="clear" w:color="auto" w:fill="FFFFFF"/>
        </w:rPr>
        <w:t>/*  %create_score(Csvfile = , Indata = , Outdat = , Score = )               */</w:t>
      </w:r>
    </w:p>
    <w:p w14:paraId="0EFDAE1C" w14:textId="77777777" w:rsidR="005178B0" w:rsidRPr="00A61228" w:rsidRDefault="005178B0" w:rsidP="002C7B49">
      <w:pPr>
        <w:autoSpaceDE w:val="0"/>
        <w:autoSpaceDN w:val="0"/>
        <w:adjustRightInd w:val="0"/>
        <w:spacing w:after="0" w:line="240" w:lineRule="auto"/>
        <w:rPr>
          <w:rFonts w:ascii="Courier New" w:eastAsia="Calibri" w:hAnsi="Courier New" w:cs="Courier New"/>
          <w:color w:val="000000"/>
          <w:sz w:val="20"/>
          <w:szCs w:val="20"/>
          <w:shd w:val="clear" w:color="auto" w:fill="FFFFFF"/>
        </w:rPr>
      </w:pPr>
    </w:p>
    <w:p w14:paraId="350D2CBB"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lastRenderedPageBreak/>
        <w:t>Appendix 3 - Models used to estimate associations of hospital frailty risk score to outcomes</w:t>
      </w:r>
    </w:p>
    <w:p w14:paraId="5579E37D"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120"/>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A hospital frailty risk score was calculated for each of 1,013,590 patients aged 75 years or older with an emergency admission to an NHS hospital in England. This score was based on their ICD-10 diagnoses documented in their index emergency admission and in their hospital records going back two years.</w:t>
      </w:r>
    </w:p>
    <w:p w14:paraId="40191F48"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120"/>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We fitted logistic regression models to estimate the association of frailty risk to three binary outcomes: 30-day mortality, long length of stay (&gt;10 days in hospital) and emergency readmission within 30 days of discharge. The third model excluded patients who died in hospital. We tested different ways of including the HES frailty risk score as a categorical variable, using three categories of “low risk”, “intermediate risk” and “high risk”.  Thresholds to categorise patients were selected to maximise discrimination in outcomes using the average hospital-specific c-statistic.</w:t>
      </w:r>
    </w:p>
    <w:p w14:paraId="1ED1E413"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120"/>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We estimated models with and without adjusting for the effects of patients’ age and sex and other characteristics on outcomes. Socioeconomic status was measured using the English Index of Multiple Deprivation (IMD) of a patient’s residential area, group into five categories based on a national ranking. The number of past admissions (0,</w:t>
      </w:r>
      <w:r>
        <w:rPr>
          <w:rFonts w:ascii="Times New Roman" w:eastAsia="Arial Unicode MS" w:hAnsi="Times New Roman" w:cs="Times New Roman"/>
          <w:color w:val="000000"/>
          <w:sz w:val="20"/>
          <w:szCs w:val="20"/>
          <w:u w:color="000000"/>
          <w:bdr w:val="nil"/>
          <w:lang w:val="en-US" w:eastAsia="en-GB"/>
        </w:rPr>
        <w:t xml:space="preserve"> </w:t>
      </w:r>
      <w:r w:rsidRPr="00A61228">
        <w:rPr>
          <w:rFonts w:ascii="Times New Roman" w:eastAsia="Arial Unicode MS" w:hAnsi="Times New Roman" w:cs="Times New Roman"/>
          <w:color w:val="000000"/>
          <w:sz w:val="20"/>
          <w:szCs w:val="20"/>
          <w:u w:color="000000"/>
          <w:bdr w:val="nil"/>
          <w:lang w:val="en-US" w:eastAsia="en-GB"/>
        </w:rPr>
        <w:t>1</w:t>
      </w:r>
      <w:r>
        <w:rPr>
          <w:rFonts w:ascii="Times New Roman" w:eastAsia="Arial Unicode MS" w:hAnsi="Times New Roman" w:cs="Times New Roman"/>
          <w:color w:val="000000"/>
          <w:sz w:val="20"/>
          <w:szCs w:val="20"/>
          <w:u w:color="000000"/>
          <w:bdr w:val="nil"/>
          <w:lang w:val="en-US" w:eastAsia="en-GB"/>
        </w:rPr>
        <w:t>, 2</w:t>
      </w:r>
      <w:r w:rsidRPr="00A61228">
        <w:rPr>
          <w:rFonts w:ascii="Times New Roman" w:eastAsia="Arial Unicode MS" w:hAnsi="Times New Roman" w:cs="Times New Roman"/>
          <w:color w:val="000000"/>
          <w:sz w:val="20"/>
          <w:szCs w:val="20"/>
          <w:u w:color="000000"/>
          <w:bdr w:val="nil"/>
          <w:lang w:val="en-US" w:eastAsia="en-GB"/>
        </w:rPr>
        <w:t xml:space="preserve"> or 3+) and Charlson comorbidity index (0,</w:t>
      </w:r>
      <w:r>
        <w:rPr>
          <w:rFonts w:ascii="Times New Roman" w:eastAsia="Arial Unicode MS" w:hAnsi="Times New Roman" w:cs="Times New Roman"/>
          <w:color w:val="000000"/>
          <w:sz w:val="20"/>
          <w:szCs w:val="20"/>
          <w:u w:color="000000"/>
          <w:bdr w:val="nil"/>
          <w:lang w:val="en-US" w:eastAsia="en-GB"/>
        </w:rPr>
        <w:t xml:space="preserve"> </w:t>
      </w:r>
      <w:r w:rsidRPr="00A61228">
        <w:rPr>
          <w:rFonts w:ascii="Times New Roman" w:eastAsia="Arial Unicode MS" w:hAnsi="Times New Roman" w:cs="Times New Roman"/>
          <w:color w:val="000000"/>
          <w:sz w:val="20"/>
          <w:szCs w:val="20"/>
          <w:u w:color="000000"/>
          <w:bdr w:val="nil"/>
          <w:lang w:val="en-US" w:eastAsia="en-GB"/>
        </w:rPr>
        <w:t>1,</w:t>
      </w:r>
      <w:r>
        <w:rPr>
          <w:rFonts w:ascii="Times New Roman" w:eastAsia="Arial Unicode MS" w:hAnsi="Times New Roman" w:cs="Times New Roman"/>
          <w:color w:val="000000"/>
          <w:sz w:val="20"/>
          <w:szCs w:val="20"/>
          <w:u w:color="000000"/>
          <w:bdr w:val="nil"/>
          <w:lang w:val="en-US" w:eastAsia="en-GB"/>
        </w:rPr>
        <w:t xml:space="preserve"> </w:t>
      </w:r>
      <w:r w:rsidRPr="00A61228">
        <w:rPr>
          <w:rFonts w:ascii="Times New Roman" w:eastAsia="Arial Unicode MS" w:hAnsi="Times New Roman" w:cs="Times New Roman"/>
          <w:color w:val="000000"/>
          <w:sz w:val="20"/>
          <w:szCs w:val="20"/>
          <w:u w:color="000000"/>
          <w:bdr w:val="nil"/>
          <w:lang w:val="en-US" w:eastAsia="en-GB"/>
        </w:rPr>
        <w:t>2 or 3+) were included as categorical variables. Hospital variation was captured by including hospital random effects, estimated as a hierarchical model using the ‘nlmixed’ procedure in SAS version 9.4. Associations between frailty risk categories and each outcome are presented using odds ratios (ORs) with their 95% confidence intervals (CIs).</w:t>
      </w:r>
    </w:p>
    <w:p w14:paraId="75277B59"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120" w:line="240" w:lineRule="auto"/>
        <w:rPr>
          <w:rFonts w:ascii="Times New Roman" w:eastAsia="Arial Unicode MS" w:hAnsi="Times New Roman" w:cs="Times New Roman"/>
          <w:b/>
          <w:color w:val="000000"/>
          <w:sz w:val="20"/>
          <w:szCs w:val="20"/>
          <w:u w:color="000000"/>
          <w:bdr w:val="nil"/>
          <w:lang w:val="en-US" w:eastAsia="en-GB"/>
        </w:rPr>
      </w:pPr>
    </w:p>
    <w:p w14:paraId="06B40C5B" w14:textId="77777777" w:rsidR="005178B0" w:rsidRPr="00A61228" w:rsidRDefault="005178B0" w:rsidP="002C7B49">
      <w:pPr>
        <w:spacing w:after="160" w:line="259" w:lineRule="auto"/>
        <w:rPr>
          <w:rFonts w:ascii="Times New Roman" w:eastAsia="Arial Unicode MS" w:hAnsi="Times New Roman" w:cs="Times New Roman"/>
          <w:b/>
          <w:color w:val="000000"/>
          <w:sz w:val="20"/>
          <w:szCs w:val="20"/>
          <w:u w:color="000000"/>
          <w:bdr w:val="nil"/>
          <w:lang w:val="en-US" w:eastAsia="en-GB"/>
        </w:rPr>
      </w:pPr>
      <w:r w:rsidRPr="00A61228">
        <w:rPr>
          <w:rFonts w:ascii="Times New Roman" w:eastAsia="Calibri" w:hAnsi="Times New Roman" w:cs="Times New Roman"/>
          <w:b/>
          <w:sz w:val="20"/>
          <w:szCs w:val="20"/>
        </w:rPr>
        <w:br w:type="page"/>
      </w:r>
    </w:p>
    <w:p w14:paraId="444ABED3"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12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b/>
          <w:color w:val="000000"/>
          <w:sz w:val="20"/>
          <w:szCs w:val="20"/>
          <w:u w:color="000000"/>
          <w:bdr w:val="nil"/>
          <w:lang w:val="en-US" w:eastAsia="en-GB"/>
        </w:rPr>
        <w:lastRenderedPageBreak/>
        <w:t xml:space="preserve">Table A3.1 </w:t>
      </w:r>
      <w:r w:rsidRPr="00A61228">
        <w:rPr>
          <w:rFonts w:ascii="Times New Roman" w:eastAsia="Arial Unicode MS" w:hAnsi="Times New Roman" w:cs="Times New Roman"/>
          <w:color w:val="000000"/>
          <w:sz w:val="20"/>
          <w:szCs w:val="20"/>
          <w:u w:color="000000"/>
          <w:bdr w:val="nil"/>
          <w:lang w:val="en-US" w:eastAsia="en-GB"/>
        </w:rPr>
        <w:t>Characteristics of patients by HES frailty risk category in national validation cohort with an emergency admission between 1</w:t>
      </w:r>
      <w:r w:rsidRPr="00A61228">
        <w:rPr>
          <w:rFonts w:ascii="Times New Roman" w:eastAsia="Arial Unicode MS" w:hAnsi="Times New Roman" w:cs="Times New Roman"/>
          <w:color w:val="000000"/>
          <w:sz w:val="20"/>
          <w:szCs w:val="20"/>
          <w:u w:color="000000"/>
          <w:bdr w:val="nil"/>
          <w:vertAlign w:val="superscript"/>
          <w:lang w:val="en-US" w:eastAsia="en-GB"/>
        </w:rPr>
        <w:t>st</w:t>
      </w:r>
      <w:r w:rsidRPr="00A61228">
        <w:rPr>
          <w:rFonts w:ascii="Times New Roman" w:eastAsia="Arial Unicode MS" w:hAnsi="Times New Roman" w:cs="Times New Roman"/>
          <w:color w:val="000000"/>
          <w:sz w:val="20"/>
          <w:szCs w:val="20"/>
          <w:u w:color="000000"/>
          <w:bdr w:val="nil"/>
          <w:lang w:val="en-US" w:eastAsia="en-GB"/>
        </w:rPr>
        <w:t xml:space="preserve"> April 2014 and 31</w:t>
      </w:r>
      <w:r w:rsidRPr="00A61228">
        <w:rPr>
          <w:rFonts w:ascii="Times New Roman" w:eastAsia="Arial Unicode MS" w:hAnsi="Times New Roman" w:cs="Times New Roman"/>
          <w:color w:val="000000"/>
          <w:sz w:val="20"/>
          <w:szCs w:val="20"/>
          <w:u w:color="000000"/>
          <w:bdr w:val="nil"/>
          <w:vertAlign w:val="superscript"/>
          <w:lang w:val="en-US" w:eastAsia="en-GB"/>
        </w:rPr>
        <w:t>st</w:t>
      </w:r>
      <w:r w:rsidRPr="00A61228">
        <w:rPr>
          <w:rFonts w:ascii="Times New Roman" w:eastAsia="Arial Unicode MS" w:hAnsi="Times New Roman" w:cs="Times New Roman"/>
          <w:color w:val="000000"/>
          <w:sz w:val="20"/>
          <w:szCs w:val="20"/>
          <w:u w:color="000000"/>
          <w:bdr w:val="nil"/>
          <w:lang w:val="en-US" w:eastAsia="en-GB"/>
        </w:rPr>
        <w:t xml:space="preserve"> March 2015 (n = 1,023,337</w:t>
      </w:r>
      <w:r w:rsidRPr="00A61228">
        <w:rPr>
          <w:rFonts w:ascii="Times New Roman" w:eastAsia="Arial Unicode MS" w:hAnsi="Times New Roman" w:cs="Times New Roman"/>
          <w:bCs/>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w:t>
      </w:r>
    </w:p>
    <w:tbl>
      <w:tblPr>
        <w:tblW w:w="927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870"/>
        <w:gridCol w:w="1890"/>
        <w:gridCol w:w="1890"/>
        <w:gridCol w:w="1620"/>
      </w:tblGrid>
      <w:tr w:rsidR="005178B0" w:rsidRPr="00A61228" w14:paraId="36EC2188" w14:textId="77777777" w:rsidTr="002C7B49">
        <w:trPr>
          <w:trHeight w:val="20"/>
        </w:trPr>
        <w:tc>
          <w:tcPr>
            <w:tcW w:w="3870"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02876E3C"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b/>
                <w:bCs/>
                <w:color w:val="000000"/>
                <w:sz w:val="20"/>
                <w:szCs w:val="20"/>
                <w:u w:color="000000"/>
                <w:bdr w:val="nil"/>
                <w:lang w:val="en-US" w:eastAsia="en-GB"/>
              </w:rPr>
            </w:pPr>
          </w:p>
        </w:tc>
        <w:tc>
          <w:tcPr>
            <w:tcW w:w="5400" w:type="dxa"/>
            <w:gridSpan w:val="3"/>
            <w:tcBorders>
              <w:top w:val="single" w:sz="4" w:space="0" w:color="auto"/>
              <w:left w:val="nil"/>
              <w:bottom w:val="single" w:sz="4" w:space="0" w:color="auto"/>
              <w:right w:val="nil"/>
            </w:tcBorders>
            <w:vAlign w:val="center"/>
          </w:tcPr>
          <w:p w14:paraId="209CB583"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b/>
                <w:bCs/>
                <w:color w:val="000000"/>
                <w:sz w:val="20"/>
                <w:szCs w:val="20"/>
                <w:u w:color="000000"/>
                <w:bdr w:val="nil"/>
                <w:lang w:val="en-US" w:eastAsia="en-GB"/>
              </w:rPr>
            </w:pPr>
            <w:r w:rsidRPr="00A61228">
              <w:rPr>
                <w:rFonts w:ascii="Times New Roman" w:eastAsia="Arial Unicode MS" w:hAnsi="Times New Roman" w:cs="Times New Roman"/>
                <w:b/>
                <w:bCs/>
                <w:color w:val="000000"/>
                <w:sz w:val="20"/>
                <w:szCs w:val="20"/>
                <w:u w:color="000000"/>
                <w:bdr w:val="nil"/>
                <w:lang w:val="en-US" w:eastAsia="en-GB"/>
              </w:rPr>
              <w:t>HES frailty risk category (score range)</w:t>
            </w:r>
          </w:p>
        </w:tc>
      </w:tr>
      <w:tr w:rsidR="005178B0" w:rsidRPr="00A61228" w14:paraId="1ABEFBBA" w14:textId="77777777" w:rsidTr="002C7B49">
        <w:trPr>
          <w:trHeight w:val="20"/>
        </w:trPr>
        <w:tc>
          <w:tcPr>
            <w:tcW w:w="387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1BCF3F11" w14:textId="77777777" w:rsidR="005178B0" w:rsidRPr="00A61228" w:rsidRDefault="005178B0" w:rsidP="002C7B49">
            <w:pPr>
              <w:widowControl w:val="0"/>
              <w:pBdr>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b/>
                <w:bCs/>
                <w:color w:val="000000"/>
                <w:sz w:val="20"/>
                <w:szCs w:val="20"/>
                <w:u w:color="000000"/>
                <w:bdr w:val="nil"/>
                <w:lang w:val="en-US" w:eastAsia="en-GB"/>
              </w:rPr>
            </w:pPr>
          </w:p>
          <w:p w14:paraId="78B32EC9" w14:textId="77777777" w:rsidR="005178B0" w:rsidRPr="00A61228" w:rsidRDefault="005178B0" w:rsidP="002C7B49">
            <w:pPr>
              <w:widowControl w:val="0"/>
              <w:pBdr>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p>
        </w:tc>
        <w:tc>
          <w:tcPr>
            <w:tcW w:w="1890" w:type="dxa"/>
            <w:tcBorders>
              <w:top w:val="single" w:sz="4" w:space="0" w:color="auto"/>
              <w:left w:val="nil"/>
              <w:bottom w:val="single" w:sz="4" w:space="0" w:color="auto"/>
              <w:right w:val="nil"/>
            </w:tcBorders>
            <w:vAlign w:val="center"/>
          </w:tcPr>
          <w:p w14:paraId="0D16DD64"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bCs/>
                <w:i/>
                <w:color w:val="000000"/>
                <w:sz w:val="20"/>
                <w:szCs w:val="20"/>
                <w:u w:color="000000"/>
                <w:bdr w:val="nil"/>
                <w:lang w:val="en-US" w:eastAsia="en-GB"/>
              </w:rPr>
            </w:pPr>
            <w:r w:rsidRPr="00A61228">
              <w:rPr>
                <w:rFonts w:ascii="Times New Roman" w:eastAsia="Arial Unicode MS" w:hAnsi="Times New Roman" w:cs="Times New Roman"/>
                <w:bCs/>
                <w:i/>
                <w:color w:val="000000"/>
                <w:sz w:val="20"/>
                <w:szCs w:val="20"/>
                <w:u w:color="000000"/>
                <w:bdr w:val="nil"/>
                <w:lang w:val="en-US" w:eastAsia="en-GB"/>
              </w:rPr>
              <w:t>Low risk</w:t>
            </w:r>
          </w:p>
          <w:p w14:paraId="41380F48"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bCs/>
                <w:i/>
                <w:color w:val="000000"/>
                <w:sz w:val="20"/>
                <w:szCs w:val="20"/>
                <w:u w:color="000000"/>
                <w:bdr w:val="nil"/>
                <w:lang w:val="en-US" w:eastAsia="en-GB"/>
              </w:rPr>
            </w:pPr>
            <w:r w:rsidRPr="00A61228">
              <w:rPr>
                <w:rFonts w:ascii="Times New Roman" w:eastAsia="Arial Unicode MS" w:hAnsi="Times New Roman" w:cs="Times New Roman"/>
                <w:bCs/>
                <w:i/>
                <w:color w:val="000000"/>
                <w:sz w:val="20"/>
                <w:szCs w:val="20"/>
                <w:u w:color="000000"/>
                <w:bdr w:val="nil"/>
                <w:lang w:val="en-US" w:eastAsia="en-GB"/>
              </w:rPr>
              <w:t>(&lt; 5)</w:t>
            </w:r>
          </w:p>
        </w:tc>
        <w:tc>
          <w:tcPr>
            <w:tcW w:w="1890" w:type="dxa"/>
            <w:tcBorders>
              <w:top w:val="single" w:sz="4" w:space="0" w:color="auto"/>
              <w:left w:val="nil"/>
              <w:bottom w:val="single" w:sz="4" w:space="0" w:color="auto"/>
              <w:right w:val="nil"/>
            </w:tcBorders>
            <w:vAlign w:val="center"/>
          </w:tcPr>
          <w:p w14:paraId="1EAF21B6"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bCs/>
                <w:i/>
                <w:color w:val="000000"/>
                <w:sz w:val="20"/>
                <w:szCs w:val="20"/>
                <w:u w:color="000000"/>
                <w:bdr w:val="nil"/>
                <w:lang w:val="en-US" w:eastAsia="en-GB"/>
              </w:rPr>
            </w:pPr>
            <w:r w:rsidRPr="00A61228">
              <w:rPr>
                <w:rFonts w:ascii="Times New Roman" w:eastAsia="Arial Unicode MS" w:hAnsi="Times New Roman" w:cs="Times New Roman"/>
                <w:bCs/>
                <w:i/>
                <w:color w:val="000000"/>
                <w:sz w:val="20"/>
                <w:szCs w:val="20"/>
                <w:u w:color="000000"/>
                <w:bdr w:val="nil"/>
                <w:lang w:val="en-US" w:eastAsia="en-GB"/>
              </w:rPr>
              <w:t>Intermediate</w:t>
            </w:r>
          </w:p>
          <w:p w14:paraId="3FAD13D1"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bCs/>
                <w:i/>
                <w:color w:val="000000"/>
                <w:sz w:val="20"/>
                <w:szCs w:val="20"/>
                <w:u w:color="000000"/>
                <w:bdr w:val="nil"/>
                <w:lang w:val="en-US" w:eastAsia="en-GB"/>
              </w:rPr>
            </w:pPr>
            <w:r w:rsidRPr="00A61228">
              <w:rPr>
                <w:rFonts w:ascii="Times New Roman" w:eastAsia="Arial Unicode MS" w:hAnsi="Times New Roman" w:cs="Times New Roman"/>
                <w:bCs/>
                <w:i/>
                <w:color w:val="000000"/>
                <w:sz w:val="20"/>
                <w:szCs w:val="20"/>
                <w:u w:color="000000"/>
                <w:bdr w:val="nil"/>
                <w:lang w:val="en-US" w:eastAsia="en-GB"/>
              </w:rPr>
              <w:t>(5-15)</w:t>
            </w:r>
          </w:p>
        </w:tc>
        <w:tc>
          <w:tcPr>
            <w:tcW w:w="1620" w:type="dxa"/>
            <w:tcBorders>
              <w:top w:val="single" w:sz="4" w:space="0" w:color="auto"/>
              <w:left w:val="nil"/>
              <w:bottom w:val="single" w:sz="4" w:space="0" w:color="auto"/>
              <w:right w:val="nil"/>
            </w:tcBorders>
            <w:vAlign w:val="center"/>
          </w:tcPr>
          <w:p w14:paraId="6DDE0473"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bCs/>
                <w:i/>
                <w:color w:val="000000"/>
                <w:sz w:val="20"/>
                <w:szCs w:val="20"/>
                <w:u w:color="000000"/>
                <w:bdr w:val="nil"/>
                <w:lang w:val="en-US" w:eastAsia="en-GB"/>
              </w:rPr>
            </w:pPr>
            <w:r w:rsidRPr="00A61228">
              <w:rPr>
                <w:rFonts w:ascii="Times New Roman" w:eastAsia="Arial Unicode MS" w:hAnsi="Times New Roman" w:cs="Times New Roman"/>
                <w:bCs/>
                <w:i/>
                <w:color w:val="000000"/>
                <w:sz w:val="20"/>
                <w:szCs w:val="20"/>
                <w:u w:color="000000"/>
                <w:bdr w:val="nil"/>
                <w:lang w:val="en-US" w:eastAsia="en-GB"/>
              </w:rPr>
              <w:t>High risk</w:t>
            </w:r>
          </w:p>
          <w:p w14:paraId="795DB393"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bCs/>
                <w:i/>
                <w:color w:val="000000"/>
                <w:sz w:val="20"/>
                <w:szCs w:val="20"/>
                <w:u w:color="000000"/>
                <w:bdr w:val="nil"/>
                <w:lang w:val="en-US" w:eastAsia="en-GB"/>
              </w:rPr>
            </w:pPr>
            <w:r w:rsidRPr="00A61228">
              <w:rPr>
                <w:rFonts w:ascii="Times New Roman" w:eastAsia="Arial Unicode MS" w:hAnsi="Times New Roman" w:cs="Times New Roman"/>
                <w:bCs/>
                <w:i/>
                <w:color w:val="000000"/>
                <w:sz w:val="20"/>
                <w:szCs w:val="20"/>
                <w:u w:color="000000"/>
                <w:bdr w:val="nil"/>
                <w:lang w:val="en-US" w:eastAsia="en-GB"/>
              </w:rPr>
              <w:t>(&gt; 15)</w:t>
            </w:r>
          </w:p>
        </w:tc>
      </w:tr>
      <w:tr w:rsidR="005178B0" w:rsidRPr="00A61228" w14:paraId="79474972"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2BCBC2A6"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Number of patients</w:t>
            </w:r>
          </w:p>
        </w:tc>
        <w:tc>
          <w:tcPr>
            <w:tcW w:w="1890" w:type="dxa"/>
            <w:tcBorders>
              <w:top w:val="nil"/>
              <w:left w:val="nil"/>
              <w:bottom w:val="nil"/>
              <w:right w:val="nil"/>
            </w:tcBorders>
          </w:tcPr>
          <w:p w14:paraId="42F716FF"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434,952</w:t>
            </w:r>
          </w:p>
        </w:tc>
        <w:tc>
          <w:tcPr>
            <w:tcW w:w="1890" w:type="dxa"/>
            <w:tcBorders>
              <w:top w:val="nil"/>
              <w:left w:val="nil"/>
              <w:bottom w:val="nil"/>
              <w:right w:val="nil"/>
            </w:tcBorders>
          </w:tcPr>
          <w:p w14:paraId="1C3A136C"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383,871</w:t>
            </w:r>
          </w:p>
        </w:tc>
        <w:tc>
          <w:tcPr>
            <w:tcW w:w="1620" w:type="dxa"/>
            <w:tcBorders>
              <w:top w:val="nil"/>
              <w:left w:val="nil"/>
              <w:bottom w:val="nil"/>
              <w:right w:val="nil"/>
            </w:tcBorders>
          </w:tcPr>
          <w:p w14:paraId="7B07E774"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204,514</w:t>
            </w:r>
          </w:p>
        </w:tc>
      </w:tr>
      <w:tr w:rsidR="005178B0" w:rsidRPr="00A61228" w14:paraId="4022BFE9" w14:textId="77777777" w:rsidTr="002C7B49">
        <w:trPr>
          <w:trHeight w:val="20"/>
        </w:trPr>
        <w:tc>
          <w:tcPr>
            <w:tcW w:w="3870"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3ED98171"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of patients</w:t>
            </w:r>
          </w:p>
        </w:tc>
        <w:tc>
          <w:tcPr>
            <w:tcW w:w="1890" w:type="dxa"/>
            <w:tcBorders>
              <w:top w:val="nil"/>
              <w:left w:val="nil"/>
              <w:bottom w:val="single" w:sz="4" w:space="0" w:color="auto"/>
              <w:right w:val="nil"/>
            </w:tcBorders>
          </w:tcPr>
          <w:p w14:paraId="39479C99"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42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c>
          <w:tcPr>
            <w:tcW w:w="1890" w:type="dxa"/>
            <w:tcBorders>
              <w:top w:val="nil"/>
              <w:left w:val="nil"/>
              <w:bottom w:val="single" w:sz="4" w:space="0" w:color="auto"/>
              <w:right w:val="nil"/>
            </w:tcBorders>
          </w:tcPr>
          <w:p w14:paraId="0B4F7D8A"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37</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c>
          <w:tcPr>
            <w:tcW w:w="1620" w:type="dxa"/>
            <w:tcBorders>
              <w:top w:val="nil"/>
              <w:left w:val="nil"/>
              <w:bottom w:val="single" w:sz="4" w:space="0" w:color="auto"/>
              <w:right w:val="nil"/>
            </w:tcBorders>
          </w:tcPr>
          <w:p w14:paraId="038FD674"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20</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w:t>
            </w:r>
          </w:p>
        </w:tc>
      </w:tr>
      <w:tr w:rsidR="005178B0" w:rsidRPr="00A61228" w14:paraId="635729E2" w14:textId="77777777" w:rsidTr="002C7B49">
        <w:trPr>
          <w:trHeight w:val="20"/>
        </w:trPr>
        <w:tc>
          <w:tcPr>
            <w:tcW w:w="3870" w:type="dxa"/>
            <w:tcBorders>
              <w:top w:val="single" w:sz="4" w:space="0" w:color="auto"/>
              <w:left w:val="nil"/>
              <w:bottom w:val="nil"/>
              <w:right w:val="nil"/>
            </w:tcBorders>
            <w:shd w:val="clear" w:color="auto" w:fill="auto"/>
            <w:tcMar>
              <w:top w:w="80" w:type="dxa"/>
              <w:left w:w="114" w:type="dxa"/>
              <w:bottom w:w="80" w:type="dxa"/>
              <w:right w:w="80" w:type="dxa"/>
            </w:tcMar>
            <w:vAlign w:val="center"/>
          </w:tcPr>
          <w:p w14:paraId="10292816"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HES frailty risk score, mean (SD)</w:t>
            </w:r>
          </w:p>
        </w:tc>
        <w:tc>
          <w:tcPr>
            <w:tcW w:w="1890" w:type="dxa"/>
            <w:tcBorders>
              <w:top w:val="single" w:sz="4" w:space="0" w:color="auto"/>
              <w:left w:val="nil"/>
              <w:bottom w:val="nil"/>
              <w:right w:val="nil"/>
            </w:tcBorders>
          </w:tcPr>
          <w:p w14:paraId="15F390B0"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1 (1</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c>
          <w:tcPr>
            <w:tcW w:w="1890" w:type="dxa"/>
            <w:tcBorders>
              <w:top w:val="single" w:sz="4" w:space="0" w:color="auto"/>
              <w:left w:val="nil"/>
              <w:bottom w:val="nil"/>
              <w:right w:val="nil"/>
            </w:tcBorders>
          </w:tcPr>
          <w:p w14:paraId="3C02685C"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9</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2 (2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8)</w:t>
            </w:r>
          </w:p>
        </w:tc>
        <w:tc>
          <w:tcPr>
            <w:tcW w:w="1620" w:type="dxa"/>
            <w:tcBorders>
              <w:top w:val="single" w:sz="4" w:space="0" w:color="auto"/>
              <w:left w:val="nil"/>
              <w:bottom w:val="nil"/>
              <w:right w:val="nil"/>
            </w:tcBorders>
          </w:tcPr>
          <w:p w14:paraId="436A62A5"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23</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3 (7</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4)</w:t>
            </w:r>
          </w:p>
        </w:tc>
      </w:tr>
      <w:tr w:rsidR="005178B0" w:rsidRPr="00A61228" w14:paraId="0BDAA008"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21EEAA0E"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Age, mean (SD)</w:t>
            </w:r>
          </w:p>
        </w:tc>
        <w:tc>
          <w:tcPr>
            <w:tcW w:w="1890" w:type="dxa"/>
            <w:tcBorders>
              <w:top w:val="nil"/>
              <w:left w:val="nil"/>
              <w:bottom w:val="nil"/>
              <w:right w:val="nil"/>
            </w:tcBorders>
          </w:tcPr>
          <w:p w14:paraId="5BFEA497"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82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6 (5</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6)</w:t>
            </w:r>
          </w:p>
        </w:tc>
        <w:tc>
          <w:tcPr>
            <w:tcW w:w="1890" w:type="dxa"/>
            <w:tcBorders>
              <w:top w:val="nil"/>
              <w:left w:val="nil"/>
              <w:bottom w:val="nil"/>
              <w:right w:val="nil"/>
            </w:tcBorders>
          </w:tcPr>
          <w:p w14:paraId="52FD15F6"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84</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8 (5</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9)</w:t>
            </w:r>
          </w:p>
        </w:tc>
        <w:tc>
          <w:tcPr>
            <w:tcW w:w="1620" w:type="dxa"/>
            <w:tcBorders>
              <w:top w:val="nil"/>
              <w:left w:val="nil"/>
              <w:bottom w:val="nil"/>
              <w:right w:val="nil"/>
            </w:tcBorders>
          </w:tcPr>
          <w:p w14:paraId="524067CA"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86</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1 (5</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9)</w:t>
            </w:r>
          </w:p>
        </w:tc>
      </w:tr>
      <w:tr w:rsidR="005178B0" w:rsidRPr="00A61228" w14:paraId="0C2BD58D"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5D39F8BE"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Female</w:t>
            </w:r>
          </w:p>
        </w:tc>
        <w:tc>
          <w:tcPr>
            <w:tcW w:w="1890" w:type="dxa"/>
            <w:tcBorders>
              <w:top w:val="nil"/>
              <w:left w:val="nil"/>
              <w:bottom w:val="nil"/>
              <w:right w:val="nil"/>
            </w:tcBorders>
          </w:tcPr>
          <w:p w14:paraId="140886D0"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54</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w:t>
            </w:r>
          </w:p>
        </w:tc>
        <w:tc>
          <w:tcPr>
            <w:tcW w:w="1890" w:type="dxa"/>
            <w:tcBorders>
              <w:top w:val="nil"/>
              <w:left w:val="nil"/>
              <w:bottom w:val="nil"/>
              <w:right w:val="nil"/>
            </w:tcBorders>
          </w:tcPr>
          <w:p w14:paraId="2628A1B8"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59</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w:t>
            </w:r>
          </w:p>
        </w:tc>
        <w:tc>
          <w:tcPr>
            <w:tcW w:w="1620" w:type="dxa"/>
            <w:tcBorders>
              <w:top w:val="nil"/>
              <w:left w:val="nil"/>
              <w:bottom w:val="nil"/>
              <w:right w:val="nil"/>
            </w:tcBorders>
          </w:tcPr>
          <w:p w14:paraId="7FD0E69B"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61</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r>
      <w:tr w:rsidR="005178B0" w:rsidRPr="00A61228" w14:paraId="11511B60"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08AC44D6"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Charlson comorbidity index, mean (SD)</w:t>
            </w:r>
          </w:p>
        </w:tc>
        <w:tc>
          <w:tcPr>
            <w:tcW w:w="1890" w:type="dxa"/>
            <w:tcBorders>
              <w:top w:val="nil"/>
              <w:left w:val="nil"/>
              <w:bottom w:val="nil"/>
              <w:right w:val="nil"/>
            </w:tcBorders>
          </w:tcPr>
          <w:p w14:paraId="53D98B93"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9 (2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1)</w:t>
            </w:r>
          </w:p>
        </w:tc>
        <w:tc>
          <w:tcPr>
            <w:tcW w:w="1890" w:type="dxa"/>
            <w:tcBorders>
              <w:top w:val="nil"/>
              <w:left w:val="nil"/>
              <w:bottom w:val="nil"/>
              <w:right w:val="nil"/>
            </w:tcBorders>
          </w:tcPr>
          <w:p w14:paraId="5BCC6B54"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3</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0 (2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c>
          <w:tcPr>
            <w:tcW w:w="1620" w:type="dxa"/>
            <w:tcBorders>
              <w:top w:val="nil"/>
              <w:left w:val="nil"/>
              <w:bottom w:val="nil"/>
              <w:right w:val="nil"/>
            </w:tcBorders>
          </w:tcPr>
          <w:p w14:paraId="4C3E690E"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4</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 (2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7)</w:t>
            </w:r>
          </w:p>
        </w:tc>
      </w:tr>
      <w:tr w:rsidR="005178B0" w:rsidRPr="00A61228" w14:paraId="53BD9727"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6F93EAD1"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Living in deprived area (IMD quintile 5)</w:t>
            </w:r>
          </w:p>
        </w:tc>
        <w:tc>
          <w:tcPr>
            <w:tcW w:w="1890" w:type="dxa"/>
            <w:tcBorders>
              <w:top w:val="nil"/>
              <w:left w:val="nil"/>
              <w:bottom w:val="nil"/>
              <w:right w:val="nil"/>
            </w:tcBorders>
          </w:tcPr>
          <w:p w14:paraId="18A455EE"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16</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7%</w:t>
            </w:r>
          </w:p>
        </w:tc>
        <w:tc>
          <w:tcPr>
            <w:tcW w:w="1890" w:type="dxa"/>
            <w:tcBorders>
              <w:top w:val="nil"/>
              <w:left w:val="nil"/>
              <w:bottom w:val="nil"/>
              <w:right w:val="nil"/>
            </w:tcBorders>
          </w:tcPr>
          <w:p w14:paraId="738144A1"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18</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2%</w:t>
            </w:r>
          </w:p>
        </w:tc>
        <w:tc>
          <w:tcPr>
            <w:tcW w:w="1620" w:type="dxa"/>
            <w:tcBorders>
              <w:top w:val="nil"/>
              <w:left w:val="nil"/>
              <w:bottom w:val="nil"/>
              <w:right w:val="nil"/>
            </w:tcBorders>
          </w:tcPr>
          <w:p w14:paraId="4132C508"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19</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7%</w:t>
            </w:r>
          </w:p>
        </w:tc>
      </w:tr>
      <w:tr w:rsidR="005178B0" w:rsidRPr="00A61228" w14:paraId="776A4322" w14:textId="77777777" w:rsidTr="002C7B49">
        <w:trPr>
          <w:trHeight w:val="20"/>
        </w:trPr>
        <w:tc>
          <w:tcPr>
            <w:tcW w:w="3870"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2B5C8571"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i/>
                <w:color w:val="000000"/>
                <w:sz w:val="20"/>
                <w:szCs w:val="20"/>
                <w:u w:color="000000"/>
                <w:bdr w:val="nil"/>
                <w:lang w:val="en-US" w:eastAsia="en-GB"/>
              </w:rPr>
            </w:pPr>
            <w:r w:rsidRPr="00A61228">
              <w:rPr>
                <w:rFonts w:ascii="Times New Roman" w:eastAsia="Arial Unicode MS" w:hAnsi="Times New Roman" w:cs="Times New Roman"/>
                <w:i/>
                <w:color w:val="000000"/>
                <w:sz w:val="20"/>
                <w:szCs w:val="20"/>
                <w:u w:color="000000"/>
                <w:bdr w:val="nil"/>
                <w:lang w:val="en-US" w:eastAsia="en-GB"/>
              </w:rPr>
              <w:t>Number with missing IMD score</w:t>
            </w:r>
            <w:r w:rsidRPr="00A61228">
              <w:rPr>
                <w:rFonts w:ascii="Times New Roman" w:eastAsia="Arial Unicode MS" w:hAnsi="Times New Roman" w:cs="Times New Roman"/>
                <w:bCs/>
                <w:color w:val="000000"/>
                <w:sz w:val="20"/>
                <w:szCs w:val="20"/>
                <w:u w:color="000000"/>
                <w:bdr w:val="nil"/>
                <w:lang w:val="en-US" w:eastAsia="en-GB"/>
              </w:rPr>
              <w:t>†</w:t>
            </w:r>
          </w:p>
        </w:tc>
        <w:tc>
          <w:tcPr>
            <w:tcW w:w="1890" w:type="dxa"/>
            <w:tcBorders>
              <w:top w:val="nil"/>
              <w:left w:val="nil"/>
              <w:bottom w:val="single" w:sz="4" w:space="0" w:color="auto"/>
              <w:right w:val="nil"/>
            </w:tcBorders>
          </w:tcPr>
          <w:p w14:paraId="17780477"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i/>
                <w:color w:val="000000"/>
                <w:sz w:val="20"/>
                <w:szCs w:val="20"/>
                <w:u w:color="000000"/>
                <w:bdr w:val="nil"/>
                <w:lang w:val="en-US" w:eastAsia="en-GB"/>
              </w:rPr>
              <w:t>5,210</w:t>
            </w:r>
          </w:p>
        </w:tc>
        <w:tc>
          <w:tcPr>
            <w:tcW w:w="1890" w:type="dxa"/>
            <w:tcBorders>
              <w:top w:val="nil"/>
              <w:left w:val="nil"/>
              <w:bottom w:val="single" w:sz="4" w:space="0" w:color="auto"/>
              <w:right w:val="nil"/>
            </w:tcBorders>
          </w:tcPr>
          <w:p w14:paraId="724FF67C"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i/>
                <w:color w:val="000000"/>
                <w:sz w:val="20"/>
                <w:szCs w:val="20"/>
                <w:u w:color="000000"/>
                <w:bdr w:val="nil"/>
                <w:lang w:val="en-US" w:eastAsia="en-GB"/>
              </w:rPr>
              <w:t>3,162</w:t>
            </w:r>
          </w:p>
        </w:tc>
        <w:tc>
          <w:tcPr>
            <w:tcW w:w="1620" w:type="dxa"/>
            <w:tcBorders>
              <w:top w:val="nil"/>
              <w:left w:val="nil"/>
              <w:bottom w:val="single" w:sz="4" w:space="0" w:color="auto"/>
              <w:right w:val="nil"/>
            </w:tcBorders>
          </w:tcPr>
          <w:p w14:paraId="00AFE82A"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i/>
                <w:color w:val="000000"/>
                <w:sz w:val="20"/>
                <w:szCs w:val="20"/>
                <w:u w:color="000000"/>
                <w:bdr w:val="nil"/>
                <w:lang w:val="en-US" w:eastAsia="en-GB"/>
              </w:rPr>
              <w:t>1,375</w:t>
            </w:r>
          </w:p>
        </w:tc>
      </w:tr>
      <w:tr w:rsidR="005178B0" w:rsidRPr="00A61228" w14:paraId="2F3534C5" w14:textId="77777777" w:rsidTr="002C7B49">
        <w:trPr>
          <w:trHeight w:val="20"/>
        </w:trPr>
        <w:tc>
          <w:tcPr>
            <w:tcW w:w="3870" w:type="dxa"/>
            <w:tcBorders>
              <w:top w:val="single" w:sz="4" w:space="0" w:color="auto"/>
              <w:left w:val="nil"/>
              <w:bottom w:val="nil"/>
              <w:right w:val="nil"/>
            </w:tcBorders>
            <w:shd w:val="clear" w:color="auto" w:fill="auto"/>
            <w:tcMar>
              <w:top w:w="80" w:type="dxa"/>
              <w:left w:w="114" w:type="dxa"/>
              <w:bottom w:w="80" w:type="dxa"/>
              <w:right w:w="80" w:type="dxa"/>
            </w:tcMar>
            <w:vAlign w:val="center"/>
          </w:tcPr>
          <w:p w14:paraId="429E722D"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No</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 xml:space="preserve"> of </w:t>
            </w:r>
            <w:r w:rsidRPr="00A61228">
              <w:rPr>
                <w:rFonts w:ascii="Times New Roman" w:eastAsia="Arial Unicode MS" w:hAnsi="Times New Roman" w:cs="Times New Roman"/>
                <w:i/>
                <w:color w:val="000000"/>
                <w:sz w:val="20"/>
                <w:szCs w:val="20"/>
                <w:u w:color="000000"/>
                <w:bdr w:val="nil"/>
                <w:lang w:val="en-US" w:eastAsia="en-GB"/>
              </w:rPr>
              <w:t>past</w:t>
            </w:r>
            <w:r w:rsidRPr="00A61228">
              <w:rPr>
                <w:rFonts w:ascii="Times New Roman" w:eastAsia="Arial Unicode MS" w:hAnsi="Times New Roman" w:cs="Times New Roman"/>
                <w:color w:val="000000"/>
                <w:sz w:val="20"/>
                <w:szCs w:val="20"/>
                <w:u w:color="000000"/>
                <w:bdr w:val="nil"/>
                <w:lang w:val="en-US" w:eastAsia="en-GB"/>
              </w:rPr>
              <w:t xml:space="preserve"> admissions</w:t>
            </w:r>
            <w:r w:rsidRPr="00A61228">
              <w:rPr>
                <w:rFonts w:ascii="Times New Roman" w:eastAsia="Arial Unicode MS" w:hAnsi="Times New Roman" w:cs="Times New Roman"/>
                <w:bCs/>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 mean (SD)</w:t>
            </w:r>
          </w:p>
        </w:tc>
        <w:tc>
          <w:tcPr>
            <w:tcW w:w="1890" w:type="dxa"/>
            <w:tcBorders>
              <w:top w:val="single" w:sz="4" w:space="0" w:color="auto"/>
              <w:left w:val="nil"/>
              <w:bottom w:val="nil"/>
              <w:right w:val="nil"/>
            </w:tcBorders>
          </w:tcPr>
          <w:p w14:paraId="538F1345"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3 (2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7)</w:t>
            </w:r>
          </w:p>
        </w:tc>
        <w:tc>
          <w:tcPr>
            <w:tcW w:w="1890" w:type="dxa"/>
            <w:tcBorders>
              <w:top w:val="single" w:sz="4" w:space="0" w:color="auto"/>
              <w:left w:val="nil"/>
              <w:bottom w:val="nil"/>
              <w:right w:val="nil"/>
            </w:tcBorders>
          </w:tcPr>
          <w:p w14:paraId="32E31FA0"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9 (3</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2)</w:t>
            </w:r>
          </w:p>
        </w:tc>
        <w:tc>
          <w:tcPr>
            <w:tcW w:w="1620" w:type="dxa"/>
            <w:tcBorders>
              <w:top w:val="single" w:sz="4" w:space="0" w:color="auto"/>
              <w:left w:val="nil"/>
              <w:bottom w:val="nil"/>
              <w:right w:val="nil"/>
            </w:tcBorders>
          </w:tcPr>
          <w:p w14:paraId="4E4103A2"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3</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3 (3</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6)</w:t>
            </w:r>
          </w:p>
        </w:tc>
      </w:tr>
      <w:tr w:rsidR="005178B0" w:rsidRPr="00A61228" w14:paraId="6A404E84"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27363805"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0</w:t>
            </w:r>
          </w:p>
        </w:tc>
        <w:tc>
          <w:tcPr>
            <w:tcW w:w="1890" w:type="dxa"/>
            <w:tcBorders>
              <w:top w:val="nil"/>
              <w:left w:val="nil"/>
              <w:bottom w:val="nil"/>
              <w:right w:val="nil"/>
            </w:tcBorders>
          </w:tcPr>
          <w:p w14:paraId="660FD21C"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50</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9%</w:t>
            </w:r>
          </w:p>
        </w:tc>
        <w:tc>
          <w:tcPr>
            <w:tcW w:w="1890" w:type="dxa"/>
            <w:tcBorders>
              <w:top w:val="nil"/>
              <w:left w:val="nil"/>
              <w:bottom w:val="nil"/>
              <w:right w:val="nil"/>
            </w:tcBorders>
          </w:tcPr>
          <w:p w14:paraId="07FC6227"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36</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c>
          <w:tcPr>
            <w:tcW w:w="1620" w:type="dxa"/>
            <w:tcBorders>
              <w:top w:val="nil"/>
              <w:left w:val="nil"/>
              <w:bottom w:val="nil"/>
              <w:right w:val="nil"/>
            </w:tcBorders>
          </w:tcPr>
          <w:p w14:paraId="784E2DCF"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13</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9%</w:t>
            </w:r>
          </w:p>
        </w:tc>
      </w:tr>
      <w:tr w:rsidR="005178B0" w:rsidRPr="00A61228" w14:paraId="633A6D90"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40110295"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1</w:t>
            </w:r>
          </w:p>
        </w:tc>
        <w:tc>
          <w:tcPr>
            <w:tcW w:w="1890" w:type="dxa"/>
            <w:tcBorders>
              <w:top w:val="nil"/>
              <w:left w:val="nil"/>
              <w:bottom w:val="nil"/>
              <w:right w:val="nil"/>
            </w:tcBorders>
          </w:tcPr>
          <w:p w14:paraId="679CE5CB"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w:t>
            </w:r>
          </w:p>
        </w:tc>
        <w:tc>
          <w:tcPr>
            <w:tcW w:w="1890" w:type="dxa"/>
            <w:tcBorders>
              <w:top w:val="nil"/>
              <w:left w:val="nil"/>
              <w:bottom w:val="nil"/>
              <w:right w:val="nil"/>
            </w:tcBorders>
          </w:tcPr>
          <w:p w14:paraId="09288A85"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23</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c>
          <w:tcPr>
            <w:tcW w:w="1620" w:type="dxa"/>
            <w:tcBorders>
              <w:top w:val="nil"/>
              <w:left w:val="nil"/>
              <w:bottom w:val="nil"/>
              <w:right w:val="nil"/>
            </w:tcBorders>
          </w:tcPr>
          <w:p w14:paraId="7356C7C3"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18</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6%</w:t>
            </w:r>
          </w:p>
        </w:tc>
      </w:tr>
      <w:tr w:rsidR="005178B0" w:rsidRPr="00A61228" w14:paraId="6CC7967E"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538A128A"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2</w:t>
            </w:r>
          </w:p>
        </w:tc>
        <w:tc>
          <w:tcPr>
            <w:tcW w:w="1890" w:type="dxa"/>
            <w:tcBorders>
              <w:top w:val="nil"/>
              <w:left w:val="nil"/>
              <w:bottom w:val="nil"/>
              <w:right w:val="nil"/>
            </w:tcBorders>
          </w:tcPr>
          <w:p w14:paraId="72F6212E"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4%</w:t>
            </w:r>
          </w:p>
        </w:tc>
        <w:tc>
          <w:tcPr>
            <w:tcW w:w="1890" w:type="dxa"/>
            <w:tcBorders>
              <w:top w:val="nil"/>
              <w:left w:val="nil"/>
              <w:bottom w:val="nil"/>
              <w:right w:val="nil"/>
            </w:tcBorders>
          </w:tcPr>
          <w:p w14:paraId="6763D4E0"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15</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1%</w:t>
            </w:r>
          </w:p>
        </w:tc>
        <w:tc>
          <w:tcPr>
            <w:tcW w:w="1620" w:type="dxa"/>
            <w:tcBorders>
              <w:top w:val="nil"/>
              <w:left w:val="nil"/>
              <w:bottom w:val="nil"/>
              <w:right w:val="nil"/>
            </w:tcBorders>
          </w:tcPr>
          <w:p w14:paraId="7BEA7641"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18</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3%</w:t>
            </w:r>
          </w:p>
        </w:tc>
      </w:tr>
      <w:tr w:rsidR="005178B0" w:rsidRPr="00A61228" w14:paraId="10927357" w14:textId="77777777" w:rsidTr="002C7B49">
        <w:trPr>
          <w:trHeight w:val="20"/>
        </w:trPr>
        <w:tc>
          <w:tcPr>
            <w:tcW w:w="3870"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3FE55BC8"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 3</w:t>
            </w:r>
          </w:p>
        </w:tc>
        <w:tc>
          <w:tcPr>
            <w:tcW w:w="1890" w:type="dxa"/>
            <w:tcBorders>
              <w:top w:val="nil"/>
              <w:left w:val="nil"/>
              <w:bottom w:val="single" w:sz="4" w:space="0" w:color="auto"/>
              <w:right w:val="nil"/>
            </w:tcBorders>
          </w:tcPr>
          <w:p w14:paraId="5CFED2CF"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14</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7%</w:t>
            </w:r>
          </w:p>
        </w:tc>
        <w:tc>
          <w:tcPr>
            <w:tcW w:w="1890" w:type="dxa"/>
            <w:tcBorders>
              <w:top w:val="nil"/>
              <w:left w:val="nil"/>
              <w:bottom w:val="single" w:sz="4" w:space="0" w:color="auto"/>
              <w:right w:val="nil"/>
            </w:tcBorders>
          </w:tcPr>
          <w:p w14:paraId="36EA3028"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25</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w:t>
            </w:r>
          </w:p>
        </w:tc>
        <w:tc>
          <w:tcPr>
            <w:tcW w:w="1620" w:type="dxa"/>
            <w:tcBorders>
              <w:top w:val="nil"/>
              <w:left w:val="nil"/>
              <w:bottom w:val="single" w:sz="4" w:space="0" w:color="auto"/>
              <w:right w:val="nil"/>
            </w:tcBorders>
          </w:tcPr>
          <w:p w14:paraId="51464A05"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49</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2%</w:t>
            </w:r>
          </w:p>
        </w:tc>
      </w:tr>
      <w:tr w:rsidR="005178B0" w:rsidRPr="00A61228" w14:paraId="17A0CCEC" w14:textId="77777777" w:rsidTr="002C7B49">
        <w:trPr>
          <w:trHeight w:val="20"/>
        </w:trPr>
        <w:tc>
          <w:tcPr>
            <w:tcW w:w="3870" w:type="dxa"/>
            <w:tcBorders>
              <w:top w:val="single" w:sz="4" w:space="0" w:color="auto"/>
              <w:left w:val="nil"/>
              <w:bottom w:val="nil"/>
              <w:right w:val="nil"/>
            </w:tcBorders>
            <w:shd w:val="clear" w:color="auto" w:fill="auto"/>
            <w:tcMar>
              <w:top w:w="80" w:type="dxa"/>
              <w:left w:w="114" w:type="dxa"/>
              <w:bottom w:w="80" w:type="dxa"/>
              <w:right w:w="80" w:type="dxa"/>
            </w:tcMar>
            <w:vAlign w:val="center"/>
          </w:tcPr>
          <w:p w14:paraId="5D5F9C0F"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At least one frailty syndrome‡ </w:t>
            </w:r>
          </w:p>
        </w:tc>
        <w:tc>
          <w:tcPr>
            <w:tcW w:w="1890" w:type="dxa"/>
            <w:tcBorders>
              <w:top w:val="single" w:sz="4" w:space="0" w:color="auto"/>
              <w:left w:val="nil"/>
              <w:bottom w:val="nil"/>
              <w:right w:val="nil"/>
            </w:tcBorders>
          </w:tcPr>
          <w:p w14:paraId="37F2C1EB"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9%</w:t>
            </w:r>
          </w:p>
        </w:tc>
        <w:tc>
          <w:tcPr>
            <w:tcW w:w="1890" w:type="dxa"/>
            <w:tcBorders>
              <w:top w:val="single" w:sz="4" w:space="0" w:color="auto"/>
              <w:left w:val="nil"/>
              <w:bottom w:val="nil"/>
              <w:right w:val="nil"/>
            </w:tcBorders>
          </w:tcPr>
          <w:p w14:paraId="77061F5F"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66</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8%</w:t>
            </w:r>
          </w:p>
        </w:tc>
        <w:tc>
          <w:tcPr>
            <w:tcW w:w="1620" w:type="dxa"/>
            <w:tcBorders>
              <w:top w:val="single" w:sz="4" w:space="0" w:color="auto"/>
              <w:left w:val="nil"/>
              <w:bottom w:val="nil"/>
              <w:right w:val="nil"/>
            </w:tcBorders>
          </w:tcPr>
          <w:p w14:paraId="40EE78E5"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94</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r>
      <w:tr w:rsidR="005178B0" w:rsidRPr="00A61228" w14:paraId="3894E310"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0EE24A83"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Anxiety/Depression</w:t>
            </w:r>
          </w:p>
        </w:tc>
        <w:tc>
          <w:tcPr>
            <w:tcW w:w="1890" w:type="dxa"/>
            <w:tcBorders>
              <w:top w:val="nil"/>
              <w:left w:val="nil"/>
              <w:bottom w:val="nil"/>
              <w:right w:val="nil"/>
            </w:tcBorders>
          </w:tcPr>
          <w:p w14:paraId="1A512FBA"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5</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1%</w:t>
            </w:r>
          </w:p>
        </w:tc>
        <w:tc>
          <w:tcPr>
            <w:tcW w:w="1890" w:type="dxa"/>
            <w:tcBorders>
              <w:top w:val="nil"/>
              <w:left w:val="nil"/>
              <w:bottom w:val="nil"/>
              <w:right w:val="nil"/>
            </w:tcBorders>
          </w:tcPr>
          <w:p w14:paraId="37A0A586"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9</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c>
          <w:tcPr>
            <w:tcW w:w="1620" w:type="dxa"/>
            <w:tcBorders>
              <w:top w:val="nil"/>
              <w:left w:val="nil"/>
              <w:bottom w:val="nil"/>
              <w:right w:val="nil"/>
            </w:tcBorders>
          </w:tcPr>
          <w:p w14:paraId="28FACCF0"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17</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2%</w:t>
            </w:r>
          </w:p>
        </w:tc>
      </w:tr>
      <w:tr w:rsidR="005178B0" w:rsidRPr="00A61228" w14:paraId="61EDC5ED"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42D7A86A"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Functional dependence</w:t>
            </w:r>
          </w:p>
        </w:tc>
        <w:tc>
          <w:tcPr>
            <w:tcW w:w="1890" w:type="dxa"/>
            <w:tcBorders>
              <w:top w:val="nil"/>
              <w:left w:val="nil"/>
              <w:bottom w:val="nil"/>
              <w:right w:val="nil"/>
            </w:tcBorders>
          </w:tcPr>
          <w:p w14:paraId="6664CEE9"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0</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4%</w:t>
            </w:r>
          </w:p>
        </w:tc>
        <w:tc>
          <w:tcPr>
            <w:tcW w:w="1890" w:type="dxa"/>
            <w:tcBorders>
              <w:top w:val="nil"/>
              <w:left w:val="nil"/>
              <w:bottom w:val="nil"/>
              <w:right w:val="nil"/>
            </w:tcBorders>
          </w:tcPr>
          <w:p w14:paraId="4462A9C5"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9%</w:t>
            </w:r>
          </w:p>
        </w:tc>
        <w:tc>
          <w:tcPr>
            <w:tcW w:w="1620" w:type="dxa"/>
            <w:tcBorders>
              <w:top w:val="nil"/>
              <w:left w:val="nil"/>
              <w:bottom w:val="nil"/>
              <w:right w:val="nil"/>
            </w:tcBorders>
          </w:tcPr>
          <w:p w14:paraId="1817BE57"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6%</w:t>
            </w:r>
          </w:p>
        </w:tc>
      </w:tr>
      <w:tr w:rsidR="005178B0" w:rsidRPr="00A61228" w14:paraId="3C7753C8"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79CF0962"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Falls and fractures</w:t>
            </w:r>
          </w:p>
        </w:tc>
        <w:tc>
          <w:tcPr>
            <w:tcW w:w="1890" w:type="dxa"/>
            <w:tcBorders>
              <w:top w:val="nil"/>
              <w:left w:val="nil"/>
              <w:bottom w:val="nil"/>
              <w:right w:val="nil"/>
            </w:tcBorders>
          </w:tcPr>
          <w:p w14:paraId="16A7F136"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12</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c>
          <w:tcPr>
            <w:tcW w:w="1890" w:type="dxa"/>
            <w:tcBorders>
              <w:top w:val="nil"/>
              <w:left w:val="nil"/>
              <w:bottom w:val="nil"/>
              <w:right w:val="nil"/>
            </w:tcBorders>
          </w:tcPr>
          <w:p w14:paraId="43DD5ACA"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34</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7%</w:t>
            </w:r>
          </w:p>
        </w:tc>
        <w:tc>
          <w:tcPr>
            <w:tcW w:w="1620" w:type="dxa"/>
            <w:tcBorders>
              <w:top w:val="nil"/>
              <w:left w:val="nil"/>
              <w:bottom w:val="nil"/>
              <w:right w:val="nil"/>
            </w:tcBorders>
          </w:tcPr>
          <w:p w14:paraId="1DF0DDBD"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58</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4%</w:t>
            </w:r>
          </w:p>
        </w:tc>
      </w:tr>
      <w:tr w:rsidR="005178B0" w:rsidRPr="00A61228" w14:paraId="2B7C209C"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48D5FB5E"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Incontinence</w:t>
            </w:r>
          </w:p>
        </w:tc>
        <w:tc>
          <w:tcPr>
            <w:tcW w:w="1890" w:type="dxa"/>
            <w:tcBorders>
              <w:top w:val="nil"/>
              <w:left w:val="nil"/>
              <w:bottom w:val="nil"/>
              <w:right w:val="nil"/>
            </w:tcBorders>
          </w:tcPr>
          <w:p w14:paraId="54192B93"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0</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7%</w:t>
            </w:r>
          </w:p>
        </w:tc>
        <w:tc>
          <w:tcPr>
            <w:tcW w:w="1890" w:type="dxa"/>
            <w:tcBorders>
              <w:top w:val="nil"/>
              <w:left w:val="nil"/>
              <w:bottom w:val="nil"/>
              <w:right w:val="nil"/>
            </w:tcBorders>
          </w:tcPr>
          <w:p w14:paraId="64A98BDA"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3</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9%</w:t>
            </w:r>
          </w:p>
        </w:tc>
        <w:tc>
          <w:tcPr>
            <w:tcW w:w="1620" w:type="dxa"/>
            <w:tcBorders>
              <w:top w:val="nil"/>
              <w:left w:val="nil"/>
              <w:bottom w:val="nil"/>
              <w:right w:val="nil"/>
            </w:tcBorders>
          </w:tcPr>
          <w:p w14:paraId="57672826"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13</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5%</w:t>
            </w:r>
          </w:p>
        </w:tc>
      </w:tr>
      <w:tr w:rsidR="005178B0" w:rsidRPr="00A61228" w14:paraId="69EB6771"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53FBBC3D"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Mobility problems</w:t>
            </w:r>
          </w:p>
        </w:tc>
        <w:tc>
          <w:tcPr>
            <w:tcW w:w="1890" w:type="dxa"/>
            <w:tcBorders>
              <w:top w:val="nil"/>
              <w:left w:val="nil"/>
              <w:bottom w:val="nil"/>
              <w:right w:val="nil"/>
            </w:tcBorders>
          </w:tcPr>
          <w:p w14:paraId="7B715982"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1%</w:t>
            </w:r>
          </w:p>
        </w:tc>
        <w:tc>
          <w:tcPr>
            <w:tcW w:w="1890" w:type="dxa"/>
            <w:tcBorders>
              <w:top w:val="nil"/>
              <w:left w:val="nil"/>
              <w:bottom w:val="nil"/>
              <w:right w:val="nil"/>
            </w:tcBorders>
          </w:tcPr>
          <w:p w14:paraId="4683B8E7"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9</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3%</w:t>
            </w:r>
          </w:p>
        </w:tc>
        <w:tc>
          <w:tcPr>
            <w:tcW w:w="1620" w:type="dxa"/>
            <w:tcBorders>
              <w:top w:val="nil"/>
              <w:left w:val="nil"/>
              <w:bottom w:val="nil"/>
              <w:right w:val="nil"/>
            </w:tcBorders>
          </w:tcPr>
          <w:p w14:paraId="46594651"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29</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6%</w:t>
            </w:r>
          </w:p>
        </w:tc>
      </w:tr>
      <w:tr w:rsidR="005178B0" w:rsidRPr="00A61228" w14:paraId="0EECDEBC" w14:textId="77777777" w:rsidTr="002C7B49">
        <w:trPr>
          <w:trHeight w:val="20"/>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06EC47F9"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Pressure ulcers</w:t>
            </w:r>
          </w:p>
        </w:tc>
        <w:tc>
          <w:tcPr>
            <w:tcW w:w="1890" w:type="dxa"/>
            <w:tcBorders>
              <w:top w:val="nil"/>
              <w:left w:val="nil"/>
              <w:bottom w:val="nil"/>
              <w:right w:val="nil"/>
            </w:tcBorders>
          </w:tcPr>
          <w:p w14:paraId="3191E0D8"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0</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6%</w:t>
            </w:r>
          </w:p>
        </w:tc>
        <w:tc>
          <w:tcPr>
            <w:tcW w:w="1890" w:type="dxa"/>
            <w:tcBorders>
              <w:top w:val="nil"/>
              <w:left w:val="nil"/>
              <w:bottom w:val="nil"/>
              <w:right w:val="nil"/>
            </w:tcBorders>
          </w:tcPr>
          <w:p w14:paraId="446B7996"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4</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7%</w:t>
            </w:r>
          </w:p>
        </w:tc>
        <w:tc>
          <w:tcPr>
            <w:tcW w:w="1620" w:type="dxa"/>
            <w:tcBorders>
              <w:top w:val="nil"/>
              <w:left w:val="nil"/>
              <w:bottom w:val="nil"/>
              <w:right w:val="nil"/>
            </w:tcBorders>
          </w:tcPr>
          <w:p w14:paraId="6A245564"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15</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9%</w:t>
            </w:r>
          </w:p>
        </w:tc>
      </w:tr>
      <w:tr w:rsidR="005178B0" w:rsidRPr="00A61228" w14:paraId="42291A6A" w14:textId="77777777" w:rsidTr="002C7B49">
        <w:trPr>
          <w:trHeight w:val="20"/>
        </w:trPr>
        <w:tc>
          <w:tcPr>
            <w:tcW w:w="3870"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30297A03"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 xml:space="preserve">     Cognitive impairment‡ </w:t>
            </w:r>
          </w:p>
        </w:tc>
        <w:tc>
          <w:tcPr>
            <w:tcW w:w="1890" w:type="dxa"/>
            <w:tcBorders>
              <w:top w:val="nil"/>
              <w:left w:val="nil"/>
              <w:bottom w:val="single" w:sz="4" w:space="0" w:color="auto"/>
              <w:right w:val="nil"/>
            </w:tcBorders>
          </w:tcPr>
          <w:p w14:paraId="423A82E8"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4</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7%</w:t>
            </w:r>
          </w:p>
        </w:tc>
        <w:tc>
          <w:tcPr>
            <w:tcW w:w="1890" w:type="dxa"/>
            <w:tcBorders>
              <w:top w:val="nil"/>
              <w:left w:val="nil"/>
              <w:bottom w:val="single" w:sz="4" w:space="0" w:color="auto"/>
              <w:right w:val="nil"/>
            </w:tcBorders>
          </w:tcPr>
          <w:p w14:paraId="59BCD280"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29</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1%</w:t>
            </w:r>
          </w:p>
        </w:tc>
        <w:tc>
          <w:tcPr>
            <w:tcW w:w="1620" w:type="dxa"/>
            <w:tcBorders>
              <w:top w:val="nil"/>
              <w:left w:val="nil"/>
              <w:bottom w:val="single" w:sz="4" w:space="0" w:color="auto"/>
              <w:right w:val="nil"/>
            </w:tcBorders>
          </w:tcPr>
          <w:p w14:paraId="3BE458A2" w14:textId="77777777" w:rsidR="005178B0" w:rsidRPr="00A61228" w:rsidRDefault="005178B0" w:rsidP="002C7B49">
            <w:pPr>
              <w:widowControl w:val="0"/>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after="0" w:line="240" w:lineRule="auto"/>
              <w:jc w:val="center"/>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color w:val="000000"/>
                <w:sz w:val="20"/>
                <w:szCs w:val="20"/>
                <w:u w:color="000000"/>
                <w:bdr w:val="nil"/>
                <w:lang w:val="en-US" w:eastAsia="en-GB"/>
              </w:rPr>
              <w:t>66</w:t>
            </w:r>
            <w:r>
              <w:rPr>
                <w:rFonts w:ascii="Times New Roman" w:eastAsia="Arial Unicode MS" w:hAnsi="Times New Roman" w:cs="Times New Roman"/>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2%</w:t>
            </w:r>
          </w:p>
        </w:tc>
      </w:tr>
    </w:tbl>
    <w:p w14:paraId="3DE72D00" w14:textId="77777777" w:rsidR="005178B0" w:rsidRPr="00A61228" w:rsidRDefault="005178B0" w:rsidP="002C7B49">
      <w:pPr>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before="120" w:after="0" w:line="240" w:lineRule="auto"/>
        <w:rPr>
          <w:rFonts w:ascii="Times New Roman" w:eastAsia="Arial Unicode MS" w:hAnsi="Times New Roman" w:cs="Times New Roman"/>
          <w:bCs/>
          <w:color w:val="000000"/>
          <w:sz w:val="20"/>
          <w:szCs w:val="20"/>
          <w:u w:color="000000"/>
          <w:bdr w:val="nil"/>
          <w:lang w:val="en-US" w:eastAsia="en-GB"/>
        </w:rPr>
      </w:pPr>
      <w:r w:rsidRPr="00A61228">
        <w:rPr>
          <w:rFonts w:ascii="Times New Roman" w:eastAsia="Arial Unicode MS" w:hAnsi="Times New Roman" w:cs="Times New Roman"/>
          <w:bCs/>
          <w:color w:val="000000"/>
          <w:sz w:val="20"/>
          <w:szCs w:val="20"/>
          <w:u w:color="000000"/>
          <w:bdr w:val="nil"/>
          <w:lang w:val="en-US" w:eastAsia="en-GB"/>
        </w:rPr>
        <w:t xml:space="preserve">* Final models were estimated for </w:t>
      </w:r>
      <w:r w:rsidRPr="00A61228">
        <w:rPr>
          <w:rFonts w:ascii="Times New Roman" w:eastAsia="Arial Unicode MS" w:hAnsi="Times New Roman" w:cs="Times New Roman"/>
          <w:color w:val="000000"/>
          <w:sz w:val="20"/>
          <w:szCs w:val="20"/>
          <w:u w:color="000000"/>
          <w:bdr w:val="nil"/>
          <w:lang w:val="en-US" w:eastAsia="en-GB"/>
        </w:rPr>
        <w:t>1,013,590 who were not missing an IMD score</w:t>
      </w:r>
      <w:r>
        <w:rPr>
          <w:rFonts w:ascii="Times New Roman" w:eastAsia="Arial Unicode MS" w:hAnsi="Times New Roman" w:cs="Times New Roman"/>
          <w:color w:val="000000"/>
          <w:sz w:val="20"/>
          <w:szCs w:val="20"/>
          <w:u w:color="000000"/>
          <w:bdr w:val="nil"/>
          <w:lang w:val="en-US" w:eastAsia="en-GB"/>
        </w:rPr>
        <w:br/>
      </w:r>
      <w:r w:rsidRPr="00A61228">
        <w:rPr>
          <w:rFonts w:ascii="Times New Roman" w:eastAsia="Arial Unicode MS" w:hAnsi="Times New Roman" w:cs="Times New Roman"/>
          <w:bCs/>
          <w:color w:val="000000"/>
          <w:sz w:val="20"/>
          <w:szCs w:val="20"/>
          <w:u w:color="000000"/>
          <w:bdr w:val="nil"/>
          <w:lang w:val="en-US" w:eastAsia="en-GB"/>
        </w:rPr>
        <w:t>† Past admissions to hospital over two years, including elective and emergency admissions.</w:t>
      </w:r>
    </w:p>
    <w:p w14:paraId="68B62054" w14:textId="77777777" w:rsidR="005178B0" w:rsidRPr="00A61228" w:rsidRDefault="005178B0" w:rsidP="002C7B49">
      <w:pPr>
        <w:spacing w:after="160" w:line="259" w:lineRule="auto"/>
        <w:rPr>
          <w:rFonts w:ascii="Times New Roman" w:eastAsia="Calibri" w:hAnsi="Times New Roman" w:cs="Times New Roman"/>
          <w:sz w:val="20"/>
          <w:szCs w:val="20"/>
        </w:rPr>
      </w:pPr>
      <w:r w:rsidRPr="00A61228">
        <w:rPr>
          <w:rFonts w:ascii="Times New Roman" w:eastAsia="Calibri" w:hAnsi="Times New Roman" w:cs="Times New Roman"/>
          <w:sz w:val="20"/>
          <w:szCs w:val="20"/>
        </w:rPr>
        <w:t>‡ Frailty syndromes based on ICD-10 codes defined in Soong et al. (2015). Cognitive impairment covers delirium (ICD-10 code F05), dementia (F00-F04, R41) and senility (R54).</w:t>
      </w:r>
    </w:p>
    <w:p w14:paraId="2E0333B9" w14:textId="77777777" w:rsidR="005178B0" w:rsidRPr="00A61228" w:rsidRDefault="005178B0" w:rsidP="002C7B49">
      <w:pPr>
        <w:spacing w:after="160" w:line="259" w:lineRule="auto"/>
        <w:rPr>
          <w:rFonts w:ascii="Times New Roman" w:eastAsia="Calibri" w:hAnsi="Times New Roman" w:cs="Times New Roman"/>
          <w:sz w:val="20"/>
          <w:szCs w:val="20"/>
        </w:rPr>
      </w:pPr>
      <w:r w:rsidRPr="00A61228">
        <w:rPr>
          <w:rFonts w:ascii="Times New Roman" w:eastAsia="Calibri" w:hAnsi="Times New Roman" w:cs="Times New Roman"/>
          <w:sz w:val="20"/>
          <w:szCs w:val="20"/>
        </w:rPr>
        <w:br w:type="page"/>
      </w:r>
    </w:p>
    <w:p w14:paraId="4BE407B0" w14:textId="77777777" w:rsidR="005178B0" w:rsidRPr="00A61228" w:rsidRDefault="005178B0" w:rsidP="002C7B49">
      <w:pPr>
        <w:widowControl w:val="0"/>
        <w:pBdr>
          <w:top w:val="nil"/>
          <w:left w:val="nil"/>
          <w:bottom w:val="nil"/>
          <w:right w:val="nil"/>
          <w:between w:val="nil"/>
          <w:bar w:val="nil"/>
        </w:pBdr>
        <w:tabs>
          <w:tab w:val="left" w:pos="270"/>
          <w:tab w:val="left" w:pos="1080"/>
          <w:tab w:val="left" w:pos="1440"/>
          <w:tab w:val="left" w:pos="2160"/>
          <w:tab w:val="left" w:pos="3240"/>
          <w:tab w:val="left" w:pos="4320"/>
          <w:tab w:val="left" w:pos="5400"/>
          <w:tab w:val="left" w:pos="6480"/>
          <w:tab w:val="left" w:pos="7560"/>
          <w:tab w:val="left" w:pos="8640"/>
          <w:tab w:val="left" w:pos="9630"/>
        </w:tabs>
        <w:spacing w:after="120" w:line="360" w:lineRule="auto"/>
        <w:rPr>
          <w:rFonts w:ascii="Times New Roman" w:eastAsia="Arial Unicode MS" w:hAnsi="Times New Roman" w:cs="Times New Roman"/>
          <w:color w:val="000000"/>
          <w:sz w:val="20"/>
          <w:szCs w:val="20"/>
          <w:u w:color="000000"/>
          <w:bdr w:val="nil"/>
          <w:lang w:val="en-US" w:eastAsia="en-GB"/>
        </w:rPr>
      </w:pPr>
      <w:r w:rsidRPr="00A61228">
        <w:rPr>
          <w:rFonts w:ascii="Times New Roman" w:eastAsia="Arial Unicode MS" w:hAnsi="Times New Roman" w:cs="Times New Roman"/>
          <w:b/>
          <w:color w:val="000000"/>
          <w:sz w:val="20"/>
          <w:szCs w:val="20"/>
          <w:u w:color="000000"/>
          <w:bdr w:val="nil"/>
          <w:lang w:val="en-US" w:eastAsia="en-GB"/>
        </w:rPr>
        <w:lastRenderedPageBreak/>
        <w:t xml:space="preserve">Table A3.2 </w:t>
      </w:r>
      <w:r w:rsidRPr="00A61228">
        <w:rPr>
          <w:rFonts w:ascii="Times New Roman" w:eastAsia="Arial Unicode MS" w:hAnsi="Times New Roman" w:cs="Times New Roman"/>
          <w:color w:val="000000"/>
          <w:sz w:val="20"/>
          <w:szCs w:val="20"/>
          <w:u w:color="000000"/>
          <w:bdr w:val="nil"/>
          <w:lang w:val="en-US" w:eastAsia="en-GB"/>
        </w:rPr>
        <w:t>Relationship between HES frailty risk category and outcomes among patients in national validation cohort (n = 1,013,590</w:t>
      </w:r>
      <w:r w:rsidRPr="00A61228">
        <w:rPr>
          <w:rFonts w:ascii="Times New Roman" w:eastAsia="Arial Unicode MS" w:hAnsi="Times New Roman" w:cs="Times New Roman"/>
          <w:bCs/>
          <w:color w:val="000000"/>
          <w:sz w:val="20"/>
          <w:szCs w:val="20"/>
          <w:u w:color="000000"/>
          <w:bdr w:val="nil"/>
          <w:lang w:val="en-US" w:eastAsia="en-GB"/>
        </w:rPr>
        <w:t>†</w:t>
      </w:r>
      <w:r w:rsidRPr="00A61228">
        <w:rPr>
          <w:rFonts w:ascii="Times New Roman" w:eastAsia="Arial Unicode MS" w:hAnsi="Times New Roman" w:cs="Times New Roman"/>
          <w:color w:val="000000"/>
          <w:sz w:val="20"/>
          <w:szCs w:val="20"/>
          <w:u w:color="000000"/>
          <w:bdr w:val="nil"/>
          <w:lang w:val="en-US" w:eastAsia="en-GB"/>
        </w:rPr>
        <w:t>)</w:t>
      </w:r>
    </w:p>
    <w:tbl>
      <w:tblPr>
        <w:tblW w:w="9138" w:type="dxa"/>
        <w:tblInd w:w="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918"/>
        <w:gridCol w:w="1308"/>
        <w:gridCol w:w="1392"/>
        <w:gridCol w:w="2520"/>
      </w:tblGrid>
      <w:tr w:rsidR="005178B0" w:rsidRPr="00A61228" w14:paraId="18F5B9E9" w14:textId="77777777" w:rsidTr="002C7B49">
        <w:trPr>
          <w:trHeight w:val="549"/>
        </w:trPr>
        <w:tc>
          <w:tcPr>
            <w:tcW w:w="3918" w:type="dxa"/>
            <w:tcBorders>
              <w:top w:val="single" w:sz="4" w:space="0" w:color="auto"/>
              <w:left w:val="nil"/>
              <w:bottom w:val="single" w:sz="4" w:space="0" w:color="auto"/>
              <w:right w:val="nil"/>
            </w:tcBorders>
            <w:shd w:val="clear" w:color="auto" w:fill="auto"/>
            <w:tcMar>
              <w:top w:w="80" w:type="dxa"/>
              <w:left w:w="114" w:type="dxa"/>
              <w:bottom w:w="80" w:type="dxa"/>
              <w:right w:w="80" w:type="dxa"/>
            </w:tcMar>
            <w:vAlign w:val="center"/>
          </w:tcPr>
          <w:p w14:paraId="0607CFB8"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b/>
                <w:color w:val="000000"/>
                <w:sz w:val="20"/>
                <w:szCs w:val="20"/>
                <w:u w:color="000000"/>
                <w:bdr w:val="nil"/>
                <w:lang w:val="en-US" w:eastAsia="en-GB"/>
              </w:rPr>
              <w:t xml:space="preserve">Outcome, </w:t>
            </w:r>
            <w:r w:rsidRPr="00A61228">
              <w:rPr>
                <w:rFonts w:ascii="Times New Roman" w:eastAsia="Times New Roman" w:hAnsi="Times New Roman" w:cs="Times New Roman"/>
                <w:i/>
                <w:color w:val="000000"/>
                <w:sz w:val="20"/>
                <w:szCs w:val="20"/>
                <w:u w:color="000000"/>
                <w:bdr w:val="nil"/>
                <w:lang w:val="en-US" w:eastAsia="en-GB"/>
              </w:rPr>
              <w:t>HES frailty risk</w:t>
            </w:r>
          </w:p>
        </w:tc>
        <w:tc>
          <w:tcPr>
            <w:tcW w:w="1308" w:type="dxa"/>
            <w:tcBorders>
              <w:top w:val="single" w:sz="4" w:space="0" w:color="auto"/>
              <w:left w:val="nil"/>
              <w:bottom w:val="single" w:sz="4" w:space="0" w:color="auto"/>
              <w:right w:val="nil"/>
            </w:tcBorders>
            <w:vAlign w:val="center"/>
          </w:tcPr>
          <w:p w14:paraId="74B88515"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b/>
                <w:color w:val="000000"/>
                <w:sz w:val="20"/>
                <w:szCs w:val="20"/>
                <w:u w:color="000000"/>
                <w:bdr w:val="nil"/>
                <w:lang w:val="en-US" w:eastAsia="en-GB"/>
              </w:rPr>
              <w:t>%</w:t>
            </w:r>
          </w:p>
        </w:tc>
        <w:tc>
          <w:tcPr>
            <w:tcW w:w="1392" w:type="dxa"/>
            <w:tcBorders>
              <w:top w:val="single" w:sz="4" w:space="0" w:color="auto"/>
              <w:left w:val="nil"/>
              <w:bottom w:val="single" w:sz="4" w:space="0" w:color="auto"/>
              <w:right w:val="nil"/>
            </w:tcBorders>
            <w:vAlign w:val="center"/>
          </w:tcPr>
          <w:p w14:paraId="65D65C28"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b/>
                <w:color w:val="000000"/>
                <w:sz w:val="20"/>
                <w:szCs w:val="20"/>
                <w:u w:color="000000"/>
                <w:bdr w:val="nil"/>
                <w:lang w:val="en-US" w:eastAsia="en-GB"/>
              </w:rPr>
              <w:t>Crude OR</w:t>
            </w:r>
          </w:p>
        </w:tc>
        <w:tc>
          <w:tcPr>
            <w:tcW w:w="2520" w:type="dxa"/>
            <w:tcBorders>
              <w:top w:val="single" w:sz="4" w:space="0" w:color="auto"/>
              <w:left w:val="nil"/>
              <w:bottom w:val="single" w:sz="4" w:space="0" w:color="auto"/>
              <w:right w:val="nil"/>
            </w:tcBorders>
            <w:vAlign w:val="center"/>
          </w:tcPr>
          <w:p w14:paraId="6B9A492A"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b/>
                <w:color w:val="000000"/>
                <w:sz w:val="20"/>
                <w:szCs w:val="20"/>
                <w:u w:color="000000"/>
                <w:bdr w:val="nil"/>
                <w:lang w:val="en-US" w:eastAsia="en-GB"/>
              </w:rPr>
              <w:t xml:space="preserve">Adjusted OR  (95% CI) </w:t>
            </w:r>
            <w:r w:rsidRPr="00A61228">
              <w:rPr>
                <w:rFonts w:ascii="Times New Roman" w:eastAsia="Times New Roman" w:hAnsi="Times New Roman" w:cs="Times New Roman"/>
                <w:color w:val="000000"/>
                <w:sz w:val="20"/>
                <w:szCs w:val="20"/>
                <w:u w:color="000000"/>
                <w:bdr w:val="nil"/>
                <w:lang w:val="en-US" w:eastAsia="en-GB"/>
              </w:rPr>
              <w:t>§</w:t>
            </w:r>
          </w:p>
        </w:tc>
      </w:tr>
      <w:tr w:rsidR="005178B0" w:rsidRPr="00A61228" w14:paraId="113D9E26" w14:textId="77777777" w:rsidTr="002C7B49">
        <w:trPr>
          <w:trHeight w:val="549"/>
        </w:trPr>
        <w:tc>
          <w:tcPr>
            <w:tcW w:w="3918" w:type="dxa"/>
            <w:tcBorders>
              <w:top w:val="single" w:sz="4" w:space="0" w:color="auto"/>
              <w:left w:val="nil"/>
              <w:bottom w:val="nil"/>
              <w:right w:val="nil"/>
            </w:tcBorders>
            <w:shd w:val="clear" w:color="auto" w:fill="auto"/>
            <w:tcMar>
              <w:top w:w="80" w:type="dxa"/>
              <w:left w:w="114" w:type="dxa"/>
              <w:bottom w:w="80" w:type="dxa"/>
              <w:right w:w="80" w:type="dxa"/>
            </w:tcMar>
            <w:vAlign w:val="center"/>
          </w:tcPr>
          <w:p w14:paraId="25E9D79E"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b/>
                <w:color w:val="000000"/>
                <w:sz w:val="20"/>
                <w:szCs w:val="20"/>
                <w:u w:color="000000"/>
                <w:bdr w:val="nil"/>
                <w:lang w:val="en-US" w:eastAsia="en-GB"/>
              </w:rPr>
            </w:pPr>
            <w:r w:rsidRPr="00A61228">
              <w:rPr>
                <w:rFonts w:ascii="Times New Roman" w:eastAsia="Times New Roman" w:hAnsi="Times New Roman" w:cs="Times New Roman"/>
                <w:b/>
                <w:color w:val="000000"/>
                <w:sz w:val="20"/>
                <w:szCs w:val="20"/>
                <w:u w:color="000000"/>
                <w:bdr w:val="nil"/>
                <w:lang w:val="en-US" w:eastAsia="en-GB"/>
              </w:rPr>
              <w:t>30-day mortality</w:t>
            </w:r>
          </w:p>
        </w:tc>
        <w:tc>
          <w:tcPr>
            <w:tcW w:w="1308" w:type="dxa"/>
            <w:tcBorders>
              <w:top w:val="single" w:sz="4" w:space="0" w:color="auto"/>
              <w:left w:val="nil"/>
              <w:bottom w:val="nil"/>
              <w:right w:val="nil"/>
            </w:tcBorders>
            <w:vAlign w:val="center"/>
          </w:tcPr>
          <w:p w14:paraId="1701962D"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p>
        </w:tc>
        <w:tc>
          <w:tcPr>
            <w:tcW w:w="1392" w:type="dxa"/>
            <w:tcBorders>
              <w:top w:val="single" w:sz="4" w:space="0" w:color="auto"/>
              <w:left w:val="nil"/>
              <w:bottom w:val="nil"/>
              <w:right w:val="nil"/>
            </w:tcBorders>
            <w:vAlign w:val="center"/>
          </w:tcPr>
          <w:p w14:paraId="32EB04A8"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p>
        </w:tc>
        <w:tc>
          <w:tcPr>
            <w:tcW w:w="2520" w:type="dxa"/>
            <w:tcBorders>
              <w:top w:val="single" w:sz="4" w:space="0" w:color="auto"/>
              <w:left w:val="nil"/>
              <w:right w:val="nil"/>
            </w:tcBorders>
            <w:vAlign w:val="center"/>
          </w:tcPr>
          <w:p w14:paraId="7D1E5F5E"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p>
        </w:tc>
      </w:tr>
      <w:tr w:rsidR="005178B0" w:rsidRPr="00A61228" w14:paraId="455E96B5"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03E8DB2B"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i/>
                <w:color w:val="000000"/>
                <w:sz w:val="20"/>
                <w:szCs w:val="20"/>
                <w:u w:color="000000"/>
                <w:bdr w:val="nil"/>
                <w:lang w:val="en-US" w:eastAsia="en-GB"/>
              </w:rPr>
              <w:t>Low risk (&lt;5)</w:t>
            </w:r>
          </w:p>
        </w:tc>
        <w:tc>
          <w:tcPr>
            <w:tcW w:w="1308" w:type="dxa"/>
            <w:tcBorders>
              <w:top w:val="nil"/>
              <w:left w:val="nil"/>
              <w:bottom w:val="nil"/>
              <w:right w:val="nil"/>
            </w:tcBorders>
            <w:vAlign w:val="center"/>
          </w:tcPr>
          <w:p w14:paraId="172CBF6A"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5</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8%</w:t>
            </w:r>
          </w:p>
        </w:tc>
        <w:tc>
          <w:tcPr>
            <w:tcW w:w="1392" w:type="dxa"/>
            <w:tcBorders>
              <w:top w:val="nil"/>
              <w:left w:val="nil"/>
              <w:bottom w:val="nil"/>
              <w:right w:val="nil"/>
            </w:tcBorders>
            <w:vAlign w:val="center"/>
          </w:tcPr>
          <w:p w14:paraId="2AB8013A"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00</w:t>
            </w:r>
          </w:p>
        </w:tc>
        <w:tc>
          <w:tcPr>
            <w:tcW w:w="2520" w:type="dxa"/>
            <w:tcBorders>
              <w:left w:val="nil"/>
              <w:bottom w:val="nil"/>
              <w:right w:val="nil"/>
            </w:tcBorders>
            <w:vAlign w:val="center"/>
          </w:tcPr>
          <w:p w14:paraId="7013DEFE"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00</w:t>
            </w:r>
          </w:p>
        </w:tc>
      </w:tr>
      <w:tr w:rsidR="005178B0" w:rsidRPr="00A61228" w14:paraId="423A82FD"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58C86EE6"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i/>
                <w:color w:val="000000"/>
                <w:sz w:val="20"/>
                <w:szCs w:val="20"/>
                <w:u w:color="000000"/>
                <w:bdr w:val="nil"/>
                <w:lang w:val="en-US" w:eastAsia="en-GB"/>
              </w:rPr>
              <w:t>Intermediate risk (5-15)</w:t>
            </w:r>
          </w:p>
        </w:tc>
        <w:tc>
          <w:tcPr>
            <w:tcW w:w="1308" w:type="dxa"/>
            <w:tcBorders>
              <w:top w:val="nil"/>
              <w:left w:val="nil"/>
              <w:bottom w:val="nil"/>
              <w:right w:val="nil"/>
            </w:tcBorders>
            <w:vAlign w:val="center"/>
          </w:tcPr>
          <w:p w14:paraId="1C5362E5"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4%</w:t>
            </w:r>
          </w:p>
        </w:tc>
        <w:tc>
          <w:tcPr>
            <w:tcW w:w="1392" w:type="dxa"/>
            <w:tcBorders>
              <w:top w:val="nil"/>
              <w:left w:val="nil"/>
              <w:bottom w:val="nil"/>
              <w:right w:val="nil"/>
            </w:tcBorders>
            <w:vAlign w:val="center"/>
          </w:tcPr>
          <w:p w14:paraId="4605AFE7"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2</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 xml:space="preserve">09 </w:t>
            </w:r>
          </w:p>
        </w:tc>
        <w:tc>
          <w:tcPr>
            <w:tcW w:w="2520" w:type="dxa"/>
            <w:tcBorders>
              <w:top w:val="nil"/>
              <w:left w:val="nil"/>
              <w:bottom w:val="nil"/>
              <w:right w:val="nil"/>
            </w:tcBorders>
            <w:vAlign w:val="center"/>
          </w:tcPr>
          <w:p w14:paraId="6339FA0C"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65 (1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62–1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68)</w:t>
            </w:r>
          </w:p>
        </w:tc>
      </w:tr>
      <w:tr w:rsidR="005178B0" w:rsidRPr="00A61228" w14:paraId="7CF252BE" w14:textId="77777777" w:rsidTr="002C7B49">
        <w:trPr>
          <w:trHeight w:val="20"/>
        </w:trPr>
        <w:tc>
          <w:tcPr>
            <w:tcW w:w="3918"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59BFFB93"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i/>
                <w:color w:val="000000"/>
                <w:sz w:val="20"/>
                <w:szCs w:val="20"/>
                <w:u w:color="000000"/>
                <w:bdr w:val="nil"/>
                <w:lang w:val="en-US" w:eastAsia="en-GB"/>
              </w:rPr>
              <w:t>High risk (&gt;15)</w:t>
            </w:r>
          </w:p>
        </w:tc>
        <w:tc>
          <w:tcPr>
            <w:tcW w:w="1308" w:type="dxa"/>
            <w:tcBorders>
              <w:top w:val="nil"/>
              <w:left w:val="nil"/>
              <w:bottom w:val="single" w:sz="4" w:space="0" w:color="auto"/>
              <w:right w:val="nil"/>
            </w:tcBorders>
            <w:vAlign w:val="center"/>
          </w:tcPr>
          <w:p w14:paraId="3523242C"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13</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6%</w:t>
            </w:r>
          </w:p>
        </w:tc>
        <w:tc>
          <w:tcPr>
            <w:tcW w:w="1392" w:type="dxa"/>
            <w:tcBorders>
              <w:top w:val="nil"/>
              <w:left w:val="nil"/>
              <w:bottom w:val="single" w:sz="4" w:space="0" w:color="auto"/>
              <w:right w:val="nil"/>
            </w:tcBorders>
            <w:vAlign w:val="center"/>
          </w:tcPr>
          <w:p w14:paraId="202F89CC"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2</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56</w:t>
            </w:r>
          </w:p>
        </w:tc>
        <w:tc>
          <w:tcPr>
            <w:tcW w:w="2520" w:type="dxa"/>
            <w:tcBorders>
              <w:top w:val="nil"/>
              <w:left w:val="nil"/>
              <w:bottom w:val="single" w:sz="4" w:space="0" w:color="auto"/>
              <w:right w:val="nil"/>
            </w:tcBorders>
            <w:vAlign w:val="center"/>
          </w:tcPr>
          <w:p w14:paraId="5AC61A78"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71 (1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68-1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75)</w:t>
            </w:r>
          </w:p>
        </w:tc>
      </w:tr>
      <w:tr w:rsidR="005178B0" w:rsidRPr="00A61228" w14:paraId="5873CBBB" w14:textId="77777777" w:rsidTr="002C7B49">
        <w:trPr>
          <w:trHeight w:val="441"/>
        </w:trPr>
        <w:tc>
          <w:tcPr>
            <w:tcW w:w="3918" w:type="dxa"/>
            <w:tcBorders>
              <w:top w:val="single" w:sz="4" w:space="0" w:color="auto"/>
              <w:left w:val="nil"/>
              <w:bottom w:val="nil"/>
              <w:right w:val="nil"/>
            </w:tcBorders>
            <w:shd w:val="clear" w:color="auto" w:fill="auto"/>
            <w:tcMar>
              <w:top w:w="80" w:type="dxa"/>
              <w:left w:w="114" w:type="dxa"/>
              <w:bottom w:w="80" w:type="dxa"/>
              <w:right w:w="80" w:type="dxa"/>
            </w:tcMar>
            <w:vAlign w:val="center"/>
          </w:tcPr>
          <w:p w14:paraId="775D4B77"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b/>
                <w:color w:val="000000"/>
                <w:sz w:val="20"/>
                <w:szCs w:val="20"/>
                <w:u w:color="000000"/>
                <w:bdr w:val="nil"/>
                <w:lang w:val="en-US" w:eastAsia="en-GB"/>
              </w:rPr>
              <w:t xml:space="preserve">Length of stay &gt; 10 days  </w:t>
            </w:r>
          </w:p>
        </w:tc>
        <w:tc>
          <w:tcPr>
            <w:tcW w:w="1308" w:type="dxa"/>
            <w:tcBorders>
              <w:top w:val="single" w:sz="4" w:space="0" w:color="auto"/>
              <w:left w:val="nil"/>
              <w:bottom w:val="nil"/>
              <w:right w:val="nil"/>
            </w:tcBorders>
            <w:vAlign w:val="center"/>
          </w:tcPr>
          <w:p w14:paraId="51250B97"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p>
        </w:tc>
        <w:tc>
          <w:tcPr>
            <w:tcW w:w="1392" w:type="dxa"/>
            <w:tcBorders>
              <w:top w:val="single" w:sz="4" w:space="0" w:color="auto"/>
              <w:left w:val="nil"/>
              <w:bottom w:val="nil"/>
              <w:right w:val="nil"/>
            </w:tcBorders>
            <w:vAlign w:val="center"/>
          </w:tcPr>
          <w:p w14:paraId="153A8756" w14:textId="77777777" w:rsidR="005178B0" w:rsidRPr="00A61228" w:rsidRDefault="005178B0" w:rsidP="002C7B49">
            <w:pPr>
              <w:tabs>
                <w:tab w:val="left" w:pos="270"/>
                <w:tab w:val="left" w:pos="9630"/>
              </w:tabs>
              <w:spacing w:after="160" w:line="259" w:lineRule="auto"/>
              <w:rPr>
                <w:rFonts w:ascii="Times New Roman" w:eastAsia="Calibri" w:hAnsi="Times New Roman" w:cs="Times New Roman"/>
                <w:sz w:val="20"/>
                <w:szCs w:val="20"/>
              </w:rPr>
            </w:pPr>
          </w:p>
        </w:tc>
        <w:tc>
          <w:tcPr>
            <w:tcW w:w="2520" w:type="dxa"/>
            <w:tcBorders>
              <w:top w:val="single" w:sz="4" w:space="0" w:color="auto"/>
              <w:left w:val="nil"/>
              <w:right w:val="nil"/>
            </w:tcBorders>
            <w:vAlign w:val="center"/>
          </w:tcPr>
          <w:p w14:paraId="01669BCE"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p>
        </w:tc>
      </w:tr>
      <w:tr w:rsidR="005178B0" w:rsidRPr="00A61228" w14:paraId="309AA9B0"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6D5BB0FB"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i/>
                <w:color w:val="000000"/>
                <w:sz w:val="20"/>
                <w:szCs w:val="20"/>
                <w:u w:color="000000"/>
                <w:bdr w:val="nil"/>
                <w:lang w:val="en-US" w:eastAsia="en-GB"/>
              </w:rPr>
              <w:t>Low risk (&lt;5)</w:t>
            </w:r>
          </w:p>
        </w:tc>
        <w:tc>
          <w:tcPr>
            <w:tcW w:w="1308" w:type="dxa"/>
            <w:tcBorders>
              <w:top w:val="nil"/>
              <w:left w:val="nil"/>
              <w:bottom w:val="nil"/>
              <w:right w:val="nil"/>
            </w:tcBorders>
            <w:vAlign w:val="center"/>
          </w:tcPr>
          <w:p w14:paraId="71A16FA3"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7%</w:t>
            </w:r>
          </w:p>
        </w:tc>
        <w:tc>
          <w:tcPr>
            <w:tcW w:w="1392" w:type="dxa"/>
            <w:tcBorders>
              <w:top w:val="nil"/>
              <w:left w:val="nil"/>
              <w:bottom w:val="nil"/>
              <w:right w:val="nil"/>
            </w:tcBorders>
            <w:vAlign w:val="center"/>
          </w:tcPr>
          <w:p w14:paraId="5944B421" w14:textId="77777777" w:rsidR="005178B0" w:rsidRPr="00A61228" w:rsidRDefault="005178B0" w:rsidP="002C7B49">
            <w:pPr>
              <w:tabs>
                <w:tab w:val="left" w:pos="270"/>
                <w:tab w:val="left" w:pos="9630"/>
              </w:tabs>
              <w:spacing w:after="160" w:line="259" w:lineRule="auto"/>
              <w:rPr>
                <w:rFonts w:ascii="Times New Roman" w:eastAsia="Calibri" w:hAnsi="Times New Roman" w:cs="Times New Roman"/>
                <w:sz w:val="20"/>
                <w:szCs w:val="20"/>
              </w:rPr>
            </w:pPr>
            <w:r w:rsidRPr="00A61228">
              <w:rPr>
                <w:rFonts w:ascii="Times New Roman" w:eastAsia="Calibri" w:hAnsi="Times New Roman" w:cs="Times New Roman"/>
                <w:sz w:val="20"/>
                <w:szCs w:val="20"/>
              </w:rPr>
              <w:t>1</w:t>
            </w:r>
            <w:r>
              <w:rPr>
                <w:rFonts w:ascii="Times New Roman" w:eastAsia="Calibri" w:hAnsi="Times New Roman" w:cs="Times New Roman"/>
                <w:sz w:val="20"/>
                <w:szCs w:val="20"/>
              </w:rPr>
              <w:t>·</w:t>
            </w:r>
            <w:r w:rsidRPr="00A61228">
              <w:rPr>
                <w:rFonts w:ascii="Times New Roman" w:eastAsia="Calibri" w:hAnsi="Times New Roman" w:cs="Times New Roman"/>
                <w:sz w:val="20"/>
                <w:szCs w:val="20"/>
              </w:rPr>
              <w:t>00</w:t>
            </w:r>
          </w:p>
        </w:tc>
        <w:tc>
          <w:tcPr>
            <w:tcW w:w="2520" w:type="dxa"/>
            <w:tcBorders>
              <w:left w:val="nil"/>
              <w:bottom w:val="nil"/>
              <w:right w:val="nil"/>
            </w:tcBorders>
            <w:vAlign w:val="center"/>
          </w:tcPr>
          <w:p w14:paraId="3BBF2FD4" w14:textId="77777777" w:rsidR="005178B0" w:rsidRPr="00A61228" w:rsidRDefault="005178B0" w:rsidP="002C7B49">
            <w:pPr>
              <w:tabs>
                <w:tab w:val="left" w:pos="270"/>
                <w:tab w:val="left" w:pos="9630"/>
              </w:tabs>
              <w:spacing w:after="160" w:line="259" w:lineRule="auto"/>
              <w:rPr>
                <w:rFonts w:ascii="Times New Roman" w:eastAsia="Calibri" w:hAnsi="Times New Roman" w:cs="Times New Roman"/>
                <w:sz w:val="20"/>
                <w:szCs w:val="20"/>
              </w:rPr>
            </w:pPr>
            <w:r w:rsidRPr="00A61228">
              <w:rPr>
                <w:rFonts w:ascii="Times New Roman" w:eastAsia="Calibri" w:hAnsi="Times New Roman" w:cs="Times New Roman"/>
                <w:sz w:val="20"/>
                <w:szCs w:val="20"/>
              </w:rPr>
              <w:t>1</w:t>
            </w:r>
            <w:r>
              <w:rPr>
                <w:rFonts w:ascii="Times New Roman" w:eastAsia="Calibri" w:hAnsi="Times New Roman" w:cs="Times New Roman"/>
                <w:sz w:val="20"/>
                <w:szCs w:val="20"/>
              </w:rPr>
              <w:t>·</w:t>
            </w:r>
            <w:r w:rsidRPr="00A61228">
              <w:rPr>
                <w:rFonts w:ascii="Times New Roman" w:eastAsia="Calibri" w:hAnsi="Times New Roman" w:cs="Times New Roman"/>
                <w:sz w:val="20"/>
                <w:szCs w:val="20"/>
              </w:rPr>
              <w:t>00</w:t>
            </w:r>
          </w:p>
        </w:tc>
      </w:tr>
      <w:tr w:rsidR="005178B0" w:rsidRPr="00A61228" w14:paraId="217EF3F3"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386C9E54"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i/>
                <w:color w:val="000000"/>
                <w:sz w:val="20"/>
                <w:szCs w:val="20"/>
                <w:u w:color="000000"/>
                <w:bdr w:val="nil"/>
                <w:lang w:val="en-US" w:eastAsia="en-GB"/>
              </w:rPr>
              <w:t>Intermediate risk (5-15)</w:t>
            </w:r>
          </w:p>
        </w:tc>
        <w:tc>
          <w:tcPr>
            <w:tcW w:w="1308" w:type="dxa"/>
            <w:tcBorders>
              <w:top w:val="nil"/>
              <w:left w:val="nil"/>
              <w:bottom w:val="nil"/>
              <w:right w:val="nil"/>
            </w:tcBorders>
            <w:vAlign w:val="center"/>
          </w:tcPr>
          <w:p w14:paraId="3A02CABE"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30</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8%</w:t>
            </w:r>
          </w:p>
        </w:tc>
        <w:tc>
          <w:tcPr>
            <w:tcW w:w="1392" w:type="dxa"/>
            <w:tcBorders>
              <w:top w:val="nil"/>
              <w:left w:val="nil"/>
              <w:bottom w:val="nil"/>
              <w:right w:val="nil"/>
            </w:tcBorders>
            <w:vAlign w:val="center"/>
          </w:tcPr>
          <w:p w14:paraId="1828A6C7"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3</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36</w:t>
            </w:r>
          </w:p>
        </w:tc>
        <w:tc>
          <w:tcPr>
            <w:tcW w:w="2520" w:type="dxa"/>
            <w:tcBorders>
              <w:top w:val="nil"/>
              <w:left w:val="nil"/>
              <w:bottom w:val="nil"/>
              <w:right w:val="nil"/>
            </w:tcBorders>
            <w:vAlign w:val="center"/>
          </w:tcPr>
          <w:p w14:paraId="6A92EC45"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3</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29 (3</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25-3</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30)</w:t>
            </w:r>
          </w:p>
        </w:tc>
      </w:tr>
      <w:tr w:rsidR="005178B0" w:rsidRPr="00A61228" w14:paraId="19143912" w14:textId="77777777" w:rsidTr="002C7B49">
        <w:trPr>
          <w:trHeight w:val="19"/>
        </w:trPr>
        <w:tc>
          <w:tcPr>
            <w:tcW w:w="3918"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1E6185CD"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i/>
                <w:color w:val="000000"/>
                <w:sz w:val="20"/>
                <w:szCs w:val="20"/>
                <w:u w:color="000000"/>
                <w:bdr w:val="nil"/>
                <w:lang w:val="en-US" w:eastAsia="en-GB"/>
              </w:rPr>
              <w:t>High risk (&gt;15)</w:t>
            </w:r>
          </w:p>
        </w:tc>
        <w:tc>
          <w:tcPr>
            <w:tcW w:w="1308" w:type="dxa"/>
            <w:tcBorders>
              <w:top w:val="nil"/>
              <w:left w:val="nil"/>
              <w:bottom w:val="single" w:sz="4" w:space="0" w:color="auto"/>
              <w:right w:val="nil"/>
            </w:tcBorders>
            <w:vAlign w:val="center"/>
          </w:tcPr>
          <w:p w14:paraId="1E56B8C1"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44</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4%</w:t>
            </w:r>
          </w:p>
        </w:tc>
        <w:tc>
          <w:tcPr>
            <w:tcW w:w="1392" w:type="dxa"/>
            <w:tcBorders>
              <w:top w:val="nil"/>
              <w:left w:val="nil"/>
              <w:bottom w:val="single" w:sz="4" w:space="0" w:color="auto"/>
              <w:right w:val="nil"/>
            </w:tcBorders>
            <w:vAlign w:val="center"/>
          </w:tcPr>
          <w:p w14:paraId="7FFA8F30"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6</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03</w:t>
            </w:r>
          </w:p>
        </w:tc>
        <w:tc>
          <w:tcPr>
            <w:tcW w:w="2520" w:type="dxa"/>
            <w:tcBorders>
              <w:top w:val="nil"/>
              <w:left w:val="nil"/>
              <w:bottom w:val="single" w:sz="4" w:space="0" w:color="auto"/>
              <w:right w:val="nil"/>
            </w:tcBorders>
            <w:vAlign w:val="center"/>
          </w:tcPr>
          <w:p w14:paraId="4A5424CA"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6</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01 (5</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92-6</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10)</w:t>
            </w:r>
          </w:p>
        </w:tc>
      </w:tr>
      <w:tr w:rsidR="005178B0" w:rsidRPr="00A61228" w14:paraId="1B0FAE04" w14:textId="77777777" w:rsidTr="002C7B49">
        <w:trPr>
          <w:trHeight w:val="20"/>
        </w:trPr>
        <w:tc>
          <w:tcPr>
            <w:tcW w:w="5226" w:type="dxa"/>
            <w:gridSpan w:val="2"/>
            <w:tcBorders>
              <w:top w:val="single" w:sz="4" w:space="0" w:color="auto"/>
              <w:left w:val="nil"/>
              <w:bottom w:val="nil"/>
              <w:right w:val="nil"/>
            </w:tcBorders>
            <w:shd w:val="clear" w:color="auto" w:fill="auto"/>
            <w:tcMar>
              <w:top w:w="80" w:type="dxa"/>
              <w:left w:w="114" w:type="dxa"/>
              <w:bottom w:w="80" w:type="dxa"/>
              <w:right w:w="80" w:type="dxa"/>
            </w:tcMar>
            <w:vAlign w:val="center"/>
          </w:tcPr>
          <w:p w14:paraId="37DE194B"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b/>
                <w:color w:val="000000"/>
                <w:sz w:val="20"/>
                <w:szCs w:val="20"/>
                <w:u w:color="000000"/>
                <w:bdr w:val="nil"/>
                <w:lang w:val="en-US" w:eastAsia="en-GB"/>
              </w:rPr>
            </w:pPr>
            <w:r w:rsidRPr="00A61228">
              <w:rPr>
                <w:rFonts w:ascii="Times New Roman" w:eastAsia="Times New Roman" w:hAnsi="Times New Roman" w:cs="Times New Roman"/>
                <w:b/>
                <w:color w:val="000000"/>
                <w:sz w:val="20"/>
                <w:szCs w:val="20"/>
                <w:u w:color="000000"/>
                <w:bdr w:val="nil"/>
                <w:lang w:val="en-US" w:eastAsia="en-GB"/>
              </w:rPr>
              <w:t xml:space="preserve">Emergency readmission within 30 days </w:t>
            </w:r>
            <w:r w:rsidRPr="00A61228">
              <w:rPr>
                <w:rFonts w:ascii="Times New Roman" w:eastAsia="Times New Roman" w:hAnsi="Times New Roman" w:cs="Times New Roman"/>
                <w:color w:val="000000"/>
                <w:sz w:val="20"/>
                <w:szCs w:val="20"/>
                <w:u w:color="000000"/>
                <w:bdr w:val="nil"/>
                <w:lang w:val="en-US" w:eastAsia="en-GB"/>
              </w:rPr>
              <w:t>‡</w:t>
            </w:r>
          </w:p>
        </w:tc>
        <w:tc>
          <w:tcPr>
            <w:tcW w:w="1392" w:type="dxa"/>
            <w:tcBorders>
              <w:top w:val="single" w:sz="4" w:space="0" w:color="auto"/>
              <w:left w:val="nil"/>
              <w:bottom w:val="nil"/>
              <w:right w:val="nil"/>
            </w:tcBorders>
            <w:vAlign w:val="center"/>
          </w:tcPr>
          <w:p w14:paraId="5E7D1D19"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p>
        </w:tc>
        <w:tc>
          <w:tcPr>
            <w:tcW w:w="2520" w:type="dxa"/>
            <w:tcBorders>
              <w:top w:val="single" w:sz="4" w:space="0" w:color="auto"/>
              <w:left w:val="nil"/>
              <w:right w:val="nil"/>
            </w:tcBorders>
            <w:vAlign w:val="center"/>
          </w:tcPr>
          <w:p w14:paraId="00D23389"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p>
        </w:tc>
      </w:tr>
      <w:tr w:rsidR="005178B0" w:rsidRPr="00A61228" w14:paraId="18F5C8AA"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43939F7A"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i/>
                <w:color w:val="000000"/>
                <w:sz w:val="20"/>
                <w:szCs w:val="20"/>
                <w:u w:color="000000"/>
                <w:bdr w:val="nil"/>
                <w:lang w:val="en-US" w:eastAsia="en-GB"/>
              </w:rPr>
              <w:t>Low risk (&lt;5)</w:t>
            </w:r>
          </w:p>
        </w:tc>
        <w:tc>
          <w:tcPr>
            <w:tcW w:w="1308" w:type="dxa"/>
            <w:tcBorders>
              <w:top w:val="nil"/>
              <w:left w:val="nil"/>
              <w:bottom w:val="nil"/>
              <w:right w:val="nil"/>
            </w:tcBorders>
            <w:vAlign w:val="center"/>
          </w:tcPr>
          <w:p w14:paraId="1159F05D"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13</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9%</w:t>
            </w:r>
          </w:p>
        </w:tc>
        <w:tc>
          <w:tcPr>
            <w:tcW w:w="1392" w:type="dxa"/>
            <w:tcBorders>
              <w:top w:val="nil"/>
              <w:left w:val="nil"/>
              <w:bottom w:val="nil"/>
              <w:right w:val="nil"/>
            </w:tcBorders>
            <w:vAlign w:val="center"/>
          </w:tcPr>
          <w:p w14:paraId="4266E445" w14:textId="77777777" w:rsidR="005178B0" w:rsidRPr="00A61228" w:rsidRDefault="005178B0" w:rsidP="002C7B49">
            <w:pPr>
              <w:tabs>
                <w:tab w:val="left" w:pos="270"/>
                <w:tab w:val="left" w:pos="9630"/>
              </w:tabs>
              <w:spacing w:after="160" w:line="259" w:lineRule="auto"/>
              <w:rPr>
                <w:rFonts w:ascii="Times New Roman" w:eastAsia="Calibri" w:hAnsi="Times New Roman" w:cs="Times New Roman"/>
                <w:sz w:val="20"/>
                <w:szCs w:val="20"/>
              </w:rPr>
            </w:pPr>
            <w:r w:rsidRPr="00A61228">
              <w:rPr>
                <w:rFonts w:ascii="Times New Roman" w:eastAsia="Calibri" w:hAnsi="Times New Roman" w:cs="Times New Roman"/>
                <w:sz w:val="20"/>
                <w:szCs w:val="20"/>
              </w:rPr>
              <w:t>1</w:t>
            </w:r>
            <w:r>
              <w:rPr>
                <w:rFonts w:ascii="Times New Roman" w:eastAsia="Calibri" w:hAnsi="Times New Roman" w:cs="Times New Roman"/>
                <w:sz w:val="20"/>
                <w:szCs w:val="20"/>
              </w:rPr>
              <w:t>·</w:t>
            </w:r>
            <w:r w:rsidRPr="00A61228">
              <w:rPr>
                <w:rFonts w:ascii="Times New Roman" w:eastAsia="Calibri" w:hAnsi="Times New Roman" w:cs="Times New Roman"/>
                <w:sz w:val="20"/>
                <w:szCs w:val="20"/>
              </w:rPr>
              <w:t>00</w:t>
            </w:r>
          </w:p>
        </w:tc>
        <w:tc>
          <w:tcPr>
            <w:tcW w:w="2520" w:type="dxa"/>
            <w:tcBorders>
              <w:left w:val="nil"/>
              <w:bottom w:val="nil"/>
              <w:right w:val="nil"/>
            </w:tcBorders>
            <w:vAlign w:val="center"/>
          </w:tcPr>
          <w:p w14:paraId="005005A9"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00</w:t>
            </w:r>
          </w:p>
        </w:tc>
      </w:tr>
      <w:tr w:rsidR="005178B0" w:rsidRPr="00A61228" w14:paraId="66F231CC"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281FD1F1"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i/>
                <w:color w:val="000000"/>
                <w:sz w:val="20"/>
                <w:szCs w:val="20"/>
                <w:u w:color="000000"/>
                <w:bdr w:val="nil"/>
                <w:lang w:val="en-US" w:eastAsia="en-GB"/>
              </w:rPr>
              <w:t>Intermediate risk (5-15)</w:t>
            </w:r>
          </w:p>
        </w:tc>
        <w:tc>
          <w:tcPr>
            <w:tcW w:w="1308" w:type="dxa"/>
            <w:tcBorders>
              <w:top w:val="nil"/>
              <w:left w:val="nil"/>
              <w:bottom w:val="nil"/>
              <w:right w:val="nil"/>
            </w:tcBorders>
            <w:vAlign w:val="center"/>
          </w:tcPr>
          <w:p w14:paraId="67C5C486"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17</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5%</w:t>
            </w:r>
          </w:p>
        </w:tc>
        <w:tc>
          <w:tcPr>
            <w:tcW w:w="1392" w:type="dxa"/>
            <w:tcBorders>
              <w:top w:val="nil"/>
              <w:left w:val="nil"/>
              <w:bottom w:val="nil"/>
              <w:right w:val="nil"/>
            </w:tcBorders>
            <w:vAlign w:val="center"/>
          </w:tcPr>
          <w:p w14:paraId="29114104"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32</w:t>
            </w:r>
          </w:p>
        </w:tc>
        <w:tc>
          <w:tcPr>
            <w:tcW w:w="2520" w:type="dxa"/>
            <w:tcBorders>
              <w:top w:val="nil"/>
              <w:left w:val="nil"/>
              <w:bottom w:val="nil"/>
              <w:right w:val="nil"/>
            </w:tcBorders>
            <w:vAlign w:val="center"/>
          </w:tcPr>
          <w:p w14:paraId="15F8055B"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23 (1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22-1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25)</w:t>
            </w:r>
          </w:p>
        </w:tc>
      </w:tr>
      <w:tr w:rsidR="005178B0" w:rsidRPr="00A61228" w14:paraId="43F7CCCD" w14:textId="77777777" w:rsidTr="002C7B49">
        <w:trPr>
          <w:trHeight w:val="20"/>
        </w:trPr>
        <w:tc>
          <w:tcPr>
            <w:tcW w:w="3918"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746D52B9" w14:textId="77777777" w:rsidR="005178B0" w:rsidRPr="00A61228" w:rsidRDefault="005178B0" w:rsidP="002C7B49">
            <w:pPr>
              <w:pBdr>
                <w:top w:val="nil"/>
                <w:left w:val="nil"/>
                <w:bottom w:val="nil"/>
                <w:right w:val="nil"/>
                <w:between w:val="nil"/>
                <w:bar w:val="nil"/>
              </w:pBdr>
              <w:tabs>
                <w:tab w:val="left" w:pos="114"/>
                <w:tab w:val="left" w:pos="9630"/>
              </w:tabs>
              <w:spacing w:after="0" w:line="360" w:lineRule="auto"/>
              <w:rPr>
                <w:rFonts w:ascii="Times New Roman" w:eastAsia="Times New Roman" w:hAnsi="Times New Roman" w:cs="Times New Roman"/>
                <w:i/>
                <w:color w:val="000000"/>
                <w:sz w:val="20"/>
                <w:szCs w:val="20"/>
                <w:u w:color="000000"/>
                <w:bdr w:val="nil"/>
                <w:lang w:val="en-US" w:eastAsia="en-GB"/>
              </w:rPr>
            </w:pPr>
            <w:r w:rsidRPr="00A61228">
              <w:rPr>
                <w:rFonts w:ascii="Times New Roman" w:eastAsia="Times New Roman" w:hAnsi="Times New Roman" w:cs="Times New Roman"/>
                <w:i/>
                <w:color w:val="000000"/>
                <w:sz w:val="20"/>
                <w:szCs w:val="20"/>
                <w:u w:color="000000"/>
                <w:bdr w:val="nil"/>
                <w:lang w:val="en-US" w:eastAsia="en-GB"/>
              </w:rPr>
              <w:t>High risk (&gt;15)</w:t>
            </w:r>
          </w:p>
        </w:tc>
        <w:tc>
          <w:tcPr>
            <w:tcW w:w="1308" w:type="dxa"/>
            <w:tcBorders>
              <w:top w:val="nil"/>
              <w:left w:val="nil"/>
              <w:bottom w:val="single" w:sz="4" w:space="0" w:color="auto"/>
              <w:right w:val="nil"/>
            </w:tcBorders>
            <w:vAlign w:val="center"/>
          </w:tcPr>
          <w:p w14:paraId="210B6777"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21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4%</w:t>
            </w:r>
          </w:p>
        </w:tc>
        <w:tc>
          <w:tcPr>
            <w:tcW w:w="1392" w:type="dxa"/>
            <w:tcBorders>
              <w:top w:val="nil"/>
              <w:left w:val="nil"/>
              <w:bottom w:val="single" w:sz="4" w:space="0" w:color="auto"/>
              <w:right w:val="nil"/>
            </w:tcBorders>
            <w:vAlign w:val="center"/>
          </w:tcPr>
          <w:p w14:paraId="4D8CF534"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69</w:t>
            </w:r>
          </w:p>
        </w:tc>
        <w:tc>
          <w:tcPr>
            <w:tcW w:w="2520" w:type="dxa"/>
            <w:tcBorders>
              <w:top w:val="nil"/>
              <w:left w:val="nil"/>
              <w:bottom w:val="single" w:sz="4" w:space="0" w:color="auto"/>
              <w:right w:val="nil"/>
            </w:tcBorders>
            <w:vAlign w:val="center"/>
          </w:tcPr>
          <w:p w14:paraId="33A7B5D7" w14:textId="77777777" w:rsidR="005178B0" w:rsidRPr="00A61228" w:rsidRDefault="005178B0" w:rsidP="002C7B49">
            <w:pPr>
              <w:pBdr>
                <w:top w:val="nil"/>
                <w:left w:val="nil"/>
                <w:bottom w:val="nil"/>
                <w:right w:val="nil"/>
                <w:between w:val="nil"/>
                <w:bar w:val="nil"/>
              </w:pBdr>
              <w:tabs>
                <w:tab w:val="left" w:pos="270"/>
                <w:tab w:val="left" w:pos="9630"/>
              </w:tabs>
              <w:spacing w:after="0" w:line="360" w:lineRule="auto"/>
              <w:rPr>
                <w:rFonts w:ascii="Times New Roman" w:eastAsia="Times New Roman" w:hAnsi="Times New Roman" w:cs="Times New Roman"/>
                <w:color w:val="000000"/>
                <w:sz w:val="20"/>
                <w:szCs w:val="20"/>
                <w:u w:color="000000"/>
                <w:bdr w:val="nil"/>
                <w:lang w:val="en-US" w:eastAsia="en-GB"/>
              </w:rPr>
            </w:pPr>
            <w:r w:rsidRPr="00A61228">
              <w:rPr>
                <w:rFonts w:ascii="Times New Roman" w:eastAsia="Times New Roman" w:hAnsi="Times New Roman" w:cs="Times New Roman"/>
                <w:color w:val="000000"/>
                <w:sz w:val="20"/>
                <w:szCs w:val="20"/>
                <w:u w:color="000000"/>
                <w:bdr w:val="nil"/>
                <w:lang w:val="en-US" w:eastAsia="en-GB"/>
              </w:rPr>
              <w:t>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48 (1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46-1</w:t>
            </w:r>
            <w:r>
              <w:rPr>
                <w:rFonts w:ascii="Times New Roman" w:eastAsia="Times New Roman" w:hAnsi="Times New Roman" w:cs="Times New Roman"/>
                <w:color w:val="000000"/>
                <w:sz w:val="20"/>
                <w:szCs w:val="20"/>
                <w:u w:color="000000"/>
                <w:bdr w:val="nil"/>
                <w:lang w:val="en-US" w:eastAsia="en-GB"/>
              </w:rPr>
              <w:t>·</w:t>
            </w:r>
            <w:r w:rsidRPr="00A61228">
              <w:rPr>
                <w:rFonts w:ascii="Times New Roman" w:eastAsia="Times New Roman" w:hAnsi="Times New Roman" w:cs="Times New Roman"/>
                <w:color w:val="000000"/>
                <w:sz w:val="20"/>
                <w:szCs w:val="20"/>
                <w:u w:color="000000"/>
                <w:bdr w:val="nil"/>
                <w:lang w:val="en-US" w:eastAsia="en-GB"/>
              </w:rPr>
              <w:t>50)</w:t>
            </w:r>
          </w:p>
        </w:tc>
      </w:tr>
    </w:tbl>
    <w:p w14:paraId="1478AA32" w14:textId="77777777" w:rsidR="005178B0" w:rsidRPr="00A61228" w:rsidRDefault="005178B0" w:rsidP="002C7B49">
      <w:pPr>
        <w:pBdr>
          <w:top w:val="nil"/>
          <w:left w:val="nil"/>
          <w:bottom w:val="nil"/>
          <w:right w:val="nil"/>
          <w:between w:val="nil"/>
          <w:bar w:val="nil"/>
        </w:pBdr>
        <w:tabs>
          <w:tab w:val="left" w:pos="1080"/>
          <w:tab w:val="left" w:pos="1440"/>
          <w:tab w:val="left" w:pos="2160"/>
          <w:tab w:val="left" w:pos="3240"/>
          <w:tab w:val="left" w:pos="4320"/>
          <w:tab w:val="left" w:pos="5400"/>
          <w:tab w:val="left" w:pos="6480"/>
          <w:tab w:val="left" w:pos="7560"/>
          <w:tab w:val="left" w:pos="8640"/>
          <w:tab w:val="left" w:pos="9630"/>
        </w:tabs>
        <w:spacing w:before="120" w:after="120" w:line="240" w:lineRule="auto"/>
        <w:rPr>
          <w:rFonts w:ascii="Times New Roman" w:eastAsia="Calibri" w:hAnsi="Times New Roman" w:cs="Times New Roman"/>
          <w:sz w:val="20"/>
          <w:szCs w:val="20"/>
        </w:rPr>
      </w:pPr>
      <w:r w:rsidRPr="00A61228">
        <w:rPr>
          <w:rFonts w:ascii="Times New Roman" w:eastAsia="Arial Unicode MS" w:hAnsi="Times New Roman" w:cs="Times New Roman"/>
          <w:bCs/>
          <w:color w:val="000000"/>
          <w:sz w:val="20"/>
          <w:szCs w:val="20"/>
          <w:u w:color="000000"/>
          <w:bdr w:val="nil"/>
          <w:lang w:val="en-US" w:eastAsia="en-GB"/>
        </w:rPr>
        <w:t xml:space="preserve">  † Excludes patients with missing IMD score</w:t>
      </w:r>
      <w:r>
        <w:rPr>
          <w:rFonts w:ascii="Times New Roman" w:eastAsia="Arial Unicode MS" w:hAnsi="Times New Roman" w:cs="Times New Roman"/>
          <w:bCs/>
          <w:color w:val="000000"/>
          <w:sz w:val="20"/>
          <w:szCs w:val="20"/>
          <w:u w:color="000000"/>
          <w:bdr w:val="nil"/>
          <w:lang w:val="en-US" w:eastAsia="en-GB"/>
        </w:rPr>
        <w:br/>
      </w:r>
      <w:r w:rsidRPr="00A61228">
        <w:rPr>
          <w:rFonts w:ascii="Times New Roman" w:eastAsia="Arial Unicode MS" w:hAnsi="Times New Roman" w:cs="Times New Roman"/>
          <w:color w:val="000000"/>
          <w:sz w:val="20"/>
          <w:szCs w:val="20"/>
          <w:u w:color="000000"/>
          <w:bdr w:val="nil"/>
          <w:lang w:val="en-US" w:eastAsia="en-GB"/>
        </w:rPr>
        <w:t xml:space="preserve">  ‡ </w:t>
      </w:r>
      <w:r w:rsidRPr="00A61228">
        <w:rPr>
          <w:rFonts w:ascii="Times New Roman" w:eastAsia="Arial Unicode MS" w:hAnsi="Times New Roman" w:cs="Times New Roman"/>
          <w:bCs/>
          <w:color w:val="000000"/>
          <w:sz w:val="20"/>
          <w:szCs w:val="20"/>
          <w:u w:color="000000"/>
          <w:bdr w:val="nil"/>
          <w:lang w:val="en-US" w:eastAsia="en-GB"/>
        </w:rPr>
        <w:t>Emergency readmission within 30 days of discharge excluding patients who died in hospital (n = 920,629)</w:t>
      </w:r>
      <w:r>
        <w:rPr>
          <w:rFonts w:ascii="Times New Roman" w:eastAsia="Arial Unicode MS" w:hAnsi="Times New Roman" w:cs="Times New Roman"/>
          <w:bCs/>
          <w:color w:val="000000"/>
          <w:sz w:val="20"/>
          <w:szCs w:val="20"/>
          <w:u w:color="000000"/>
          <w:bdr w:val="nil"/>
          <w:lang w:val="en-US" w:eastAsia="en-GB"/>
        </w:rPr>
        <w:br/>
      </w:r>
      <w:r w:rsidRPr="00A61228">
        <w:rPr>
          <w:rFonts w:ascii="Times New Roman" w:eastAsia="Calibri" w:hAnsi="Times New Roman" w:cs="Times New Roman"/>
          <w:sz w:val="20"/>
          <w:szCs w:val="20"/>
        </w:rPr>
        <w:t xml:space="preserve">  § Adjusted for patients’ age, sex, socioeconomic status, admission history and Charlson comorbidity index and hospital variation.</w:t>
      </w:r>
    </w:p>
    <w:p w14:paraId="7425EBD8" w14:textId="77777777" w:rsidR="005178B0" w:rsidRPr="00A61228" w:rsidRDefault="005178B0" w:rsidP="002C7B49">
      <w:pPr>
        <w:spacing w:after="160" w:line="259" w:lineRule="auto"/>
        <w:rPr>
          <w:rFonts w:ascii="Times New Roman" w:eastAsia="Calibri" w:hAnsi="Times New Roman" w:cs="Times New Roman"/>
          <w:sz w:val="20"/>
          <w:szCs w:val="20"/>
        </w:rPr>
      </w:pPr>
      <w:r w:rsidRPr="00A61228">
        <w:rPr>
          <w:rFonts w:ascii="Times New Roman" w:eastAsia="Calibri" w:hAnsi="Times New Roman" w:cs="Times New Roman"/>
          <w:sz w:val="20"/>
          <w:szCs w:val="20"/>
        </w:rPr>
        <w:br w:type="page"/>
      </w:r>
    </w:p>
    <w:p w14:paraId="6DD5B9B3" w14:textId="77777777" w:rsidR="005178B0" w:rsidRPr="00A61228" w:rsidRDefault="005178B0" w:rsidP="002C7B49">
      <w:pPr>
        <w:spacing w:after="160"/>
        <w:rPr>
          <w:rFonts w:ascii="Times New Roman" w:eastAsia="Calibri" w:hAnsi="Times New Roman" w:cs="Times New Roman"/>
          <w:b/>
          <w:sz w:val="20"/>
          <w:szCs w:val="20"/>
        </w:rPr>
      </w:pPr>
      <w:r w:rsidRPr="00A61228">
        <w:rPr>
          <w:rFonts w:ascii="Times New Roman" w:eastAsia="Calibri" w:hAnsi="Times New Roman" w:cs="Times New Roman"/>
          <w:b/>
          <w:sz w:val="20"/>
          <w:szCs w:val="20"/>
        </w:rPr>
        <w:lastRenderedPageBreak/>
        <w:t xml:space="preserve">APPENDIX 4 - Construction of clinical frailty scales using </w:t>
      </w:r>
    </w:p>
    <w:p w14:paraId="3B41E829" w14:textId="77777777" w:rsidR="005178B0" w:rsidRPr="00A61228" w:rsidRDefault="005178B0" w:rsidP="002C7B49">
      <w:pPr>
        <w:spacing w:after="160"/>
        <w:jc w:val="both"/>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Linked clinical data were used to compare the hospital frailty risk score to established clinical frailty scales. Clinical data were collected </w:t>
      </w:r>
      <w:r>
        <w:rPr>
          <w:rFonts w:ascii="Times New Roman" w:eastAsia="Calibri" w:hAnsi="Times New Roman" w:cs="Times New Roman"/>
          <w:sz w:val="20"/>
          <w:szCs w:val="20"/>
        </w:rPr>
        <w:t>from</w:t>
      </w:r>
      <w:r w:rsidRPr="00A61228">
        <w:rPr>
          <w:rFonts w:ascii="Times New Roman" w:eastAsia="Calibri" w:hAnsi="Times New Roman" w:cs="Times New Roman"/>
          <w:sz w:val="20"/>
          <w:szCs w:val="20"/>
        </w:rPr>
        <w:t xml:space="preserve"> a cohort admitted to an Acute Medical Unit at Queen’s Medical Centre in Nottingham </w:t>
      </w:r>
      <w:r>
        <w:rPr>
          <w:rFonts w:ascii="Times New Roman" w:eastAsia="Calibri" w:hAnsi="Times New Roman" w:cs="Times New Roman"/>
          <w:sz w:val="20"/>
          <w:szCs w:val="20"/>
        </w:rPr>
        <w:t>or Leicester Royal Infirmary.</w:t>
      </w:r>
      <w:r w:rsidRPr="00BA41A8">
        <w:rPr>
          <w:rFonts w:ascii="Times New Roman" w:eastAsia="Calibri" w:hAnsi="Times New Roman" w:cs="Times New Roman"/>
          <w:sz w:val="20"/>
          <w:szCs w:val="20"/>
          <w:vertAlign w:val="superscript"/>
        </w:rPr>
        <w:t>1</w:t>
      </w:r>
      <w:r>
        <w:rPr>
          <w:rFonts w:ascii="Times New Roman" w:eastAsia="Calibri" w:hAnsi="Times New Roman" w:cs="Times New Roman"/>
          <w:sz w:val="20"/>
          <w:szCs w:val="20"/>
          <w:vertAlign w:val="superscript"/>
        </w:rPr>
        <w:t>,2</w:t>
      </w:r>
      <w:r w:rsidRPr="00A61228">
        <w:rPr>
          <w:rFonts w:ascii="Times New Roman" w:eastAsia="Calibri" w:hAnsi="Times New Roman" w:cs="Times New Roman"/>
          <w:sz w:val="20"/>
          <w:szCs w:val="20"/>
        </w:rPr>
        <w:t xml:space="preserve"> </w:t>
      </w:r>
      <w:r>
        <w:rPr>
          <w:rFonts w:ascii="Times New Roman" w:eastAsia="Calibri" w:hAnsi="Times New Roman" w:cs="Times New Roman"/>
          <w:sz w:val="20"/>
          <w:szCs w:val="20"/>
        </w:rPr>
        <w:t>This cohort represented</w:t>
      </w:r>
      <w:r w:rsidRPr="00A61228">
        <w:rPr>
          <w:rFonts w:ascii="Times New Roman" w:eastAsia="Calibri" w:hAnsi="Times New Roman" w:cs="Times New Roman"/>
          <w:sz w:val="20"/>
          <w:szCs w:val="20"/>
        </w:rPr>
        <w:t xml:space="preserve"> a typical population of older people with an acute hospital admission and expectation of a relatively short treatment episode before discharge</w:t>
      </w:r>
      <w:r>
        <w:rPr>
          <w:rFonts w:ascii="Times New Roman" w:eastAsia="Calibri" w:hAnsi="Times New Roman" w:cs="Times New Roman"/>
          <w:sz w:val="20"/>
          <w:szCs w:val="20"/>
        </w:rPr>
        <w:t xml:space="preserve"> (&lt;72 hours)</w:t>
      </w:r>
      <w:r w:rsidRPr="00A61228">
        <w:rPr>
          <w:rFonts w:ascii="Times New Roman" w:eastAsia="Calibri" w:hAnsi="Times New Roman" w:cs="Times New Roman"/>
          <w:sz w:val="20"/>
          <w:szCs w:val="20"/>
        </w:rPr>
        <w:t>.</w:t>
      </w:r>
    </w:p>
    <w:p w14:paraId="6A744888" w14:textId="77777777" w:rsidR="005178B0" w:rsidRPr="00A61228" w:rsidRDefault="005178B0" w:rsidP="002C7B49">
      <w:pPr>
        <w:spacing w:after="160"/>
        <w:jc w:val="both"/>
        <w:rPr>
          <w:rFonts w:ascii="Times New Roman" w:eastAsia="Calibri" w:hAnsi="Times New Roman" w:cs="Times New Roman"/>
          <w:sz w:val="20"/>
          <w:szCs w:val="20"/>
        </w:rPr>
      </w:pPr>
      <w:r w:rsidRPr="00A61228">
        <w:rPr>
          <w:rFonts w:ascii="Times New Roman" w:eastAsia="Calibri" w:hAnsi="Times New Roman" w:cs="Times New Roman"/>
          <w:sz w:val="20"/>
          <w:szCs w:val="20"/>
        </w:rPr>
        <w:t xml:space="preserve">The Fried Phenotype model defines frailty as a clinical syndrome, where three or more of a set of criteria diagnoses an individual as frail. These are unintentional weight loss, self-reported exhaustion, grip strength, slow walking speed and low physical activity. The Leicester /Nottingham data included measures of weight loss, grip strength, self-reported energy levels, gait speed and self-reported physical activity (Table A4.1). The Rockwood deficit index </w:t>
      </w:r>
      <w:r>
        <w:rPr>
          <w:rFonts w:ascii="Times New Roman" w:eastAsia="Calibri" w:hAnsi="Times New Roman" w:cs="Times New Roman"/>
          <w:sz w:val="20"/>
          <w:szCs w:val="20"/>
        </w:rPr>
        <w:t>is</w:t>
      </w:r>
      <w:r w:rsidRPr="00A61228">
        <w:rPr>
          <w:rFonts w:ascii="Times New Roman" w:eastAsia="Calibri" w:hAnsi="Times New Roman" w:cs="Times New Roman"/>
          <w:sz w:val="20"/>
          <w:szCs w:val="20"/>
        </w:rPr>
        <w:t xml:space="preserve"> constructed from a list of 35 deficits; including some of the same individual variables that contribute to the Fried score. To calculate the score, an individual’s total number of deficits is divided by the total possible deficits to obtain a continuous score between 0 and 1. The variables used to construct the Rockwood Index are listed in Table A4.2.</w:t>
      </w:r>
    </w:p>
    <w:p w14:paraId="0A0F68DE" w14:textId="77777777" w:rsidR="005178B0" w:rsidRPr="00BA41A8" w:rsidRDefault="005178B0" w:rsidP="002C7B49">
      <w:pPr>
        <w:spacing w:after="160"/>
        <w:rPr>
          <w:rFonts w:ascii="Times New Roman" w:eastAsia="Calibri" w:hAnsi="Times New Roman" w:cs="Times New Roman"/>
          <w:b/>
          <w:sz w:val="20"/>
          <w:szCs w:val="20"/>
        </w:rPr>
      </w:pPr>
      <w:r w:rsidRPr="00BA41A8">
        <w:rPr>
          <w:rFonts w:ascii="Times New Roman" w:eastAsia="Calibri" w:hAnsi="Times New Roman" w:cs="Times New Roman"/>
          <w:b/>
          <w:sz w:val="20"/>
          <w:szCs w:val="20"/>
        </w:rPr>
        <w:t>Reference</w:t>
      </w:r>
      <w:r>
        <w:rPr>
          <w:rFonts w:ascii="Times New Roman" w:eastAsia="Calibri" w:hAnsi="Times New Roman" w:cs="Times New Roman"/>
          <w:b/>
          <w:sz w:val="20"/>
          <w:szCs w:val="20"/>
        </w:rPr>
        <w:t>s</w:t>
      </w:r>
    </w:p>
    <w:p w14:paraId="0C36CFDD" w14:textId="77777777" w:rsidR="005178B0" w:rsidRPr="002614C2" w:rsidRDefault="005178B0" w:rsidP="002C7B49">
      <w:pPr>
        <w:pStyle w:val="ListParagraph"/>
        <w:numPr>
          <w:ilvl w:val="0"/>
          <w:numId w:val="2"/>
        </w:numPr>
        <w:spacing w:after="160"/>
        <w:rPr>
          <w:rFonts w:eastAsia="Calibri"/>
          <w:sz w:val="20"/>
          <w:szCs w:val="20"/>
        </w:rPr>
      </w:pPr>
      <w:r w:rsidRPr="003B765B">
        <w:rPr>
          <w:rFonts w:eastAsia="Calibri"/>
          <w:sz w:val="20"/>
          <w:szCs w:val="20"/>
          <w:lang w:val="fr-FR"/>
        </w:rPr>
        <w:t xml:space="preserve">Edmans J, Bradshaw L, Gladman JRF, et al. </w:t>
      </w:r>
      <w:r w:rsidRPr="002614C2">
        <w:rPr>
          <w:rFonts w:eastAsia="Calibri"/>
          <w:sz w:val="20"/>
          <w:szCs w:val="20"/>
        </w:rPr>
        <w:t>The Identification of Seniors at Risk (ISAR) score to predict clinical outcomes and health service costs in older people discharged from UK acute medical units. Age and Ageing 2013; 42: 747-53.</w:t>
      </w:r>
    </w:p>
    <w:p w14:paraId="2DD10224" w14:textId="77777777" w:rsidR="005178B0" w:rsidRPr="002614C2" w:rsidRDefault="005178B0" w:rsidP="002C7B49">
      <w:pPr>
        <w:pStyle w:val="ListParagraph"/>
        <w:numPr>
          <w:ilvl w:val="0"/>
          <w:numId w:val="2"/>
        </w:numPr>
        <w:spacing w:after="160"/>
        <w:rPr>
          <w:rFonts w:eastAsia="Calibri"/>
          <w:sz w:val="20"/>
          <w:szCs w:val="20"/>
        </w:rPr>
      </w:pPr>
      <w:r w:rsidRPr="002614C2">
        <w:rPr>
          <w:rFonts w:eastAsia="Calibri"/>
          <w:sz w:val="20"/>
          <w:szCs w:val="20"/>
        </w:rPr>
        <w:t>Wou F, Gladman JRF, Bradshaw L, Franklin M, Edmans J, Conroy SP. The predictive properties of frailty-rating scales in the acute medical unit. Age and Ageing 2013; 42: 776-81.</w:t>
      </w:r>
    </w:p>
    <w:p w14:paraId="464BE30A" w14:textId="77777777" w:rsidR="005178B0" w:rsidRPr="00A61228" w:rsidRDefault="005178B0" w:rsidP="002C7B49">
      <w:pPr>
        <w:spacing w:after="160"/>
        <w:rPr>
          <w:rFonts w:ascii="Times New Roman" w:eastAsia="Calibri" w:hAnsi="Times New Roman" w:cs="Times New Roman"/>
          <w:sz w:val="20"/>
          <w:szCs w:val="20"/>
        </w:rPr>
      </w:pPr>
    </w:p>
    <w:p w14:paraId="6851C6CE"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t>Table A4.1 Variables used to construct Fried score</w:t>
      </w:r>
    </w:p>
    <w:tbl>
      <w:tblPr>
        <w:tblStyle w:val="LightShading1"/>
        <w:tblW w:w="9410" w:type="dxa"/>
        <w:tblLook w:val="04A0" w:firstRow="1" w:lastRow="0" w:firstColumn="1" w:lastColumn="0" w:noHBand="0" w:noVBand="1"/>
      </w:tblPr>
      <w:tblGrid>
        <w:gridCol w:w="1575"/>
        <w:gridCol w:w="3495"/>
        <w:gridCol w:w="4340"/>
      </w:tblGrid>
      <w:tr w:rsidR="005178B0" w:rsidRPr="00A61228" w14:paraId="0293A9F6" w14:textId="77777777" w:rsidTr="002C7B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noWrap/>
            <w:hideMark/>
          </w:tcPr>
          <w:p w14:paraId="2444B450"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ITEM</w:t>
            </w:r>
          </w:p>
        </w:tc>
        <w:tc>
          <w:tcPr>
            <w:tcW w:w="3495" w:type="dxa"/>
            <w:shd w:val="clear" w:color="auto" w:fill="auto"/>
            <w:noWrap/>
            <w:hideMark/>
          </w:tcPr>
          <w:p w14:paraId="7AC634FB" w14:textId="77777777" w:rsidR="005178B0" w:rsidRPr="00A61228" w:rsidRDefault="005178B0" w:rsidP="002C7B4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DETAILS</w:t>
            </w:r>
          </w:p>
        </w:tc>
        <w:tc>
          <w:tcPr>
            <w:tcW w:w="4340" w:type="dxa"/>
            <w:shd w:val="clear" w:color="auto" w:fill="auto"/>
            <w:noWrap/>
            <w:hideMark/>
          </w:tcPr>
          <w:p w14:paraId="20EB6BCF" w14:textId="77777777" w:rsidR="005178B0" w:rsidRPr="00A61228" w:rsidRDefault="005178B0" w:rsidP="002C7B4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Rules</w:t>
            </w:r>
          </w:p>
        </w:tc>
      </w:tr>
      <w:tr w:rsidR="005178B0" w:rsidRPr="00A61228" w14:paraId="67E40DB7"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noWrap/>
            <w:hideMark/>
          </w:tcPr>
          <w:p w14:paraId="75EBF9F6" w14:textId="77777777" w:rsidR="005178B0"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Nutritional status</w:t>
            </w:r>
          </w:p>
          <w:p w14:paraId="78E14A07" w14:textId="77777777" w:rsidR="005178B0" w:rsidRPr="00A61228" w:rsidRDefault="005178B0" w:rsidP="002C7B49">
            <w:pPr>
              <w:rPr>
                <w:rFonts w:ascii="Times New Roman" w:eastAsia="Times New Roman" w:hAnsi="Times New Roman" w:cs="Times New Roman"/>
                <w:sz w:val="20"/>
                <w:szCs w:val="20"/>
                <w:lang w:eastAsia="en-GB"/>
              </w:rPr>
            </w:pPr>
          </w:p>
        </w:tc>
        <w:tc>
          <w:tcPr>
            <w:tcW w:w="3495" w:type="dxa"/>
            <w:shd w:val="clear" w:color="auto" w:fill="auto"/>
            <w:noWrap/>
            <w:hideMark/>
          </w:tcPr>
          <w:p w14:paraId="75E1E274"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Weight loss &gt; 5kg in preceding year</w:t>
            </w:r>
          </w:p>
        </w:tc>
        <w:tc>
          <w:tcPr>
            <w:tcW w:w="4340" w:type="dxa"/>
            <w:shd w:val="clear" w:color="auto" w:fill="auto"/>
            <w:noWrap/>
            <w:hideMark/>
          </w:tcPr>
          <w:p w14:paraId="75B97C57"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weight_loss_gt5_12mths = 1</w:t>
            </w:r>
          </w:p>
        </w:tc>
      </w:tr>
      <w:tr w:rsidR="005178B0" w:rsidRPr="00A61228" w14:paraId="7721DA0B" w14:textId="77777777" w:rsidTr="002C7B49">
        <w:trPr>
          <w:trHeight w:val="1500"/>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noWrap/>
            <w:hideMark/>
          </w:tcPr>
          <w:p w14:paraId="32EF05EA"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Strength</w:t>
            </w:r>
          </w:p>
        </w:tc>
        <w:tc>
          <w:tcPr>
            <w:tcW w:w="3495" w:type="dxa"/>
            <w:shd w:val="clear" w:color="auto" w:fill="auto"/>
            <w:noWrap/>
            <w:hideMark/>
          </w:tcPr>
          <w:p w14:paraId="16C2B315"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Grip strength, lowest 20% in this population</w:t>
            </w:r>
          </w:p>
        </w:tc>
        <w:tc>
          <w:tcPr>
            <w:tcW w:w="4340" w:type="dxa"/>
            <w:shd w:val="clear" w:color="auto" w:fill="auto"/>
            <w:hideMark/>
          </w:tcPr>
          <w:p w14:paraId="465CF4A3"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Max grip strength value from left and right grip strength values. Lowest 20% of values from population stratified by gender and BMI = 1. Male BMI &lt;=24, 24.1-26, 26.1-28, 28+. Female BMI &lt;=23, 23.1-26, 26.1-29, 29+.</w:t>
            </w:r>
          </w:p>
        </w:tc>
      </w:tr>
      <w:tr w:rsidR="005178B0" w:rsidRPr="00A61228" w14:paraId="4EFF4841"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noWrap/>
            <w:hideMark/>
          </w:tcPr>
          <w:p w14:paraId="68B6C71D"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Energy</w:t>
            </w:r>
          </w:p>
        </w:tc>
        <w:tc>
          <w:tcPr>
            <w:tcW w:w="3495" w:type="dxa"/>
            <w:shd w:val="clear" w:color="auto" w:fill="auto"/>
            <w:noWrap/>
            <w:hideMark/>
          </w:tcPr>
          <w:p w14:paraId="47018BC3"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Do you feel full of energy? "no"</w:t>
            </w:r>
          </w:p>
        </w:tc>
        <w:tc>
          <w:tcPr>
            <w:tcW w:w="4340" w:type="dxa"/>
            <w:shd w:val="clear" w:color="auto" w:fill="auto"/>
            <w:noWrap/>
            <w:hideMark/>
          </w:tcPr>
          <w:p w14:paraId="215B84B8"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 xml:space="preserve">"No" </w:t>
            </w:r>
            <w:r>
              <w:rPr>
                <w:rFonts w:ascii="Times New Roman" w:eastAsia="Times New Roman" w:hAnsi="Times New Roman" w:cs="Times New Roman"/>
                <w:sz w:val="20"/>
                <w:szCs w:val="20"/>
                <w:lang w:eastAsia="en-GB"/>
              </w:rPr>
              <w:t>–</w:t>
            </w:r>
            <w:r w:rsidRPr="00A61228">
              <w:rPr>
                <w:rFonts w:ascii="Times New Roman" w:eastAsia="Times New Roman" w:hAnsi="Times New Roman" w:cs="Times New Roman"/>
                <w:sz w:val="20"/>
                <w:szCs w:val="20"/>
                <w:lang w:eastAsia="en-GB"/>
              </w:rPr>
              <w:t xml:space="preserve"> energy</w:t>
            </w:r>
          </w:p>
        </w:tc>
      </w:tr>
      <w:tr w:rsidR="005178B0" w:rsidRPr="00A61228" w14:paraId="43466447" w14:textId="77777777" w:rsidTr="002C7B49">
        <w:trPr>
          <w:trHeight w:val="1260"/>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noWrap/>
            <w:hideMark/>
          </w:tcPr>
          <w:p w14:paraId="3283D568"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Mobility</w:t>
            </w:r>
          </w:p>
        </w:tc>
        <w:tc>
          <w:tcPr>
            <w:tcW w:w="3495" w:type="dxa"/>
            <w:shd w:val="clear" w:color="auto" w:fill="auto"/>
            <w:noWrap/>
            <w:hideMark/>
          </w:tcPr>
          <w:p w14:paraId="069ED0EC"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Gait speed 2.4m walk, lowest 20%</w:t>
            </w:r>
          </w:p>
        </w:tc>
        <w:tc>
          <w:tcPr>
            <w:tcW w:w="4340" w:type="dxa"/>
            <w:shd w:val="clear" w:color="auto" w:fill="auto"/>
            <w:hideMark/>
          </w:tcPr>
          <w:p w14:paraId="15C1B4EB"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Slowest 20% of values stratified by gender and height = 1. Male Height &lt;=173,&gt;173. Female Height &lt;=159,&gt;159. If not able to walk 2.4m then given value of 1.</w:t>
            </w:r>
          </w:p>
        </w:tc>
      </w:tr>
      <w:tr w:rsidR="005178B0" w:rsidRPr="00A61228" w14:paraId="5DC77843" w14:textId="77777777" w:rsidTr="002C7B4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75" w:type="dxa"/>
            <w:shd w:val="clear" w:color="auto" w:fill="auto"/>
            <w:noWrap/>
            <w:hideMark/>
          </w:tcPr>
          <w:p w14:paraId="7E81C783"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Physical activity</w:t>
            </w:r>
          </w:p>
        </w:tc>
        <w:tc>
          <w:tcPr>
            <w:tcW w:w="3495" w:type="dxa"/>
            <w:shd w:val="clear" w:color="auto" w:fill="auto"/>
            <w:noWrap/>
            <w:hideMark/>
          </w:tcPr>
          <w:p w14:paraId="53CFF6FB"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EuroQol-5D</w:t>
            </w:r>
            <w:r w:rsidRPr="00A61228">
              <w:rPr>
                <w:rFonts w:ascii="Times New Roman" w:eastAsia="Times New Roman" w:hAnsi="Times New Roman" w:cs="Times New Roman"/>
                <w:sz w:val="20"/>
                <w:szCs w:val="20"/>
                <w:lang w:eastAsia="en-GB"/>
              </w:rPr>
              <w:t xml:space="preserve"> questions mobility, self-care, usual activities</w:t>
            </w:r>
          </w:p>
        </w:tc>
        <w:tc>
          <w:tcPr>
            <w:tcW w:w="4340" w:type="dxa"/>
            <w:shd w:val="clear" w:color="auto" w:fill="auto"/>
            <w:hideMark/>
          </w:tcPr>
          <w:p w14:paraId="6C42E7E7"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Sum EQ5D values for self-care, mobility and usual activities. Score &gt;=7/9 = 1.</w:t>
            </w:r>
          </w:p>
        </w:tc>
      </w:tr>
    </w:tbl>
    <w:p w14:paraId="485D792E" w14:textId="77777777" w:rsidR="005178B0" w:rsidRPr="00A61228" w:rsidRDefault="005178B0" w:rsidP="002C7B49">
      <w:pPr>
        <w:spacing w:after="160" w:line="259" w:lineRule="auto"/>
        <w:rPr>
          <w:rFonts w:ascii="Calibri" w:eastAsia="Calibri" w:hAnsi="Calibri" w:cs="Times New Roman"/>
          <w:sz w:val="20"/>
          <w:szCs w:val="20"/>
        </w:rPr>
      </w:pPr>
    </w:p>
    <w:p w14:paraId="44FEC78E" w14:textId="77777777" w:rsidR="005178B0" w:rsidRPr="00A61228" w:rsidRDefault="005178B0" w:rsidP="002C7B49">
      <w:pPr>
        <w:spacing w:after="160" w:line="259" w:lineRule="auto"/>
        <w:rPr>
          <w:rFonts w:ascii="Calibri" w:eastAsia="Calibri" w:hAnsi="Calibri" w:cs="Times New Roman"/>
          <w:b/>
          <w:sz w:val="20"/>
          <w:szCs w:val="20"/>
        </w:rPr>
      </w:pPr>
      <w:r w:rsidRPr="00A61228">
        <w:rPr>
          <w:rFonts w:ascii="Calibri" w:eastAsia="Calibri" w:hAnsi="Calibri" w:cs="Times New Roman"/>
          <w:b/>
          <w:sz w:val="20"/>
          <w:szCs w:val="20"/>
        </w:rPr>
        <w:br w:type="page"/>
      </w:r>
    </w:p>
    <w:p w14:paraId="7D3A775C" w14:textId="77777777" w:rsidR="005178B0" w:rsidRPr="00A61228" w:rsidRDefault="005178B0" w:rsidP="002C7B49">
      <w:pPr>
        <w:spacing w:after="160" w:line="259" w:lineRule="auto"/>
        <w:rPr>
          <w:rFonts w:ascii="Times New Roman" w:eastAsia="Calibri" w:hAnsi="Times New Roman" w:cs="Times New Roman"/>
          <w:b/>
          <w:sz w:val="20"/>
          <w:szCs w:val="20"/>
        </w:rPr>
      </w:pPr>
      <w:r w:rsidRPr="00A61228">
        <w:rPr>
          <w:rFonts w:ascii="Times New Roman" w:eastAsia="Calibri" w:hAnsi="Times New Roman" w:cs="Times New Roman"/>
          <w:b/>
          <w:sz w:val="20"/>
          <w:szCs w:val="20"/>
        </w:rPr>
        <w:lastRenderedPageBreak/>
        <w:t>Table A4.2 Variables used to construct Rockwood Index</w:t>
      </w:r>
    </w:p>
    <w:tbl>
      <w:tblPr>
        <w:tblStyle w:val="LightShading1"/>
        <w:tblW w:w="9039" w:type="dxa"/>
        <w:tblLook w:val="04A0" w:firstRow="1" w:lastRow="0" w:firstColumn="1" w:lastColumn="0" w:noHBand="0" w:noVBand="1"/>
      </w:tblPr>
      <w:tblGrid>
        <w:gridCol w:w="3652"/>
        <w:gridCol w:w="5387"/>
      </w:tblGrid>
      <w:tr w:rsidR="005178B0" w:rsidRPr="00A61228" w14:paraId="48633F55" w14:textId="77777777" w:rsidTr="002C7B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47021063"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ITEM</w:t>
            </w:r>
          </w:p>
        </w:tc>
        <w:tc>
          <w:tcPr>
            <w:tcW w:w="5387" w:type="dxa"/>
            <w:shd w:val="clear" w:color="auto" w:fill="auto"/>
            <w:noWrap/>
            <w:hideMark/>
          </w:tcPr>
          <w:p w14:paraId="353B8B7E" w14:textId="77777777" w:rsidR="005178B0" w:rsidRPr="00A61228" w:rsidRDefault="005178B0" w:rsidP="002C7B4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AMOS</w:t>
            </w:r>
            <w:r w:rsidRPr="00A61228">
              <w:rPr>
                <w:rFonts w:ascii="Times New Roman" w:eastAsia="Times New Roman" w:hAnsi="Times New Roman" w:cs="Times New Roman"/>
                <w:sz w:val="20"/>
                <w:szCs w:val="20"/>
                <w:lang w:eastAsia="en-GB"/>
              </w:rPr>
              <w:t xml:space="preserve"> Construction</w:t>
            </w:r>
          </w:p>
        </w:tc>
      </w:tr>
      <w:tr w:rsidR="005178B0" w:rsidRPr="00A61228" w14:paraId="4116C571"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2818290"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COPD</w:t>
            </w:r>
          </w:p>
        </w:tc>
        <w:tc>
          <w:tcPr>
            <w:tcW w:w="5387" w:type="dxa"/>
            <w:shd w:val="clear" w:color="auto" w:fill="auto"/>
            <w:noWrap/>
            <w:hideMark/>
          </w:tcPr>
          <w:p w14:paraId="5D7A8A41"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chronic_pulmory_disease = 1</w:t>
            </w:r>
          </w:p>
        </w:tc>
      </w:tr>
      <w:tr w:rsidR="005178B0" w:rsidRPr="00A61228" w14:paraId="36CF9B4F" w14:textId="77777777" w:rsidTr="002C7B49">
        <w:trPr>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1A1541F"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Cerebrovascular disease</w:t>
            </w:r>
          </w:p>
        </w:tc>
        <w:tc>
          <w:tcPr>
            <w:tcW w:w="5387" w:type="dxa"/>
            <w:shd w:val="clear" w:color="auto" w:fill="auto"/>
            <w:noWrap/>
            <w:hideMark/>
          </w:tcPr>
          <w:p w14:paraId="4524FB75"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cerebrovascular_disease = 1</w:t>
            </w:r>
          </w:p>
        </w:tc>
      </w:tr>
      <w:tr w:rsidR="005178B0" w:rsidRPr="00A61228" w14:paraId="33F57D4A"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5585FD70"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Congestive heart failure</w:t>
            </w:r>
          </w:p>
        </w:tc>
        <w:tc>
          <w:tcPr>
            <w:tcW w:w="5387" w:type="dxa"/>
            <w:shd w:val="clear" w:color="auto" w:fill="auto"/>
            <w:noWrap/>
            <w:hideMark/>
          </w:tcPr>
          <w:p w14:paraId="1058A66E"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 - congestive_heart_failure = 1</w:t>
            </w:r>
          </w:p>
        </w:tc>
      </w:tr>
      <w:tr w:rsidR="005178B0" w:rsidRPr="00A61228" w14:paraId="40AF8E75" w14:textId="77777777" w:rsidTr="002C7B49">
        <w:trPr>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6BD4439E"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Diabetes</w:t>
            </w:r>
          </w:p>
        </w:tc>
        <w:tc>
          <w:tcPr>
            <w:tcW w:w="5387" w:type="dxa"/>
            <w:shd w:val="clear" w:color="auto" w:fill="auto"/>
            <w:noWrap/>
            <w:hideMark/>
          </w:tcPr>
          <w:p w14:paraId="4932E608"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diabetes = 1</w:t>
            </w:r>
          </w:p>
        </w:tc>
      </w:tr>
      <w:tr w:rsidR="005178B0" w:rsidRPr="00A61228" w14:paraId="2D0A1814"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9F8F845"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Dementia</w:t>
            </w:r>
          </w:p>
        </w:tc>
        <w:tc>
          <w:tcPr>
            <w:tcW w:w="5387" w:type="dxa"/>
            <w:shd w:val="clear" w:color="auto" w:fill="auto"/>
            <w:noWrap/>
            <w:hideMark/>
          </w:tcPr>
          <w:p w14:paraId="4F5939C5"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dementia = 1</w:t>
            </w:r>
          </w:p>
        </w:tc>
      </w:tr>
      <w:tr w:rsidR="005178B0" w:rsidRPr="00A61228" w14:paraId="6AA43BB7" w14:textId="77777777" w:rsidTr="002C7B49">
        <w:trPr>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774A851D"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Liver Disease</w:t>
            </w:r>
          </w:p>
        </w:tc>
        <w:tc>
          <w:tcPr>
            <w:tcW w:w="5387" w:type="dxa"/>
            <w:shd w:val="clear" w:color="auto" w:fill="auto"/>
            <w:noWrap/>
            <w:hideMark/>
          </w:tcPr>
          <w:p w14:paraId="00E19F2D"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3 - liver_disease = 1</w:t>
            </w:r>
          </w:p>
        </w:tc>
      </w:tr>
      <w:tr w:rsidR="005178B0" w:rsidRPr="00A61228" w14:paraId="53B4BA97"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3993C86E"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Myocardial infarction</w:t>
            </w:r>
          </w:p>
        </w:tc>
        <w:tc>
          <w:tcPr>
            <w:tcW w:w="5387" w:type="dxa"/>
            <w:shd w:val="clear" w:color="auto" w:fill="auto"/>
            <w:noWrap/>
            <w:hideMark/>
          </w:tcPr>
          <w:p w14:paraId="757CE6F2"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myocardial_infarct = 1</w:t>
            </w:r>
          </w:p>
        </w:tc>
      </w:tr>
      <w:tr w:rsidR="005178B0" w:rsidRPr="00A61228" w14:paraId="3642D069" w14:textId="77777777" w:rsidTr="002C7B49">
        <w:trPr>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57670341"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Renal disease</w:t>
            </w:r>
          </w:p>
        </w:tc>
        <w:tc>
          <w:tcPr>
            <w:tcW w:w="5387" w:type="dxa"/>
            <w:shd w:val="clear" w:color="auto" w:fill="auto"/>
            <w:noWrap/>
            <w:hideMark/>
          </w:tcPr>
          <w:p w14:paraId="25F4AAA2"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rel_disease = 1</w:t>
            </w:r>
          </w:p>
        </w:tc>
      </w:tr>
      <w:tr w:rsidR="005178B0" w:rsidRPr="00A61228" w14:paraId="25BC7F96"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3C421187"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Tumour</w:t>
            </w:r>
          </w:p>
        </w:tc>
        <w:tc>
          <w:tcPr>
            <w:tcW w:w="5387" w:type="dxa"/>
            <w:shd w:val="clear" w:color="auto" w:fill="auto"/>
            <w:noWrap/>
            <w:hideMark/>
          </w:tcPr>
          <w:p w14:paraId="4DA74986"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tumour = 1</w:t>
            </w:r>
          </w:p>
        </w:tc>
      </w:tr>
      <w:tr w:rsidR="005178B0" w:rsidRPr="00A61228" w14:paraId="52B8D5D8" w14:textId="77777777" w:rsidTr="002C7B49">
        <w:trPr>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4B77522B"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Ulcer disease</w:t>
            </w:r>
          </w:p>
        </w:tc>
        <w:tc>
          <w:tcPr>
            <w:tcW w:w="5387" w:type="dxa"/>
            <w:shd w:val="clear" w:color="auto" w:fill="auto"/>
            <w:noWrap/>
            <w:hideMark/>
          </w:tcPr>
          <w:p w14:paraId="3B9809B2"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ulcer_disease = 1</w:t>
            </w:r>
          </w:p>
        </w:tc>
      </w:tr>
      <w:tr w:rsidR="005178B0" w:rsidRPr="00A61228" w14:paraId="613C391A"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17F093B1"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Peripheral vascular disease</w:t>
            </w:r>
          </w:p>
        </w:tc>
        <w:tc>
          <w:tcPr>
            <w:tcW w:w="5387" w:type="dxa"/>
            <w:shd w:val="clear" w:color="auto" w:fill="auto"/>
            <w:noWrap/>
            <w:hideMark/>
          </w:tcPr>
          <w:p w14:paraId="035EA713"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peripheral_vascular_disease = 1</w:t>
            </w:r>
          </w:p>
        </w:tc>
      </w:tr>
      <w:tr w:rsidR="005178B0" w:rsidRPr="00A61228" w14:paraId="446C4D29" w14:textId="77777777" w:rsidTr="002C7B49">
        <w:trPr>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5E6772EF"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Recent falls</w:t>
            </w:r>
          </w:p>
        </w:tc>
        <w:tc>
          <w:tcPr>
            <w:tcW w:w="5387" w:type="dxa"/>
            <w:shd w:val="clear" w:color="auto" w:fill="auto"/>
            <w:noWrap/>
            <w:hideMark/>
          </w:tcPr>
          <w:p w14:paraId="41B12885"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fall = 1</w:t>
            </w:r>
          </w:p>
        </w:tc>
      </w:tr>
      <w:tr w:rsidR="005178B0" w:rsidRPr="00A61228" w14:paraId="37F58446"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09D8E561"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Pressure sore</w:t>
            </w:r>
          </w:p>
        </w:tc>
        <w:tc>
          <w:tcPr>
            <w:tcW w:w="5387" w:type="dxa"/>
            <w:shd w:val="clear" w:color="auto" w:fill="auto"/>
            <w:noWrap/>
            <w:hideMark/>
          </w:tcPr>
          <w:p w14:paraId="60E478A7"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 - current_pressure_sores = 1</w:t>
            </w:r>
          </w:p>
        </w:tc>
      </w:tr>
      <w:tr w:rsidR="005178B0" w:rsidRPr="00A61228" w14:paraId="251155FA" w14:textId="77777777" w:rsidTr="002C7B49">
        <w:trPr>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60E03098"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Polypharmacy (&gt;3 meds every day)</w:t>
            </w:r>
          </w:p>
        </w:tc>
        <w:tc>
          <w:tcPr>
            <w:tcW w:w="5387" w:type="dxa"/>
            <w:shd w:val="clear" w:color="auto" w:fill="auto"/>
            <w:noWrap/>
            <w:hideMark/>
          </w:tcPr>
          <w:p w14:paraId="13B515C8"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polypharmacy = 1</w:t>
            </w:r>
          </w:p>
        </w:tc>
      </w:tr>
      <w:tr w:rsidR="005178B0" w:rsidRPr="00A61228" w14:paraId="43F94531"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51C13C4"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Do you see well</w:t>
            </w:r>
          </w:p>
        </w:tc>
        <w:tc>
          <w:tcPr>
            <w:tcW w:w="5387" w:type="dxa"/>
            <w:shd w:val="clear" w:color="auto" w:fill="auto"/>
            <w:noWrap/>
            <w:hideMark/>
          </w:tcPr>
          <w:p w14:paraId="412F05AB"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sight = 1</w:t>
            </w:r>
          </w:p>
        </w:tc>
      </w:tr>
      <w:tr w:rsidR="005178B0" w:rsidRPr="00A61228" w14:paraId="3F69C2CB" w14:textId="77777777" w:rsidTr="002C7B49">
        <w:trPr>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4CE03AFF"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Do you have serious problems with memory</w:t>
            </w:r>
          </w:p>
        </w:tc>
        <w:tc>
          <w:tcPr>
            <w:tcW w:w="5387" w:type="dxa"/>
            <w:shd w:val="clear" w:color="auto" w:fill="auto"/>
            <w:noWrap/>
            <w:hideMark/>
          </w:tcPr>
          <w:p w14:paraId="51442C71"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memory = 1</w:t>
            </w:r>
          </w:p>
        </w:tc>
      </w:tr>
      <w:tr w:rsidR="005178B0" w:rsidRPr="00A61228" w14:paraId="50A36E60"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5762B41F"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Do you feel full of energy</w:t>
            </w:r>
          </w:p>
        </w:tc>
        <w:tc>
          <w:tcPr>
            <w:tcW w:w="5387" w:type="dxa"/>
            <w:shd w:val="clear" w:color="auto" w:fill="auto"/>
            <w:noWrap/>
            <w:hideMark/>
          </w:tcPr>
          <w:p w14:paraId="00A4E2F4"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"No" - energy = 1</w:t>
            </w:r>
          </w:p>
        </w:tc>
      </w:tr>
      <w:tr w:rsidR="005178B0" w:rsidRPr="00A61228" w14:paraId="53074A66" w14:textId="77777777" w:rsidTr="002C7B49">
        <w:trPr>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8CE3A82"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Weight loss &gt;5kg in past 12 months</w:t>
            </w:r>
          </w:p>
        </w:tc>
        <w:tc>
          <w:tcPr>
            <w:tcW w:w="5387" w:type="dxa"/>
            <w:shd w:val="clear" w:color="auto" w:fill="auto"/>
            <w:noWrap/>
            <w:hideMark/>
          </w:tcPr>
          <w:p w14:paraId="0AA7662C"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"Yes" - weight_loss_gt5_12mths</w:t>
            </w:r>
          </w:p>
        </w:tc>
      </w:tr>
      <w:tr w:rsidR="005178B0" w:rsidRPr="00A61228" w14:paraId="608D3226" w14:textId="77777777" w:rsidTr="002C7B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59BE0F88"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MMSE&lt;24/30</w:t>
            </w:r>
          </w:p>
        </w:tc>
        <w:tc>
          <w:tcPr>
            <w:tcW w:w="5387" w:type="dxa"/>
            <w:shd w:val="clear" w:color="auto" w:fill="auto"/>
            <w:noWrap/>
            <w:hideMark/>
          </w:tcPr>
          <w:p w14:paraId="6B66C47F"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Total of mmse1-11 &lt;24 = 1</w:t>
            </w:r>
          </w:p>
        </w:tc>
      </w:tr>
      <w:tr w:rsidR="005178B0" w:rsidRPr="00A61228" w14:paraId="0D842F9E" w14:textId="77777777" w:rsidTr="002C7B49">
        <w:trPr>
          <w:trHeight w:val="227"/>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3C9B8F1"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Gait speed</w:t>
            </w:r>
          </w:p>
        </w:tc>
        <w:tc>
          <w:tcPr>
            <w:tcW w:w="5387" w:type="dxa"/>
            <w:shd w:val="clear" w:color="auto" w:fill="auto"/>
            <w:hideMark/>
          </w:tcPr>
          <w:p w14:paraId="0CC8C6ED"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Slowest 20% of values stratified by gender and height . Male Height &lt;=173,&gt;173. Female Height &lt;=159,&gt;159. - ability_to_walk_time = 1 If not able to walk 2.4m then given value of 1.</w:t>
            </w:r>
          </w:p>
        </w:tc>
      </w:tr>
      <w:tr w:rsidR="005178B0" w:rsidRPr="00A61228" w14:paraId="6D37CAA4" w14:textId="77777777" w:rsidTr="002C7B4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32378BF"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Grip strength</w:t>
            </w:r>
          </w:p>
        </w:tc>
        <w:tc>
          <w:tcPr>
            <w:tcW w:w="5387" w:type="dxa"/>
            <w:shd w:val="clear" w:color="auto" w:fill="auto"/>
            <w:hideMark/>
          </w:tcPr>
          <w:p w14:paraId="22DC01A5"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Lowest 20% of values stratified by gender and BMI = 1. Male BMI &lt;=24, 24.1-26, 26.1-28, 28+. Female BMI &lt;=23, 23.1-26, 26.1-29, 29+. - nt_max_grip = 1</w:t>
            </w:r>
          </w:p>
        </w:tc>
      </w:tr>
      <w:tr w:rsidR="005178B0" w:rsidRPr="00A61228" w14:paraId="7280982B" w14:textId="77777777" w:rsidTr="002C7B49">
        <w:trPr>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1065DC28"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Calf circumference</w:t>
            </w:r>
          </w:p>
        </w:tc>
        <w:tc>
          <w:tcPr>
            <w:tcW w:w="5387" w:type="dxa"/>
            <w:shd w:val="clear" w:color="auto" w:fill="auto"/>
            <w:noWrap/>
            <w:hideMark/>
          </w:tcPr>
          <w:p w14:paraId="2EBBB7A2"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Lowest 20% of values - nt_max_calf = 1</w:t>
            </w:r>
          </w:p>
        </w:tc>
      </w:tr>
      <w:tr w:rsidR="005178B0" w:rsidRPr="00A61228" w14:paraId="1035B467" w14:textId="77777777" w:rsidTr="002C7B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4A5A8D0D"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Mid arm circumference</w:t>
            </w:r>
          </w:p>
        </w:tc>
        <w:tc>
          <w:tcPr>
            <w:tcW w:w="5387" w:type="dxa"/>
            <w:shd w:val="clear" w:color="auto" w:fill="auto"/>
            <w:noWrap/>
            <w:hideMark/>
          </w:tcPr>
          <w:p w14:paraId="0EE20710"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Lowest 20% of values - nt_max_muac = 1</w:t>
            </w:r>
          </w:p>
        </w:tc>
      </w:tr>
      <w:tr w:rsidR="005178B0" w:rsidRPr="00A61228" w14:paraId="35A89CA4" w14:textId="77777777" w:rsidTr="002C7B49">
        <w:trPr>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775680BF"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Difficulty with concentration</w:t>
            </w:r>
          </w:p>
        </w:tc>
        <w:tc>
          <w:tcPr>
            <w:tcW w:w="5387" w:type="dxa"/>
            <w:shd w:val="clear" w:color="auto" w:fill="auto"/>
            <w:noWrap/>
            <w:hideMark/>
          </w:tcPr>
          <w:p w14:paraId="4C961B78"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 = 0 / 1,2 = 0.5 / 3 = 1 - nt_concentration</w:t>
            </w:r>
          </w:p>
        </w:tc>
      </w:tr>
      <w:tr w:rsidR="005178B0" w:rsidRPr="00A61228" w14:paraId="076B94AF" w14:textId="77777777" w:rsidTr="002C7B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08E1573"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lastRenderedPageBreak/>
              <w:t>Sleep loss over worry</w:t>
            </w:r>
          </w:p>
        </w:tc>
        <w:tc>
          <w:tcPr>
            <w:tcW w:w="5387" w:type="dxa"/>
            <w:shd w:val="clear" w:color="auto" w:fill="auto"/>
            <w:noWrap/>
            <w:hideMark/>
          </w:tcPr>
          <w:p w14:paraId="05D99667"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 = 0 / 1 = 0.5 / 2/3 = 1 - nt_sleep</w:t>
            </w:r>
          </w:p>
        </w:tc>
      </w:tr>
      <w:tr w:rsidR="005178B0" w:rsidRPr="00A61228" w14:paraId="50223705" w14:textId="77777777" w:rsidTr="002C7B49">
        <w:trPr>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4533B7F2"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Feel depressed</w:t>
            </w:r>
          </w:p>
        </w:tc>
        <w:tc>
          <w:tcPr>
            <w:tcW w:w="5387" w:type="dxa"/>
            <w:shd w:val="clear" w:color="auto" w:fill="auto"/>
            <w:noWrap/>
            <w:hideMark/>
          </w:tcPr>
          <w:p w14:paraId="6C24857F"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 = 0 / 1,2 = 0.5 / 3 = 1 - nt_depressed</w:t>
            </w:r>
          </w:p>
        </w:tc>
      </w:tr>
      <w:tr w:rsidR="005178B0" w:rsidRPr="00A61228" w14:paraId="7B18DF52" w14:textId="77777777" w:rsidTr="002C7B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4BA5AB95"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Help feeding</w:t>
            </w:r>
          </w:p>
        </w:tc>
        <w:tc>
          <w:tcPr>
            <w:tcW w:w="5387" w:type="dxa"/>
            <w:shd w:val="clear" w:color="auto" w:fill="auto"/>
            <w:noWrap/>
            <w:hideMark/>
          </w:tcPr>
          <w:p w14:paraId="2DB45B21"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0,1 - feed_bi = 1</w:t>
            </w:r>
          </w:p>
        </w:tc>
      </w:tr>
      <w:tr w:rsidR="005178B0" w:rsidRPr="00A61228" w14:paraId="3B43ADA6" w14:textId="77777777" w:rsidTr="002C7B49">
        <w:trPr>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043C40EF"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Help dressing</w:t>
            </w:r>
          </w:p>
        </w:tc>
        <w:tc>
          <w:tcPr>
            <w:tcW w:w="5387" w:type="dxa"/>
            <w:shd w:val="clear" w:color="auto" w:fill="auto"/>
            <w:noWrap/>
            <w:hideMark/>
          </w:tcPr>
          <w:p w14:paraId="1693B2EB"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0,1 - dressing_i = 1</w:t>
            </w:r>
          </w:p>
        </w:tc>
      </w:tr>
      <w:tr w:rsidR="005178B0" w:rsidRPr="00A61228" w14:paraId="694F5EF4" w14:textId="77777777" w:rsidTr="002C7B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E698FB3"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Help bathing</w:t>
            </w:r>
          </w:p>
        </w:tc>
        <w:tc>
          <w:tcPr>
            <w:tcW w:w="5387" w:type="dxa"/>
            <w:shd w:val="clear" w:color="auto" w:fill="auto"/>
            <w:noWrap/>
            <w:hideMark/>
          </w:tcPr>
          <w:p w14:paraId="22BA8A10"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0 - bath_bi = 1</w:t>
            </w:r>
          </w:p>
        </w:tc>
      </w:tr>
      <w:tr w:rsidR="005178B0" w:rsidRPr="00A61228" w14:paraId="42EE5490" w14:textId="77777777" w:rsidTr="002C7B49">
        <w:trPr>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4FA99FF"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Help grooming</w:t>
            </w:r>
          </w:p>
        </w:tc>
        <w:tc>
          <w:tcPr>
            <w:tcW w:w="5387" w:type="dxa"/>
            <w:shd w:val="clear" w:color="auto" w:fill="auto"/>
            <w:noWrap/>
            <w:hideMark/>
          </w:tcPr>
          <w:p w14:paraId="3CF29FEE"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0 - groom_bi = 1</w:t>
            </w:r>
          </w:p>
        </w:tc>
      </w:tr>
      <w:tr w:rsidR="005178B0" w:rsidRPr="00A61228" w14:paraId="74C33BFE" w14:textId="77777777" w:rsidTr="002C7B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4C2EEFC1"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Bladder incontinence</w:t>
            </w:r>
          </w:p>
        </w:tc>
        <w:tc>
          <w:tcPr>
            <w:tcW w:w="5387" w:type="dxa"/>
            <w:shd w:val="clear" w:color="auto" w:fill="auto"/>
            <w:noWrap/>
            <w:hideMark/>
          </w:tcPr>
          <w:p w14:paraId="3FB097FB"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0,1 - incontu_bi = 1</w:t>
            </w:r>
          </w:p>
        </w:tc>
      </w:tr>
      <w:tr w:rsidR="005178B0" w:rsidRPr="00A61228" w14:paraId="4F606A1B" w14:textId="77777777" w:rsidTr="002C7B49">
        <w:trPr>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00E167E1"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Bowel incontinence</w:t>
            </w:r>
          </w:p>
        </w:tc>
        <w:tc>
          <w:tcPr>
            <w:tcW w:w="5387" w:type="dxa"/>
            <w:shd w:val="clear" w:color="auto" w:fill="auto"/>
            <w:noWrap/>
            <w:hideMark/>
          </w:tcPr>
          <w:p w14:paraId="625AC5BA"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0,1 - incontb_bi = 1</w:t>
            </w:r>
          </w:p>
        </w:tc>
      </w:tr>
      <w:tr w:rsidR="005178B0" w:rsidRPr="00A61228" w14:paraId="38E986B1" w14:textId="77777777" w:rsidTr="002C7B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40D36493"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Help transferring</w:t>
            </w:r>
          </w:p>
        </w:tc>
        <w:tc>
          <w:tcPr>
            <w:tcW w:w="5387" w:type="dxa"/>
            <w:shd w:val="clear" w:color="auto" w:fill="auto"/>
            <w:noWrap/>
            <w:hideMark/>
          </w:tcPr>
          <w:p w14:paraId="08C64248"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0,1,2 - transfer_i = 1</w:t>
            </w:r>
          </w:p>
        </w:tc>
      </w:tr>
      <w:tr w:rsidR="005178B0" w:rsidRPr="00A61228" w14:paraId="21A41AAC" w14:textId="77777777" w:rsidTr="002C7B49">
        <w:trPr>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71E11987"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Help up/down stairs</w:t>
            </w:r>
          </w:p>
        </w:tc>
        <w:tc>
          <w:tcPr>
            <w:tcW w:w="5387" w:type="dxa"/>
            <w:shd w:val="clear" w:color="auto" w:fill="auto"/>
            <w:noWrap/>
            <w:hideMark/>
          </w:tcPr>
          <w:p w14:paraId="639D3917" w14:textId="77777777" w:rsidR="005178B0" w:rsidRPr="00A61228" w:rsidRDefault="005178B0" w:rsidP="002C7B4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0,1 - stairs_i = 1</w:t>
            </w:r>
          </w:p>
        </w:tc>
      </w:tr>
      <w:tr w:rsidR="005178B0" w:rsidRPr="00A61228" w14:paraId="54E0D684" w14:textId="77777777" w:rsidTr="002C7B4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noWrap/>
            <w:hideMark/>
          </w:tcPr>
          <w:p w14:paraId="2FA000DE" w14:textId="77777777" w:rsidR="005178B0" w:rsidRPr="00A61228" w:rsidRDefault="005178B0" w:rsidP="002C7B49">
            <w:pPr>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Help with mobility</w:t>
            </w:r>
          </w:p>
        </w:tc>
        <w:tc>
          <w:tcPr>
            <w:tcW w:w="5387" w:type="dxa"/>
            <w:shd w:val="clear" w:color="auto" w:fill="auto"/>
            <w:noWrap/>
            <w:hideMark/>
          </w:tcPr>
          <w:p w14:paraId="284E09F5" w14:textId="77777777" w:rsidR="005178B0" w:rsidRPr="00A61228" w:rsidRDefault="005178B0" w:rsidP="002C7B4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A61228">
              <w:rPr>
                <w:rFonts w:ascii="Times New Roman" w:eastAsia="Times New Roman" w:hAnsi="Times New Roman" w:cs="Times New Roman"/>
                <w:sz w:val="20"/>
                <w:szCs w:val="20"/>
                <w:lang w:eastAsia="en-GB"/>
              </w:rPr>
              <w:t>0,1,2 - mob_bi = 1</w:t>
            </w:r>
          </w:p>
        </w:tc>
      </w:tr>
    </w:tbl>
    <w:p w14:paraId="50926FFA" w14:textId="77777777" w:rsidR="005178B0" w:rsidRDefault="005178B0" w:rsidP="002C7B49">
      <w:pPr>
        <w:spacing w:after="160" w:line="259" w:lineRule="auto"/>
        <w:rPr>
          <w:rFonts w:ascii="Calibri" w:eastAsia="Calibri" w:hAnsi="Calibri" w:cs="Times New Roman"/>
          <w:b/>
          <w:sz w:val="20"/>
          <w:szCs w:val="20"/>
        </w:rPr>
      </w:pPr>
    </w:p>
    <w:p w14:paraId="1CDEA47C" w14:textId="77777777" w:rsidR="005178B0" w:rsidRDefault="005178B0">
      <w:pPr>
        <w:rPr>
          <w:rFonts w:ascii="Calibri" w:eastAsia="Calibri" w:hAnsi="Calibri" w:cs="Times New Roman"/>
          <w:b/>
          <w:sz w:val="20"/>
          <w:szCs w:val="20"/>
        </w:rPr>
      </w:pPr>
      <w:r>
        <w:rPr>
          <w:rFonts w:ascii="Calibri" w:eastAsia="Calibri" w:hAnsi="Calibri" w:cs="Times New Roman"/>
          <w:b/>
          <w:sz w:val="20"/>
          <w:szCs w:val="20"/>
        </w:rPr>
        <w:br w:type="page"/>
      </w:r>
    </w:p>
    <w:p w14:paraId="2458FAA5" w14:textId="77777777" w:rsidR="005178B0" w:rsidRDefault="005178B0" w:rsidP="002C7B49">
      <w:pPr>
        <w:spacing w:after="160" w:line="259" w:lineRule="auto"/>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APPENDIX 5 </w:t>
      </w:r>
      <w:r w:rsidRPr="00AD0663">
        <w:rPr>
          <w:rFonts w:ascii="Times New Roman" w:eastAsia="Calibri" w:hAnsi="Times New Roman" w:cs="Times New Roman"/>
          <w:b/>
          <w:sz w:val="20"/>
          <w:szCs w:val="20"/>
        </w:rPr>
        <w:t>Models used to estimate associations of hospital frailty risk score to outcomes – sensitivity analysis</w:t>
      </w:r>
    </w:p>
    <w:p w14:paraId="04945E5E" w14:textId="77777777" w:rsidR="005178B0" w:rsidRDefault="005178B0" w:rsidP="002C7B49">
      <w:pPr>
        <w:spacing w:after="160" w:line="259" w:lineRule="auto"/>
        <w:rPr>
          <w:rFonts w:ascii="Times New Roman" w:eastAsia="Calibri" w:hAnsi="Times New Roman" w:cs="Times New Roman"/>
          <w:sz w:val="20"/>
          <w:szCs w:val="20"/>
        </w:rPr>
      </w:pPr>
      <w:r w:rsidRPr="00AD0663">
        <w:rPr>
          <w:rFonts w:ascii="Times New Roman" w:eastAsia="Calibri" w:hAnsi="Times New Roman" w:cs="Times New Roman"/>
          <w:sz w:val="20"/>
          <w:szCs w:val="20"/>
        </w:rPr>
        <w:t>The national validation cohort used in the original analysis presented in the main paper included 1,013,590 patients aged 75 years or older with an emergency admission to an NHS hospital in England in 2014/15. This cohort was used to estimate the association of frailty risk to 30-day mortality, long length of stay (&gt;10 days in hospital) and emergency readmission within 30 days of discharge.</w:t>
      </w:r>
      <w:r>
        <w:rPr>
          <w:rFonts w:ascii="Times New Roman" w:eastAsia="Calibri" w:hAnsi="Times New Roman" w:cs="Times New Roman"/>
          <w:sz w:val="20"/>
          <w:szCs w:val="20"/>
        </w:rPr>
        <w:t xml:space="preserve"> </w:t>
      </w:r>
      <w:r w:rsidRPr="00AD0663">
        <w:rPr>
          <w:rFonts w:ascii="Times New Roman" w:eastAsia="Calibri" w:hAnsi="Times New Roman" w:cs="Times New Roman"/>
          <w:sz w:val="20"/>
          <w:szCs w:val="20"/>
        </w:rPr>
        <w:t>This cohort included 10,256 patients who were previously included in the development cohort used to develop the hospital frailty risk score (see Table S1 below). Because this group only represented 1</w:t>
      </w:r>
      <w:r>
        <w:rPr>
          <w:rFonts w:ascii="Times New Roman" w:eastAsia="Calibri" w:hAnsi="Times New Roman" w:cs="Times New Roman"/>
          <w:sz w:val="20"/>
          <w:szCs w:val="20"/>
        </w:rPr>
        <w:t>·</w:t>
      </w:r>
      <w:r w:rsidRPr="00AD0663">
        <w:rPr>
          <w:rFonts w:ascii="Times New Roman" w:eastAsia="Calibri" w:hAnsi="Times New Roman" w:cs="Times New Roman"/>
          <w:sz w:val="20"/>
          <w:szCs w:val="20"/>
        </w:rPr>
        <w:t>0% of the national validation cohort, they were not dropped from the original analysis. Below are the results for a sensitivity analysis for a national validation cohort of 1,003,334 patients excluding people included in the development cohort. This confirms that the results of the analysis are not sensitive to the inclusion or exclusion of people included in the development cohort.</w:t>
      </w:r>
    </w:p>
    <w:p w14:paraId="4AF4E822" w14:textId="77777777" w:rsidR="005178B0" w:rsidRPr="00AD0663" w:rsidRDefault="005178B0" w:rsidP="002C7B49">
      <w:pPr>
        <w:spacing w:after="160" w:line="259" w:lineRule="auto"/>
        <w:rPr>
          <w:rFonts w:ascii="Times New Roman" w:eastAsia="Calibri" w:hAnsi="Times New Roman" w:cs="Times New Roman"/>
          <w:i/>
          <w:sz w:val="20"/>
          <w:szCs w:val="20"/>
        </w:rPr>
      </w:pPr>
      <w:r w:rsidRPr="00AD0663">
        <w:rPr>
          <w:rFonts w:ascii="Times New Roman" w:eastAsia="Calibri" w:hAnsi="Times New Roman" w:cs="Times New Roman"/>
          <w:i/>
          <w:sz w:val="20"/>
          <w:szCs w:val="20"/>
        </w:rPr>
        <w:t>Table S1 Characteristics of three cohorts of hospitalised older people used in development and validation work, Hospital Episode Statistics (HES)</w:t>
      </w:r>
    </w:p>
    <w:tbl>
      <w:tblPr>
        <w:tblStyle w:val="LightShading"/>
        <w:tblW w:w="9468" w:type="dxa"/>
        <w:tblLook w:val="04A0" w:firstRow="1" w:lastRow="0" w:firstColumn="1" w:lastColumn="0" w:noHBand="0" w:noVBand="1"/>
      </w:tblPr>
      <w:tblGrid>
        <w:gridCol w:w="2988"/>
        <w:gridCol w:w="2160"/>
        <w:gridCol w:w="2160"/>
        <w:gridCol w:w="2160"/>
      </w:tblGrid>
      <w:tr w:rsidR="005178B0" w:rsidRPr="00AD0663" w14:paraId="669AB444" w14:textId="77777777" w:rsidTr="002C7B49">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tcPr>
          <w:p w14:paraId="307A2BBB" w14:textId="77777777" w:rsidR="005178B0" w:rsidRPr="00AD0663" w:rsidRDefault="005178B0" w:rsidP="002C7B49">
            <w:pPr>
              <w:spacing w:after="160" w:line="259" w:lineRule="auto"/>
              <w:rPr>
                <w:rFonts w:ascii="Times New Roman" w:eastAsia="Calibri" w:hAnsi="Times New Roman" w:cs="Times New Roman"/>
                <w:b w:val="0"/>
                <w:sz w:val="20"/>
                <w:szCs w:val="20"/>
              </w:rPr>
            </w:pPr>
          </w:p>
        </w:tc>
        <w:tc>
          <w:tcPr>
            <w:tcW w:w="2160" w:type="dxa"/>
            <w:shd w:val="clear" w:color="auto" w:fill="auto"/>
          </w:tcPr>
          <w:p w14:paraId="59EC746E" w14:textId="77777777" w:rsidR="005178B0" w:rsidRPr="00AD0663" w:rsidRDefault="005178B0" w:rsidP="002C7B49">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Development cohortᵃ</w:t>
            </w:r>
          </w:p>
          <w:p w14:paraId="5F3B9572" w14:textId="77777777" w:rsidR="005178B0" w:rsidRPr="00AD0663" w:rsidRDefault="005178B0" w:rsidP="002C7B49">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(n = 22,139)</w:t>
            </w:r>
          </w:p>
        </w:tc>
        <w:tc>
          <w:tcPr>
            <w:tcW w:w="2160" w:type="dxa"/>
            <w:shd w:val="clear" w:color="auto" w:fill="auto"/>
          </w:tcPr>
          <w:p w14:paraId="0BE12F6D" w14:textId="77777777" w:rsidR="005178B0" w:rsidRPr="00AD0663" w:rsidRDefault="005178B0" w:rsidP="002C7B49">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National validation cohortᵇ</w:t>
            </w:r>
          </w:p>
          <w:p w14:paraId="58E5297C" w14:textId="77777777" w:rsidR="005178B0" w:rsidRPr="00AD0663" w:rsidRDefault="005178B0" w:rsidP="002C7B49">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(n = 1,013,590)</w:t>
            </w:r>
          </w:p>
        </w:tc>
        <w:tc>
          <w:tcPr>
            <w:tcW w:w="2160" w:type="dxa"/>
            <w:shd w:val="clear" w:color="auto" w:fill="auto"/>
          </w:tcPr>
          <w:p w14:paraId="6A755F6C" w14:textId="77777777" w:rsidR="005178B0" w:rsidRPr="00AD0663" w:rsidRDefault="005178B0" w:rsidP="002C7B49">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National validation cohort – EXCLUDING PEOPLE INCLUDED IN DEVELOPMENT COHORTᶜ</w:t>
            </w:r>
          </w:p>
          <w:p w14:paraId="33DAA939" w14:textId="77777777" w:rsidR="005178B0" w:rsidRPr="00AD0663" w:rsidRDefault="005178B0" w:rsidP="002C7B49">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(n = 1,003,334)</w:t>
            </w:r>
          </w:p>
        </w:tc>
      </w:tr>
      <w:tr w:rsidR="005178B0" w:rsidRPr="00AD0663" w14:paraId="3E61222F"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nil"/>
            </w:tcBorders>
            <w:shd w:val="clear" w:color="auto" w:fill="auto"/>
            <w:vAlign w:val="center"/>
          </w:tcPr>
          <w:p w14:paraId="58027642"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Age  in years</w:t>
            </w:r>
          </w:p>
        </w:tc>
        <w:tc>
          <w:tcPr>
            <w:tcW w:w="2160" w:type="dxa"/>
            <w:tcBorders>
              <w:top w:val="single" w:sz="4" w:space="0" w:color="auto"/>
              <w:bottom w:val="nil"/>
            </w:tcBorders>
            <w:shd w:val="clear" w:color="auto" w:fill="auto"/>
            <w:vAlign w:val="center"/>
          </w:tcPr>
          <w:p w14:paraId="717FAED8"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82·5 (5·6)</w:t>
            </w:r>
          </w:p>
        </w:tc>
        <w:tc>
          <w:tcPr>
            <w:tcW w:w="2160" w:type="dxa"/>
            <w:tcBorders>
              <w:top w:val="single" w:sz="4" w:space="0" w:color="auto"/>
              <w:bottom w:val="nil"/>
            </w:tcBorders>
            <w:shd w:val="clear" w:color="auto" w:fill="auto"/>
            <w:vAlign w:val="center"/>
          </w:tcPr>
          <w:p w14:paraId="4A6391C0"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84·1 (5·9)</w:t>
            </w:r>
          </w:p>
        </w:tc>
        <w:tc>
          <w:tcPr>
            <w:tcW w:w="2160" w:type="dxa"/>
            <w:tcBorders>
              <w:top w:val="single" w:sz="4" w:space="0" w:color="auto"/>
              <w:bottom w:val="nil"/>
            </w:tcBorders>
            <w:shd w:val="clear" w:color="auto" w:fill="auto"/>
            <w:vAlign w:val="center"/>
          </w:tcPr>
          <w:p w14:paraId="68DB4133"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84·1 (5·9)</w:t>
            </w:r>
          </w:p>
        </w:tc>
      </w:tr>
      <w:tr w:rsidR="005178B0" w:rsidRPr="00AD0663" w14:paraId="219BFB63"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nil"/>
            </w:tcBorders>
            <w:shd w:val="clear" w:color="auto" w:fill="auto"/>
            <w:vAlign w:val="center"/>
          </w:tcPr>
          <w:p w14:paraId="2F694B0E"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Gender</w:t>
            </w:r>
          </w:p>
        </w:tc>
        <w:tc>
          <w:tcPr>
            <w:tcW w:w="2160" w:type="dxa"/>
            <w:tcBorders>
              <w:top w:val="nil"/>
            </w:tcBorders>
            <w:shd w:val="clear" w:color="auto" w:fill="auto"/>
            <w:vAlign w:val="center"/>
          </w:tcPr>
          <w:p w14:paraId="757113BA"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2160" w:type="dxa"/>
            <w:tcBorders>
              <w:top w:val="nil"/>
            </w:tcBorders>
            <w:shd w:val="clear" w:color="auto" w:fill="auto"/>
            <w:vAlign w:val="center"/>
          </w:tcPr>
          <w:p w14:paraId="0E0EB6E4"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2160" w:type="dxa"/>
            <w:tcBorders>
              <w:top w:val="nil"/>
            </w:tcBorders>
            <w:shd w:val="clear" w:color="auto" w:fill="auto"/>
            <w:vAlign w:val="center"/>
          </w:tcPr>
          <w:p w14:paraId="658B0717"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5178B0" w:rsidRPr="00AD0663" w14:paraId="7B97221A"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vAlign w:val="center"/>
          </w:tcPr>
          <w:p w14:paraId="7807CC5E"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Male</w:t>
            </w:r>
          </w:p>
        </w:tc>
        <w:tc>
          <w:tcPr>
            <w:tcW w:w="2160" w:type="dxa"/>
            <w:shd w:val="clear" w:color="auto" w:fill="auto"/>
            <w:vAlign w:val="center"/>
          </w:tcPr>
          <w:p w14:paraId="5E383652"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57·8%</w:t>
            </w:r>
          </w:p>
        </w:tc>
        <w:tc>
          <w:tcPr>
            <w:tcW w:w="2160" w:type="dxa"/>
            <w:shd w:val="clear" w:color="auto" w:fill="auto"/>
            <w:vAlign w:val="center"/>
          </w:tcPr>
          <w:p w14:paraId="2D88D184"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57·4%</w:t>
            </w:r>
          </w:p>
        </w:tc>
        <w:tc>
          <w:tcPr>
            <w:tcW w:w="2160" w:type="dxa"/>
            <w:shd w:val="clear" w:color="auto" w:fill="auto"/>
            <w:vAlign w:val="center"/>
          </w:tcPr>
          <w:p w14:paraId="74DA73BD"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57·4%</w:t>
            </w:r>
          </w:p>
        </w:tc>
      </w:tr>
      <w:tr w:rsidR="005178B0" w:rsidRPr="00AD0663" w14:paraId="049A63A6"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tcBorders>
              <w:bottom w:val="single" w:sz="4" w:space="0" w:color="auto"/>
            </w:tcBorders>
            <w:shd w:val="clear" w:color="auto" w:fill="auto"/>
            <w:vAlign w:val="center"/>
          </w:tcPr>
          <w:p w14:paraId="700436CE"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Female</w:t>
            </w:r>
          </w:p>
        </w:tc>
        <w:tc>
          <w:tcPr>
            <w:tcW w:w="2160" w:type="dxa"/>
            <w:tcBorders>
              <w:bottom w:val="single" w:sz="4" w:space="0" w:color="auto"/>
            </w:tcBorders>
            <w:shd w:val="clear" w:color="auto" w:fill="auto"/>
            <w:vAlign w:val="center"/>
          </w:tcPr>
          <w:p w14:paraId="6CB7644F"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42·2%</w:t>
            </w:r>
          </w:p>
        </w:tc>
        <w:tc>
          <w:tcPr>
            <w:tcW w:w="2160" w:type="dxa"/>
            <w:tcBorders>
              <w:bottom w:val="single" w:sz="4" w:space="0" w:color="auto"/>
            </w:tcBorders>
            <w:shd w:val="clear" w:color="auto" w:fill="auto"/>
            <w:vAlign w:val="center"/>
          </w:tcPr>
          <w:p w14:paraId="5290250E"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42·6%</w:t>
            </w:r>
          </w:p>
        </w:tc>
        <w:tc>
          <w:tcPr>
            <w:tcW w:w="2160" w:type="dxa"/>
            <w:tcBorders>
              <w:bottom w:val="single" w:sz="4" w:space="0" w:color="auto"/>
            </w:tcBorders>
            <w:shd w:val="clear" w:color="auto" w:fill="auto"/>
            <w:vAlign w:val="center"/>
          </w:tcPr>
          <w:p w14:paraId="7EEA7BC0"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42·6%</w:t>
            </w:r>
          </w:p>
        </w:tc>
      </w:tr>
      <w:tr w:rsidR="005178B0" w:rsidRPr="00AD0663" w14:paraId="2BD1EB74"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nil"/>
            </w:tcBorders>
            <w:shd w:val="clear" w:color="auto" w:fill="auto"/>
            <w:vAlign w:val="center"/>
          </w:tcPr>
          <w:p w14:paraId="31ED8430"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HES frailty risk score</w:t>
            </w:r>
          </w:p>
        </w:tc>
        <w:tc>
          <w:tcPr>
            <w:tcW w:w="2160" w:type="dxa"/>
            <w:tcBorders>
              <w:top w:val="single" w:sz="4" w:space="0" w:color="auto"/>
              <w:bottom w:val="nil"/>
            </w:tcBorders>
            <w:shd w:val="clear" w:color="auto" w:fill="auto"/>
            <w:vAlign w:val="center"/>
          </w:tcPr>
          <w:p w14:paraId="7FF4F7B5"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8·9 (9·8)</w:t>
            </w:r>
          </w:p>
        </w:tc>
        <w:tc>
          <w:tcPr>
            <w:tcW w:w="2160" w:type="dxa"/>
            <w:tcBorders>
              <w:top w:val="single" w:sz="4" w:space="0" w:color="auto"/>
              <w:bottom w:val="nil"/>
            </w:tcBorders>
            <w:shd w:val="clear" w:color="auto" w:fill="auto"/>
            <w:vAlign w:val="center"/>
          </w:tcPr>
          <w:p w14:paraId="73CFC586"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9·0 (8·7)</w:t>
            </w:r>
          </w:p>
        </w:tc>
        <w:tc>
          <w:tcPr>
            <w:tcW w:w="2160" w:type="dxa"/>
            <w:tcBorders>
              <w:top w:val="single" w:sz="4" w:space="0" w:color="auto"/>
              <w:bottom w:val="nil"/>
            </w:tcBorders>
            <w:shd w:val="clear" w:color="auto" w:fill="auto"/>
            <w:vAlign w:val="center"/>
          </w:tcPr>
          <w:p w14:paraId="04D99FBE"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9·0 (8·7)</w:t>
            </w:r>
          </w:p>
        </w:tc>
      </w:tr>
      <w:tr w:rsidR="005178B0" w:rsidRPr="00AD0663" w14:paraId="1E06918F"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shd w:val="clear" w:color="auto" w:fill="auto"/>
            <w:vAlign w:val="center"/>
          </w:tcPr>
          <w:p w14:paraId="2F429A28"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HES frailty risk category:</w:t>
            </w:r>
          </w:p>
        </w:tc>
        <w:tc>
          <w:tcPr>
            <w:tcW w:w="2160" w:type="dxa"/>
            <w:tcBorders>
              <w:top w:val="nil"/>
              <w:bottom w:val="nil"/>
            </w:tcBorders>
            <w:shd w:val="clear" w:color="auto" w:fill="auto"/>
            <w:vAlign w:val="center"/>
          </w:tcPr>
          <w:p w14:paraId="2920C248"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2160" w:type="dxa"/>
            <w:tcBorders>
              <w:top w:val="nil"/>
              <w:bottom w:val="nil"/>
            </w:tcBorders>
            <w:shd w:val="clear" w:color="auto" w:fill="auto"/>
            <w:vAlign w:val="center"/>
          </w:tcPr>
          <w:p w14:paraId="68C9FE26"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2160" w:type="dxa"/>
            <w:tcBorders>
              <w:top w:val="nil"/>
              <w:bottom w:val="nil"/>
            </w:tcBorders>
            <w:shd w:val="clear" w:color="auto" w:fill="auto"/>
            <w:vAlign w:val="center"/>
          </w:tcPr>
          <w:p w14:paraId="2827E846"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5178B0" w:rsidRPr="00AD0663" w14:paraId="67CD13C9"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shd w:val="clear" w:color="auto" w:fill="auto"/>
            <w:vAlign w:val="center"/>
          </w:tcPr>
          <w:p w14:paraId="7D0AE367"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Low risk (&lt; 5)</w:t>
            </w:r>
          </w:p>
        </w:tc>
        <w:tc>
          <w:tcPr>
            <w:tcW w:w="2160" w:type="dxa"/>
            <w:tcBorders>
              <w:top w:val="nil"/>
              <w:bottom w:val="nil"/>
            </w:tcBorders>
            <w:shd w:val="clear" w:color="auto" w:fill="auto"/>
            <w:vAlign w:val="center"/>
          </w:tcPr>
          <w:p w14:paraId="25C2D90F"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66·0%</w:t>
            </w:r>
          </w:p>
        </w:tc>
        <w:tc>
          <w:tcPr>
            <w:tcW w:w="2160" w:type="dxa"/>
            <w:tcBorders>
              <w:top w:val="nil"/>
              <w:bottom w:val="nil"/>
            </w:tcBorders>
            <w:shd w:val="clear" w:color="auto" w:fill="auto"/>
            <w:vAlign w:val="center"/>
          </w:tcPr>
          <w:p w14:paraId="3F0DEAFE"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42·4%</w:t>
            </w:r>
          </w:p>
        </w:tc>
        <w:tc>
          <w:tcPr>
            <w:tcW w:w="2160" w:type="dxa"/>
            <w:tcBorders>
              <w:top w:val="nil"/>
              <w:bottom w:val="nil"/>
            </w:tcBorders>
            <w:shd w:val="clear" w:color="auto" w:fill="auto"/>
            <w:vAlign w:val="center"/>
          </w:tcPr>
          <w:p w14:paraId="13FCE43F"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42·5%</w:t>
            </w:r>
          </w:p>
        </w:tc>
      </w:tr>
      <w:tr w:rsidR="005178B0" w:rsidRPr="00AD0663" w14:paraId="6AF19699"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nil"/>
            </w:tcBorders>
            <w:shd w:val="clear" w:color="auto" w:fill="auto"/>
            <w:vAlign w:val="center"/>
          </w:tcPr>
          <w:p w14:paraId="417CEA20"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Intermediate risk (5-15)</w:t>
            </w:r>
          </w:p>
        </w:tc>
        <w:tc>
          <w:tcPr>
            <w:tcW w:w="2160" w:type="dxa"/>
            <w:tcBorders>
              <w:top w:val="nil"/>
              <w:bottom w:val="nil"/>
            </w:tcBorders>
            <w:shd w:val="clear" w:color="auto" w:fill="auto"/>
            <w:vAlign w:val="center"/>
          </w:tcPr>
          <w:p w14:paraId="702E9AE0"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20·3%</w:t>
            </w:r>
          </w:p>
        </w:tc>
        <w:tc>
          <w:tcPr>
            <w:tcW w:w="2160" w:type="dxa"/>
            <w:tcBorders>
              <w:top w:val="nil"/>
              <w:bottom w:val="nil"/>
            </w:tcBorders>
            <w:shd w:val="clear" w:color="auto" w:fill="auto"/>
            <w:vAlign w:val="center"/>
          </w:tcPr>
          <w:p w14:paraId="46F867A1"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37·6%</w:t>
            </w:r>
          </w:p>
        </w:tc>
        <w:tc>
          <w:tcPr>
            <w:tcW w:w="2160" w:type="dxa"/>
            <w:tcBorders>
              <w:top w:val="nil"/>
              <w:bottom w:val="nil"/>
            </w:tcBorders>
            <w:shd w:val="clear" w:color="auto" w:fill="auto"/>
            <w:vAlign w:val="center"/>
          </w:tcPr>
          <w:p w14:paraId="42AC66D3"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37·5%</w:t>
            </w:r>
          </w:p>
        </w:tc>
      </w:tr>
      <w:tr w:rsidR="005178B0" w:rsidRPr="00AD0663" w14:paraId="768C80BD"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nil"/>
              <w:bottom w:val="single" w:sz="4" w:space="0" w:color="auto"/>
            </w:tcBorders>
            <w:shd w:val="clear" w:color="auto" w:fill="auto"/>
            <w:vAlign w:val="center"/>
          </w:tcPr>
          <w:p w14:paraId="512B65A4"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High risk (&gt;15)</w:t>
            </w:r>
          </w:p>
        </w:tc>
        <w:tc>
          <w:tcPr>
            <w:tcW w:w="2160" w:type="dxa"/>
            <w:tcBorders>
              <w:top w:val="nil"/>
              <w:bottom w:val="single" w:sz="4" w:space="0" w:color="auto"/>
            </w:tcBorders>
            <w:shd w:val="clear" w:color="auto" w:fill="auto"/>
            <w:vAlign w:val="center"/>
          </w:tcPr>
          <w:p w14:paraId="08E71A60"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13·7%</w:t>
            </w:r>
          </w:p>
        </w:tc>
        <w:tc>
          <w:tcPr>
            <w:tcW w:w="2160" w:type="dxa"/>
            <w:tcBorders>
              <w:top w:val="nil"/>
              <w:bottom w:val="single" w:sz="4" w:space="0" w:color="auto"/>
            </w:tcBorders>
            <w:shd w:val="clear" w:color="auto" w:fill="auto"/>
            <w:vAlign w:val="center"/>
          </w:tcPr>
          <w:p w14:paraId="24EB8787"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20·0%</w:t>
            </w:r>
          </w:p>
        </w:tc>
        <w:tc>
          <w:tcPr>
            <w:tcW w:w="2160" w:type="dxa"/>
            <w:tcBorders>
              <w:top w:val="nil"/>
              <w:bottom w:val="single" w:sz="4" w:space="0" w:color="auto"/>
            </w:tcBorders>
            <w:shd w:val="clear" w:color="auto" w:fill="auto"/>
            <w:vAlign w:val="center"/>
          </w:tcPr>
          <w:p w14:paraId="7ABB17C9"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20·0%</w:t>
            </w:r>
          </w:p>
        </w:tc>
      </w:tr>
      <w:tr w:rsidR="005178B0" w:rsidRPr="00AD0663" w14:paraId="7E37B392"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tcBorders>
            <w:shd w:val="clear" w:color="auto" w:fill="auto"/>
            <w:vAlign w:val="center"/>
          </w:tcPr>
          <w:p w14:paraId="0733C348"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Charlson comorbidity index</w:t>
            </w:r>
          </w:p>
        </w:tc>
        <w:tc>
          <w:tcPr>
            <w:tcW w:w="2160" w:type="dxa"/>
            <w:tcBorders>
              <w:top w:val="single" w:sz="4" w:space="0" w:color="auto"/>
            </w:tcBorders>
            <w:shd w:val="clear" w:color="auto" w:fill="auto"/>
            <w:vAlign w:val="center"/>
          </w:tcPr>
          <w:p w14:paraId="67D754EE"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2·8 (2·9)</w:t>
            </w:r>
          </w:p>
        </w:tc>
        <w:tc>
          <w:tcPr>
            <w:tcW w:w="2160" w:type="dxa"/>
            <w:tcBorders>
              <w:top w:val="single" w:sz="4" w:space="0" w:color="auto"/>
            </w:tcBorders>
            <w:shd w:val="clear" w:color="auto" w:fill="auto"/>
            <w:vAlign w:val="center"/>
          </w:tcPr>
          <w:p w14:paraId="4AE21C01"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2·9 (2·6)</w:t>
            </w:r>
          </w:p>
        </w:tc>
        <w:tc>
          <w:tcPr>
            <w:tcW w:w="2160" w:type="dxa"/>
            <w:tcBorders>
              <w:top w:val="single" w:sz="4" w:space="0" w:color="auto"/>
            </w:tcBorders>
            <w:shd w:val="clear" w:color="auto" w:fill="auto"/>
            <w:vAlign w:val="center"/>
          </w:tcPr>
          <w:p w14:paraId="5F5941A1"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2·9 (2·6)</w:t>
            </w:r>
          </w:p>
        </w:tc>
      </w:tr>
      <w:tr w:rsidR="005178B0" w:rsidRPr="00AD0663" w14:paraId="5AF75571"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vAlign w:val="center"/>
          </w:tcPr>
          <w:p w14:paraId="39F0F26F"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No of admissions over 2 years, including current admission:</w:t>
            </w:r>
          </w:p>
        </w:tc>
        <w:tc>
          <w:tcPr>
            <w:tcW w:w="2160" w:type="dxa"/>
            <w:shd w:val="clear" w:color="auto" w:fill="auto"/>
            <w:vAlign w:val="center"/>
          </w:tcPr>
          <w:p w14:paraId="6B9152AE"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2160" w:type="dxa"/>
            <w:shd w:val="clear" w:color="auto" w:fill="auto"/>
            <w:vAlign w:val="center"/>
          </w:tcPr>
          <w:p w14:paraId="411DCC8E"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2160" w:type="dxa"/>
            <w:shd w:val="clear" w:color="auto" w:fill="auto"/>
            <w:vAlign w:val="center"/>
          </w:tcPr>
          <w:p w14:paraId="2F3D3A6E"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5178B0" w:rsidRPr="00AD0663" w14:paraId="151991B7"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vAlign w:val="center"/>
          </w:tcPr>
          <w:p w14:paraId="5D95B4D4"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1</w:t>
            </w:r>
          </w:p>
        </w:tc>
        <w:tc>
          <w:tcPr>
            <w:tcW w:w="2160" w:type="dxa"/>
            <w:shd w:val="clear" w:color="auto" w:fill="auto"/>
            <w:vAlign w:val="center"/>
          </w:tcPr>
          <w:p w14:paraId="53470E9E"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45·3%</w:t>
            </w:r>
          </w:p>
        </w:tc>
        <w:tc>
          <w:tcPr>
            <w:tcW w:w="2160" w:type="dxa"/>
            <w:shd w:val="clear" w:color="auto" w:fill="auto"/>
            <w:vAlign w:val="center"/>
          </w:tcPr>
          <w:p w14:paraId="6808A8ED"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37·9%</w:t>
            </w:r>
          </w:p>
        </w:tc>
        <w:tc>
          <w:tcPr>
            <w:tcW w:w="2160" w:type="dxa"/>
            <w:shd w:val="clear" w:color="auto" w:fill="auto"/>
            <w:vAlign w:val="center"/>
          </w:tcPr>
          <w:p w14:paraId="2F456AA9"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37·9%</w:t>
            </w:r>
          </w:p>
        </w:tc>
      </w:tr>
      <w:tr w:rsidR="005178B0" w:rsidRPr="00AD0663" w14:paraId="2C38467E" w14:textId="77777777" w:rsidTr="002C7B49">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vAlign w:val="center"/>
          </w:tcPr>
          <w:p w14:paraId="10F7D56D"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2</w:t>
            </w:r>
          </w:p>
        </w:tc>
        <w:tc>
          <w:tcPr>
            <w:tcW w:w="2160" w:type="dxa"/>
            <w:shd w:val="clear" w:color="auto" w:fill="auto"/>
            <w:vAlign w:val="center"/>
          </w:tcPr>
          <w:p w14:paraId="0EC37611"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24·0%</w:t>
            </w:r>
          </w:p>
        </w:tc>
        <w:tc>
          <w:tcPr>
            <w:tcW w:w="2160" w:type="dxa"/>
            <w:shd w:val="clear" w:color="auto" w:fill="auto"/>
            <w:vAlign w:val="center"/>
          </w:tcPr>
          <w:p w14:paraId="7B9517E1"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22·0%</w:t>
            </w:r>
          </w:p>
        </w:tc>
        <w:tc>
          <w:tcPr>
            <w:tcW w:w="2160" w:type="dxa"/>
            <w:shd w:val="clear" w:color="auto" w:fill="auto"/>
            <w:vAlign w:val="center"/>
          </w:tcPr>
          <w:p w14:paraId="21C20B4D" w14:textId="77777777" w:rsidR="005178B0" w:rsidRPr="00AD0663" w:rsidRDefault="005178B0" w:rsidP="002C7B4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22·0%</w:t>
            </w:r>
          </w:p>
        </w:tc>
      </w:tr>
      <w:tr w:rsidR="005178B0" w:rsidRPr="00AD0663" w14:paraId="488164EF" w14:textId="77777777" w:rsidTr="002C7B49">
        <w:trPr>
          <w:trHeight w:val="432"/>
        </w:trPr>
        <w:tc>
          <w:tcPr>
            <w:cnfStyle w:val="001000000000" w:firstRow="0" w:lastRow="0" w:firstColumn="1" w:lastColumn="0" w:oddVBand="0" w:evenVBand="0" w:oddHBand="0" w:evenHBand="0" w:firstRowFirstColumn="0" w:firstRowLastColumn="0" w:lastRowFirstColumn="0" w:lastRowLastColumn="0"/>
            <w:tcW w:w="2988" w:type="dxa"/>
            <w:shd w:val="clear" w:color="auto" w:fill="auto"/>
            <w:vAlign w:val="center"/>
          </w:tcPr>
          <w:p w14:paraId="05F50820" w14:textId="77777777" w:rsidR="005178B0" w:rsidRPr="00AD0663" w:rsidRDefault="005178B0" w:rsidP="002C7B49">
            <w:pPr>
              <w:spacing w:after="160" w:line="259" w:lineRule="auto"/>
              <w:rPr>
                <w:rFonts w:ascii="Times New Roman" w:eastAsia="Calibri" w:hAnsi="Times New Roman" w:cs="Times New Roman"/>
                <w:b w:val="0"/>
                <w:sz w:val="20"/>
                <w:szCs w:val="20"/>
              </w:rPr>
            </w:pPr>
            <w:r w:rsidRPr="00AD0663">
              <w:rPr>
                <w:rFonts w:ascii="Times New Roman" w:eastAsia="Calibri" w:hAnsi="Times New Roman" w:cs="Times New Roman"/>
                <w:b w:val="0"/>
                <w:sz w:val="20"/>
                <w:szCs w:val="20"/>
              </w:rPr>
              <w:t>≥ 3</w:t>
            </w:r>
          </w:p>
        </w:tc>
        <w:tc>
          <w:tcPr>
            <w:tcW w:w="2160" w:type="dxa"/>
            <w:shd w:val="clear" w:color="auto" w:fill="auto"/>
            <w:vAlign w:val="center"/>
          </w:tcPr>
          <w:p w14:paraId="24455785"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30·7%</w:t>
            </w:r>
          </w:p>
        </w:tc>
        <w:tc>
          <w:tcPr>
            <w:tcW w:w="2160" w:type="dxa"/>
            <w:shd w:val="clear" w:color="auto" w:fill="auto"/>
            <w:vAlign w:val="center"/>
          </w:tcPr>
          <w:p w14:paraId="133B3D05"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40·1%</w:t>
            </w:r>
          </w:p>
        </w:tc>
        <w:tc>
          <w:tcPr>
            <w:tcW w:w="2160" w:type="dxa"/>
            <w:shd w:val="clear" w:color="auto" w:fill="auto"/>
            <w:vAlign w:val="center"/>
          </w:tcPr>
          <w:p w14:paraId="62A0A907" w14:textId="77777777" w:rsidR="005178B0" w:rsidRPr="00AD0663" w:rsidRDefault="005178B0" w:rsidP="002C7B4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AD0663">
              <w:rPr>
                <w:rFonts w:ascii="Times New Roman" w:eastAsia="Calibri" w:hAnsi="Times New Roman" w:cs="Times New Roman"/>
                <w:sz w:val="20"/>
                <w:szCs w:val="20"/>
              </w:rPr>
              <w:t>40·1%</w:t>
            </w:r>
          </w:p>
        </w:tc>
      </w:tr>
    </w:tbl>
    <w:p w14:paraId="2709F42D" w14:textId="77777777" w:rsidR="005178B0" w:rsidRPr="00AD0663" w:rsidRDefault="005178B0" w:rsidP="002C7B49">
      <w:pPr>
        <w:spacing w:after="160" w:line="259" w:lineRule="auto"/>
        <w:rPr>
          <w:rFonts w:ascii="Times New Roman" w:eastAsia="Calibri" w:hAnsi="Times New Roman" w:cs="Times New Roman"/>
          <w:sz w:val="20"/>
          <w:szCs w:val="20"/>
        </w:rPr>
      </w:pPr>
      <w:r w:rsidRPr="00AD0663">
        <w:rPr>
          <w:rFonts w:ascii="Times New Roman" w:eastAsia="Calibri" w:hAnsi="Times New Roman" w:cs="Times New Roman"/>
          <w:sz w:val="20"/>
          <w:szCs w:val="20"/>
        </w:rPr>
        <w:t>Values are means (SDs) for continuous variables, and percentages for binary variables.</w:t>
      </w:r>
      <w:r w:rsidRPr="00AD0663">
        <w:rPr>
          <w:rFonts w:ascii="Times New Roman" w:eastAsia="Calibri" w:hAnsi="Times New Roman" w:cs="Times New Roman"/>
          <w:sz w:val="20"/>
          <w:szCs w:val="20"/>
        </w:rPr>
        <w:br/>
        <w:t xml:space="preserve">a The development cohort included older people aged 75 years+ living in one of three local authorities with </w:t>
      </w:r>
      <w:r w:rsidRPr="00AD0663">
        <w:rPr>
          <w:rFonts w:ascii="Times New Roman" w:eastAsia="Calibri" w:hAnsi="Times New Roman" w:cs="Times New Roman"/>
          <w:i/>
          <w:sz w:val="20"/>
          <w:szCs w:val="20"/>
        </w:rPr>
        <w:t>at least one hospital admission</w:t>
      </w:r>
      <w:r w:rsidRPr="00AD0663">
        <w:rPr>
          <w:rFonts w:ascii="Times New Roman" w:eastAsia="Calibri" w:hAnsi="Times New Roman" w:cs="Times New Roman"/>
          <w:sz w:val="20"/>
          <w:szCs w:val="20"/>
        </w:rPr>
        <w:t xml:space="preserve"> over the period 1</w:t>
      </w:r>
      <w:r w:rsidRPr="00AD0663">
        <w:rPr>
          <w:rFonts w:ascii="Times New Roman" w:eastAsia="Calibri" w:hAnsi="Times New Roman" w:cs="Times New Roman"/>
          <w:sz w:val="20"/>
          <w:szCs w:val="20"/>
          <w:vertAlign w:val="superscript"/>
        </w:rPr>
        <w:t>st</w:t>
      </w:r>
      <w:r w:rsidRPr="00AD0663">
        <w:rPr>
          <w:rFonts w:ascii="Times New Roman" w:eastAsia="Calibri" w:hAnsi="Times New Roman" w:cs="Times New Roman"/>
          <w:sz w:val="20"/>
          <w:szCs w:val="20"/>
        </w:rPr>
        <w:t xml:space="preserve"> April 2013 and 31</w:t>
      </w:r>
      <w:r w:rsidRPr="00AD0663">
        <w:rPr>
          <w:rFonts w:ascii="Times New Roman" w:eastAsia="Calibri" w:hAnsi="Times New Roman" w:cs="Times New Roman"/>
          <w:sz w:val="20"/>
          <w:szCs w:val="20"/>
          <w:vertAlign w:val="superscript"/>
        </w:rPr>
        <w:t>st</w:t>
      </w:r>
      <w:r w:rsidRPr="00AD0663">
        <w:rPr>
          <w:rFonts w:ascii="Times New Roman" w:eastAsia="Calibri" w:hAnsi="Times New Roman" w:cs="Times New Roman"/>
          <w:sz w:val="20"/>
          <w:szCs w:val="20"/>
        </w:rPr>
        <w:t xml:space="preserve"> March 2015.</w:t>
      </w:r>
      <w:r>
        <w:rPr>
          <w:rFonts w:ascii="Times New Roman" w:eastAsia="Calibri" w:hAnsi="Times New Roman" w:cs="Times New Roman"/>
          <w:sz w:val="20"/>
          <w:szCs w:val="20"/>
        </w:rPr>
        <w:br/>
      </w:r>
      <w:r w:rsidRPr="00AD0663">
        <w:rPr>
          <w:rFonts w:ascii="Times New Roman" w:eastAsia="Calibri" w:hAnsi="Times New Roman" w:cs="Times New Roman"/>
          <w:sz w:val="20"/>
          <w:szCs w:val="20"/>
        </w:rPr>
        <w:t xml:space="preserve">b The national validation cohort included all older people aged 75 years+ who had an </w:t>
      </w:r>
      <w:r w:rsidRPr="00AD0663">
        <w:rPr>
          <w:rFonts w:ascii="Times New Roman" w:eastAsia="Calibri" w:hAnsi="Times New Roman" w:cs="Times New Roman"/>
          <w:i/>
          <w:sz w:val="20"/>
          <w:szCs w:val="20"/>
        </w:rPr>
        <w:t>emergency hospital admission</w:t>
      </w:r>
      <w:r w:rsidRPr="00AD0663">
        <w:rPr>
          <w:rFonts w:ascii="Times New Roman" w:eastAsia="Calibri" w:hAnsi="Times New Roman" w:cs="Times New Roman"/>
          <w:sz w:val="20"/>
          <w:szCs w:val="20"/>
        </w:rPr>
        <w:t xml:space="preserve"> in England between 1</w:t>
      </w:r>
      <w:r w:rsidRPr="00AD0663">
        <w:rPr>
          <w:rFonts w:ascii="Times New Roman" w:eastAsia="Calibri" w:hAnsi="Times New Roman" w:cs="Times New Roman"/>
          <w:sz w:val="20"/>
          <w:szCs w:val="20"/>
          <w:vertAlign w:val="superscript"/>
        </w:rPr>
        <w:t>st</w:t>
      </w:r>
      <w:r w:rsidRPr="00AD0663">
        <w:rPr>
          <w:rFonts w:ascii="Times New Roman" w:eastAsia="Calibri" w:hAnsi="Times New Roman" w:cs="Times New Roman"/>
          <w:sz w:val="20"/>
          <w:szCs w:val="20"/>
        </w:rPr>
        <w:t xml:space="preserve"> April 2014 and 31</w:t>
      </w:r>
      <w:r w:rsidRPr="00AD0663">
        <w:rPr>
          <w:rFonts w:ascii="Times New Roman" w:eastAsia="Calibri" w:hAnsi="Times New Roman" w:cs="Times New Roman"/>
          <w:sz w:val="20"/>
          <w:szCs w:val="20"/>
          <w:vertAlign w:val="superscript"/>
        </w:rPr>
        <w:t>st</w:t>
      </w:r>
      <w:r w:rsidRPr="00AD0663">
        <w:rPr>
          <w:rFonts w:ascii="Times New Roman" w:eastAsia="Calibri" w:hAnsi="Times New Roman" w:cs="Times New Roman"/>
          <w:sz w:val="20"/>
          <w:szCs w:val="20"/>
        </w:rPr>
        <w:t xml:space="preserve"> March 2015.</w:t>
      </w:r>
      <w:r>
        <w:rPr>
          <w:rFonts w:ascii="Times New Roman" w:eastAsia="Calibri" w:hAnsi="Times New Roman" w:cs="Times New Roman"/>
          <w:sz w:val="20"/>
          <w:szCs w:val="20"/>
        </w:rPr>
        <w:br/>
      </w:r>
      <w:r w:rsidRPr="00AD0663">
        <w:rPr>
          <w:rFonts w:ascii="Times New Roman" w:eastAsia="Calibri" w:hAnsi="Times New Roman" w:cs="Times New Roman"/>
          <w:sz w:val="20"/>
          <w:szCs w:val="20"/>
        </w:rPr>
        <w:t xml:space="preserve">c The national validation cohort included 1,003,334 older people aged 75 years+ who had an </w:t>
      </w:r>
      <w:r w:rsidRPr="00AD0663">
        <w:rPr>
          <w:rFonts w:ascii="Times New Roman" w:eastAsia="Calibri" w:hAnsi="Times New Roman" w:cs="Times New Roman"/>
          <w:i/>
          <w:sz w:val="20"/>
          <w:szCs w:val="20"/>
        </w:rPr>
        <w:t>emergency hospital admission</w:t>
      </w:r>
      <w:r w:rsidRPr="00AD0663">
        <w:rPr>
          <w:rFonts w:ascii="Times New Roman" w:eastAsia="Calibri" w:hAnsi="Times New Roman" w:cs="Times New Roman"/>
          <w:sz w:val="20"/>
          <w:szCs w:val="20"/>
        </w:rPr>
        <w:t xml:space="preserve"> in England between 1</w:t>
      </w:r>
      <w:r w:rsidRPr="00AD0663">
        <w:rPr>
          <w:rFonts w:ascii="Times New Roman" w:eastAsia="Calibri" w:hAnsi="Times New Roman" w:cs="Times New Roman"/>
          <w:sz w:val="20"/>
          <w:szCs w:val="20"/>
          <w:vertAlign w:val="superscript"/>
        </w:rPr>
        <w:t>st</w:t>
      </w:r>
      <w:r w:rsidRPr="00AD0663">
        <w:rPr>
          <w:rFonts w:ascii="Times New Roman" w:eastAsia="Calibri" w:hAnsi="Times New Roman" w:cs="Times New Roman"/>
          <w:sz w:val="20"/>
          <w:szCs w:val="20"/>
        </w:rPr>
        <w:t xml:space="preserve"> April 2014 and 31</w:t>
      </w:r>
      <w:r w:rsidRPr="00AD0663">
        <w:rPr>
          <w:rFonts w:ascii="Times New Roman" w:eastAsia="Calibri" w:hAnsi="Times New Roman" w:cs="Times New Roman"/>
          <w:sz w:val="20"/>
          <w:szCs w:val="20"/>
          <w:vertAlign w:val="superscript"/>
        </w:rPr>
        <w:t>st</w:t>
      </w:r>
      <w:r w:rsidRPr="00AD0663">
        <w:rPr>
          <w:rFonts w:ascii="Times New Roman" w:eastAsia="Calibri" w:hAnsi="Times New Roman" w:cs="Times New Roman"/>
          <w:sz w:val="20"/>
          <w:szCs w:val="20"/>
        </w:rPr>
        <w:t xml:space="preserve"> March 2015, excluding 10,256 people who were included in the development cohort.</w:t>
      </w:r>
    </w:p>
    <w:p w14:paraId="43E92389" w14:textId="77777777" w:rsidR="005178B0" w:rsidRPr="00803EE3" w:rsidRDefault="005178B0" w:rsidP="002C7B49">
      <w:pPr>
        <w:spacing w:after="160" w:line="259" w:lineRule="auto"/>
        <w:rPr>
          <w:rFonts w:ascii="Times New Roman" w:eastAsia="Calibri" w:hAnsi="Times New Roman" w:cs="Times New Roman"/>
          <w:i/>
          <w:sz w:val="20"/>
          <w:szCs w:val="20"/>
          <w:lang w:val="en-US"/>
        </w:rPr>
      </w:pPr>
      <w:r w:rsidRPr="00803EE3">
        <w:rPr>
          <w:rFonts w:ascii="Times New Roman" w:eastAsia="Calibri" w:hAnsi="Times New Roman" w:cs="Times New Roman"/>
          <w:i/>
          <w:sz w:val="20"/>
          <w:szCs w:val="20"/>
          <w:lang w:val="en-US"/>
        </w:rPr>
        <w:lastRenderedPageBreak/>
        <w:t>Table S2 Characteristics of patients by HES frailty risk category in national validation cohort with an emergency admission between 1</w:t>
      </w:r>
      <w:r w:rsidRPr="00803EE3">
        <w:rPr>
          <w:rFonts w:ascii="Times New Roman" w:eastAsia="Calibri" w:hAnsi="Times New Roman" w:cs="Times New Roman"/>
          <w:i/>
          <w:sz w:val="20"/>
          <w:szCs w:val="20"/>
          <w:vertAlign w:val="superscript"/>
          <w:lang w:val="en-US"/>
        </w:rPr>
        <w:t>st</w:t>
      </w:r>
      <w:r w:rsidRPr="00803EE3">
        <w:rPr>
          <w:rFonts w:ascii="Times New Roman" w:eastAsia="Calibri" w:hAnsi="Times New Roman" w:cs="Times New Roman"/>
          <w:i/>
          <w:sz w:val="20"/>
          <w:szCs w:val="20"/>
          <w:lang w:val="en-US"/>
        </w:rPr>
        <w:t xml:space="preserve"> April 2014 and 31</w:t>
      </w:r>
      <w:r w:rsidRPr="00803EE3">
        <w:rPr>
          <w:rFonts w:ascii="Times New Roman" w:eastAsia="Calibri" w:hAnsi="Times New Roman" w:cs="Times New Roman"/>
          <w:i/>
          <w:sz w:val="20"/>
          <w:szCs w:val="20"/>
          <w:vertAlign w:val="superscript"/>
          <w:lang w:val="en-US"/>
        </w:rPr>
        <w:t>st</w:t>
      </w:r>
      <w:r w:rsidRPr="00803EE3">
        <w:rPr>
          <w:rFonts w:ascii="Times New Roman" w:eastAsia="Calibri" w:hAnsi="Times New Roman" w:cs="Times New Roman"/>
          <w:i/>
          <w:sz w:val="20"/>
          <w:szCs w:val="20"/>
          <w:lang w:val="en-US"/>
        </w:rPr>
        <w:t xml:space="preserve"> March 2015 (n = 1,003,334</w:t>
      </w:r>
      <w:r w:rsidRPr="00803EE3">
        <w:rPr>
          <w:rFonts w:ascii="Times New Roman" w:eastAsia="Calibri" w:hAnsi="Times New Roman" w:cs="Times New Roman"/>
          <w:bCs/>
          <w:i/>
          <w:sz w:val="20"/>
          <w:szCs w:val="20"/>
          <w:lang w:val="en-US"/>
        </w:rPr>
        <w:t>*</w:t>
      </w:r>
      <w:r w:rsidRPr="00803EE3">
        <w:rPr>
          <w:rFonts w:ascii="Times New Roman" w:eastAsia="Calibri" w:hAnsi="Times New Roman" w:cs="Times New Roman"/>
          <w:i/>
          <w:sz w:val="20"/>
          <w:szCs w:val="20"/>
          <w:lang w:val="en-US"/>
        </w:rPr>
        <w:t>)</w:t>
      </w:r>
    </w:p>
    <w:tbl>
      <w:tblPr>
        <w:tblW w:w="927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870"/>
        <w:gridCol w:w="1890"/>
        <w:gridCol w:w="1890"/>
        <w:gridCol w:w="1620"/>
      </w:tblGrid>
      <w:tr w:rsidR="005178B0" w:rsidRPr="00AD0663" w14:paraId="7F3DD5D3" w14:textId="77777777" w:rsidTr="002C7B49">
        <w:trPr>
          <w:trHeight w:val="113"/>
        </w:trPr>
        <w:tc>
          <w:tcPr>
            <w:tcW w:w="3870"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620519A8" w14:textId="77777777" w:rsidR="005178B0" w:rsidRPr="00AD0663" w:rsidRDefault="005178B0" w:rsidP="002C7B49">
            <w:pPr>
              <w:spacing w:after="160" w:line="259" w:lineRule="auto"/>
              <w:rPr>
                <w:rFonts w:ascii="Times New Roman" w:eastAsia="Calibri" w:hAnsi="Times New Roman" w:cs="Times New Roman"/>
                <w:bCs/>
                <w:sz w:val="20"/>
                <w:szCs w:val="20"/>
                <w:lang w:val="en-US"/>
              </w:rPr>
            </w:pPr>
          </w:p>
        </w:tc>
        <w:tc>
          <w:tcPr>
            <w:tcW w:w="5400" w:type="dxa"/>
            <w:gridSpan w:val="3"/>
            <w:tcBorders>
              <w:top w:val="single" w:sz="4" w:space="0" w:color="auto"/>
              <w:left w:val="nil"/>
              <w:bottom w:val="single" w:sz="4" w:space="0" w:color="auto"/>
              <w:right w:val="nil"/>
            </w:tcBorders>
            <w:vAlign w:val="center"/>
          </w:tcPr>
          <w:p w14:paraId="78B62888" w14:textId="77777777" w:rsidR="005178B0" w:rsidRPr="00AD0663" w:rsidRDefault="005178B0" w:rsidP="002C7B49">
            <w:pPr>
              <w:spacing w:after="160" w:line="259" w:lineRule="auto"/>
              <w:rPr>
                <w:rFonts w:ascii="Times New Roman" w:eastAsia="Calibri" w:hAnsi="Times New Roman" w:cs="Times New Roman"/>
                <w:bCs/>
                <w:sz w:val="20"/>
                <w:szCs w:val="20"/>
                <w:lang w:val="en-US"/>
              </w:rPr>
            </w:pPr>
            <w:r w:rsidRPr="00AD0663">
              <w:rPr>
                <w:rFonts w:ascii="Times New Roman" w:eastAsia="Calibri" w:hAnsi="Times New Roman" w:cs="Times New Roman"/>
                <w:bCs/>
                <w:sz w:val="20"/>
                <w:szCs w:val="20"/>
                <w:lang w:val="en-US"/>
              </w:rPr>
              <w:t>HES frailty risk category (score range)</w:t>
            </w:r>
          </w:p>
        </w:tc>
      </w:tr>
      <w:tr w:rsidR="005178B0" w:rsidRPr="00AD0663" w14:paraId="692E6AFE" w14:textId="77777777" w:rsidTr="002C7B49">
        <w:trPr>
          <w:trHeight w:val="113"/>
        </w:trPr>
        <w:tc>
          <w:tcPr>
            <w:tcW w:w="3870" w:type="dxa"/>
            <w:tcBorders>
              <w:top w:val="nil"/>
              <w:left w:val="nil"/>
              <w:bottom w:val="single" w:sz="4" w:space="0" w:color="auto"/>
              <w:right w:val="nil"/>
            </w:tcBorders>
            <w:shd w:val="clear" w:color="auto" w:fill="auto"/>
            <w:tcMar>
              <w:top w:w="80" w:type="dxa"/>
              <w:left w:w="80" w:type="dxa"/>
              <w:bottom w:w="80" w:type="dxa"/>
              <w:right w:w="80" w:type="dxa"/>
            </w:tcMar>
            <w:vAlign w:val="center"/>
          </w:tcPr>
          <w:p w14:paraId="0240F991" w14:textId="77777777" w:rsidR="005178B0" w:rsidRPr="00AD0663" w:rsidRDefault="005178B0" w:rsidP="002C7B49">
            <w:pPr>
              <w:spacing w:after="160" w:line="259" w:lineRule="auto"/>
              <w:rPr>
                <w:rFonts w:ascii="Times New Roman" w:eastAsia="Calibri" w:hAnsi="Times New Roman" w:cs="Times New Roman"/>
                <w:sz w:val="20"/>
                <w:szCs w:val="20"/>
                <w:lang w:val="en-US"/>
              </w:rPr>
            </w:pPr>
          </w:p>
        </w:tc>
        <w:tc>
          <w:tcPr>
            <w:tcW w:w="1890" w:type="dxa"/>
            <w:tcBorders>
              <w:top w:val="single" w:sz="4" w:space="0" w:color="auto"/>
              <w:left w:val="nil"/>
              <w:bottom w:val="single" w:sz="4" w:space="0" w:color="auto"/>
              <w:right w:val="nil"/>
            </w:tcBorders>
            <w:vAlign w:val="center"/>
          </w:tcPr>
          <w:p w14:paraId="11B2D12C" w14:textId="77777777" w:rsidR="005178B0" w:rsidRPr="00AD0663" w:rsidRDefault="005178B0" w:rsidP="002C7B49">
            <w:pPr>
              <w:spacing w:after="160" w:line="259" w:lineRule="auto"/>
              <w:rPr>
                <w:rFonts w:ascii="Times New Roman" w:eastAsia="Calibri" w:hAnsi="Times New Roman" w:cs="Times New Roman"/>
                <w:bCs/>
                <w:i/>
                <w:sz w:val="20"/>
                <w:szCs w:val="20"/>
                <w:lang w:val="en-US"/>
              </w:rPr>
            </w:pPr>
            <w:r w:rsidRPr="00AD0663">
              <w:rPr>
                <w:rFonts w:ascii="Times New Roman" w:eastAsia="Calibri" w:hAnsi="Times New Roman" w:cs="Times New Roman"/>
                <w:bCs/>
                <w:i/>
                <w:sz w:val="20"/>
                <w:szCs w:val="20"/>
                <w:lang w:val="en-US"/>
              </w:rPr>
              <w:t>Low risk</w:t>
            </w:r>
            <w:r>
              <w:rPr>
                <w:rFonts w:ascii="Times New Roman" w:eastAsia="Calibri" w:hAnsi="Times New Roman" w:cs="Times New Roman"/>
                <w:bCs/>
                <w:i/>
                <w:sz w:val="20"/>
                <w:szCs w:val="20"/>
                <w:lang w:val="en-US"/>
              </w:rPr>
              <w:t xml:space="preserve"> </w:t>
            </w:r>
            <w:r w:rsidRPr="00AD0663">
              <w:rPr>
                <w:rFonts w:ascii="Times New Roman" w:eastAsia="Calibri" w:hAnsi="Times New Roman" w:cs="Times New Roman"/>
                <w:bCs/>
                <w:i/>
                <w:sz w:val="20"/>
                <w:szCs w:val="20"/>
                <w:lang w:val="en-US"/>
              </w:rPr>
              <w:t>(&lt; 5)</w:t>
            </w:r>
          </w:p>
        </w:tc>
        <w:tc>
          <w:tcPr>
            <w:tcW w:w="1890" w:type="dxa"/>
            <w:tcBorders>
              <w:top w:val="single" w:sz="4" w:space="0" w:color="auto"/>
              <w:left w:val="nil"/>
              <w:bottom w:val="single" w:sz="4" w:space="0" w:color="auto"/>
              <w:right w:val="nil"/>
            </w:tcBorders>
            <w:vAlign w:val="center"/>
          </w:tcPr>
          <w:p w14:paraId="140F3FE2" w14:textId="77777777" w:rsidR="005178B0" w:rsidRPr="00AD0663" w:rsidRDefault="005178B0" w:rsidP="002C7B49">
            <w:pPr>
              <w:spacing w:after="160" w:line="259" w:lineRule="auto"/>
              <w:rPr>
                <w:rFonts w:ascii="Times New Roman" w:eastAsia="Calibri" w:hAnsi="Times New Roman" w:cs="Times New Roman"/>
                <w:bCs/>
                <w:i/>
                <w:sz w:val="20"/>
                <w:szCs w:val="20"/>
                <w:lang w:val="en-US"/>
              </w:rPr>
            </w:pPr>
            <w:r w:rsidRPr="00AD0663">
              <w:rPr>
                <w:rFonts w:ascii="Times New Roman" w:eastAsia="Calibri" w:hAnsi="Times New Roman" w:cs="Times New Roman"/>
                <w:bCs/>
                <w:i/>
                <w:sz w:val="20"/>
                <w:szCs w:val="20"/>
                <w:lang w:val="en-US"/>
              </w:rPr>
              <w:t>Intermediate</w:t>
            </w:r>
            <w:r>
              <w:rPr>
                <w:rFonts w:ascii="Times New Roman" w:eastAsia="Calibri" w:hAnsi="Times New Roman" w:cs="Times New Roman"/>
                <w:bCs/>
                <w:i/>
                <w:sz w:val="20"/>
                <w:szCs w:val="20"/>
                <w:lang w:val="en-US"/>
              </w:rPr>
              <w:t xml:space="preserve"> </w:t>
            </w:r>
            <w:r w:rsidRPr="00AD0663">
              <w:rPr>
                <w:rFonts w:ascii="Times New Roman" w:eastAsia="Calibri" w:hAnsi="Times New Roman" w:cs="Times New Roman"/>
                <w:bCs/>
                <w:i/>
                <w:sz w:val="20"/>
                <w:szCs w:val="20"/>
                <w:lang w:val="en-US"/>
              </w:rPr>
              <w:t>(5-15)</w:t>
            </w:r>
          </w:p>
        </w:tc>
        <w:tc>
          <w:tcPr>
            <w:tcW w:w="1620" w:type="dxa"/>
            <w:tcBorders>
              <w:top w:val="single" w:sz="4" w:space="0" w:color="auto"/>
              <w:left w:val="nil"/>
              <w:bottom w:val="single" w:sz="4" w:space="0" w:color="auto"/>
              <w:right w:val="nil"/>
            </w:tcBorders>
            <w:vAlign w:val="center"/>
          </w:tcPr>
          <w:p w14:paraId="281282BE" w14:textId="77777777" w:rsidR="005178B0" w:rsidRPr="00AD0663" w:rsidRDefault="005178B0" w:rsidP="002C7B49">
            <w:pPr>
              <w:spacing w:after="160" w:line="259" w:lineRule="auto"/>
              <w:rPr>
                <w:rFonts w:ascii="Times New Roman" w:eastAsia="Calibri" w:hAnsi="Times New Roman" w:cs="Times New Roman"/>
                <w:bCs/>
                <w:i/>
                <w:sz w:val="20"/>
                <w:szCs w:val="20"/>
                <w:lang w:val="en-US"/>
              </w:rPr>
            </w:pPr>
            <w:r w:rsidRPr="00AD0663">
              <w:rPr>
                <w:rFonts w:ascii="Times New Roman" w:eastAsia="Calibri" w:hAnsi="Times New Roman" w:cs="Times New Roman"/>
                <w:bCs/>
                <w:i/>
                <w:sz w:val="20"/>
                <w:szCs w:val="20"/>
                <w:lang w:val="en-US"/>
              </w:rPr>
              <w:t>High risk</w:t>
            </w:r>
            <w:r>
              <w:rPr>
                <w:rFonts w:ascii="Times New Roman" w:eastAsia="Calibri" w:hAnsi="Times New Roman" w:cs="Times New Roman"/>
                <w:bCs/>
                <w:i/>
                <w:sz w:val="20"/>
                <w:szCs w:val="20"/>
                <w:lang w:val="en-US"/>
              </w:rPr>
              <w:t xml:space="preserve"> </w:t>
            </w:r>
            <w:r w:rsidRPr="00AD0663">
              <w:rPr>
                <w:rFonts w:ascii="Times New Roman" w:eastAsia="Calibri" w:hAnsi="Times New Roman" w:cs="Times New Roman"/>
                <w:bCs/>
                <w:i/>
                <w:sz w:val="20"/>
                <w:szCs w:val="20"/>
                <w:lang w:val="en-US"/>
              </w:rPr>
              <w:t>(&gt; 15)</w:t>
            </w:r>
          </w:p>
        </w:tc>
      </w:tr>
      <w:tr w:rsidR="005178B0" w:rsidRPr="00AD0663" w14:paraId="738E87E3" w14:textId="77777777" w:rsidTr="002C7B49">
        <w:trPr>
          <w:trHeight w:val="257"/>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34CB866A"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Number of patients</w:t>
            </w:r>
          </w:p>
        </w:tc>
        <w:tc>
          <w:tcPr>
            <w:tcW w:w="1890" w:type="dxa"/>
            <w:tcBorders>
              <w:top w:val="nil"/>
              <w:left w:val="nil"/>
              <w:bottom w:val="nil"/>
              <w:right w:val="nil"/>
            </w:tcBorders>
          </w:tcPr>
          <w:p w14:paraId="7EF058CF"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425,940</w:t>
            </w:r>
          </w:p>
        </w:tc>
        <w:tc>
          <w:tcPr>
            <w:tcW w:w="1890" w:type="dxa"/>
            <w:tcBorders>
              <w:top w:val="nil"/>
              <w:left w:val="nil"/>
              <w:bottom w:val="nil"/>
              <w:right w:val="nil"/>
            </w:tcBorders>
          </w:tcPr>
          <w:p w14:paraId="658C0844"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376,591</w:t>
            </w:r>
          </w:p>
        </w:tc>
        <w:tc>
          <w:tcPr>
            <w:tcW w:w="1620" w:type="dxa"/>
            <w:tcBorders>
              <w:top w:val="nil"/>
              <w:left w:val="nil"/>
              <w:bottom w:val="nil"/>
              <w:right w:val="nil"/>
            </w:tcBorders>
          </w:tcPr>
          <w:p w14:paraId="4825F756"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200,804</w:t>
            </w:r>
          </w:p>
        </w:tc>
      </w:tr>
      <w:tr w:rsidR="005178B0" w:rsidRPr="00AD0663" w14:paraId="1B4C01E9" w14:textId="77777777" w:rsidTr="002C7B49">
        <w:trPr>
          <w:trHeight w:val="113"/>
        </w:trPr>
        <w:tc>
          <w:tcPr>
            <w:tcW w:w="3870"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3E00140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of patients</w:t>
            </w:r>
          </w:p>
        </w:tc>
        <w:tc>
          <w:tcPr>
            <w:tcW w:w="1890" w:type="dxa"/>
            <w:tcBorders>
              <w:top w:val="nil"/>
              <w:left w:val="nil"/>
              <w:bottom w:val="single" w:sz="4" w:space="0" w:color="auto"/>
              <w:right w:val="nil"/>
            </w:tcBorders>
          </w:tcPr>
          <w:p w14:paraId="240C9D5E"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42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890" w:type="dxa"/>
            <w:tcBorders>
              <w:top w:val="nil"/>
              <w:left w:val="nil"/>
              <w:bottom w:val="single" w:sz="4" w:space="0" w:color="auto"/>
              <w:right w:val="nil"/>
            </w:tcBorders>
          </w:tcPr>
          <w:p w14:paraId="12FDF6A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37</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620" w:type="dxa"/>
            <w:tcBorders>
              <w:top w:val="nil"/>
              <w:left w:val="nil"/>
              <w:bottom w:val="single" w:sz="4" w:space="0" w:color="auto"/>
              <w:right w:val="nil"/>
            </w:tcBorders>
          </w:tcPr>
          <w:p w14:paraId="33ECB798"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20</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0%</w:t>
            </w:r>
          </w:p>
        </w:tc>
      </w:tr>
      <w:tr w:rsidR="005178B0" w:rsidRPr="00AD0663" w14:paraId="3535BC8B" w14:textId="77777777" w:rsidTr="002C7B49">
        <w:trPr>
          <w:trHeight w:val="113"/>
        </w:trPr>
        <w:tc>
          <w:tcPr>
            <w:tcW w:w="3870" w:type="dxa"/>
            <w:tcBorders>
              <w:top w:val="single" w:sz="4" w:space="0" w:color="auto"/>
              <w:left w:val="nil"/>
              <w:bottom w:val="nil"/>
              <w:right w:val="nil"/>
            </w:tcBorders>
            <w:shd w:val="clear" w:color="auto" w:fill="auto"/>
            <w:tcMar>
              <w:top w:w="80" w:type="dxa"/>
              <w:left w:w="114" w:type="dxa"/>
              <w:bottom w:w="80" w:type="dxa"/>
              <w:right w:w="80" w:type="dxa"/>
            </w:tcMar>
            <w:vAlign w:val="center"/>
          </w:tcPr>
          <w:p w14:paraId="4DF20A41"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HES frailty risk score, mean (SD)</w:t>
            </w:r>
          </w:p>
        </w:tc>
        <w:tc>
          <w:tcPr>
            <w:tcW w:w="1890" w:type="dxa"/>
            <w:tcBorders>
              <w:top w:val="single" w:sz="4" w:space="0" w:color="auto"/>
              <w:left w:val="nil"/>
              <w:bottom w:val="nil"/>
              <w:right w:val="nil"/>
            </w:tcBorders>
          </w:tcPr>
          <w:p w14:paraId="59804BCF"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 (1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890" w:type="dxa"/>
            <w:tcBorders>
              <w:top w:val="single" w:sz="4" w:space="0" w:color="auto"/>
              <w:left w:val="nil"/>
              <w:bottom w:val="nil"/>
              <w:right w:val="nil"/>
            </w:tcBorders>
          </w:tcPr>
          <w:p w14:paraId="29E92921"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9</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 (2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8)</w:t>
            </w:r>
          </w:p>
        </w:tc>
        <w:tc>
          <w:tcPr>
            <w:tcW w:w="1620" w:type="dxa"/>
            <w:tcBorders>
              <w:top w:val="single" w:sz="4" w:space="0" w:color="auto"/>
              <w:left w:val="nil"/>
              <w:bottom w:val="nil"/>
              <w:right w:val="nil"/>
            </w:tcBorders>
          </w:tcPr>
          <w:p w14:paraId="70DBA429"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 (7</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4)</w:t>
            </w:r>
          </w:p>
        </w:tc>
      </w:tr>
      <w:tr w:rsidR="005178B0" w:rsidRPr="00AD0663" w14:paraId="45058A37"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698EFFE1"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Age, mean (SD)</w:t>
            </w:r>
          </w:p>
        </w:tc>
        <w:tc>
          <w:tcPr>
            <w:tcW w:w="1890" w:type="dxa"/>
            <w:tcBorders>
              <w:top w:val="nil"/>
              <w:left w:val="nil"/>
              <w:bottom w:val="nil"/>
              <w:right w:val="nil"/>
            </w:tcBorders>
          </w:tcPr>
          <w:p w14:paraId="2DFB3D58"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82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 (5</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890" w:type="dxa"/>
            <w:tcBorders>
              <w:top w:val="nil"/>
              <w:left w:val="nil"/>
              <w:bottom w:val="nil"/>
              <w:right w:val="nil"/>
            </w:tcBorders>
          </w:tcPr>
          <w:p w14:paraId="1A6D344F"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84</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8 (5</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9)</w:t>
            </w:r>
          </w:p>
        </w:tc>
        <w:tc>
          <w:tcPr>
            <w:tcW w:w="1620" w:type="dxa"/>
            <w:tcBorders>
              <w:top w:val="nil"/>
              <w:left w:val="nil"/>
              <w:bottom w:val="nil"/>
              <w:right w:val="nil"/>
            </w:tcBorders>
          </w:tcPr>
          <w:p w14:paraId="6A7C7E48"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86</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 (5</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9)</w:t>
            </w:r>
          </w:p>
        </w:tc>
      </w:tr>
      <w:tr w:rsidR="005178B0" w:rsidRPr="00AD0663" w14:paraId="25048810"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009435B4"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Female</w:t>
            </w:r>
          </w:p>
        </w:tc>
        <w:tc>
          <w:tcPr>
            <w:tcW w:w="1890" w:type="dxa"/>
            <w:tcBorders>
              <w:top w:val="nil"/>
              <w:left w:val="nil"/>
              <w:bottom w:val="nil"/>
              <w:right w:val="nil"/>
            </w:tcBorders>
          </w:tcPr>
          <w:p w14:paraId="50DCE61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54</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w:t>
            </w:r>
          </w:p>
        </w:tc>
        <w:tc>
          <w:tcPr>
            <w:tcW w:w="1890" w:type="dxa"/>
            <w:tcBorders>
              <w:top w:val="nil"/>
              <w:left w:val="nil"/>
              <w:bottom w:val="nil"/>
              <w:right w:val="nil"/>
            </w:tcBorders>
          </w:tcPr>
          <w:p w14:paraId="45733CC5"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59</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0%</w:t>
            </w:r>
          </w:p>
        </w:tc>
        <w:tc>
          <w:tcPr>
            <w:tcW w:w="1620" w:type="dxa"/>
            <w:tcBorders>
              <w:top w:val="nil"/>
              <w:left w:val="nil"/>
              <w:bottom w:val="nil"/>
              <w:right w:val="nil"/>
            </w:tcBorders>
          </w:tcPr>
          <w:p w14:paraId="70EF3D0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61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r>
      <w:tr w:rsidR="005178B0" w:rsidRPr="00AD0663" w14:paraId="76280137"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39E49DE9"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Charlson comorbidity index, mean (SD)</w:t>
            </w:r>
          </w:p>
        </w:tc>
        <w:tc>
          <w:tcPr>
            <w:tcW w:w="1890" w:type="dxa"/>
            <w:tcBorders>
              <w:top w:val="nil"/>
              <w:left w:val="nil"/>
              <w:bottom w:val="nil"/>
              <w:right w:val="nil"/>
            </w:tcBorders>
          </w:tcPr>
          <w:p w14:paraId="128AD428"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9 (2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w:t>
            </w:r>
          </w:p>
        </w:tc>
        <w:tc>
          <w:tcPr>
            <w:tcW w:w="1890" w:type="dxa"/>
            <w:tcBorders>
              <w:top w:val="nil"/>
              <w:left w:val="nil"/>
              <w:bottom w:val="nil"/>
              <w:right w:val="nil"/>
            </w:tcBorders>
          </w:tcPr>
          <w:p w14:paraId="72F9B435"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0 (2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620" w:type="dxa"/>
            <w:tcBorders>
              <w:top w:val="nil"/>
              <w:left w:val="nil"/>
              <w:bottom w:val="nil"/>
              <w:right w:val="nil"/>
            </w:tcBorders>
          </w:tcPr>
          <w:p w14:paraId="70833F80"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4</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 (2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7)</w:t>
            </w:r>
          </w:p>
        </w:tc>
      </w:tr>
      <w:tr w:rsidR="005178B0" w:rsidRPr="00AD0663" w14:paraId="2A1E9AB1"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77C39496"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Living in deprived area (IMD quintile 5)</w:t>
            </w:r>
          </w:p>
        </w:tc>
        <w:tc>
          <w:tcPr>
            <w:tcW w:w="1890" w:type="dxa"/>
            <w:tcBorders>
              <w:top w:val="nil"/>
              <w:left w:val="nil"/>
              <w:bottom w:val="nil"/>
              <w:right w:val="nil"/>
            </w:tcBorders>
          </w:tcPr>
          <w:p w14:paraId="25283734"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16</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890" w:type="dxa"/>
            <w:tcBorders>
              <w:top w:val="nil"/>
              <w:left w:val="nil"/>
              <w:bottom w:val="nil"/>
              <w:right w:val="nil"/>
            </w:tcBorders>
          </w:tcPr>
          <w:p w14:paraId="12DA9159"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18</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w:t>
            </w:r>
          </w:p>
        </w:tc>
        <w:tc>
          <w:tcPr>
            <w:tcW w:w="1620" w:type="dxa"/>
            <w:tcBorders>
              <w:top w:val="nil"/>
              <w:left w:val="nil"/>
              <w:bottom w:val="nil"/>
              <w:right w:val="nil"/>
            </w:tcBorders>
          </w:tcPr>
          <w:p w14:paraId="6606B36F"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19</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r>
      <w:tr w:rsidR="005178B0" w:rsidRPr="00AD0663" w14:paraId="502EB566" w14:textId="77777777" w:rsidTr="002C7B49">
        <w:trPr>
          <w:trHeight w:val="113"/>
        </w:trPr>
        <w:tc>
          <w:tcPr>
            <w:tcW w:w="3870" w:type="dxa"/>
            <w:tcBorders>
              <w:top w:val="single" w:sz="4" w:space="0" w:color="auto"/>
              <w:left w:val="nil"/>
              <w:bottom w:val="nil"/>
              <w:right w:val="nil"/>
            </w:tcBorders>
            <w:shd w:val="clear" w:color="auto" w:fill="auto"/>
            <w:tcMar>
              <w:top w:w="80" w:type="dxa"/>
              <w:left w:w="114" w:type="dxa"/>
              <w:bottom w:w="80" w:type="dxa"/>
              <w:right w:w="80" w:type="dxa"/>
            </w:tcMar>
            <w:vAlign w:val="center"/>
          </w:tcPr>
          <w:p w14:paraId="73214B52"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No</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 xml:space="preserve"> of </w:t>
            </w:r>
            <w:r w:rsidRPr="00AD0663">
              <w:rPr>
                <w:rFonts w:ascii="Times New Roman" w:eastAsia="Calibri" w:hAnsi="Times New Roman" w:cs="Times New Roman"/>
                <w:i/>
                <w:sz w:val="20"/>
                <w:szCs w:val="20"/>
                <w:lang w:val="en-US"/>
              </w:rPr>
              <w:t>past</w:t>
            </w:r>
            <w:r w:rsidRPr="00AD0663">
              <w:rPr>
                <w:rFonts w:ascii="Times New Roman" w:eastAsia="Calibri" w:hAnsi="Times New Roman" w:cs="Times New Roman"/>
                <w:sz w:val="20"/>
                <w:szCs w:val="20"/>
                <w:lang w:val="en-US"/>
              </w:rPr>
              <w:t xml:space="preserve"> admissions</w:t>
            </w:r>
            <w:r w:rsidRPr="00AD0663">
              <w:rPr>
                <w:rFonts w:ascii="Times New Roman" w:eastAsia="Calibri" w:hAnsi="Times New Roman" w:cs="Times New Roman"/>
                <w:bCs/>
                <w:sz w:val="20"/>
                <w:szCs w:val="20"/>
                <w:lang w:val="en-US"/>
              </w:rPr>
              <w:t>†</w:t>
            </w:r>
            <w:r w:rsidRPr="00AD0663">
              <w:rPr>
                <w:rFonts w:ascii="Times New Roman" w:eastAsia="Calibri" w:hAnsi="Times New Roman" w:cs="Times New Roman"/>
                <w:sz w:val="20"/>
                <w:szCs w:val="20"/>
                <w:lang w:val="en-US"/>
              </w:rPr>
              <w:t>, mean (SD)</w:t>
            </w:r>
          </w:p>
        </w:tc>
        <w:tc>
          <w:tcPr>
            <w:tcW w:w="1890" w:type="dxa"/>
            <w:tcBorders>
              <w:top w:val="single" w:sz="4" w:space="0" w:color="auto"/>
              <w:left w:val="nil"/>
              <w:bottom w:val="nil"/>
              <w:right w:val="nil"/>
            </w:tcBorders>
          </w:tcPr>
          <w:p w14:paraId="5F536C84"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 (2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7)</w:t>
            </w:r>
          </w:p>
        </w:tc>
        <w:tc>
          <w:tcPr>
            <w:tcW w:w="1890" w:type="dxa"/>
            <w:tcBorders>
              <w:top w:val="single" w:sz="4" w:space="0" w:color="auto"/>
              <w:left w:val="nil"/>
              <w:bottom w:val="nil"/>
              <w:right w:val="nil"/>
            </w:tcBorders>
          </w:tcPr>
          <w:p w14:paraId="1E76FB2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9 (3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2)</w:t>
            </w:r>
          </w:p>
        </w:tc>
        <w:tc>
          <w:tcPr>
            <w:tcW w:w="1620" w:type="dxa"/>
            <w:tcBorders>
              <w:top w:val="single" w:sz="4" w:space="0" w:color="auto"/>
              <w:left w:val="nil"/>
              <w:bottom w:val="nil"/>
              <w:right w:val="nil"/>
            </w:tcBorders>
          </w:tcPr>
          <w:p w14:paraId="558E53B9"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 (3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w:t>
            </w:r>
          </w:p>
        </w:tc>
      </w:tr>
      <w:tr w:rsidR="005178B0" w:rsidRPr="00AD0663" w14:paraId="60A2CDEA"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2AF1F80D"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0</w:t>
            </w:r>
          </w:p>
        </w:tc>
        <w:tc>
          <w:tcPr>
            <w:tcW w:w="1890" w:type="dxa"/>
            <w:tcBorders>
              <w:top w:val="nil"/>
              <w:left w:val="nil"/>
              <w:bottom w:val="nil"/>
              <w:right w:val="nil"/>
            </w:tcBorders>
          </w:tcPr>
          <w:p w14:paraId="1FC5D714"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50</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w:t>
            </w:r>
          </w:p>
        </w:tc>
        <w:tc>
          <w:tcPr>
            <w:tcW w:w="1890" w:type="dxa"/>
            <w:tcBorders>
              <w:top w:val="nil"/>
              <w:left w:val="nil"/>
              <w:bottom w:val="nil"/>
              <w:right w:val="nil"/>
            </w:tcBorders>
          </w:tcPr>
          <w:p w14:paraId="03D8D144"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36</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w:t>
            </w:r>
          </w:p>
        </w:tc>
        <w:tc>
          <w:tcPr>
            <w:tcW w:w="1620" w:type="dxa"/>
            <w:tcBorders>
              <w:top w:val="nil"/>
              <w:left w:val="nil"/>
              <w:bottom w:val="nil"/>
              <w:right w:val="nil"/>
            </w:tcBorders>
          </w:tcPr>
          <w:p w14:paraId="2FE0DD9E"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9%</w:t>
            </w:r>
          </w:p>
        </w:tc>
      </w:tr>
      <w:tr w:rsidR="005178B0" w:rsidRPr="00AD0663" w14:paraId="27176F61"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60C269D7"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1</w:t>
            </w:r>
          </w:p>
        </w:tc>
        <w:tc>
          <w:tcPr>
            <w:tcW w:w="1890" w:type="dxa"/>
            <w:tcBorders>
              <w:top w:val="nil"/>
              <w:left w:val="nil"/>
              <w:bottom w:val="nil"/>
              <w:right w:val="nil"/>
            </w:tcBorders>
          </w:tcPr>
          <w:p w14:paraId="1D634329"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w:t>
            </w:r>
          </w:p>
        </w:tc>
        <w:tc>
          <w:tcPr>
            <w:tcW w:w="1890" w:type="dxa"/>
            <w:tcBorders>
              <w:top w:val="nil"/>
              <w:left w:val="nil"/>
              <w:bottom w:val="nil"/>
              <w:right w:val="nil"/>
            </w:tcBorders>
          </w:tcPr>
          <w:p w14:paraId="04143E8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620" w:type="dxa"/>
            <w:tcBorders>
              <w:top w:val="nil"/>
              <w:left w:val="nil"/>
              <w:bottom w:val="nil"/>
              <w:right w:val="nil"/>
            </w:tcBorders>
          </w:tcPr>
          <w:p w14:paraId="17AEC710"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18</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w:t>
            </w:r>
          </w:p>
        </w:tc>
      </w:tr>
      <w:tr w:rsidR="005178B0" w:rsidRPr="00AD0663" w14:paraId="0B14D3AB"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4918A96A"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2</w:t>
            </w:r>
          </w:p>
        </w:tc>
        <w:tc>
          <w:tcPr>
            <w:tcW w:w="1890" w:type="dxa"/>
            <w:tcBorders>
              <w:top w:val="nil"/>
              <w:left w:val="nil"/>
              <w:bottom w:val="nil"/>
              <w:right w:val="nil"/>
            </w:tcBorders>
          </w:tcPr>
          <w:p w14:paraId="522824C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890" w:type="dxa"/>
            <w:tcBorders>
              <w:top w:val="nil"/>
              <w:left w:val="nil"/>
              <w:bottom w:val="nil"/>
              <w:right w:val="nil"/>
            </w:tcBorders>
          </w:tcPr>
          <w:p w14:paraId="69185F0D"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15</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2%</w:t>
            </w:r>
          </w:p>
        </w:tc>
        <w:tc>
          <w:tcPr>
            <w:tcW w:w="1620" w:type="dxa"/>
            <w:tcBorders>
              <w:top w:val="nil"/>
              <w:left w:val="nil"/>
              <w:bottom w:val="nil"/>
              <w:right w:val="nil"/>
            </w:tcBorders>
          </w:tcPr>
          <w:p w14:paraId="670377B9"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18</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w:t>
            </w:r>
          </w:p>
        </w:tc>
      </w:tr>
      <w:tr w:rsidR="005178B0" w:rsidRPr="00AD0663" w14:paraId="350D2019" w14:textId="77777777" w:rsidTr="002C7B49">
        <w:trPr>
          <w:trHeight w:val="113"/>
        </w:trPr>
        <w:tc>
          <w:tcPr>
            <w:tcW w:w="3870"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39090A55"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 3</w:t>
            </w:r>
          </w:p>
        </w:tc>
        <w:tc>
          <w:tcPr>
            <w:tcW w:w="1890" w:type="dxa"/>
            <w:tcBorders>
              <w:top w:val="nil"/>
              <w:left w:val="nil"/>
              <w:bottom w:val="single" w:sz="4" w:space="0" w:color="auto"/>
              <w:right w:val="nil"/>
            </w:tcBorders>
          </w:tcPr>
          <w:p w14:paraId="2ADE3619"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14</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8%</w:t>
            </w:r>
          </w:p>
        </w:tc>
        <w:tc>
          <w:tcPr>
            <w:tcW w:w="1890" w:type="dxa"/>
            <w:tcBorders>
              <w:top w:val="nil"/>
              <w:left w:val="nil"/>
              <w:bottom w:val="single" w:sz="4" w:space="0" w:color="auto"/>
              <w:right w:val="nil"/>
            </w:tcBorders>
          </w:tcPr>
          <w:p w14:paraId="29CE210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25</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w:t>
            </w:r>
          </w:p>
        </w:tc>
        <w:tc>
          <w:tcPr>
            <w:tcW w:w="1620" w:type="dxa"/>
            <w:tcBorders>
              <w:top w:val="nil"/>
              <w:left w:val="nil"/>
              <w:bottom w:val="single" w:sz="4" w:space="0" w:color="auto"/>
              <w:right w:val="nil"/>
            </w:tcBorders>
          </w:tcPr>
          <w:p w14:paraId="63D6732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49</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2%</w:t>
            </w:r>
          </w:p>
        </w:tc>
      </w:tr>
      <w:tr w:rsidR="005178B0" w:rsidRPr="00AD0663" w14:paraId="0EEC4539" w14:textId="77777777" w:rsidTr="002C7B49">
        <w:trPr>
          <w:trHeight w:val="113"/>
        </w:trPr>
        <w:tc>
          <w:tcPr>
            <w:tcW w:w="3870" w:type="dxa"/>
            <w:tcBorders>
              <w:top w:val="single" w:sz="4" w:space="0" w:color="auto"/>
              <w:left w:val="nil"/>
              <w:bottom w:val="nil"/>
              <w:right w:val="nil"/>
            </w:tcBorders>
            <w:shd w:val="clear" w:color="auto" w:fill="auto"/>
            <w:tcMar>
              <w:top w:w="80" w:type="dxa"/>
              <w:left w:w="114" w:type="dxa"/>
              <w:bottom w:w="80" w:type="dxa"/>
              <w:right w:w="80" w:type="dxa"/>
            </w:tcMar>
            <w:vAlign w:val="center"/>
          </w:tcPr>
          <w:p w14:paraId="53953300"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At least one frailty syndrome‡ </w:t>
            </w:r>
          </w:p>
        </w:tc>
        <w:tc>
          <w:tcPr>
            <w:tcW w:w="1890" w:type="dxa"/>
            <w:tcBorders>
              <w:top w:val="single" w:sz="4" w:space="0" w:color="auto"/>
              <w:left w:val="nil"/>
              <w:bottom w:val="nil"/>
              <w:right w:val="nil"/>
            </w:tcBorders>
          </w:tcPr>
          <w:p w14:paraId="1DD271A0"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9%</w:t>
            </w:r>
          </w:p>
        </w:tc>
        <w:tc>
          <w:tcPr>
            <w:tcW w:w="1890" w:type="dxa"/>
            <w:tcBorders>
              <w:top w:val="single" w:sz="4" w:space="0" w:color="auto"/>
              <w:left w:val="nil"/>
              <w:bottom w:val="nil"/>
              <w:right w:val="nil"/>
            </w:tcBorders>
          </w:tcPr>
          <w:p w14:paraId="2D5DCCCF"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66</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8%</w:t>
            </w:r>
          </w:p>
        </w:tc>
        <w:tc>
          <w:tcPr>
            <w:tcW w:w="1620" w:type="dxa"/>
            <w:tcBorders>
              <w:top w:val="single" w:sz="4" w:space="0" w:color="auto"/>
              <w:left w:val="nil"/>
              <w:bottom w:val="nil"/>
              <w:right w:val="nil"/>
            </w:tcBorders>
          </w:tcPr>
          <w:p w14:paraId="0286F832"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94</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r>
      <w:tr w:rsidR="005178B0" w:rsidRPr="00AD0663" w14:paraId="2A9B549B"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192851E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Anxiety/Depression</w:t>
            </w:r>
          </w:p>
        </w:tc>
        <w:tc>
          <w:tcPr>
            <w:tcW w:w="1890" w:type="dxa"/>
            <w:tcBorders>
              <w:top w:val="nil"/>
              <w:left w:val="nil"/>
              <w:bottom w:val="nil"/>
              <w:right w:val="nil"/>
            </w:tcBorders>
          </w:tcPr>
          <w:p w14:paraId="3ADA2218"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5</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w:t>
            </w:r>
          </w:p>
        </w:tc>
        <w:tc>
          <w:tcPr>
            <w:tcW w:w="1890" w:type="dxa"/>
            <w:tcBorders>
              <w:top w:val="nil"/>
              <w:left w:val="nil"/>
              <w:bottom w:val="nil"/>
              <w:right w:val="nil"/>
            </w:tcBorders>
          </w:tcPr>
          <w:p w14:paraId="5D5AC82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9</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620" w:type="dxa"/>
            <w:tcBorders>
              <w:top w:val="nil"/>
              <w:left w:val="nil"/>
              <w:bottom w:val="nil"/>
              <w:right w:val="nil"/>
            </w:tcBorders>
          </w:tcPr>
          <w:p w14:paraId="7EBCC33F"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17</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w:t>
            </w:r>
          </w:p>
        </w:tc>
      </w:tr>
      <w:tr w:rsidR="005178B0" w:rsidRPr="00AD0663" w14:paraId="76A7EA68"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24097695"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Functional dependence</w:t>
            </w:r>
          </w:p>
        </w:tc>
        <w:tc>
          <w:tcPr>
            <w:tcW w:w="1890" w:type="dxa"/>
            <w:tcBorders>
              <w:top w:val="nil"/>
              <w:left w:val="nil"/>
              <w:bottom w:val="nil"/>
              <w:right w:val="nil"/>
            </w:tcBorders>
          </w:tcPr>
          <w:p w14:paraId="1A16F56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0</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4%</w:t>
            </w:r>
          </w:p>
        </w:tc>
        <w:tc>
          <w:tcPr>
            <w:tcW w:w="1890" w:type="dxa"/>
            <w:tcBorders>
              <w:top w:val="nil"/>
              <w:left w:val="nil"/>
              <w:bottom w:val="nil"/>
              <w:right w:val="nil"/>
            </w:tcBorders>
          </w:tcPr>
          <w:p w14:paraId="7DD1C1B0"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9%</w:t>
            </w:r>
          </w:p>
        </w:tc>
        <w:tc>
          <w:tcPr>
            <w:tcW w:w="1620" w:type="dxa"/>
            <w:tcBorders>
              <w:top w:val="nil"/>
              <w:left w:val="nil"/>
              <w:bottom w:val="nil"/>
              <w:right w:val="nil"/>
            </w:tcBorders>
          </w:tcPr>
          <w:p w14:paraId="73008980"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r>
      <w:tr w:rsidR="005178B0" w:rsidRPr="00AD0663" w14:paraId="5E93418F"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22D8A22D"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Falls and fractures</w:t>
            </w:r>
          </w:p>
        </w:tc>
        <w:tc>
          <w:tcPr>
            <w:tcW w:w="1890" w:type="dxa"/>
            <w:tcBorders>
              <w:top w:val="nil"/>
              <w:left w:val="nil"/>
              <w:bottom w:val="nil"/>
              <w:right w:val="nil"/>
            </w:tcBorders>
          </w:tcPr>
          <w:p w14:paraId="6BD25EB4"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890" w:type="dxa"/>
            <w:tcBorders>
              <w:top w:val="nil"/>
              <w:left w:val="nil"/>
              <w:bottom w:val="nil"/>
              <w:right w:val="nil"/>
            </w:tcBorders>
          </w:tcPr>
          <w:p w14:paraId="00880EBD"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34</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7%</w:t>
            </w:r>
          </w:p>
        </w:tc>
        <w:tc>
          <w:tcPr>
            <w:tcW w:w="1620" w:type="dxa"/>
            <w:tcBorders>
              <w:top w:val="nil"/>
              <w:left w:val="nil"/>
              <w:bottom w:val="nil"/>
              <w:right w:val="nil"/>
            </w:tcBorders>
          </w:tcPr>
          <w:p w14:paraId="7EAA192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58</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w:t>
            </w:r>
          </w:p>
        </w:tc>
      </w:tr>
      <w:tr w:rsidR="005178B0" w:rsidRPr="00AD0663" w14:paraId="04FEC051"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5246FB44"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Incontinence</w:t>
            </w:r>
          </w:p>
        </w:tc>
        <w:tc>
          <w:tcPr>
            <w:tcW w:w="1890" w:type="dxa"/>
            <w:tcBorders>
              <w:top w:val="nil"/>
              <w:left w:val="nil"/>
              <w:bottom w:val="nil"/>
              <w:right w:val="nil"/>
            </w:tcBorders>
          </w:tcPr>
          <w:p w14:paraId="0822444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0</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7%</w:t>
            </w:r>
          </w:p>
        </w:tc>
        <w:tc>
          <w:tcPr>
            <w:tcW w:w="1890" w:type="dxa"/>
            <w:tcBorders>
              <w:top w:val="nil"/>
              <w:left w:val="nil"/>
              <w:bottom w:val="nil"/>
              <w:right w:val="nil"/>
            </w:tcBorders>
          </w:tcPr>
          <w:p w14:paraId="25A168AD"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9%</w:t>
            </w:r>
          </w:p>
        </w:tc>
        <w:tc>
          <w:tcPr>
            <w:tcW w:w="1620" w:type="dxa"/>
            <w:tcBorders>
              <w:top w:val="nil"/>
              <w:left w:val="nil"/>
              <w:bottom w:val="nil"/>
              <w:right w:val="nil"/>
            </w:tcBorders>
          </w:tcPr>
          <w:p w14:paraId="3C398060"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r>
      <w:tr w:rsidR="005178B0" w:rsidRPr="00AD0663" w14:paraId="5E5599EE" w14:textId="77777777" w:rsidTr="002C7B49">
        <w:trPr>
          <w:trHeight w:val="113"/>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3C2483F2"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Mobility problems</w:t>
            </w:r>
          </w:p>
        </w:tc>
        <w:tc>
          <w:tcPr>
            <w:tcW w:w="1890" w:type="dxa"/>
            <w:tcBorders>
              <w:top w:val="nil"/>
              <w:left w:val="nil"/>
              <w:bottom w:val="nil"/>
              <w:right w:val="nil"/>
            </w:tcBorders>
          </w:tcPr>
          <w:p w14:paraId="5FE6AE4F"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0%</w:t>
            </w:r>
          </w:p>
        </w:tc>
        <w:tc>
          <w:tcPr>
            <w:tcW w:w="1890" w:type="dxa"/>
            <w:tcBorders>
              <w:top w:val="nil"/>
              <w:left w:val="nil"/>
              <w:bottom w:val="nil"/>
              <w:right w:val="nil"/>
            </w:tcBorders>
          </w:tcPr>
          <w:p w14:paraId="2FB9ECE9"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9</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w:t>
            </w:r>
          </w:p>
        </w:tc>
        <w:tc>
          <w:tcPr>
            <w:tcW w:w="1620" w:type="dxa"/>
            <w:tcBorders>
              <w:top w:val="nil"/>
              <w:left w:val="nil"/>
              <w:bottom w:val="nil"/>
              <w:right w:val="nil"/>
            </w:tcBorders>
          </w:tcPr>
          <w:p w14:paraId="0AC262D1"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29</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7%</w:t>
            </w:r>
          </w:p>
        </w:tc>
      </w:tr>
      <w:tr w:rsidR="005178B0" w:rsidRPr="00AD0663" w14:paraId="6D891730" w14:textId="77777777" w:rsidTr="002C7B49">
        <w:trPr>
          <w:trHeight w:val="225"/>
        </w:trPr>
        <w:tc>
          <w:tcPr>
            <w:tcW w:w="3870" w:type="dxa"/>
            <w:tcBorders>
              <w:top w:val="nil"/>
              <w:left w:val="nil"/>
              <w:bottom w:val="nil"/>
              <w:right w:val="nil"/>
            </w:tcBorders>
            <w:shd w:val="clear" w:color="auto" w:fill="auto"/>
            <w:tcMar>
              <w:top w:w="80" w:type="dxa"/>
              <w:left w:w="114" w:type="dxa"/>
              <w:bottom w:w="80" w:type="dxa"/>
              <w:right w:w="80" w:type="dxa"/>
            </w:tcMar>
            <w:vAlign w:val="center"/>
          </w:tcPr>
          <w:p w14:paraId="14FF2D89"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Pressure ulcers</w:t>
            </w:r>
          </w:p>
        </w:tc>
        <w:tc>
          <w:tcPr>
            <w:tcW w:w="1890" w:type="dxa"/>
            <w:tcBorders>
              <w:top w:val="nil"/>
              <w:left w:val="nil"/>
              <w:bottom w:val="nil"/>
              <w:right w:val="nil"/>
            </w:tcBorders>
          </w:tcPr>
          <w:p w14:paraId="1C828DB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0</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w:t>
            </w:r>
          </w:p>
        </w:tc>
        <w:tc>
          <w:tcPr>
            <w:tcW w:w="1890" w:type="dxa"/>
            <w:tcBorders>
              <w:top w:val="nil"/>
              <w:left w:val="nil"/>
              <w:bottom w:val="nil"/>
              <w:right w:val="nil"/>
            </w:tcBorders>
          </w:tcPr>
          <w:p w14:paraId="5783F1CF"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4</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7%</w:t>
            </w:r>
          </w:p>
        </w:tc>
        <w:tc>
          <w:tcPr>
            <w:tcW w:w="1620" w:type="dxa"/>
            <w:tcBorders>
              <w:top w:val="nil"/>
              <w:left w:val="nil"/>
              <w:bottom w:val="nil"/>
              <w:right w:val="nil"/>
            </w:tcBorders>
          </w:tcPr>
          <w:p w14:paraId="7BE078D9"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16</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0%</w:t>
            </w:r>
          </w:p>
        </w:tc>
      </w:tr>
      <w:tr w:rsidR="005178B0" w:rsidRPr="00AD0663" w14:paraId="76813734" w14:textId="77777777" w:rsidTr="002C7B49">
        <w:trPr>
          <w:trHeight w:val="113"/>
        </w:trPr>
        <w:tc>
          <w:tcPr>
            <w:tcW w:w="3870"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3F4B7E1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     Cognitive impairment‡ </w:t>
            </w:r>
          </w:p>
        </w:tc>
        <w:tc>
          <w:tcPr>
            <w:tcW w:w="1890" w:type="dxa"/>
            <w:tcBorders>
              <w:top w:val="nil"/>
              <w:left w:val="nil"/>
              <w:bottom w:val="single" w:sz="4" w:space="0" w:color="auto"/>
              <w:right w:val="nil"/>
            </w:tcBorders>
          </w:tcPr>
          <w:p w14:paraId="4E319A6A"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4</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7%</w:t>
            </w:r>
          </w:p>
        </w:tc>
        <w:tc>
          <w:tcPr>
            <w:tcW w:w="1890" w:type="dxa"/>
            <w:tcBorders>
              <w:top w:val="nil"/>
              <w:left w:val="nil"/>
              <w:bottom w:val="single" w:sz="4" w:space="0" w:color="auto"/>
              <w:right w:val="nil"/>
            </w:tcBorders>
          </w:tcPr>
          <w:p w14:paraId="5FFDAEB8"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29</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2%</w:t>
            </w:r>
          </w:p>
        </w:tc>
        <w:tc>
          <w:tcPr>
            <w:tcW w:w="1620" w:type="dxa"/>
            <w:tcBorders>
              <w:top w:val="nil"/>
              <w:left w:val="nil"/>
              <w:bottom w:val="single" w:sz="4" w:space="0" w:color="auto"/>
              <w:right w:val="nil"/>
            </w:tcBorders>
          </w:tcPr>
          <w:p w14:paraId="2224BD5C"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66</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2%</w:t>
            </w:r>
          </w:p>
        </w:tc>
      </w:tr>
    </w:tbl>
    <w:p w14:paraId="562FBC5A" w14:textId="77777777" w:rsidR="005178B0" w:rsidRDefault="005178B0" w:rsidP="002C7B49">
      <w:pPr>
        <w:spacing w:after="160" w:line="259" w:lineRule="auto"/>
        <w:rPr>
          <w:rFonts w:ascii="Times New Roman" w:eastAsia="Calibri" w:hAnsi="Times New Roman" w:cs="Times New Roman"/>
          <w:sz w:val="20"/>
          <w:szCs w:val="20"/>
        </w:rPr>
      </w:pPr>
      <w:r w:rsidRPr="00AD0663">
        <w:rPr>
          <w:rFonts w:ascii="Times New Roman" w:eastAsia="Calibri" w:hAnsi="Times New Roman" w:cs="Times New Roman"/>
          <w:bCs/>
          <w:sz w:val="20"/>
          <w:szCs w:val="20"/>
        </w:rPr>
        <w:t xml:space="preserve">* Final models were estimated for </w:t>
      </w:r>
      <w:r w:rsidRPr="00AD0663">
        <w:rPr>
          <w:rFonts w:ascii="Times New Roman" w:eastAsia="Calibri" w:hAnsi="Times New Roman" w:cs="Times New Roman"/>
          <w:sz w:val="20"/>
          <w:szCs w:val="20"/>
        </w:rPr>
        <w:t>1,003,334 who were not missing an IMD score and excluding 10,256 people who were included in the development cohort.</w:t>
      </w:r>
      <w:r>
        <w:rPr>
          <w:rFonts w:ascii="Times New Roman" w:eastAsia="Calibri" w:hAnsi="Times New Roman" w:cs="Times New Roman"/>
          <w:sz w:val="20"/>
          <w:szCs w:val="20"/>
        </w:rPr>
        <w:br/>
      </w:r>
      <w:r w:rsidRPr="00AD0663">
        <w:rPr>
          <w:rFonts w:ascii="Times New Roman" w:eastAsia="Calibri" w:hAnsi="Times New Roman" w:cs="Times New Roman"/>
          <w:bCs/>
          <w:sz w:val="20"/>
          <w:szCs w:val="20"/>
          <w:lang w:val="en-US"/>
        </w:rPr>
        <w:t>† Past admissions to hospital over two years, including elective and emergency admissions.</w:t>
      </w:r>
      <w:r>
        <w:rPr>
          <w:rFonts w:ascii="Times New Roman" w:eastAsia="Calibri" w:hAnsi="Times New Roman" w:cs="Times New Roman"/>
          <w:bCs/>
          <w:sz w:val="20"/>
          <w:szCs w:val="20"/>
          <w:lang w:val="en-US"/>
        </w:rPr>
        <w:br/>
      </w:r>
      <w:r w:rsidRPr="00AD0663">
        <w:rPr>
          <w:rFonts w:ascii="Times New Roman" w:eastAsia="Calibri" w:hAnsi="Times New Roman" w:cs="Times New Roman"/>
          <w:sz w:val="20"/>
          <w:szCs w:val="20"/>
        </w:rPr>
        <w:lastRenderedPageBreak/>
        <w:t>‡ Frailty syndromes based on ICD-10 codes defined in Soong et al. (2015). Cognitive impairment covers delirium (ICD-10 code F05), dementia (F00-F04, R41) and senility (R54).</w:t>
      </w:r>
    </w:p>
    <w:p w14:paraId="0059A948" w14:textId="77777777" w:rsidR="005178B0" w:rsidRPr="00803EE3" w:rsidRDefault="005178B0" w:rsidP="002C7B49">
      <w:pPr>
        <w:spacing w:after="160" w:line="259" w:lineRule="auto"/>
        <w:rPr>
          <w:rFonts w:ascii="Times New Roman" w:eastAsia="Calibri" w:hAnsi="Times New Roman" w:cs="Times New Roman"/>
          <w:i/>
          <w:sz w:val="20"/>
          <w:szCs w:val="20"/>
          <w:lang w:val="en-US"/>
        </w:rPr>
      </w:pPr>
      <w:r w:rsidRPr="00803EE3">
        <w:rPr>
          <w:rFonts w:ascii="Times New Roman" w:eastAsia="Calibri" w:hAnsi="Times New Roman" w:cs="Times New Roman"/>
          <w:i/>
          <w:sz w:val="20"/>
          <w:szCs w:val="20"/>
          <w:lang w:val="en-US"/>
        </w:rPr>
        <w:t>Table S3 Relationship between HES frailty risk category and outcomes among patients in national validation cohort (n = 1,003,334</w:t>
      </w:r>
      <w:r w:rsidRPr="00803EE3">
        <w:rPr>
          <w:rFonts w:ascii="Times New Roman" w:eastAsia="Calibri" w:hAnsi="Times New Roman" w:cs="Times New Roman"/>
          <w:bCs/>
          <w:i/>
          <w:sz w:val="20"/>
          <w:szCs w:val="20"/>
          <w:lang w:val="en-US"/>
        </w:rPr>
        <w:t>†</w:t>
      </w:r>
      <w:r w:rsidRPr="00803EE3">
        <w:rPr>
          <w:rFonts w:ascii="Times New Roman" w:eastAsia="Calibri" w:hAnsi="Times New Roman" w:cs="Times New Roman"/>
          <w:i/>
          <w:sz w:val="20"/>
          <w:szCs w:val="20"/>
          <w:lang w:val="en-US"/>
        </w:rPr>
        <w:t>)</w:t>
      </w:r>
    </w:p>
    <w:tbl>
      <w:tblPr>
        <w:tblW w:w="9138" w:type="dxa"/>
        <w:tblInd w:w="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918"/>
        <w:gridCol w:w="1308"/>
        <w:gridCol w:w="1392"/>
        <w:gridCol w:w="2520"/>
      </w:tblGrid>
      <w:tr w:rsidR="005178B0" w:rsidRPr="00AD0663" w14:paraId="60D0D8FA" w14:textId="77777777" w:rsidTr="002C7B49">
        <w:trPr>
          <w:trHeight w:val="549"/>
        </w:trPr>
        <w:tc>
          <w:tcPr>
            <w:tcW w:w="3918" w:type="dxa"/>
            <w:tcBorders>
              <w:top w:val="single" w:sz="4" w:space="0" w:color="auto"/>
              <w:left w:val="nil"/>
              <w:bottom w:val="single" w:sz="4" w:space="0" w:color="auto"/>
              <w:right w:val="nil"/>
            </w:tcBorders>
            <w:shd w:val="clear" w:color="auto" w:fill="auto"/>
            <w:tcMar>
              <w:top w:w="80" w:type="dxa"/>
              <w:left w:w="114" w:type="dxa"/>
              <w:bottom w:w="80" w:type="dxa"/>
              <w:right w:w="80" w:type="dxa"/>
            </w:tcMar>
            <w:vAlign w:val="center"/>
          </w:tcPr>
          <w:p w14:paraId="0ABFE7CE"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Outcome, </w:t>
            </w:r>
            <w:r w:rsidRPr="00AD0663">
              <w:rPr>
                <w:rFonts w:ascii="Times New Roman" w:eastAsia="Calibri" w:hAnsi="Times New Roman" w:cs="Times New Roman"/>
                <w:i/>
                <w:sz w:val="20"/>
                <w:szCs w:val="20"/>
                <w:lang w:val="en-US"/>
              </w:rPr>
              <w:t>HES frailty risk</w:t>
            </w:r>
          </w:p>
        </w:tc>
        <w:tc>
          <w:tcPr>
            <w:tcW w:w="1308" w:type="dxa"/>
            <w:tcBorders>
              <w:top w:val="single" w:sz="4" w:space="0" w:color="auto"/>
              <w:left w:val="nil"/>
              <w:bottom w:val="single" w:sz="4" w:space="0" w:color="auto"/>
              <w:right w:val="nil"/>
            </w:tcBorders>
            <w:vAlign w:val="center"/>
          </w:tcPr>
          <w:p w14:paraId="7F2C8999"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sz w:val="20"/>
                <w:szCs w:val="20"/>
                <w:lang w:val="en-US"/>
              </w:rPr>
              <w:t>%</w:t>
            </w:r>
          </w:p>
        </w:tc>
        <w:tc>
          <w:tcPr>
            <w:tcW w:w="1392" w:type="dxa"/>
            <w:tcBorders>
              <w:top w:val="single" w:sz="4" w:space="0" w:color="auto"/>
              <w:left w:val="nil"/>
              <w:bottom w:val="single" w:sz="4" w:space="0" w:color="auto"/>
              <w:right w:val="nil"/>
            </w:tcBorders>
            <w:vAlign w:val="center"/>
          </w:tcPr>
          <w:p w14:paraId="6AA7B0E6"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sz w:val="20"/>
                <w:szCs w:val="20"/>
                <w:lang w:val="en-US"/>
              </w:rPr>
              <w:t>Crude OR</w:t>
            </w:r>
          </w:p>
        </w:tc>
        <w:tc>
          <w:tcPr>
            <w:tcW w:w="2520" w:type="dxa"/>
            <w:tcBorders>
              <w:top w:val="single" w:sz="4" w:space="0" w:color="auto"/>
              <w:left w:val="nil"/>
              <w:bottom w:val="single" w:sz="4" w:space="0" w:color="auto"/>
              <w:right w:val="nil"/>
            </w:tcBorders>
            <w:vAlign w:val="center"/>
          </w:tcPr>
          <w:p w14:paraId="3E3A6210"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sz w:val="20"/>
                <w:szCs w:val="20"/>
                <w:lang w:val="en-US"/>
              </w:rPr>
              <w:t>Adjusted OR  (95% CI) §</w:t>
            </w:r>
          </w:p>
        </w:tc>
      </w:tr>
      <w:tr w:rsidR="005178B0" w:rsidRPr="00AD0663" w14:paraId="2975BE9B" w14:textId="77777777" w:rsidTr="002C7B49">
        <w:trPr>
          <w:trHeight w:val="549"/>
        </w:trPr>
        <w:tc>
          <w:tcPr>
            <w:tcW w:w="3918" w:type="dxa"/>
            <w:tcBorders>
              <w:top w:val="single" w:sz="4" w:space="0" w:color="auto"/>
              <w:left w:val="nil"/>
              <w:bottom w:val="nil"/>
              <w:right w:val="nil"/>
            </w:tcBorders>
            <w:shd w:val="clear" w:color="auto" w:fill="auto"/>
            <w:tcMar>
              <w:top w:w="80" w:type="dxa"/>
              <w:left w:w="114" w:type="dxa"/>
              <w:bottom w:w="80" w:type="dxa"/>
              <w:right w:w="80" w:type="dxa"/>
            </w:tcMar>
            <w:vAlign w:val="center"/>
          </w:tcPr>
          <w:p w14:paraId="4720CE81"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30-day mortality</w:t>
            </w:r>
          </w:p>
        </w:tc>
        <w:tc>
          <w:tcPr>
            <w:tcW w:w="1308" w:type="dxa"/>
            <w:tcBorders>
              <w:top w:val="single" w:sz="4" w:space="0" w:color="auto"/>
              <w:left w:val="nil"/>
              <w:bottom w:val="nil"/>
              <w:right w:val="nil"/>
            </w:tcBorders>
            <w:vAlign w:val="center"/>
          </w:tcPr>
          <w:p w14:paraId="509F02FA"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p>
        </w:tc>
        <w:tc>
          <w:tcPr>
            <w:tcW w:w="1392" w:type="dxa"/>
            <w:tcBorders>
              <w:top w:val="single" w:sz="4" w:space="0" w:color="auto"/>
              <w:left w:val="nil"/>
              <w:bottom w:val="nil"/>
              <w:right w:val="nil"/>
            </w:tcBorders>
            <w:vAlign w:val="center"/>
          </w:tcPr>
          <w:p w14:paraId="7F422209"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p>
        </w:tc>
        <w:tc>
          <w:tcPr>
            <w:tcW w:w="2520" w:type="dxa"/>
            <w:tcBorders>
              <w:top w:val="single" w:sz="4" w:space="0" w:color="auto"/>
              <w:left w:val="nil"/>
              <w:right w:val="nil"/>
            </w:tcBorders>
            <w:vAlign w:val="center"/>
          </w:tcPr>
          <w:p w14:paraId="27209EB8"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p>
        </w:tc>
      </w:tr>
      <w:tr w:rsidR="005178B0" w:rsidRPr="00AD0663" w14:paraId="1D0C7A18"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251DF7E8"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i/>
                <w:sz w:val="20"/>
                <w:szCs w:val="20"/>
                <w:lang w:val="en-US"/>
              </w:rPr>
              <w:t>Low risk (&lt;5)</w:t>
            </w:r>
          </w:p>
        </w:tc>
        <w:tc>
          <w:tcPr>
            <w:tcW w:w="1308" w:type="dxa"/>
            <w:tcBorders>
              <w:top w:val="nil"/>
              <w:left w:val="nil"/>
              <w:bottom w:val="nil"/>
              <w:right w:val="nil"/>
            </w:tcBorders>
            <w:vAlign w:val="center"/>
          </w:tcPr>
          <w:p w14:paraId="09BC5095"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5</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8%</w:t>
            </w:r>
          </w:p>
        </w:tc>
        <w:tc>
          <w:tcPr>
            <w:tcW w:w="1392" w:type="dxa"/>
            <w:tcBorders>
              <w:top w:val="nil"/>
              <w:left w:val="nil"/>
              <w:bottom w:val="nil"/>
              <w:right w:val="nil"/>
            </w:tcBorders>
            <w:vAlign w:val="center"/>
          </w:tcPr>
          <w:p w14:paraId="186C1AAE"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00</w:t>
            </w:r>
          </w:p>
        </w:tc>
        <w:tc>
          <w:tcPr>
            <w:tcW w:w="2520" w:type="dxa"/>
            <w:tcBorders>
              <w:left w:val="nil"/>
              <w:bottom w:val="nil"/>
              <w:right w:val="nil"/>
            </w:tcBorders>
            <w:vAlign w:val="center"/>
          </w:tcPr>
          <w:p w14:paraId="064841AF"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00</w:t>
            </w:r>
          </w:p>
        </w:tc>
      </w:tr>
      <w:tr w:rsidR="005178B0" w:rsidRPr="00AD0663" w14:paraId="5F8C1C43"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02B4A1F2"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i/>
                <w:sz w:val="20"/>
                <w:szCs w:val="20"/>
                <w:lang w:val="en-US"/>
              </w:rPr>
              <w:t>Intermediate risk (5-15)</w:t>
            </w:r>
          </w:p>
        </w:tc>
        <w:tc>
          <w:tcPr>
            <w:tcW w:w="1308" w:type="dxa"/>
            <w:tcBorders>
              <w:top w:val="nil"/>
              <w:left w:val="nil"/>
              <w:bottom w:val="nil"/>
              <w:right w:val="nil"/>
            </w:tcBorders>
            <w:vAlign w:val="center"/>
          </w:tcPr>
          <w:p w14:paraId="66B56F5E"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4%</w:t>
            </w:r>
          </w:p>
        </w:tc>
        <w:tc>
          <w:tcPr>
            <w:tcW w:w="1392" w:type="dxa"/>
            <w:tcBorders>
              <w:top w:val="nil"/>
              <w:left w:val="nil"/>
              <w:bottom w:val="nil"/>
              <w:right w:val="nil"/>
            </w:tcBorders>
            <w:vAlign w:val="center"/>
          </w:tcPr>
          <w:p w14:paraId="597E5AAA"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 xml:space="preserve">09 </w:t>
            </w:r>
          </w:p>
        </w:tc>
        <w:tc>
          <w:tcPr>
            <w:tcW w:w="2520" w:type="dxa"/>
            <w:tcBorders>
              <w:top w:val="nil"/>
              <w:left w:val="nil"/>
              <w:bottom w:val="nil"/>
              <w:right w:val="nil"/>
            </w:tcBorders>
            <w:vAlign w:val="center"/>
          </w:tcPr>
          <w:p w14:paraId="5F6923B7"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65 (1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62–1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68)</w:t>
            </w:r>
          </w:p>
        </w:tc>
      </w:tr>
      <w:tr w:rsidR="005178B0" w:rsidRPr="00AD0663" w14:paraId="6CB3A247" w14:textId="77777777" w:rsidTr="002C7B49">
        <w:trPr>
          <w:trHeight w:val="20"/>
        </w:trPr>
        <w:tc>
          <w:tcPr>
            <w:tcW w:w="3918"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1D252F0D"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i/>
                <w:sz w:val="20"/>
                <w:szCs w:val="20"/>
                <w:lang w:val="en-US"/>
              </w:rPr>
              <w:t>High risk (&gt;15)</w:t>
            </w:r>
          </w:p>
        </w:tc>
        <w:tc>
          <w:tcPr>
            <w:tcW w:w="1308" w:type="dxa"/>
            <w:tcBorders>
              <w:top w:val="nil"/>
              <w:left w:val="nil"/>
              <w:bottom w:val="single" w:sz="4" w:space="0" w:color="auto"/>
              <w:right w:val="nil"/>
            </w:tcBorders>
            <w:vAlign w:val="center"/>
          </w:tcPr>
          <w:p w14:paraId="368AD11A"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w:t>
            </w:r>
          </w:p>
        </w:tc>
        <w:tc>
          <w:tcPr>
            <w:tcW w:w="1392" w:type="dxa"/>
            <w:tcBorders>
              <w:top w:val="nil"/>
              <w:left w:val="nil"/>
              <w:bottom w:val="single" w:sz="4" w:space="0" w:color="auto"/>
              <w:right w:val="nil"/>
            </w:tcBorders>
            <w:vAlign w:val="center"/>
          </w:tcPr>
          <w:p w14:paraId="0684A1F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56</w:t>
            </w:r>
          </w:p>
        </w:tc>
        <w:tc>
          <w:tcPr>
            <w:tcW w:w="2520" w:type="dxa"/>
            <w:tcBorders>
              <w:top w:val="nil"/>
              <w:left w:val="nil"/>
              <w:bottom w:val="single" w:sz="4" w:space="0" w:color="auto"/>
              <w:right w:val="nil"/>
            </w:tcBorders>
            <w:vAlign w:val="center"/>
          </w:tcPr>
          <w:p w14:paraId="2945900A"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71 (1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68-1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75)</w:t>
            </w:r>
          </w:p>
        </w:tc>
      </w:tr>
      <w:tr w:rsidR="005178B0" w:rsidRPr="00AD0663" w14:paraId="39A23F7D" w14:textId="77777777" w:rsidTr="002C7B49">
        <w:trPr>
          <w:trHeight w:val="441"/>
        </w:trPr>
        <w:tc>
          <w:tcPr>
            <w:tcW w:w="3918" w:type="dxa"/>
            <w:tcBorders>
              <w:top w:val="single" w:sz="4" w:space="0" w:color="auto"/>
              <w:left w:val="nil"/>
              <w:bottom w:val="nil"/>
              <w:right w:val="nil"/>
            </w:tcBorders>
            <w:shd w:val="clear" w:color="auto" w:fill="auto"/>
            <w:tcMar>
              <w:top w:w="80" w:type="dxa"/>
              <w:left w:w="114" w:type="dxa"/>
              <w:bottom w:w="80" w:type="dxa"/>
              <w:right w:w="80" w:type="dxa"/>
            </w:tcMar>
            <w:vAlign w:val="center"/>
          </w:tcPr>
          <w:p w14:paraId="4265650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 xml:space="preserve">Length of stay &gt; 10 days  </w:t>
            </w:r>
          </w:p>
        </w:tc>
        <w:tc>
          <w:tcPr>
            <w:tcW w:w="1308" w:type="dxa"/>
            <w:tcBorders>
              <w:top w:val="single" w:sz="4" w:space="0" w:color="auto"/>
              <w:left w:val="nil"/>
              <w:bottom w:val="nil"/>
              <w:right w:val="nil"/>
            </w:tcBorders>
            <w:vAlign w:val="center"/>
          </w:tcPr>
          <w:p w14:paraId="46E23C86" w14:textId="77777777" w:rsidR="005178B0" w:rsidRPr="00AD0663" w:rsidRDefault="005178B0" w:rsidP="002C7B49">
            <w:pPr>
              <w:spacing w:after="160" w:line="259" w:lineRule="auto"/>
              <w:rPr>
                <w:rFonts w:ascii="Times New Roman" w:eastAsia="Calibri" w:hAnsi="Times New Roman" w:cs="Times New Roman"/>
                <w:sz w:val="20"/>
                <w:szCs w:val="20"/>
                <w:lang w:val="en-US"/>
              </w:rPr>
            </w:pPr>
          </w:p>
        </w:tc>
        <w:tc>
          <w:tcPr>
            <w:tcW w:w="1392" w:type="dxa"/>
            <w:tcBorders>
              <w:top w:val="single" w:sz="4" w:space="0" w:color="auto"/>
              <w:left w:val="nil"/>
              <w:bottom w:val="nil"/>
              <w:right w:val="nil"/>
            </w:tcBorders>
            <w:vAlign w:val="center"/>
          </w:tcPr>
          <w:p w14:paraId="7038BF3D" w14:textId="77777777" w:rsidR="005178B0" w:rsidRPr="00AD0663" w:rsidRDefault="005178B0" w:rsidP="002C7B49">
            <w:pPr>
              <w:spacing w:after="160" w:line="259" w:lineRule="auto"/>
              <w:rPr>
                <w:rFonts w:ascii="Times New Roman" w:eastAsia="Calibri" w:hAnsi="Times New Roman" w:cs="Times New Roman"/>
                <w:sz w:val="20"/>
                <w:szCs w:val="20"/>
              </w:rPr>
            </w:pPr>
          </w:p>
        </w:tc>
        <w:tc>
          <w:tcPr>
            <w:tcW w:w="2520" w:type="dxa"/>
            <w:tcBorders>
              <w:top w:val="single" w:sz="4" w:space="0" w:color="auto"/>
              <w:left w:val="nil"/>
              <w:right w:val="nil"/>
            </w:tcBorders>
            <w:vAlign w:val="center"/>
          </w:tcPr>
          <w:p w14:paraId="4C0D69D7" w14:textId="77777777" w:rsidR="005178B0" w:rsidRPr="00AD0663" w:rsidRDefault="005178B0" w:rsidP="002C7B49">
            <w:pPr>
              <w:spacing w:after="160" w:line="259" w:lineRule="auto"/>
              <w:rPr>
                <w:rFonts w:ascii="Times New Roman" w:eastAsia="Calibri" w:hAnsi="Times New Roman" w:cs="Times New Roman"/>
                <w:sz w:val="20"/>
                <w:szCs w:val="20"/>
                <w:lang w:val="en-US"/>
              </w:rPr>
            </w:pPr>
          </w:p>
        </w:tc>
      </w:tr>
      <w:tr w:rsidR="005178B0" w:rsidRPr="00AD0663" w14:paraId="60E85660"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206A64D8"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i/>
                <w:sz w:val="20"/>
                <w:szCs w:val="20"/>
                <w:lang w:val="en-US"/>
              </w:rPr>
              <w:t>Low risk (&lt;5)</w:t>
            </w:r>
          </w:p>
        </w:tc>
        <w:tc>
          <w:tcPr>
            <w:tcW w:w="1308" w:type="dxa"/>
            <w:tcBorders>
              <w:top w:val="nil"/>
              <w:left w:val="nil"/>
              <w:bottom w:val="nil"/>
              <w:right w:val="nil"/>
            </w:tcBorders>
            <w:vAlign w:val="center"/>
          </w:tcPr>
          <w:p w14:paraId="2CAB826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7%</w:t>
            </w:r>
          </w:p>
        </w:tc>
        <w:tc>
          <w:tcPr>
            <w:tcW w:w="1392" w:type="dxa"/>
            <w:tcBorders>
              <w:top w:val="nil"/>
              <w:left w:val="nil"/>
              <w:bottom w:val="nil"/>
              <w:right w:val="nil"/>
            </w:tcBorders>
            <w:vAlign w:val="center"/>
          </w:tcPr>
          <w:p w14:paraId="4AB71571" w14:textId="77777777" w:rsidR="005178B0" w:rsidRPr="00AD0663" w:rsidRDefault="005178B0" w:rsidP="002C7B49">
            <w:pPr>
              <w:spacing w:after="160" w:line="259" w:lineRule="auto"/>
              <w:rPr>
                <w:rFonts w:ascii="Times New Roman" w:eastAsia="Calibri" w:hAnsi="Times New Roman" w:cs="Times New Roman"/>
                <w:sz w:val="20"/>
                <w:szCs w:val="20"/>
              </w:rPr>
            </w:pPr>
            <w:r w:rsidRPr="00AD0663">
              <w:rPr>
                <w:rFonts w:ascii="Times New Roman" w:eastAsia="Calibri" w:hAnsi="Times New Roman" w:cs="Times New Roman"/>
                <w:sz w:val="20"/>
                <w:szCs w:val="20"/>
              </w:rPr>
              <w:t>1</w:t>
            </w:r>
            <w:r>
              <w:rPr>
                <w:rFonts w:ascii="Times New Roman" w:eastAsia="Calibri" w:hAnsi="Times New Roman" w:cs="Times New Roman"/>
                <w:sz w:val="20"/>
                <w:szCs w:val="20"/>
              </w:rPr>
              <w:t>·</w:t>
            </w:r>
            <w:r w:rsidRPr="00AD0663">
              <w:rPr>
                <w:rFonts w:ascii="Times New Roman" w:eastAsia="Calibri" w:hAnsi="Times New Roman" w:cs="Times New Roman"/>
                <w:sz w:val="20"/>
                <w:szCs w:val="20"/>
              </w:rPr>
              <w:t>00</w:t>
            </w:r>
          </w:p>
        </w:tc>
        <w:tc>
          <w:tcPr>
            <w:tcW w:w="2520" w:type="dxa"/>
            <w:tcBorders>
              <w:left w:val="nil"/>
              <w:bottom w:val="nil"/>
              <w:right w:val="nil"/>
            </w:tcBorders>
            <w:vAlign w:val="center"/>
          </w:tcPr>
          <w:p w14:paraId="6CBE7055" w14:textId="77777777" w:rsidR="005178B0" w:rsidRPr="00AD0663" w:rsidRDefault="005178B0" w:rsidP="002C7B49">
            <w:pPr>
              <w:spacing w:after="160" w:line="259" w:lineRule="auto"/>
              <w:rPr>
                <w:rFonts w:ascii="Times New Roman" w:eastAsia="Calibri" w:hAnsi="Times New Roman" w:cs="Times New Roman"/>
                <w:sz w:val="20"/>
                <w:szCs w:val="20"/>
              </w:rPr>
            </w:pPr>
            <w:r w:rsidRPr="00AD0663">
              <w:rPr>
                <w:rFonts w:ascii="Times New Roman" w:eastAsia="Calibri" w:hAnsi="Times New Roman" w:cs="Times New Roman"/>
                <w:sz w:val="20"/>
                <w:szCs w:val="20"/>
              </w:rPr>
              <w:t>1</w:t>
            </w:r>
            <w:r>
              <w:rPr>
                <w:rFonts w:ascii="Times New Roman" w:eastAsia="Calibri" w:hAnsi="Times New Roman" w:cs="Times New Roman"/>
                <w:sz w:val="20"/>
                <w:szCs w:val="20"/>
              </w:rPr>
              <w:t>·</w:t>
            </w:r>
            <w:r w:rsidRPr="00AD0663">
              <w:rPr>
                <w:rFonts w:ascii="Times New Roman" w:eastAsia="Calibri" w:hAnsi="Times New Roman" w:cs="Times New Roman"/>
                <w:sz w:val="20"/>
                <w:szCs w:val="20"/>
              </w:rPr>
              <w:t>00</w:t>
            </w:r>
          </w:p>
        </w:tc>
      </w:tr>
      <w:tr w:rsidR="005178B0" w:rsidRPr="00AD0663" w14:paraId="0CE12CCC"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4C46977C"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i/>
                <w:sz w:val="20"/>
                <w:szCs w:val="20"/>
                <w:lang w:val="en-US"/>
              </w:rPr>
              <w:t>Intermediate risk (5-15)</w:t>
            </w:r>
          </w:p>
        </w:tc>
        <w:tc>
          <w:tcPr>
            <w:tcW w:w="1308" w:type="dxa"/>
            <w:tcBorders>
              <w:top w:val="nil"/>
              <w:left w:val="nil"/>
              <w:bottom w:val="nil"/>
              <w:right w:val="nil"/>
            </w:tcBorders>
            <w:vAlign w:val="center"/>
          </w:tcPr>
          <w:p w14:paraId="4B2E5E7E"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30</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8%</w:t>
            </w:r>
          </w:p>
        </w:tc>
        <w:tc>
          <w:tcPr>
            <w:tcW w:w="1392" w:type="dxa"/>
            <w:tcBorders>
              <w:top w:val="nil"/>
              <w:left w:val="nil"/>
              <w:bottom w:val="nil"/>
              <w:right w:val="nil"/>
            </w:tcBorders>
            <w:vAlign w:val="center"/>
          </w:tcPr>
          <w:p w14:paraId="4CEBD792"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36</w:t>
            </w:r>
          </w:p>
        </w:tc>
        <w:tc>
          <w:tcPr>
            <w:tcW w:w="2520" w:type="dxa"/>
            <w:tcBorders>
              <w:top w:val="nil"/>
              <w:left w:val="nil"/>
              <w:bottom w:val="nil"/>
              <w:right w:val="nil"/>
            </w:tcBorders>
            <w:vAlign w:val="center"/>
          </w:tcPr>
          <w:p w14:paraId="0EB9E70A"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30 (3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27-3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34)</w:t>
            </w:r>
          </w:p>
        </w:tc>
      </w:tr>
      <w:tr w:rsidR="005178B0" w:rsidRPr="00AD0663" w14:paraId="1D349E97" w14:textId="77777777" w:rsidTr="002C7B49">
        <w:trPr>
          <w:trHeight w:val="19"/>
        </w:trPr>
        <w:tc>
          <w:tcPr>
            <w:tcW w:w="3918"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3580507F"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i/>
                <w:sz w:val="20"/>
                <w:szCs w:val="20"/>
                <w:lang w:val="en-US"/>
              </w:rPr>
              <w:t>High risk (&gt;15)</w:t>
            </w:r>
          </w:p>
        </w:tc>
        <w:tc>
          <w:tcPr>
            <w:tcW w:w="1308" w:type="dxa"/>
            <w:tcBorders>
              <w:top w:val="nil"/>
              <w:left w:val="nil"/>
              <w:bottom w:val="single" w:sz="4" w:space="0" w:color="auto"/>
              <w:right w:val="nil"/>
            </w:tcBorders>
            <w:vAlign w:val="center"/>
          </w:tcPr>
          <w:p w14:paraId="169CEF6E"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44</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4%</w:t>
            </w:r>
          </w:p>
        </w:tc>
        <w:tc>
          <w:tcPr>
            <w:tcW w:w="1392" w:type="dxa"/>
            <w:tcBorders>
              <w:top w:val="nil"/>
              <w:left w:val="nil"/>
              <w:bottom w:val="single" w:sz="4" w:space="0" w:color="auto"/>
              <w:right w:val="nil"/>
            </w:tcBorders>
            <w:vAlign w:val="center"/>
          </w:tcPr>
          <w:p w14:paraId="1D9A19E4"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6</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03</w:t>
            </w:r>
          </w:p>
        </w:tc>
        <w:tc>
          <w:tcPr>
            <w:tcW w:w="2520" w:type="dxa"/>
            <w:tcBorders>
              <w:top w:val="nil"/>
              <w:left w:val="nil"/>
              <w:bottom w:val="single" w:sz="4" w:space="0" w:color="auto"/>
              <w:right w:val="nil"/>
            </w:tcBorders>
            <w:vAlign w:val="center"/>
          </w:tcPr>
          <w:p w14:paraId="3BE00BE2"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6</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03 (5</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94-6</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11)</w:t>
            </w:r>
          </w:p>
        </w:tc>
      </w:tr>
      <w:tr w:rsidR="005178B0" w:rsidRPr="00AD0663" w14:paraId="32673588" w14:textId="77777777" w:rsidTr="002C7B49">
        <w:trPr>
          <w:trHeight w:val="20"/>
        </w:trPr>
        <w:tc>
          <w:tcPr>
            <w:tcW w:w="5226" w:type="dxa"/>
            <w:gridSpan w:val="2"/>
            <w:tcBorders>
              <w:top w:val="single" w:sz="4" w:space="0" w:color="auto"/>
              <w:left w:val="nil"/>
              <w:bottom w:val="nil"/>
              <w:right w:val="nil"/>
            </w:tcBorders>
            <w:shd w:val="clear" w:color="auto" w:fill="auto"/>
            <w:tcMar>
              <w:top w:w="80" w:type="dxa"/>
              <w:left w:w="114" w:type="dxa"/>
              <w:bottom w:w="80" w:type="dxa"/>
              <w:right w:w="80" w:type="dxa"/>
            </w:tcMar>
            <w:vAlign w:val="center"/>
          </w:tcPr>
          <w:p w14:paraId="06B4D742"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Emergency readmission within 30 days ‡</w:t>
            </w:r>
          </w:p>
        </w:tc>
        <w:tc>
          <w:tcPr>
            <w:tcW w:w="1392" w:type="dxa"/>
            <w:tcBorders>
              <w:top w:val="single" w:sz="4" w:space="0" w:color="auto"/>
              <w:left w:val="nil"/>
              <w:bottom w:val="nil"/>
              <w:right w:val="nil"/>
            </w:tcBorders>
            <w:vAlign w:val="center"/>
          </w:tcPr>
          <w:p w14:paraId="62B2AEA1" w14:textId="77777777" w:rsidR="005178B0" w:rsidRPr="00AD0663" w:rsidRDefault="005178B0" w:rsidP="002C7B49">
            <w:pPr>
              <w:spacing w:after="160" w:line="259" w:lineRule="auto"/>
              <w:rPr>
                <w:rFonts w:ascii="Times New Roman" w:eastAsia="Calibri" w:hAnsi="Times New Roman" w:cs="Times New Roman"/>
                <w:sz w:val="20"/>
                <w:szCs w:val="20"/>
                <w:lang w:val="en-US"/>
              </w:rPr>
            </w:pPr>
          </w:p>
        </w:tc>
        <w:tc>
          <w:tcPr>
            <w:tcW w:w="2520" w:type="dxa"/>
            <w:tcBorders>
              <w:top w:val="single" w:sz="4" w:space="0" w:color="auto"/>
              <w:left w:val="nil"/>
              <w:right w:val="nil"/>
            </w:tcBorders>
            <w:vAlign w:val="center"/>
          </w:tcPr>
          <w:p w14:paraId="7BE24468" w14:textId="77777777" w:rsidR="005178B0" w:rsidRPr="00AD0663" w:rsidRDefault="005178B0" w:rsidP="002C7B49">
            <w:pPr>
              <w:spacing w:after="160" w:line="259" w:lineRule="auto"/>
              <w:rPr>
                <w:rFonts w:ascii="Times New Roman" w:eastAsia="Calibri" w:hAnsi="Times New Roman" w:cs="Times New Roman"/>
                <w:sz w:val="20"/>
                <w:szCs w:val="20"/>
                <w:lang w:val="en-US"/>
              </w:rPr>
            </w:pPr>
          </w:p>
        </w:tc>
      </w:tr>
      <w:tr w:rsidR="005178B0" w:rsidRPr="00AD0663" w14:paraId="7ECCD894"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3C7D5DAD"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i/>
                <w:sz w:val="20"/>
                <w:szCs w:val="20"/>
                <w:lang w:val="en-US"/>
              </w:rPr>
              <w:t>Low risk (&lt;5)</w:t>
            </w:r>
          </w:p>
        </w:tc>
        <w:tc>
          <w:tcPr>
            <w:tcW w:w="1308" w:type="dxa"/>
            <w:tcBorders>
              <w:top w:val="nil"/>
              <w:left w:val="nil"/>
              <w:bottom w:val="nil"/>
              <w:right w:val="nil"/>
            </w:tcBorders>
            <w:vAlign w:val="center"/>
          </w:tcPr>
          <w:p w14:paraId="307F835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13</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9%</w:t>
            </w:r>
          </w:p>
        </w:tc>
        <w:tc>
          <w:tcPr>
            <w:tcW w:w="1392" w:type="dxa"/>
            <w:tcBorders>
              <w:top w:val="nil"/>
              <w:left w:val="nil"/>
              <w:bottom w:val="nil"/>
              <w:right w:val="nil"/>
            </w:tcBorders>
            <w:vAlign w:val="center"/>
          </w:tcPr>
          <w:p w14:paraId="26DDD9F3" w14:textId="77777777" w:rsidR="005178B0" w:rsidRPr="00AD0663" w:rsidRDefault="005178B0" w:rsidP="002C7B49">
            <w:pPr>
              <w:spacing w:after="160" w:line="259" w:lineRule="auto"/>
              <w:rPr>
                <w:rFonts w:ascii="Times New Roman" w:eastAsia="Calibri" w:hAnsi="Times New Roman" w:cs="Times New Roman"/>
                <w:sz w:val="20"/>
                <w:szCs w:val="20"/>
              </w:rPr>
            </w:pPr>
            <w:r w:rsidRPr="00AD0663">
              <w:rPr>
                <w:rFonts w:ascii="Times New Roman" w:eastAsia="Calibri" w:hAnsi="Times New Roman" w:cs="Times New Roman"/>
                <w:sz w:val="20"/>
                <w:szCs w:val="20"/>
              </w:rPr>
              <w:t>1</w:t>
            </w:r>
            <w:r>
              <w:rPr>
                <w:rFonts w:ascii="Times New Roman" w:eastAsia="Calibri" w:hAnsi="Times New Roman" w:cs="Times New Roman"/>
                <w:sz w:val="20"/>
                <w:szCs w:val="20"/>
              </w:rPr>
              <w:t>·</w:t>
            </w:r>
            <w:r w:rsidRPr="00AD0663">
              <w:rPr>
                <w:rFonts w:ascii="Times New Roman" w:eastAsia="Calibri" w:hAnsi="Times New Roman" w:cs="Times New Roman"/>
                <w:sz w:val="20"/>
                <w:szCs w:val="20"/>
              </w:rPr>
              <w:t>00</w:t>
            </w:r>
          </w:p>
        </w:tc>
        <w:tc>
          <w:tcPr>
            <w:tcW w:w="2520" w:type="dxa"/>
            <w:tcBorders>
              <w:left w:val="nil"/>
              <w:bottom w:val="nil"/>
              <w:right w:val="nil"/>
            </w:tcBorders>
            <w:vAlign w:val="center"/>
          </w:tcPr>
          <w:p w14:paraId="27FF0E1B"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00</w:t>
            </w:r>
          </w:p>
        </w:tc>
      </w:tr>
      <w:tr w:rsidR="005178B0" w:rsidRPr="00AD0663" w14:paraId="266925E1" w14:textId="77777777" w:rsidTr="002C7B49">
        <w:trPr>
          <w:trHeight w:val="20"/>
        </w:trPr>
        <w:tc>
          <w:tcPr>
            <w:tcW w:w="3918" w:type="dxa"/>
            <w:tcBorders>
              <w:top w:val="nil"/>
              <w:left w:val="nil"/>
              <w:bottom w:val="nil"/>
              <w:right w:val="nil"/>
            </w:tcBorders>
            <w:shd w:val="clear" w:color="auto" w:fill="auto"/>
            <w:tcMar>
              <w:top w:w="80" w:type="dxa"/>
              <w:left w:w="114" w:type="dxa"/>
              <w:bottom w:w="80" w:type="dxa"/>
              <w:right w:w="80" w:type="dxa"/>
            </w:tcMar>
            <w:vAlign w:val="center"/>
          </w:tcPr>
          <w:p w14:paraId="139D9D81"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i/>
                <w:sz w:val="20"/>
                <w:szCs w:val="20"/>
                <w:lang w:val="en-US"/>
              </w:rPr>
              <w:t>Intermediate risk (5-15)</w:t>
            </w:r>
          </w:p>
        </w:tc>
        <w:tc>
          <w:tcPr>
            <w:tcW w:w="1308" w:type="dxa"/>
            <w:tcBorders>
              <w:top w:val="nil"/>
              <w:left w:val="nil"/>
              <w:bottom w:val="nil"/>
              <w:right w:val="nil"/>
            </w:tcBorders>
            <w:vAlign w:val="center"/>
          </w:tcPr>
          <w:p w14:paraId="20B01B88"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17</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w:t>
            </w:r>
          </w:p>
        </w:tc>
        <w:tc>
          <w:tcPr>
            <w:tcW w:w="1392" w:type="dxa"/>
            <w:tcBorders>
              <w:top w:val="nil"/>
              <w:left w:val="nil"/>
              <w:bottom w:val="nil"/>
              <w:right w:val="nil"/>
            </w:tcBorders>
            <w:vAlign w:val="center"/>
          </w:tcPr>
          <w:p w14:paraId="1F1CF6B1"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32</w:t>
            </w:r>
          </w:p>
        </w:tc>
        <w:tc>
          <w:tcPr>
            <w:tcW w:w="2520" w:type="dxa"/>
            <w:tcBorders>
              <w:top w:val="nil"/>
              <w:left w:val="nil"/>
              <w:bottom w:val="nil"/>
              <w:right w:val="nil"/>
            </w:tcBorders>
            <w:vAlign w:val="center"/>
          </w:tcPr>
          <w:p w14:paraId="3530A650"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23 (1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22-1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25)</w:t>
            </w:r>
          </w:p>
        </w:tc>
      </w:tr>
      <w:tr w:rsidR="005178B0" w:rsidRPr="00AD0663" w14:paraId="0D0028A6" w14:textId="77777777" w:rsidTr="002C7B49">
        <w:trPr>
          <w:trHeight w:val="20"/>
        </w:trPr>
        <w:tc>
          <w:tcPr>
            <w:tcW w:w="3918" w:type="dxa"/>
            <w:tcBorders>
              <w:top w:val="nil"/>
              <w:left w:val="nil"/>
              <w:bottom w:val="single" w:sz="4" w:space="0" w:color="auto"/>
              <w:right w:val="nil"/>
            </w:tcBorders>
            <w:shd w:val="clear" w:color="auto" w:fill="auto"/>
            <w:tcMar>
              <w:top w:w="80" w:type="dxa"/>
              <w:left w:w="114" w:type="dxa"/>
              <w:bottom w:w="80" w:type="dxa"/>
              <w:right w:w="80" w:type="dxa"/>
            </w:tcMar>
            <w:vAlign w:val="center"/>
          </w:tcPr>
          <w:p w14:paraId="2ADEE1E9" w14:textId="77777777" w:rsidR="005178B0" w:rsidRPr="00AD0663" w:rsidRDefault="005178B0" w:rsidP="002C7B49">
            <w:pPr>
              <w:spacing w:after="160" w:line="259" w:lineRule="auto"/>
              <w:rPr>
                <w:rFonts w:ascii="Times New Roman" w:eastAsia="Calibri" w:hAnsi="Times New Roman" w:cs="Times New Roman"/>
                <w:i/>
                <w:sz w:val="20"/>
                <w:szCs w:val="20"/>
                <w:lang w:val="en-US"/>
              </w:rPr>
            </w:pPr>
            <w:r w:rsidRPr="00AD0663">
              <w:rPr>
                <w:rFonts w:ascii="Times New Roman" w:eastAsia="Calibri" w:hAnsi="Times New Roman" w:cs="Times New Roman"/>
                <w:i/>
                <w:sz w:val="20"/>
                <w:szCs w:val="20"/>
                <w:lang w:val="en-US"/>
              </w:rPr>
              <w:t>High risk (&gt;15)</w:t>
            </w:r>
          </w:p>
        </w:tc>
        <w:tc>
          <w:tcPr>
            <w:tcW w:w="1308" w:type="dxa"/>
            <w:tcBorders>
              <w:top w:val="nil"/>
              <w:left w:val="nil"/>
              <w:bottom w:val="single" w:sz="4" w:space="0" w:color="auto"/>
              <w:right w:val="nil"/>
            </w:tcBorders>
            <w:vAlign w:val="center"/>
          </w:tcPr>
          <w:p w14:paraId="438D71D3"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21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4%</w:t>
            </w:r>
          </w:p>
        </w:tc>
        <w:tc>
          <w:tcPr>
            <w:tcW w:w="1392" w:type="dxa"/>
            <w:tcBorders>
              <w:top w:val="nil"/>
              <w:left w:val="nil"/>
              <w:bottom w:val="single" w:sz="4" w:space="0" w:color="auto"/>
              <w:right w:val="nil"/>
            </w:tcBorders>
            <w:vAlign w:val="center"/>
          </w:tcPr>
          <w:p w14:paraId="24547EC0"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69</w:t>
            </w:r>
          </w:p>
        </w:tc>
        <w:tc>
          <w:tcPr>
            <w:tcW w:w="2520" w:type="dxa"/>
            <w:tcBorders>
              <w:top w:val="nil"/>
              <w:left w:val="nil"/>
              <w:bottom w:val="single" w:sz="4" w:space="0" w:color="auto"/>
              <w:right w:val="nil"/>
            </w:tcBorders>
            <w:vAlign w:val="center"/>
          </w:tcPr>
          <w:p w14:paraId="588F5015" w14:textId="77777777" w:rsidR="005178B0" w:rsidRPr="00AD0663" w:rsidRDefault="005178B0" w:rsidP="002C7B49">
            <w:pPr>
              <w:spacing w:after="160" w:line="259" w:lineRule="auto"/>
              <w:rPr>
                <w:rFonts w:ascii="Times New Roman" w:eastAsia="Calibri" w:hAnsi="Times New Roman" w:cs="Times New Roman"/>
                <w:sz w:val="20"/>
                <w:szCs w:val="20"/>
                <w:lang w:val="en-US"/>
              </w:rPr>
            </w:pPr>
            <w:r w:rsidRPr="00AD0663">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48 (1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46-1</w:t>
            </w:r>
            <w:r>
              <w:rPr>
                <w:rFonts w:ascii="Times New Roman" w:eastAsia="Calibri" w:hAnsi="Times New Roman" w:cs="Times New Roman"/>
                <w:sz w:val="20"/>
                <w:szCs w:val="20"/>
                <w:lang w:val="en-US"/>
              </w:rPr>
              <w:t>·</w:t>
            </w:r>
            <w:r w:rsidRPr="00AD0663">
              <w:rPr>
                <w:rFonts w:ascii="Times New Roman" w:eastAsia="Calibri" w:hAnsi="Times New Roman" w:cs="Times New Roman"/>
                <w:sz w:val="20"/>
                <w:szCs w:val="20"/>
                <w:lang w:val="en-US"/>
              </w:rPr>
              <w:t>50)</w:t>
            </w:r>
          </w:p>
        </w:tc>
      </w:tr>
    </w:tbl>
    <w:p w14:paraId="5A2414D0" w14:textId="77777777" w:rsidR="005178B0" w:rsidRDefault="005178B0" w:rsidP="002C7B49">
      <w:pPr>
        <w:spacing w:after="160" w:line="259" w:lineRule="auto"/>
        <w:rPr>
          <w:rFonts w:ascii="Times New Roman" w:eastAsia="Calibri" w:hAnsi="Times New Roman" w:cs="Times New Roman"/>
          <w:sz w:val="20"/>
          <w:szCs w:val="20"/>
        </w:rPr>
      </w:pPr>
      <w:r w:rsidRPr="00AD0663">
        <w:rPr>
          <w:rFonts w:ascii="Times New Roman" w:eastAsia="Calibri" w:hAnsi="Times New Roman" w:cs="Times New Roman"/>
          <w:bCs/>
          <w:sz w:val="20"/>
          <w:szCs w:val="20"/>
        </w:rPr>
        <w:t xml:space="preserve">  † Excludes patients with missing IMD score and </w:t>
      </w:r>
      <w:r w:rsidRPr="00AD0663">
        <w:rPr>
          <w:rFonts w:ascii="Times New Roman" w:eastAsia="Calibri" w:hAnsi="Times New Roman" w:cs="Times New Roman"/>
          <w:sz w:val="20"/>
          <w:szCs w:val="20"/>
        </w:rPr>
        <w:t>10,256 people who were included in the development cohort.</w:t>
      </w:r>
      <w:r>
        <w:rPr>
          <w:rFonts w:ascii="Times New Roman" w:eastAsia="Calibri" w:hAnsi="Times New Roman" w:cs="Times New Roman"/>
          <w:sz w:val="20"/>
          <w:szCs w:val="20"/>
        </w:rPr>
        <w:br/>
      </w:r>
      <w:r w:rsidRPr="00AD0663">
        <w:rPr>
          <w:rFonts w:ascii="Times New Roman" w:eastAsia="Calibri" w:hAnsi="Times New Roman" w:cs="Times New Roman"/>
          <w:sz w:val="20"/>
          <w:szCs w:val="20"/>
          <w:lang w:val="en-US"/>
        </w:rPr>
        <w:t xml:space="preserve">  ‡ </w:t>
      </w:r>
      <w:r w:rsidRPr="00AD0663">
        <w:rPr>
          <w:rFonts w:ascii="Times New Roman" w:eastAsia="Calibri" w:hAnsi="Times New Roman" w:cs="Times New Roman"/>
          <w:bCs/>
          <w:sz w:val="20"/>
          <w:szCs w:val="20"/>
          <w:lang w:val="en-US"/>
        </w:rPr>
        <w:t>Emergency readmission within 30 days of discharge excluding patients who died in hospital (n = 826,495)</w:t>
      </w:r>
      <w:r>
        <w:rPr>
          <w:rFonts w:ascii="Times New Roman" w:eastAsia="Calibri" w:hAnsi="Times New Roman" w:cs="Times New Roman"/>
          <w:bCs/>
          <w:sz w:val="20"/>
          <w:szCs w:val="20"/>
          <w:lang w:val="en-US"/>
        </w:rPr>
        <w:br/>
      </w:r>
      <w:r w:rsidRPr="00AD0663">
        <w:rPr>
          <w:rFonts w:ascii="Times New Roman" w:eastAsia="Calibri" w:hAnsi="Times New Roman" w:cs="Times New Roman"/>
          <w:sz w:val="20"/>
          <w:szCs w:val="20"/>
        </w:rPr>
        <w:t xml:space="preserve">  § Adjusted for patients’ age, sex, socioeconomic status, admission history and Charlson comorbidit</w:t>
      </w:r>
      <w:r>
        <w:rPr>
          <w:rFonts w:ascii="Times New Roman" w:eastAsia="Calibri" w:hAnsi="Times New Roman" w:cs="Times New Roman"/>
          <w:sz w:val="20"/>
          <w:szCs w:val="20"/>
        </w:rPr>
        <w:t>y index and hospital variation.</w:t>
      </w:r>
    </w:p>
    <w:p w14:paraId="353F455B" w14:textId="77777777" w:rsidR="005178B0" w:rsidRDefault="005178B0">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57548D13" w14:textId="77777777" w:rsidR="005178B0" w:rsidRPr="0043491E" w:rsidRDefault="005178B0" w:rsidP="002C7B49">
      <w:pPr>
        <w:rPr>
          <w:rFonts w:ascii="Times New Roman" w:hAnsi="Times New Roman" w:cs="Times New Roman"/>
          <w:b/>
          <w:sz w:val="20"/>
          <w:szCs w:val="20"/>
          <w:lang w:val="fr-FR"/>
        </w:rPr>
      </w:pPr>
      <w:r w:rsidRPr="0043491E">
        <w:rPr>
          <w:rFonts w:ascii="Times New Roman" w:hAnsi="Times New Roman" w:cs="Times New Roman"/>
          <w:b/>
          <w:sz w:val="20"/>
          <w:szCs w:val="20"/>
          <w:lang w:val="fr-FR"/>
        </w:rPr>
        <w:lastRenderedPageBreak/>
        <w:t>References</w:t>
      </w:r>
    </w:p>
    <w:p w14:paraId="61B4E3A6" w14:textId="77777777" w:rsidR="005178B0" w:rsidRPr="0043491E" w:rsidRDefault="005178B0" w:rsidP="002C7B49">
      <w:pPr>
        <w:pStyle w:val="EndNoteBibliography"/>
        <w:spacing w:after="0"/>
      </w:pPr>
      <w:r w:rsidRPr="00F22D1A">
        <w:rPr>
          <w:lang w:val="fr-FR"/>
        </w:rPr>
        <w:t>1.</w:t>
      </w:r>
      <w:r w:rsidRPr="00F22D1A">
        <w:rPr>
          <w:lang w:val="fr-FR"/>
        </w:rPr>
        <w:tab/>
        <w:t xml:space="preserve">Rechel B, Grundy E, Robine J-M, et al. </w:t>
      </w:r>
      <w:r w:rsidRPr="0043491E">
        <w:t xml:space="preserve">Ageing in the European Union. </w:t>
      </w:r>
      <w:r w:rsidRPr="0043491E">
        <w:rPr>
          <w:i/>
        </w:rPr>
        <w:t>The Lancet</w:t>
      </w:r>
      <w:r w:rsidRPr="0043491E">
        <w:t xml:space="preserve"> 2013; </w:t>
      </w:r>
      <w:r w:rsidRPr="0043491E">
        <w:rPr>
          <w:b/>
        </w:rPr>
        <w:t>381</w:t>
      </w:r>
      <w:r w:rsidRPr="0043491E">
        <w:t>(9874): 1312-22.</w:t>
      </w:r>
    </w:p>
    <w:p w14:paraId="738E37A9" w14:textId="77777777" w:rsidR="005178B0" w:rsidRPr="0043491E" w:rsidRDefault="005178B0" w:rsidP="002C7B49">
      <w:pPr>
        <w:pStyle w:val="EndNoteBibliography"/>
        <w:spacing w:after="0"/>
      </w:pPr>
      <w:r w:rsidRPr="0043491E">
        <w:t>2.</w:t>
      </w:r>
      <w:r w:rsidRPr="0043491E">
        <w:tab/>
        <w:t xml:space="preserve">Spillman  BC, Lubitz  J. The Effect of Longevity on Spending for Acute and Long-Term Care. </w:t>
      </w:r>
      <w:r w:rsidRPr="0043491E">
        <w:rPr>
          <w:i/>
        </w:rPr>
        <w:t>New England Journal of Medicine</w:t>
      </w:r>
      <w:r w:rsidRPr="0043491E">
        <w:t xml:space="preserve"> 2000; </w:t>
      </w:r>
      <w:r w:rsidRPr="0043491E">
        <w:rPr>
          <w:b/>
        </w:rPr>
        <w:t>342</w:t>
      </w:r>
      <w:r w:rsidRPr="0043491E">
        <w:t>(19): 1409-15.</w:t>
      </w:r>
    </w:p>
    <w:p w14:paraId="31FA3EDD" w14:textId="77777777" w:rsidR="005178B0" w:rsidRPr="0043491E" w:rsidRDefault="005178B0" w:rsidP="002C7B49">
      <w:pPr>
        <w:pStyle w:val="EndNoteBibliography"/>
        <w:spacing w:after="0"/>
      </w:pPr>
      <w:r w:rsidRPr="0043491E">
        <w:t>3.</w:t>
      </w:r>
      <w:r w:rsidRPr="0043491E">
        <w:tab/>
        <w:t>World Health Organization. World report on Ageing and Health. Luxembourg, 2015.</w:t>
      </w:r>
    </w:p>
    <w:p w14:paraId="684A707C" w14:textId="77777777" w:rsidR="005178B0" w:rsidRPr="0043491E" w:rsidRDefault="005178B0" w:rsidP="002C7B49">
      <w:pPr>
        <w:pStyle w:val="EndNoteBibliography"/>
        <w:spacing w:after="0"/>
      </w:pPr>
      <w:r w:rsidRPr="0043491E">
        <w:t>4.</w:t>
      </w:r>
      <w:r w:rsidRPr="0043491E">
        <w:tab/>
        <w:t xml:space="preserve">Hospital Episode Statistics. Admitted patient care, England 2014-15. </w:t>
      </w:r>
      <w:r w:rsidRPr="005178B0">
        <w:t>http://content.digital.nhs.uk/catalogue/PUB19124/hosp-epis-stat-admi-summ-rep-2014-15-rep.pdf</w:t>
      </w:r>
      <w:r w:rsidRPr="0043491E">
        <w:t>. NHS Digital; 2015.</w:t>
      </w:r>
    </w:p>
    <w:p w14:paraId="0ACA3AD6" w14:textId="77777777" w:rsidR="005178B0" w:rsidRPr="0043491E" w:rsidRDefault="005178B0" w:rsidP="002C7B49">
      <w:pPr>
        <w:pStyle w:val="EndNoteBibliography"/>
        <w:spacing w:after="0"/>
      </w:pPr>
      <w:r w:rsidRPr="0043491E">
        <w:t>5.</w:t>
      </w:r>
      <w:r w:rsidRPr="0043491E">
        <w:tab/>
        <w:t xml:space="preserve">Hubbard R, Peel N, Samanta M, Gray L, Mitnitski A, Rockwood K. Frailty status at admission to hospital predicts multiple adverse outcomes. </w:t>
      </w:r>
      <w:r w:rsidRPr="0043491E">
        <w:rPr>
          <w:i/>
        </w:rPr>
        <w:t>Age Ageing</w:t>
      </w:r>
      <w:r w:rsidRPr="0043491E">
        <w:t xml:space="preserve"> 2017: 1-6.</w:t>
      </w:r>
    </w:p>
    <w:p w14:paraId="0B3FEBE7" w14:textId="77777777" w:rsidR="005178B0" w:rsidRPr="0043491E" w:rsidRDefault="005178B0" w:rsidP="002C7B49">
      <w:pPr>
        <w:pStyle w:val="EndNoteBibliography"/>
        <w:spacing w:after="0"/>
      </w:pPr>
      <w:r w:rsidRPr="0043491E">
        <w:t>6.</w:t>
      </w:r>
      <w:r w:rsidRPr="0043491E">
        <w:tab/>
        <w:t xml:space="preserve">Buurman BM, van den Berg W, Korevaar JC, Milisen K, de Haan RJ, de Rooij SE. Risk for poor outcomes in older patients discharged from an emergency department: feasibility of four screening instruments. </w:t>
      </w:r>
      <w:r w:rsidRPr="0043491E">
        <w:rPr>
          <w:i/>
        </w:rPr>
        <w:t>European Journal of Emergency Medicine</w:t>
      </w:r>
      <w:r w:rsidRPr="0043491E">
        <w:t xml:space="preserve"> 2011; </w:t>
      </w:r>
      <w:r w:rsidRPr="0043491E">
        <w:rPr>
          <w:b/>
        </w:rPr>
        <w:t>18</w:t>
      </w:r>
      <w:r w:rsidRPr="0043491E">
        <w:t>(4): 215-20.</w:t>
      </w:r>
    </w:p>
    <w:p w14:paraId="2E49AD53" w14:textId="77777777" w:rsidR="005178B0" w:rsidRPr="0043491E" w:rsidRDefault="005178B0" w:rsidP="002C7B49">
      <w:pPr>
        <w:pStyle w:val="EndNoteBibliography"/>
        <w:spacing w:after="0"/>
      </w:pPr>
      <w:r w:rsidRPr="0043491E">
        <w:t>7.</w:t>
      </w:r>
      <w:r w:rsidRPr="0043491E">
        <w:tab/>
        <w:t xml:space="preserve">Clegg A, Young J, Iliffe S, Rikkert MO, Rockwood K. Frailty in elderly people. </w:t>
      </w:r>
      <w:r w:rsidRPr="0043491E">
        <w:rPr>
          <w:i/>
        </w:rPr>
        <w:t>Lancet (London, England)</w:t>
      </w:r>
      <w:r w:rsidRPr="0043491E">
        <w:t xml:space="preserve"> 2013; </w:t>
      </w:r>
      <w:r w:rsidRPr="0043491E">
        <w:rPr>
          <w:b/>
        </w:rPr>
        <w:t>381</w:t>
      </w:r>
      <w:r w:rsidRPr="0043491E">
        <w:t>: 752-62.</w:t>
      </w:r>
    </w:p>
    <w:p w14:paraId="5B8B09AA" w14:textId="77777777" w:rsidR="005178B0" w:rsidRPr="0043491E" w:rsidRDefault="005178B0" w:rsidP="002C7B49">
      <w:pPr>
        <w:pStyle w:val="EndNoteBibliography"/>
        <w:spacing w:after="0"/>
      </w:pPr>
      <w:r w:rsidRPr="0043491E">
        <w:t>8.</w:t>
      </w:r>
      <w:r w:rsidRPr="0043491E">
        <w:tab/>
        <w:t xml:space="preserve">Theou O, Brothers TD, Mitnitski A, Rockwood K. Operationalization of Frailty Using Eight Commonly Used Scales and Comparison of Their Ability to Predict All-Cause Mortality. </w:t>
      </w:r>
      <w:r w:rsidRPr="0043491E">
        <w:rPr>
          <w:i/>
        </w:rPr>
        <w:t>Journal of the American Geriatrics Society</w:t>
      </w:r>
      <w:r w:rsidRPr="0043491E">
        <w:t xml:space="preserve"> 2013: n/a-n/a.</w:t>
      </w:r>
    </w:p>
    <w:p w14:paraId="7FFEA7A7" w14:textId="77777777" w:rsidR="005178B0" w:rsidRPr="0043491E" w:rsidRDefault="005178B0" w:rsidP="002C7B49">
      <w:pPr>
        <w:pStyle w:val="EndNoteBibliography"/>
        <w:spacing w:after="0"/>
      </w:pPr>
      <w:r w:rsidRPr="0043491E">
        <w:t>9.</w:t>
      </w:r>
      <w:r w:rsidRPr="0043491E">
        <w:tab/>
        <w:t>NHS Benchmarking Network. Older People in Acute Settings: NHS Benchmarking Network, 2016.</w:t>
      </w:r>
    </w:p>
    <w:p w14:paraId="6772BD42" w14:textId="77777777" w:rsidR="005178B0" w:rsidRPr="0043491E" w:rsidRDefault="005178B0" w:rsidP="002C7B49">
      <w:pPr>
        <w:pStyle w:val="EndNoteBibliography"/>
        <w:spacing w:after="0"/>
      </w:pPr>
      <w:r w:rsidRPr="0043491E">
        <w:t>10.</w:t>
      </w:r>
      <w:r w:rsidRPr="0043491E">
        <w:tab/>
        <w:t xml:space="preserve">Rockwood K, Song X, MacKnight C, et al. A global clinical measure of fitness and frailty in elderly people.[see comment]. </w:t>
      </w:r>
      <w:r w:rsidRPr="0043491E">
        <w:rPr>
          <w:i/>
        </w:rPr>
        <w:t>CMAJ Canadian Medical Association Journal</w:t>
      </w:r>
      <w:r w:rsidRPr="0043491E">
        <w:t xml:space="preserve"> 2005; </w:t>
      </w:r>
      <w:r w:rsidRPr="0043491E">
        <w:rPr>
          <w:b/>
        </w:rPr>
        <w:t>173</w:t>
      </w:r>
      <w:r w:rsidRPr="0043491E">
        <w:t>(5): 489-95.</w:t>
      </w:r>
    </w:p>
    <w:p w14:paraId="37D3761A" w14:textId="77777777" w:rsidR="005178B0" w:rsidRPr="0043491E" w:rsidRDefault="005178B0" w:rsidP="002C7B49">
      <w:pPr>
        <w:pStyle w:val="EndNoteBibliography"/>
        <w:spacing w:after="0"/>
      </w:pPr>
      <w:r w:rsidRPr="0043491E">
        <w:t>11.</w:t>
      </w:r>
      <w:r w:rsidRPr="0043491E">
        <w:tab/>
        <w:t xml:space="preserve">McCusker J BF, Cardin S, Trepanier S, Verdon J, Ardman O,. Detection of older people at increased risk of adverse health outcomes after an emergency visit: the ISAR screening tool. </w:t>
      </w:r>
      <w:r w:rsidRPr="0043491E">
        <w:rPr>
          <w:i/>
        </w:rPr>
        <w:t>J Am Geriatr Soc</w:t>
      </w:r>
      <w:r w:rsidRPr="0043491E">
        <w:t xml:space="preserve"> 1999; </w:t>
      </w:r>
      <w:r w:rsidRPr="0043491E">
        <w:rPr>
          <w:b/>
        </w:rPr>
        <w:t>47</w:t>
      </w:r>
      <w:r w:rsidRPr="0043491E">
        <w:t>(10).</w:t>
      </w:r>
    </w:p>
    <w:p w14:paraId="46669737" w14:textId="77777777" w:rsidR="005178B0" w:rsidRPr="0043491E" w:rsidRDefault="005178B0" w:rsidP="002C7B49">
      <w:pPr>
        <w:pStyle w:val="EndNoteBibliography"/>
        <w:spacing w:after="0"/>
      </w:pPr>
      <w:r w:rsidRPr="0043491E">
        <w:t>12.</w:t>
      </w:r>
      <w:r w:rsidRPr="0043491E">
        <w:tab/>
        <w:t xml:space="preserve">Word Health Organisation. International Statistical Classification of Diseases and Related Health Problems 10th Revision. </w:t>
      </w:r>
      <w:r w:rsidRPr="005178B0">
        <w:t>http://www.who.int/classifications/icd/en/</w:t>
      </w:r>
      <w:r w:rsidRPr="0043491E">
        <w:t xml:space="preserve"> (accessed 26.10.17.</w:t>
      </w:r>
    </w:p>
    <w:p w14:paraId="68C3F5AA" w14:textId="77777777" w:rsidR="005178B0" w:rsidRPr="0043491E" w:rsidRDefault="005178B0" w:rsidP="002C7B49">
      <w:pPr>
        <w:pStyle w:val="EndNoteBibliography"/>
        <w:spacing w:after="0"/>
      </w:pPr>
      <w:r w:rsidRPr="0043491E">
        <w:t>13.</w:t>
      </w:r>
      <w:r w:rsidRPr="0043491E">
        <w:tab/>
        <w:t xml:space="preserve">Office for National Statistics. 2014-based National Population Projections for the UK. [Internet] accessible from: </w:t>
      </w:r>
      <w:r w:rsidRPr="005178B0">
        <w:t>https://www.ons.gov.uk/peoplepopulationandcommunity/populationandmigration/populationprojections/bulletins/nationalpopulationprojections/2015-10-29</w:t>
      </w:r>
      <w:r w:rsidRPr="0043491E">
        <w:t>. 2015.</w:t>
      </w:r>
    </w:p>
    <w:p w14:paraId="40B46F0C" w14:textId="77777777" w:rsidR="005178B0" w:rsidRPr="0043491E" w:rsidRDefault="005178B0" w:rsidP="002C7B49">
      <w:pPr>
        <w:pStyle w:val="EndNoteBibliography"/>
        <w:spacing w:after="0"/>
      </w:pPr>
      <w:r w:rsidRPr="0043491E">
        <w:t>14.</w:t>
      </w:r>
      <w:r w:rsidRPr="0043491E">
        <w:tab/>
        <w:t xml:space="preserve">HRG. Health care Resource Group [Internet] accessible from </w:t>
      </w:r>
      <w:r w:rsidRPr="005178B0">
        <w:t>http://content.digital.nhs.uk/hrg</w:t>
      </w:r>
      <w:r w:rsidRPr="0043491E">
        <w:t>.</w:t>
      </w:r>
    </w:p>
    <w:p w14:paraId="6514F59A" w14:textId="77777777" w:rsidR="005178B0" w:rsidRPr="0043491E" w:rsidRDefault="005178B0" w:rsidP="002C7B49">
      <w:pPr>
        <w:pStyle w:val="EndNoteBibliography"/>
        <w:spacing w:after="0"/>
      </w:pPr>
      <w:r w:rsidRPr="0043491E">
        <w:t>15.</w:t>
      </w:r>
      <w:r w:rsidRPr="0043491E">
        <w:tab/>
        <w:t xml:space="preserve">Gower JC. A General Coefficient of Similarity and Some of Its Properties. </w:t>
      </w:r>
      <w:r w:rsidRPr="0043491E">
        <w:rPr>
          <w:i/>
        </w:rPr>
        <w:t>Biometrics</w:t>
      </w:r>
      <w:r w:rsidRPr="0043491E">
        <w:t xml:space="preserve"> 1971; </w:t>
      </w:r>
      <w:r w:rsidRPr="0043491E">
        <w:rPr>
          <w:b/>
        </w:rPr>
        <w:t>27</w:t>
      </w:r>
      <w:r w:rsidRPr="0043491E">
        <w:t>: 857-71.</w:t>
      </w:r>
    </w:p>
    <w:p w14:paraId="701EF167" w14:textId="77777777" w:rsidR="005178B0" w:rsidRPr="0043491E" w:rsidRDefault="005178B0" w:rsidP="002C7B49">
      <w:pPr>
        <w:pStyle w:val="EndNoteBibliography"/>
        <w:spacing w:after="0"/>
      </w:pPr>
      <w:r w:rsidRPr="0043491E">
        <w:t>16.</w:t>
      </w:r>
      <w:r w:rsidRPr="0043491E">
        <w:tab/>
        <w:t xml:space="preserve">Ward Jr JH. Hierarchical grouping to optimize an objective function. </w:t>
      </w:r>
      <w:r w:rsidRPr="0043491E">
        <w:rPr>
          <w:i/>
        </w:rPr>
        <w:t>Journal of the American statistical association</w:t>
      </w:r>
      <w:r w:rsidRPr="0043491E">
        <w:t xml:space="preserve"> 1963; </w:t>
      </w:r>
      <w:r w:rsidRPr="0043491E">
        <w:rPr>
          <w:b/>
        </w:rPr>
        <w:t>58</w:t>
      </w:r>
      <w:r w:rsidRPr="0043491E">
        <w:t>: 236–44.</w:t>
      </w:r>
    </w:p>
    <w:p w14:paraId="6E20022A" w14:textId="77777777" w:rsidR="005178B0" w:rsidRPr="0043491E" w:rsidRDefault="005178B0" w:rsidP="002C7B49">
      <w:pPr>
        <w:pStyle w:val="EndNoteBibliography"/>
        <w:spacing w:after="0"/>
      </w:pPr>
      <w:r w:rsidRPr="0043491E">
        <w:t>17.</w:t>
      </w:r>
      <w:r w:rsidRPr="0043491E">
        <w:tab/>
        <w:t xml:space="preserve">Soong J, Poots AJ, Scott S, Donald K, Bell D. Developing and validating a risk prediction model for acute care based on frailty syndromes. </w:t>
      </w:r>
      <w:r w:rsidRPr="0043491E">
        <w:rPr>
          <w:i/>
        </w:rPr>
        <w:t>BMJ Open</w:t>
      </w:r>
      <w:r w:rsidRPr="0043491E">
        <w:t xml:space="preserve"> 2015; </w:t>
      </w:r>
      <w:r w:rsidRPr="0043491E">
        <w:rPr>
          <w:b/>
        </w:rPr>
        <w:t>5</w:t>
      </w:r>
      <w:r w:rsidRPr="0043491E">
        <w:t>(10).</w:t>
      </w:r>
    </w:p>
    <w:p w14:paraId="5CFFE7F0" w14:textId="77777777" w:rsidR="005178B0" w:rsidRPr="0043491E" w:rsidRDefault="005178B0" w:rsidP="002C7B49">
      <w:pPr>
        <w:pStyle w:val="EndNoteBibliography"/>
        <w:spacing w:after="0"/>
      </w:pPr>
      <w:r w:rsidRPr="0043491E">
        <w:t>18.</w:t>
      </w:r>
      <w:r w:rsidRPr="0043491E">
        <w:tab/>
        <w:t xml:space="preserve">Quan H, Sundararajan V, Halfon P, et al. Coding Algorithms for Defining Comorbidities in ICD-9-CM and ICD-10 Administrative Data. </w:t>
      </w:r>
      <w:r w:rsidRPr="0043491E">
        <w:rPr>
          <w:i/>
        </w:rPr>
        <w:t>Medical Care</w:t>
      </w:r>
      <w:r w:rsidRPr="0043491E">
        <w:t xml:space="preserve"> 2005; </w:t>
      </w:r>
      <w:r w:rsidRPr="0043491E">
        <w:rPr>
          <w:b/>
        </w:rPr>
        <w:t>43</w:t>
      </w:r>
      <w:r w:rsidRPr="0043491E">
        <w:t>(11): 1130-9.</w:t>
      </w:r>
    </w:p>
    <w:p w14:paraId="6071C491" w14:textId="77777777" w:rsidR="005178B0" w:rsidRPr="0043491E" w:rsidRDefault="005178B0" w:rsidP="002C7B49">
      <w:pPr>
        <w:pStyle w:val="EndNoteBibliography"/>
        <w:spacing w:after="0"/>
      </w:pPr>
      <w:r w:rsidRPr="0043491E">
        <w:t>19.</w:t>
      </w:r>
      <w:r w:rsidRPr="0043491E">
        <w:tab/>
        <w:t xml:space="preserve">Charlson ME, Pompei P, Ales KL, MacKenzie CR. A new method of classifying prognostic comorbidity in longitudinal studies: development and validation. </w:t>
      </w:r>
      <w:r w:rsidRPr="0043491E">
        <w:rPr>
          <w:i/>
        </w:rPr>
        <w:t>Journal of Chronic Diseases</w:t>
      </w:r>
      <w:r w:rsidRPr="0043491E">
        <w:t xml:space="preserve"> 1987; </w:t>
      </w:r>
      <w:r w:rsidRPr="0043491E">
        <w:rPr>
          <w:b/>
        </w:rPr>
        <w:t>40</w:t>
      </w:r>
      <w:r w:rsidRPr="0043491E">
        <w:t>: 373-83.</w:t>
      </w:r>
    </w:p>
    <w:p w14:paraId="078EDB7A" w14:textId="77777777" w:rsidR="005178B0" w:rsidRPr="0043491E" w:rsidRDefault="005178B0" w:rsidP="002C7B49">
      <w:pPr>
        <w:pStyle w:val="EndNoteBibliography"/>
        <w:spacing w:after="0"/>
      </w:pPr>
      <w:r w:rsidRPr="0043491E">
        <w:t>20.</w:t>
      </w:r>
      <w:r w:rsidRPr="0043491E">
        <w:tab/>
        <w:t xml:space="preserve">Fried LP, Tangen CM, Walston J, et al. Frailty in older adults: evidence for a phenotype.[see comment]. </w:t>
      </w:r>
      <w:r w:rsidRPr="0043491E">
        <w:rPr>
          <w:i/>
        </w:rPr>
        <w:t>Journals of Gerontology Series A-Biological Sciences &amp; Medical Sciences</w:t>
      </w:r>
      <w:r w:rsidRPr="0043491E">
        <w:t xml:space="preserve"> 2001; </w:t>
      </w:r>
      <w:r w:rsidRPr="0043491E">
        <w:rPr>
          <w:b/>
        </w:rPr>
        <w:t>56</w:t>
      </w:r>
      <w:r w:rsidRPr="0043491E">
        <w:t>(3): M146-56.</w:t>
      </w:r>
    </w:p>
    <w:p w14:paraId="0E8680E9" w14:textId="77777777" w:rsidR="005178B0" w:rsidRPr="0043491E" w:rsidRDefault="005178B0" w:rsidP="002C7B49">
      <w:pPr>
        <w:pStyle w:val="EndNoteBibliography"/>
        <w:spacing w:after="0"/>
      </w:pPr>
      <w:r w:rsidRPr="0043491E">
        <w:t>21.</w:t>
      </w:r>
      <w:r w:rsidRPr="0043491E">
        <w:tab/>
        <w:t xml:space="preserve">Rockwood K, Mitnitski A. Frailty in relation to the accumulation of deficits. </w:t>
      </w:r>
      <w:r w:rsidRPr="0043491E">
        <w:rPr>
          <w:i/>
        </w:rPr>
        <w:t>Journals of Gerontology Series A-Biological Sciences &amp; Medical Sciences</w:t>
      </w:r>
      <w:r w:rsidRPr="0043491E">
        <w:t xml:space="preserve"> 2007; </w:t>
      </w:r>
      <w:r w:rsidRPr="0043491E">
        <w:rPr>
          <w:b/>
        </w:rPr>
        <w:t>62</w:t>
      </w:r>
      <w:r w:rsidRPr="0043491E">
        <w:t>(7): 722-7.</w:t>
      </w:r>
    </w:p>
    <w:p w14:paraId="590C16DA" w14:textId="77777777" w:rsidR="005178B0" w:rsidRPr="0043491E" w:rsidRDefault="005178B0" w:rsidP="002C7B49">
      <w:pPr>
        <w:pStyle w:val="EndNoteBibliography"/>
        <w:spacing w:after="0"/>
      </w:pPr>
      <w:r w:rsidRPr="0043491E">
        <w:lastRenderedPageBreak/>
        <w:t>22.</w:t>
      </w:r>
      <w:r w:rsidRPr="0043491E">
        <w:tab/>
        <w:t xml:space="preserve">Elliott A, Phelps K, Regen E, Conroy SP. Identifying frailty in the Emergency Department-feasibility study. </w:t>
      </w:r>
      <w:r w:rsidRPr="0043491E">
        <w:rPr>
          <w:i/>
        </w:rPr>
        <w:t>Age Ageing</w:t>
      </w:r>
      <w:r w:rsidRPr="0043491E">
        <w:t xml:space="preserve"> 2017: 1-6.</w:t>
      </w:r>
    </w:p>
    <w:p w14:paraId="3FD5897A" w14:textId="77777777" w:rsidR="005178B0" w:rsidRPr="0043491E" w:rsidRDefault="005178B0" w:rsidP="002C7B49">
      <w:pPr>
        <w:pStyle w:val="EndNoteBibliography"/>
        <w:spacing w:after="0"/>
      </w:pPr>
      <w:r w:rsidRPr="0043491E">
        <w:t>23.</w:t>
      </w:r>
      <w:r w:rsidRPr="0043491E">
        <w:tab/>
        <w:t xml:space="preserve">Evans SJ, Sayers M, Mitnitski A, Rockwood K. The risk of adverse outcomes in hospitalized older patients in relation to a frailty index based on a comprehensive geriatric assessment. </w:t>
      </w:r>
      <w:r w:rsidRPr="0043491E">
        <w:rPr>
          <w:i/>
        </w:rPr>
        <w:t>Age and Ageing</w:t>
      </w:r>
      <w:r w:rsidRPr="0043491E">
        <w:t xml:space="preserve"> 2014; </w:t>
      </w:r>
      <w:r w:rsidRPr="0043491E">
        <w:rPr>
          <w:b/>
        </w:rPr>
        <w:t>43</w:t>
      </w:r>
      <w:r w:rsidRPr="0043491E">
        <w:t>: 127-32.</w:t>
      </w:r>
    </w:p>
    <w:p w14:paraId="7E07F6D1" w14:textId="77777777" w:rsidR="005178B0" w:rsidRPr="0043491E" w:rsidRDefault="005178B0" w:rsidP="002C7B49">
      <w:pPr>
        <w:pStyle w:val="EndNoteBibliography"/>
        <w:spacing w:after="0"/>
      </w:pPr>
      <w:r w:rsidRPr="0043491E">
        <w:t>24.</w:t>
      </w:r>
      <w:r w:rsidRPr="0043491E">
        <w:tab/>
        <w:t xml:space="preserve">Clegg A, Bates C, Young J, et al. Development and validation of an electronic frailty index using routine primary care electronic health record data. </w:t>
      </w:r>
      <w:r w:rsidRPr="0043491E">
        <w:rPr>
          <w:i/>
        </w:rPr>
        <w:t>Age Ageing</w:t>
      </w:r>
      <w:r w:rsidRPr="0043491E">
        <w:t xml:space="preserve"> 2016; </w:t>
      </w:r>
      <w:r w:rsidRPr="0043491E">
        <w:rPr>
          <w:b/>
        </w:rPr>
        <w:t>45</w:t>
      </w:r>
      <w:r w:rsidRPr="0043491E">
        <w:t>(3): 353-60.</w:t>
      </w:r>
    </w:p>
    <w:p w14:paraId="1294A68A" w14:textId="77777777" w:rsidR="005178B0" w:rsidRPr="0043491E" w:rsidRDefault="005178B0" w:rsidP="002C7B49">
      <w:pPr>
        <w:pStyle w:val="EndNoteBibliography"/>
        <w:spacing w:after="0"/>
      </w:pPr>
      <w:r w:rsidRPr="0043491E">
        <w:t>25.</w:t>
      </w:r>
      <w:r w:rsidRPr="0043491E">
        <w:tab/>
        <w:t xml:space="preserve">Ruiz M, Bottle A, Long S, Aylin P. Multi-Morbidity in Hospitalised Older Patients: Who Are the Complex Elderly? </w:t>
      </w:r>
      <w:r w:rsidRPr="0043491E">
        <w:rPr>
          <w:i/>
        </w:rPr>
        <w:t>PLOS ONE</w:t>
      </w:r>
      <w:r w:rsidRPr="0043491E">
        <w:t xml:space="preserve"> 2015; </w:t>
      </w:r>
      <w:r w:rsidRPr="0043491E">
        <w:rPr>
          <w:b/>
        </w:rPr>
        <w:t>10</w:t>
      </w:r>
      <w:r w:rsidRPr="0043491E">
        <w:t>: e0145372.</w:t>
      </w:r>
    </w:p>
    <w:p w14:paraId="6BC5C449" w14:textId="77777777" w:rsidR="005178B0" w:rsidRPr="0043491E" w:rsidRDefault="005178B0" w:rsidP="002C7B49">
      <w:pPr>
        <w:pStyle w:val="EndNoteBibliography"/>
        <w:spacing w:after="0"/>
      </w:pPr>
      <w:r w:rsidRPr="0043491E">
        <w:t>26.</w:t>
      </w:r>
      <w:r w:rsidRPr="0043491E">
        <w:tab/>
        <w:t xml:space="preserve">O'Malley KJ, Cook KF, Price MD, Wildes KR, Hurdle JF, Ashton CM. Measuring Diagnoses: ICD Code Accuracy. </w:t>
      </w:r>
      <w:r w:rsidRPr="0043491E">
        <w:rPr>
          <w:i/>
        </w:rPr>
        <w:t>Health Services Research</w:t>
      </w:r>
      <w:r w:rsidRPr="0043491E">
        <w:t xml:space="preserve"> 2005; </w:t>
      </w:r>
      <w:r w:rsidRPr="0043491E">
        <w:rPr>
          <w:b/>
        </w:rPr>
        <w:t>40</w:t>
      </w:r>
      <w:r w:rsidRPr="0043491E">
        <w:t>: 1620-39.</w:t>
      </w:r>
    </w:p>
    <w:p w14:paraId="1D0821A7" w14:textId="77777777" w:rsidR="005178B0" w:rsidRPr="0043491E" w:rsidRDefault="005178B0" w:rsidP="002C7B49">
      <w:pPr>
        <w:pStyle w:val="EndNoteBibliography"/>
        <w:spacing w:after="0"/>
      </w:pPr>
      <w:r w:rsidRPr="0043491E">
        <w:t>27.</w:t>
      </w:r>
      <w:r w:rsidRPr="0043491E">
        <w:tab/>
        <w:t xml:space="preserve">Mohammed MA, Deeks JJ, Girling A, et al. Evidence of methodological bias in hospital standardised mortality ratios: retrospective database study of English hospitals. </w:t>
      </w:r>
      <w:r w:rsidRPr="0043491E">
        <w:rPr>
          <w:i/>
        </w:rPr>
        <w:t>BMJ</w:t>
      </w:r>
      <w:r w:rsidRPr="0043491E">
        <w:t xml:space="preserve"> 2009; </w:t>
      </w:r>
      <w:r w:rsidRPr="0043491E">
        <w:rPr>
          <w:b/>
        </w:rPr>
        <w:t>338</w:t>
      </w:r>
      <w:r w:rsidRPr="0043491E">
        <w:t>(mar18_2): b780-.</w:t>
      </w:r>
    </w:p>
    <w:p w14:paraId="5BFFC454" w14:textId="77777777" w:rsidR="005178B0" w:rsidRPr="0043491E" w:rsidRDefault="005178B0" w:rsidP="002C7B49">
      <w:pPr>
        <w:pStyle w:val="EndNoteBibliography"/>
        <w:spacing w:after="0"/>
      </w:pPr>
      <w:r w:rsidRPr="0043491E">
        <w:t>28.</w:t>
      </w:r>
      <w:r w:rsidRPr="0043491E">
        <w:tab/>
        <w:t xml:space="preserve">Burns EM, Rigby E, Mamidanna R, et al. Systematic review of discharge coding accuracy. </w:t>
      </w:r>
      <w:r w:rsidRPr="0043491E">
        <w:rPr>
          <w:i/>
        </w:rPr>
        <w:t>Journal of Public Health (Oxford, England)</w:t>
      </w:r>
      <w:r w:rsidRPr="0043491E">
        <w:t xml:space="preserve"> 2012; </w:t>
      </w:r>
      <w:r w:rsidRPr="0043491E">
        <w:rPr>
          <w:b/>
        </w:rPr>
        <w:t>34</w:t>
      </w:r>
      <w:r w:rsidRPr="0043491E">
        <w:t>: 138-48.</w:t>
      </w:r>
    </w:p>
    <w:p w14:paraId="7E1BC159" w14:textId="77777777" w:rsidR="005178B0" w:rsidRPr="0043491E" w:rsidRDefault="005178B0" w:rsidP="002C7B49">
      <w:pPr>
        <w:pStyle w:val="EndNoteBibliography"/>
        <w:spacing w:after="0"/>
      </w:pPr>
      <w:r w:rsidRPr="0043491E">
        <w:t>29.</w:t>
      </w:r>
      <w:r w:rsidRPr="0043491E">
        <w:tab/>
        <w:t xml:space="preserve">Aguayo GA, Donneau A-F, Vaillant MT, et al. Agreement Between 35 Published Frailty Scores in the General Population. </w:t>
      </w:r>
      <w:r w:rsidRPr="0043491E">
        <w:rPr>
          <w:i/>
        </w:rPr>
        <w:t>American Journal of Epidemiology</w:t>
      </w:r>
      <w:r w:rsidRPr="0043491E">
        <w:t xml:space="preserve"> 2017; </w:t>
      </w:r>
      <w:r w:rsidRPr="0043491E">
        <w:rPr>
          <w:b/>
        </w:rPr>
        <w:t>186</w:t>
      </w:r>
      <w:r w:rsidRPr="0043491E">
        <w:t>: 420-34.</w:t>
      </w:r>
    </w:p>
    <w:p w14:paraId="09D576AF" w14:textId="77777777" w:rsidR="005178B0" w:rsidRPr="0043491E" w:rsidRDefault="005178B0" w:rsidP="002C7B49">
      <w:pPr>
        <w:pStyle w:val="EndNoteBibliography"/>
        <w:spacing w:after="0"/>
      </w:pPr>
      <w:r w:rsidRPr="0043491E">
        <w:t>30.</w:t>
      </w:r>
      <w:r w:rsidRPr="0043491E">
        <w:tab/>
        <w:t xml:space="preserve">Parker SG, McCue P, Phelps K, et al. What is Comprehensive Geriatric Assessment (CGA)? An umbrella review. </w:t>
      </w:r>
      <w:r w:rsidRPr="0043491E">
        <w:rPr>
          <w:i/>
        </w:rPr>
        <w:t>Age and Ageing</w:t>
      </w:r>
      <w:r w:rsidRPr="0043491E">
        <w:t xml:space="preserve"> 2018; </w:t>
      </w:r>
      <w:r w:rsidRPr="0043491E">
        <w:rPr>
          <w:b/>
        </w:rPr>
        <w:t>47</w:t>
      </w:r>
      <w:r w:rsidRPr="0043491E">
        <w:t>(1): 149-55.</w:t>
      </w:r>
    </w:p>
    <w:p w14:paraId="5D36DB15" w14:textId="77777777" w:rsidR="005178B0" w:rsidRPr="0043491E" w:rsidRDefault="005178B0" w:rsidP="002C7B49">
      <w:pPr>
        <w:pStyle w:val="EndNoteBibliography"/>
        <w:spacing w:after="0"/>
      </w:pPr>
      <w:r w:rsidRPr="0043491E">
        <w:t>31.</w:t>
      </w:r>
      <w:r w:rsidRPr="0043491E">
        <w:tab/>
        <w:t>Parker S, McHue P, Roberts H, Martin G, Bardsley M, Phelps K. How best to deliver Comprehensive Geriatric Assessment on a hospital wide basis (CGA): an Umbrella Review.  European Geriatric Medicine Society; 2016 2016: European Geriatric Medicine; 2016.</w:t>
      </w:r>
    </w:p>
    <w:p w14:paraId="1C7FA7B9" w14:textId="77777777" w:rsidR="005178B0" w:rsidRPr="00F22D1A" w:rsidRDefault="005178B0" w:rsidP="002C7B49">
      <w:pPr>
        <w:pStyle w:val="EndNoteBibliography"/>
        <w:spacing w:after="0"/>
        <w:rPr>
          <w:lang w:val="fr-FR"/>
        </w:rPr>
      </w:pPr>
      <w:r w:rsidRPr="0043491E">
        <w:t>32.</w:t>
      </w:r>
      <w:r w:rsidRPr="0043491E">
        <w:tab/>
        <w:t xml:space="preserve">National Institute for Health and Care Excellence. Delirium: prevention, diagnosis and management. </w:t>
      </w:r>
      <w:r w:rsidRPr="00F22D1A">
        <w:rPr>
          <w:lang w:val="fr-FR"/>
        </w:rPr>
        <w:t xml:space="preserve">2010. </w:t>
      </w:r>
      <w:r w:rsidRPr="005178B0">
        <w:rPr>
          <w:lang w:val="fr-FR"/>
        </w:rPr>
        <w:t>https://www.nice.org.uk/guidance/CG103/chapter/Introduction2010)</w:t>
      </w:r>
      <w:r w:rsidRPr="00F22D1A">
        <w:rPr>
          <w:lang w:val="fr-FR"/>
        </w:rPr>
        <w:t>.</w:t>
      </w:r>
    </w:p>
    <w:p w14:paraId="685217AE" w14:textId="77777777" w:rsidR="005178B0" w:rsidRPr="0043491E" w:rsidRDefault="005178B0" w:rsidP="002C7B49">
      <w:pPr>
        <w:pStyle w:val="EndNoteBibliography"/>
        <w:spacing w:after="0"/>
      </w:pPr>
      <w:r w:rsidRPr="00F22D1A">
        <w:rPr>
          <w:lang w:val="fr-FR"/>
        </w:rPr>
        <w:t>33.</w:t>
      </w:r>
      <w:r w:rsidRPr="00F22D1A">
        <w:rPr>
          <w:lang w:val="fr-FR"/>
        </w:rPr>
        <w:tab/>
        <w:t xml:space="preserve">De Vos A, Asmus-Szepesi K, Bakker T, et al. </w:t>
      </w:r>
      <w:r w:rsidRPr="0043491E">
        <w:t xml:space="preserve">Integrated approach to prevent functional decline in hospitalized elderly: the Prevention and Reactivation Care Program (PReCaP). </w:t>
      </w:r>
      <w:r w:rsidRPr="0043491E">
        <w:rPr>
          <w:i/>
        </w:rPr>
        <w:t>BMC Geriatrics</w:t>
      </w:r>
      <w:r w:rsidRPr="0043491E">
        <w:t xml:space="preserve"> 2012; </w:t>
      </w:r>
      <w:r w:rsidRPr="0043491E">
        <w:rPr>
          <w:b/>
        </w:rPr>
        <w:t>12</w:t>
      </w:r>
      <w:r w:rsidRPr="0043491E">
        <w:t>(7).</w:t>
      </w:r>
    </w:p>
    <w:p w14:paraId="3063663F" w14:textId="77777777" w:rsidR="005178B0" w:rsidRPr="0043491E" w:rsidRDefault="005178B0" w:rsidP="002C7B49">
      <w:pPr>
        <w:pStyle w:val="EndNoteBibliography"/>
        <w:spacing w:after="0"/>
      </w:pPr>
      <w:r w:rsidRPr="0043491E">
        <w:t>34.</w:t>
      </w:r>
      <w:r w:rsidRPr="0043491E">
        <w:tab/>
        <w:t>Department of Health. End of Life Care Strategy. Promoting high quality care for all adults at the end of life. London: Department of Health, 2008.</w:t>
      </w:r>
    </w:p>
    <w:p w14:paraId="70565846" w14:textId="77777777" w:rsidR="005178B0" w:rsidRPr="0043491E" w:rsidRDefault="005178B0" w:rsidP="002C7B49">
      <w:pPr>
        <w:pStyle w:val="EndNoteBibliography"/>
        <w:spacing w:after="0"/>
      </w:pPr>
      <w:r w:rsidRPr="0043491E">
        <w:t>35.</w:t>
      </w:r>
      <w:r w:rsidRPr="0043491E">
        <w:tab/>
        <w:t xml:space="preserve">Bakker FC, Robben SHM, Olde Rikkert MGM. Effects of hospital-wide interventions to improve care for frail older inpatients: a systematic review. </w:t>
      </w:r>
      <w:r w:rsidRPr="0043491E">
        <w:rPr>
          <w:i/>
        </w:rPr>
        <w:t>BMJ Quality &amp; Safety</w:t>
      </w:r>
      <w:r w:rsidRPr="0043491E">
        <w:t xml:space="preserve"> 2011; </w:t>
      </w:r>
      <w:r w:rsidRPr="0043491E">
        <w:rPr>
          <w:b/>
        </w:rPr>
        <w:t>20</w:t>
      </w:r>
      <w:r w:rsidRPr="0043491E">
        <w:t>(8): 680-91.</w:t>
      </w:r>
    </w:p>
    <w:p w14:paraId="3B856A05" w14:textId="77777777" w:rsidR="005178B0" w:rsidRPr="0043491E" w:rsidRDefault="005178B0" w:rsidP="002C7B49">
      <w:pPr>
        <w:pStyle w:val="EndNoteBibliography"/>
      </w:pPr>
      <w:r w:rsidRPr="0043491E">
        <w:t>36.</w:t>
      </w:r>
      <w:r w:rsidRPr="0043491E">
        <w:tab/>
        <w:t xml:space="preserve">Romero-Ortuno R, Wallis S, Biram R, Keevil V. Clinical frailty adds to acute illness severity in predicting mortality in hospitalized older adults: An observational study. </w:t>
      </w:r>
      <w:r w:rsidRPr="0043491E">
        <w:rPr>
          <w:i/>
        </w:rPr>
        <w:t>Eur J Intern Med</w:t>
      </w:r>
      <w:r w:rsidRPr="0043491E">
        <w:t xml:space="preserve"> 2016; </w:t>
      </w:r>
      <w:r w:rsidRPr="0043491E">
        <w:rPr>
          <w:b/>
        </w:rPr>
        <w:t>35</w:t>
      </w:r>
      <w:r w:rsidRPr="0043491E">
        <w:t>: 24-34.</w:t>
      </w:r>
    </w:p>
    <w:p w14:paraId="08410D93" w14:textId="77777777" w:rsidR="005178B0" w:rsidRPr="00A61228" w:rsidRDefault="005178B0" w:rsidP="002C7B49">
      <w:pPr>
        <w:rPr>
          <w:rFonts w:ascii="Times New Roman" w:hAnsi="Times New Roman" w:cs="Times New Roman"/>
          <w:sz w:val="20"/>
          <w:szCs w:val="20"/>
        </w:rPr>
      </w:pPr>
    </w:p>
    <w:p w14:paraId="42B26604" w14:textId="77777777" w:rsidR="00CE6BFD" w:rsidRDefault="00CE6BFD"/>
    <w:sectPr w:rsidR="00CE6BFD" w:rsidSect="002C7B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44BDD" w14:textId="77777777" w:rsidR="00D35E6F" w:rsidRDefault="00D35E6F">
      <w:pPr>
        <w:spacing w:after="0" w:line="240" w:lineRule="auto"/>
      </w:pPr>
      <w:r>
        <w:separator/>
      </w:r>
    </w:p>
  </w:endnote>
  <w:endnote w:type="continuationSeparator" w:id="0">
    <w:p w14:paraId="00882221" w14:textId="77777777" w:rsidR="00D35E6F" w:rsidRDefault="00D3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5288F" w14:textId="43D11089" w:rsidR="00D35E6F" w:rsidRPr="00D336DA" w:rsidRDefault="00D35E6F" w:rsidP="005B447C">
    <w:pPr>
      <w:pStyle w:val="Footer"/>
      <w:rPr>
        <w:rFonts w:ascii="Times New Roman" w:hAnsi="Times New Roman" w:cs="Times New Roman"/>
        <w:sz w:val="20"/>
        <w:szCs w:val="20"/>
      </w:rPr>
    </w:pPr>
    <w:r w:rsidRPr="00A61228">
      <w:rPr>
        <w:rFonts w:ascii="Times New Roman" w:hAnsi="Times New Roman" w:cs="Times New Roman"/>
        <w:sz w:val="20"/>
        <w:szCs w:val="20"/>
      </w:rPr>
      <w:t xml:space="preserve">Version </w:t>
    </w:r>
    <w:r>
      <w:rPr>
        <w:rFonts w:ascii="Times New Roman" w:hAnsi="Times New Roman" w:cs="Times New Roman"/>
        <w:sz w:val="20"/>
        <w:szCs w:val="20"/>
      </w:rPr>
      <w:t>5.5</w:t>
    </w:r>
    <w:r w:rsidRPr="00A61228">
      <w:rPr>
        <w:rFonts w:ascii="Times New Roman" w:hAnsi="Times New Roman" w:cs="Times New Roman"/>
        <w:sz w:val="20"/>
        <w:szCs w:val="20"/>
      </w:rPr>
      <w:tab/>
    </w:r>
    <w:r>
      <w:rPr>
        <w:rFonts w:ascii="Times New Roman" w:hAnsi="Times New Roman" w:cs="Times New Roman"/>
        <w:sz w:val="20"/>
        <w:szCs w:val="20"/>
      </w:rPr>
      <w:t>7</w:t>
    </w:r>
    <w:r w:rsidRPr="00D62B10">
      <w:rPr>
        <w:rFonts w:ascii="Times New Roman" w:hAnsi="Times New Roman" w:cs="Times New Roman"/>
        <w:sz w:val="20"/>
        <w:szCs w:val="20"/>
        <w:vertAlign w:val="superscript"/>
      </w:rPr>
      <w:t>th</w:t>
    </w:r>
    <w:r>
      <w:rPr>
        <w:rFonts w:ascii="Times New Roman" w:hAnsi="Times New Roman" w:cs="Times New Roman"/>
        <w:sz w:val="20"/>
        <w:szCs w:val="20"/>
      </w:rPr>
      <w:t xml:space="preserve"> March 2018</w:t>
    </w:r>
    <w:r w:rsidRPr="00A61228">
      <w:rPr>
        <w:rFonts w:ascii="Times New Roman" w:hAnsi="Times New Roman" w:cs="Times New Roman"/>
        <w:sz w:val="20"/>
        <w:szCs w:val="20"/>
      </w:rPr>
      <w:tab/>
      <w:t xml:space="preserve">Page </w:t>
    </w:r>
    <w:r w:rsidRPr="00A61228">
      <w:rPr>
        <w:rFonts w:ascii="Times New Roman" w:hAnsi="Times New Roman" w:cs="Times New Roman"/>
        <w:sz w:val="20"/>
        <w:szCs w:val="20"/>
      </w:rPr>
      <w:fldChar w:fldCharType="begin"/>
    </w:r>
    <w:r w:rsidRPr="00A61228">
      <w:rPr>
        <w:rFonts w:ascii="Times New Roman" w:hAnsi="Times New Roman" w:cs="Times New Roman"/>
        <w:sz w:val="20"/>
        <w:szCs w:val="20"/>
      </w:rPr>
      <w:instrText xml:space="preserve"> PAGE   \* MERGEFORMAT </w:instrText>
    </w:r>
    <w:r w:rsidRPr="00A61228">
      <w:rPr>
        <w:rFonts w:ascii="Times New Roman" w:hAnsi="Times New Roman" w:cs="Times New Roman"/>
        <w:sz w:val="20"/>
        <w:szCs w:val="20"/>
      </w:rPr>
      <w:fldChar w:fldCharType="separate"/>
    </w:r>
    <w:r w:rsidR="00285943">
      <w:rPr>
        <w:rFonts w:ascii="Times New Roman" w:hAnsi="Times New Roman" w:cs="Times New Roman"/>
        <w:noProof/>
        <w:sz w:val="20"/>
        <w:szCs w:val="20"/>
      </w:rPr>
      <w:t>1</w:t>
    </w:r>
    <w:r w:rsidRPr="00A61228">
      <w:rPr>
        <w:rFonts w:ascii="Times New Roman" w:hAnsi="Times New Roman" w:cs="Times New Roman"/>
        <w:noProof/>
        <w:sz w:val="20"/>
        <w:szCs w:val="20"/>
      </w:rPr>
      <w:fldChar w:fldCharType="end"/>
    </w:r>
  </w:p>
  <w:p w14:paraId="0F51C2FB" w14:textId="5AAA2839" w:rsidR="00D35E6F" w:rsidRPr="00D336DA" w:rsidRDefault="00D35E6F">
    <w:pPr>
      <w:pStyle w:val="Foo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A18A2" w14:textId="6D0CD7F5" w:rsidR="00D35E6F" w:rsidRPr="00D336DA" w:rsidRDefault="00D35E6F" w:rsidP="005B447C">
    <w:pPr>
      <w:pStyle w:val="Footer"/>
      <w:rPr>
        <w:rFonts w:ascii="Times New Roman" w:hAnsi="Times New Roman" w:cs="Times New Roman"/>
        <w:sz w:val="20"/>
        <w:szCs w:val="20"/>
      </w:rPr>
    </w:pPr>
    <w:r w:rsidRPr="00A61228">
      <w:rPr>
        <w:rFonts w:ascii="Times New Roman" w:hAnsi="Times New Roman" w:cs="Times New Roman"/>
        <w:sz w:val="20"/>
        <w:szCs w:val="20"/>
      </w:rPr>
      <w:t xml:space="preserve">Version </w:t>
    </w:r>
    <w:r w:rsidR="008228CE">
      <w:rPr>
        <w:rFonts w:ascii="Times New Roman" w:hAnsi="Times New Roman" w:cs="Times New Roman"/>
        <w:sz w:val="20"/>
        <w:szCs w:val="20"/>
      </w:rPr>
      <w:t>5.5</w:t>
    </w:r>
    <w:r w:rsidRPr="00A61228">
      <w:rPr>
        <w:rFonts w:ascii="Times New Roman" w:hAnsi="Times New Roman" w:cs="Times New Roman"/>
        <w:sz w:val="20"/>
        <w:szCs w:val="20"/>
      </w:rPr>
      <w:tab/>
    </w:r>
    <w:r w:rsidR="008228CE">
      <w:rPr>
        <w:rFonts w:ascii="Times New Roman" w:hAnsi="Times New Roman" w:cs="Times New Roman"/>
        <w:sz w:val="20"/>
        <w:szCs w:val="20"/>
      </w:rPr>
      <w:t>7</w:t>
    </w:r>
    <w:r w:rsidRPr="00D62B10">
      <w:rPr>
        <w:rFonts w:ascii="Times New Roman" w:hAnsi="Times New Roman" w:cs="Times New Roman"/>
        <w:sz w:val="20"/>
        <w:szCs w:val="20"/>
        <w:vertAlign w:val="superscript"/>
      </w:rPr>
      <w:t>th</w:t>
    </w:r>
    <w:r>
      <w:rPr>
        <w:rFonts w:ascii="Times New Roman" w:hAnsi="Times New Roman" w:cs="Times New Roman"/>
        <w:sz w:val="20"/>
        <w:szCs w:val="20"/>
      </w:rPr>
      <w:t xml:space="preserve"> March 2018</w:t>
    </w:r>
    <w:r w:rsidRPr="00A61228">
      <w:rPr>
        <w:rFonts w:ascii="Times New Roman" w:hAnsi="Times New Roman" w:cs="Times New Roman"/>
        <w:sz w:val="20"/>
        <w:szCs w:val="20"/>
      </w:rPr>
      <w:tab/>
      <w:t xml:space="preserve">Page </w:t>
    </w:r>
    <w:r w:rsidRPr="00A61228">
      <w:rPr>
        <w:rFonts w:ascii="Times New Roman" w:hAnsi="Times New Roman" w:cs="Times New Roman"/>
        <w:sz w:val="20"/>
        <w:szCs w:val="20"/>
      </w:rPr>
      <w:fldChar w:fldCharType="begin"/>
    </w:r>
    <w:r w:rsidRPr="00A61228">
      <w:rPr>
        <w:rFonts w:ascii="Times New Roman" w:hAnsi="Times New Roman" w:cs="Times New Roman"/>
        <w:sz w:val="20"/>
        <w:szCs w:val="20"/>
      </w:rPr>
      <w:instrText xml:space="preserve"> PAGE   \* MERGEFORMAT </w:instrText>
    </w:r>
    <w:r w:rsidRPr="00A61228">
      <w:rPr>
        <w:rFonts w:ascii="Times New Roman" w:hAnsi="Times New Roman" w:cs="Times New Roman"/>
        <w:sz w:val="20"/>
        <w:szCs w:val="20"/>
      </w:rPr>
      <w:fldChar w:fldCharType="separate"/>
    </w:r>
    <w:r w:rsidR="00285943">
      <w:rPr>
        <w:rFonts w:ascii="Times New Roman" w:hAnsi="Times New Roman" w:cs="Times New Roman"/>
        <w:noProof/>
        <w:sz w:val="20"/>
        <w:szCs w:val="20"/>
      </w:rPr>
      <w:t>15</w:t>
    </w:r>
    <w:r w:rsidRPr="00A61228">
      <w:rPr>
        <w:rFonts w:ascii="Times New Roman" w:hAnsi="Times New Roman" w:cs="Times New Roman"/>
        <w:noProof/>
        <w:sz w:val="20"/>
        <w:szCs w:val="20"/>
      </w:rPr>
      <w:fldChar w:fldCharType="end"/>
    </w:r>
  </w:p>
  <w:p w14:paraId="764FECFE" w14:textId="1F6836A4" w:rsidR="00D35E6F" w:rsidRPr="00803EE3" w:rsidRDefault="00D35E6F" w:rsidP="002C7B49">
    <w:pPr>
      <w:pStyle w:val="Foo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B1A9B" w14:textId="770252D1" w:rsidR="00D35E6F" w:rsidRPr="00D336DA" w:rsidRDefault="00D35E6F" w:rsidP="005B447C">
    <w:pPr>
      <w:pStyle w:val="Footer"/>
      <w:rPr>
        <w:rFonts w:ascii="Times New Roman" w:hAnsi="Times New Roman" w:cs="Times New Roman"/>
        <w:sz w:val="20"/>
        <w:szCs w:val="20"/>
      </w:rPr>
    </w:pPr>
    <w:r w:rsidRPr="00A61228">
      <w:rPr>
        <w:rFonts w:ascii="Times New Roman" w:hAnsi="Times New Roman" w:cs="Times New Roman"/>
        <w:sz w:val="20"/>
        <w:szCs w:val="20"/>
      </w:rPr>
      <w:t xml:space="preserve">Version </w:t>
    </w:r>
    <w:r w:rsidR="008228CE">
      <w:rPr>
        <w:rFonts w:ascii="Times New Roman" w:hAnsi="Times New Roman" w:cs="Times New Roman"/>
        <w:sz w:val="20"/>
        <w:szCs w:val="20"/>
      </w:rPr>
      <w:t>5.5</w:t>
    </w:r>
    <w:r w:rsidRPr="00A61228">
      <w:rPr>
        <w:rFonts w:ascii="Times New Roman" w:hAnsi="Times New Roman" w:cs="Times New Roman"/>
        <w:sz w:val="20"/>
        <w:szCs w:val="20"/>
      </w:rPr>
      <w:tab/>
    </w:r>
    <w:r w:rsidR="008228CE">
      <w:rPr>
        <w:rFonts w:ascii="Times New Roman" w:hAnsi="Times New Roman" w:cs="Times New Roman"/>
        <w:sz w:val="20"/>
        <w:szCs w:val="20"/>
      </w:rPr>
      <w:t>7</w:t>
    </w:r>
    <w:r w:rsidRPr="00D62B10">
      <w:rPr>
        <w:rFonts w:ascii="Times New Roman" w:hAnsi="Times New Roman" w:cs="Times New Roman"/>
        <w:sz w:val="20"/>
        <w:szCs w:val="20"/>
        <w:vertAlign w:val="superscript"/>
      </w:rPr>
      <w:t>th</w:t>
    </w:r>
    <w:r>
      <w:rPr>
        <w:rFonts w:ascii="Times New Roman" w:hAnsi="Times New Roman" w:cs="Times New Roman"/>
        <w:sz w:val="20"/>
        <w:szCs w:val="20"/>
      </w:rPr>
      <w:t xml:space="preserve"> March 2018</w:t>
    </w:r>
    <w:r w:rsidRPr="00A61228">
      <w:rPr>
        <w:rFonts w:ascii="Times New Roman" w:hAnsi="Times New Roman" w:cs="Times New Roman"/>
        <w:sz w:val="20"/>
        <w:szCs w:val="20"/>
      </w:rPr>
      <w:tab/>
      <w:t xml:space="preserve">Page </w:t>
    </w:r>
    <w:r w:rsidRPr="00A61228">
      <w:rPr>
        <w:rFonts w:ascii="Times New Roman" w:hAnsi="Times New Roman" w:cs="Times New Roman"/>
        <w:sz w:val="20"/>
        <w:szCs w:val="20"/>
      </w:rPr>
      <w:fldChar w:fldCharType="begin"/>
    </w:r>
    <w:r w:rsidRPr="00A61228">
      <w:rPr>
        <w:rFonts w:ascii="Times New Roman" w:hAnsi="Times New Roman" w:cs="Times New Roman"/>
        <w:sz w:val="20"/>
        <w:szCs w:val="20"/>
      </w:rPr>
      <w:instrText xml:space="preserve"> PAGE   \* MERGEFORMAT </w:instrText>
    </w:r>
    <w:r w:rsidRPr="00A61228">
      <w:rPr>
        <w:rFonts w:ascii="Times New Roman" w:hAnsi="Times New Roman" w:cs="Times New Roman"/>
        <w:sz w:val="20"/>
        <w:szCs w:val="20"/>
      </w:rPr>
      <w:fldChar w:fldCharType="separate"/>
    </w:r>
    <w:r w:rsidR="00285943">
      <w:rPr>
        <w:rFonts w:ascii="Times New Roman" w:hAnsi="Times New Roman" w:cs="Times New Roman"/>
        <w:noProof/>
        <w:sz w:val="20"/>
        <w:szCs w:val="20"/>
      </w:rPr>
      <w:t>20</w:t>
    </w:r>
    <w:r w:rsidRPr="00A61228">
      <w:rPr>
        <w:rFonts w:ascii="Times New Roman" w:hAnsi="Times New Roman" w:cs="Times New Roman"/>
        <w:noProof/>
        <w:sz w:val="20"/>
        <w:szCs w:val="20"/>
      </w:rPr>
      <w:fldChar w:fldCharType="end"/>
    </w:r>
  </w:p>
  <w:p w14:paraId="0E8892F7" w14:textId="4C4C5032" w:rsidR="00D35E6F" w:rsidRPr="00A61228" w:rsidRDefault="00D35E6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EF3D3" w14:textId="77777777" w:rsidR="00D35E6F" w:rsidRDefault="00D35E6F">
      <w:pPr>
        <w:spacing w:after="0" w:line="240" w:lineRule="auto"/>
      </w:pPr>
      <w:r>
        <w:separator/>
      </w:r>
    </w:p>
  </w:footnote>
  <w:footnote w:type="continuationSeparator" w:id="0">
    <w:p w14:paraId="2F1D2912" w14:textId="77777777" w:rsidR="00D35E6F" w:rsidRDefault="00D35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9754B" w14:textId="77777777" w:rsidR="00D35E6F" w:rsidRDefault="00D35E6F">
    <w:pPr>
      <w:pStyle w:val="Header"/>
      <w:jc w:val="center"/>
    </w:pPr>
  </w:p>
  <w:p w14:paraId="6AB585F3" w14:textId="77777777" w:rsidR="00D35E6F" w:rsidRDefault="00D35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561"/>
    <w:multiLevelType w:val="hybridMultilevel"/>
    <w:tmpl w:val="45BCD4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47504A"/>
    <w:multiLevelType w:val="hybridMultilevel"/>
    <w:tmpl w:val="D4322A74"/>
    <w:lvl w:ilvl="0" w:tplc="CB54F392">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A13693"/>
    <w:multiLevelType w:val="hybridMultilevel"/>
    <w:tmpl w:val="159A3AA0"/>
    <w:lvl w:ilvl="0" w:tplc="F092A3D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178B0"/>
    <w:rsid w:val="0000465A"/>
    <w:rsid w:val="0005649A"/>
    <w:rsid w:val="000C342F"/>
    <w:rsid w:val="000E42A1"/>
    <w:rsid w:val="001C6026"/>
    <w:rsid w:val="00285943"/>
    <w:rsid w:val="002A21E6"/>
    <w:rsid w:val="002C7B49"/>
    <w:rsid w:val="00304E43"/>
    <w:rsid w:val="003C4CB3"/>
    <w:rsid w:val="003D0C31"/>
    <w:rsid w:val="00405599"/>
    <w:rsid w:val="004119BA"/>
    <w:rsid w:val="005009CC"/>
    <w:rsid w:val="005178B0"/>
    <w:rsid w:val="00546B47"/>
    <w:rsid w:val="00551E2B"/>
    <w:rsid w:val="005B447C"/>
    <w:rsid w:val="00624C95"/>
    <w:rsid w:val="00630267"/>
    <w:rsid w:val="00632CE8"/>
    <w:rsid w:val="00667BCD"/>
    <w:rsid w:val="007E3499"/>
    <w:rsid w:val="0081485E"/>
    <w:rsid w:val="0082238D"/>
    <w:rsid w:val="008228CE"/>
    <w:rsid w:val="00827BC1"/>
    <w:rsid w:val="008535D9"/>
    <w:rsid w:val="008C7966"/>
    <w:rsid w:val="008D05BC"/>
    <w:rsid w:val="008E2E78"/>
    <w:rsid w:val="00917236"/>
    <w:rsid w:val="009F61EE"/>
    <w:rsid w:val="00A22B37"/>
    <w:rsid w:val="00A453DE"/>
    <w:rsid w:val="00AB5E3A"/>
    <w:rsid w:val="00B7397D"/>
    <w:rsid w:val="00BF3E22"/>
    <w:rsid w:val="00C33D9C"/>
    <w:rsid w:val="00C41F22"/>
    <w:rsid w:val="00C55646"/>
    <w:rsid w:val="00C6315F"/>
    <w:rsid w:val="00CB1D76"/>
    <w:rsid w:val="00CD0642"/>
    <w:rsid w:val="00CE6BFD"/>
    <w:rsid w:val="00D35E6F"/>
    <w:rsid w:val="00D81590"/>
    <w:rsid w:val="00E40F48"/>
    <w:rsid w:val="00F147F5"/>
    <w:rsid w:val="00FA1899"/>
    <w:rsid w:val="00FB4643"/>
    <w:rsid w:val="00FC762A"/>
    <w:rsid w:val="00FD6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F9D2"/>
  <w15:docId w15:val="{326F417E-84A6-4ACA-94F3-FC592CB0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8B0"/>
    <w:pPr>
      <w:spacing w:after="200" w:line="276" w:lineRule="auto"/>
    </w:pPr>
  </w:style>
  <w:style w:type="paragraph" w:styleId="Heading1">
    <w:name w:val="heading 1"/>
    <w:basedOn w:val="Normal"/>
    <w:next w:val="Normal"/>
    <w:link w:val="Heading1Char"/>
    <w:uiPriority w:val="9"/>
    <w:qFormat/>
    <w:rsid w:val="005178B0"/>
    <w:pPr>
      <w:keepNext/>
      <w:keepLines/>
      <w:spacing w:before="120" w:after="120" w:line="360" w:lineRule="auto"/>
      <w:jc w:val="center"/>
      <w:outlineLvl w:val="0"/>
    </w:pPr>
    <w:rPr>
      <w:rFonts w:ascii="Verdana" w:eastAsiaTheme="majorEastAsia" w:hAnsi="Verdana" w:cstheme="majorBidi"/>
      <w:b/>
      <w:sz w:val="20"/>
      <w:szCs w:val="32"/>
    </w:rPr>
  </w:style>
  <w:style w:type="paragraph" w:styleId="Heading2">
    <w:name w:val="heading 2"/>
    <w:basedOn w:val="Normal"/>
    <w:next w:val="Normal"/>
    <w:link w:val="Heading2Char"/>
    <w:uiPriority w:val="9"/>
    <w:unhideWhenUsed/>
    <w:qFormat/>
    <w:rsid w:val="005178B0"/>
    <w:pPr>
      <w:keepNext/>
      <w:keepLines/>
      <w:spacing w:before="120" w:after="120" w:line="360" w:lineRule="auto"/>
      <w:outlineLvl w:val="1"/>
    </w:pPr>
    <w:rPr>
      <w:rFonts w:ascii="Verdana" w:eastAsiaTheme="majorEastAsia" w:hAnsi="Verdana" w:cstheme="majorBidi"/>
      <w:b/>
      <w:sz w:val="20"/>
      <w:szCs w:val="26"/>
    </w:rPr>
  </w:style>
  <w:style w:type="paragraph" w:styleId="Heading3">
    <w:name w:val="heading 3"/>
    <w:basedOn w:val="Normal"/>
    <w:next w:val="Normal"/>
    <w:link w:val="Heading3Char"/>
    <w:uiPriority w:val="9"/>
    <w:unhideWhenUsed/>
    <w:qFormat/>
    <w:rsid w:val="00A22B37"/>
    <w:pPr>
      <w:keepNext/>
      <w:keepLines/>
      <w:spacing w:before="120"/>
      <w:outlineLvl w:val="2"/>
    </w:pPr>
    <w:rPr>
      <w:rFonts w:eastAsiaTheme="majorEastAsia" w:cstheme="majorBidi"/>
      <w:i/>
      <w:szCs w:val="24"/>
    </w:rPr>
  </w:style>
  <w:style w:type="paragraph" w:styleId="Heading4">
    <w:name w:val="heading 4"/>
    <w:basedOn w:val="Normal"/>
    <w:next w:val="Normal"/>
    <w:link w:val="Heading4Char"/>
    <w:autoRedefine/>
    <w:uiPriority w:val="9"/>
    <w:unhideWhenUsed/>
    <w:qFormat/>
    <w:rsid w:val="00E40F48"/>
    <w:pPr>
      <w:keepNext/>
      <w:keepLines/>
      <w:spacing w:before="120"/>
      <w:outlineLvl w:val="3"/>
    </w:pPr>
    <w:rPr>
      <w:rFonts w:eastAsiaTheme="majorEastAsia"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827BC1"/>
    <w:rPr>
      <w:b w:val="0"/>
    </w:rPr>
  </w:style>
  <w:style w:type="character" w:customStyle="1" w:styleId="Heading1Char">
    <w:name w:val="Heading 1 Char"/>
    <w:basedOn w:val="DefaultParagraphFont"/>
    <w:link w:val="Heading1"/>
    <w:uiPriority w:val="9"/>
    <w:rsid w:val="005178B0"/>
    <w:rPr>
      <w:rFonts w:ascii="Verdana" w:eastAsiaTheme="majorEastAsia" w:hAnsi="Verdana" w:cstheme="majorBidi"/>
      <w:b/>
      <w:sz w:val="20"/>
      <w:szCs w:val="32"/>
    </w:rPr>
  </w:style>
  <w:style w:type="character" w:customStyle="1" w:styleId="Heading2Char">
    <w:name w:val="Heading 2 Char"/>
    <w:basedOn w:val="DefaultParagraphFont"/>
    <w:link w:val="Heading2"/>
    <w:uiPriority w:val="9"/>
    <w:rsid w:val="005178B0"/>
    <w:rPr>
      <w:rFonts w:ascii="Verdana" w:eastAsiaTheme="majorEastAsia" w:hAnsi="Verdana" w:cstheme="majorBidi"/>
      <w:b/>
      <w:sz w:val="20"/>
      <w:szCs w:val="26"/>
    </w:rPr>
  </w:style>
  <w:style w:type="character" w:customStyle="1" w:styleId="Heading3Char">
    <w:name w:val="Heading 3 Char"/>
    <w:basedOn w:val="DefaultParagraphFont"/>
    <w:link w:val="Heading3"/>
    <w:uiPriority w:val="9"/>
    <w:rsid w:val="00A22B37"/>
    <w:rPr>
      <w:rFonts w:ascii="Verdana" w:eastAsiaTheme="majorEastAsia" w:hAnsi="Verdana" w:cstheme="majorBidi"/>
      <w:i/>
      <w:sz w:val="20"/>
      <w:szCs w:val="24"/>
    </w:rPr>
  </w:style>
  <w:style w:type="character" w:customStyle="1" w:styleId="Heading4Char">
    <w:name w:val="Heading 4 Char"/>
    <w:basedOn w:val="DefaultParagraphFont"/>
    <w:link w:val="Heading4"/>
    <w:uiPriority w:val="9"/>
    <w:rsid w:val="00E40F48"/>
    <w:rPr>
      <w:rFonts w:ascii="Verdana" w:eastAsiaTheme="majorEastAsia" w:hAnsi="Verdana" w:cstheme="majorBidi"/>
      <w:iCs/>
      <w:sz w:val="20"/>
    </w:rPr>
  </w:style>
  <w:style w:type="paragraph" w:styleId="Caption">
    <w:name w:val="caption"/>
    <w:basedOn w:val="Normal"/>
    <w:next w:val="Normal"/>
    <w:uiPriority w:val="35"/>
    <w:unhideWhenUsed/>
    <w:qFormat/>
    <w:rsid w:val="005178B0"/>
    <w:pPr>
      <w:spacing w:line="240" w:lineRule="auto"/>
    </w:pPr>
    <w:rPr>
      <w:i/>
      <w:iCs/>
      <w:color w:val="44546A" w:themeColor="text2"/>
      <w:sz w:val="18"/>
      <w:szCs w:val="18"/>
    </w:rPr>
  </w:style>
  <w:style w:type="paragraph" w:styleId="ListParagraph">
    <w:name w:val="List Paragraph"/>
    <w:basedOn w:val="Normal"/>
    <w:link w:val="ListParagraphChar"/>
    <w:uiPriority w:val="34"/>
    <w:qFormat/>
    <w:rsid w:val="005178B0"/>
    <w:pPr>
      <w:spacing w:after="120" w:line="300" w:lineRule="auto"/>
      <w:ind w:left="720"/>
      <w:contextualSpacing/>
    </w:pPr>
    <w:rPr>
      <w:rFonts w:ascii="Times New Roman" w:hAnsi="Times New Roman" w:cs="Times New Roman"/>
      <w:szCs w:val="24"/>
      <w:lang w:eastAsia="en-GB"/>
    </w:rPr>
  </w:style>
  <w:style w:type="character" w:customStyle="1" w:styleId="ListParagraphChar">
    <w:name w:val="List Paragraph Char"/>
    <w:basedOn w:val="DefaultParagraphFont"/>
    <w:link w:val="ListParagraph"/>
    <w:uiPriority w:val="34"/>
    <w:rsid w:val="005178B0"/>
    <w:rPr>
      <w:rFonts w:ascii="Times New Roman" w:hAnsi="Times New Roman" w:cs="Times New Roman"/>
      <w:szCs w:val="24"/>
      <w:lang w:eastAsia="en-GB"/>
    </w:rPr>
  </w:style>
  <w:style w:type="paragraph" w:styleId="Header">
    <w:name w:val="header"/>
    <w:basedOn w:val="Normal"/>
    <w:link w:val="HeaderChar"/>
    <w:uiPriority w:val="99"/>
    <w:unhideWhenUsed/>
    <w:rsid w:val="00517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8B0"/>
  </w:style>
  <w:style w:type="paragraph" w:styleId="Footer">
    <w:name w:val="footer"/>
    <w:basedOn w:val="Normal"/>
    <w:link w:val="FooterChar"/>
    <w:uiPriority w:val="99"/>
    <w:unhideWhenUsed/>
    <w:rsid w:val="00517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8B0"/>
  </w:style>
  <w:style w:type="character" w:styleId="CommentReference">
    <w:name w:val="annotation reference"/>
    <w:basedOn w:val="DefaultParagraphFont"/>
    <w:uiPriority w:val="99"/>
    <w:semiHidden/>
    <w:unhideWhenUsed/>
    <w:rsid w:val="005178B0"/>
    <w:rPr>
      <w:sz w:val="16"/>
      <w:szCs w:val="16"/>
    </w:rPr>
  </w:style>
  <w:style w:type="paragraph" w:styleId="CommentText">
    <w:name w:val="annotation text"/>
    <w:basedOn w:val="Normal"/>
    <w:link w:val="CommentTextChar"/>
    <w:uiPriority w:val="99"/>
    <w:unhideWhenUsed/>
    <w:rsid w:val="005178B0"/>
    <w:pPr>
      <w:spacing w:after="120" w:line="240" w:lineRule="auto"/>
    </w:pPr>
    <w:rPr>
      <w:rFonts w:ascii="Verdana" w:hAnsi="Verdana"/>
      <w:sz w:val="20"/>
      <w:szCs w:val="20"/>
    </w:rPr>
  </w:style>
  <w:style w:type="character" w:customStyle="1" w:styleId="CommentTextChar">
    <w:name w:val="Comment Text Char"/>
    <w:basedOn w:val="DefaultParagraphFont"/>
    <w:link w:val="CommentText"/>
    <w:uiPriority w:val="99"/>
    <w:rsid w:val="005178B0"/>
    <w:rPr>
      <w:rFonts w:ascii="Verdana" w:hAnsi="Verdana"/>
      <w:sz w:val="20"/>
      <w:szCs w:val="20"/>
    </w:rPr>
  </w:style>
  <w:style w:type="paragraph" w:styleId="BalloonText">
    <w:name w:val="Balloon Text"/>
    <w:basedOn w:val="Normal"/>
    <w:link w:val="BalloonTextChar"/>
    <w:uiPriority w:val="99"/>
    <w:semiHidden/>
    <w:unhideWhenUsed/>
    <w:rsid w:val="00517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8B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178B0"/>
    <w:pPr>
      <w:spacing w:after="200"/>
    </w:pPr>
    <w:rPr>
      <w:b/>
      <w:bCs/>
    </w:rPr>
  </w:style>
  <w:style w:type="character" w:customStyle="1" w:styleId="CommentSubjectChar">
    <w:name w:val="Comment Subject Char"/>
    <w:basedOn w:val="CommentTextChar"/>
    <w:link w:val="CommentSubject"/>
    <w:uiPriority w:val="99"/>
    <w:semiHidden/>
    <w:rsid w:val="005178B0"/>
    <w:rPr>
      <w:rFonts w:ascii="Verdana" w:hAnsi="Verdana"/>
      <w:b/>
      <w:bCs/>
      <w:sz w:val="20"/>
      <w:szCs w:val="20"/>
    </w:rPr>
  </w:style>
  <w:style w:type="paragraph" w:styleId="Revision">
    <w:name w:val="Revision"/>
    <w:hidden/>
    <w:uiPriority w:val="99"/>
    <w:semiHidden/>
    <w:rsid w:val="005178B0"/>
    <w:pPr>
      <w:spacing w:after="0" w:line="240" w:lineRule="auto"/>
    </w:pPr>
  </w:style>
  <w:style w:type="table" w:styleId="TableGrid">
    <w:name w:val="Table Grid"/>
    <w:basedOn w:val="TableNormal"/>
    <w:uiPriority w:val="39"/>
    <w:rsid w:val="00517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178B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A">
    <w:name w:val="Body A"/>
    <w:link w:val="BodyAChar"/>
    <w:rsid w:val="005178B0"/>
    <w:pPr>
      <w:pBdr>
        <w:top w:val="nil"/>
        <w:left w:val="nil"/>
        <w:bottom w:val="nil"/>
        <w:right w:val="nil"/>
        <w:between w:val="nil"/>
        <w:bar w:val="nil"/>
      </w:pBdr>
      <w:tabs>
        <w:tab w:val="left" w:pos="1440"/>
      </w:tabs>
      <w:spacing w:after="0" w:line="240" w:lineRule="auto"/>
    </w:pPr>
    <w:rPr>
      <w:rFonts w:ascii="Helvetica" w:eastAsia="Arial Unicode MS" w:hAnsi="Helvetica" w:cs="Arial Unicode MS"/>
      <w:color w:val="000000"/>
      <w:u w:color="000000"/>
      <w:bdr w:val="nil"/>
      <w:lang w:val="en-US" w:eastAsia="en-GB"/>
    </w:rPr>
  </w:style>
  <w:style w:type="character" w:customStyle="1" w:styleId="BodyAChar">
    <w:name w:val="Body A Char"/>
    <w:basedOn w:val="DefaultParagraphFont"/>
    <w:link w:val="BodyA"/>
    <w:locked/>
    <w:rsid w:val="005178B0"/>
    <w:rPr>
      <w:rFonts w:ascii="Helvetica" w:eastAsia="Arial Unicode MS" w:hAnsi="Helvetica" w:cs="Arial Unicode MS"/>
      <w:color w:val="000000"/>
      <w:u w:color="000000"/>
      <w:bdr w:val="nil"/>
      <w:lang w:val="en-US" w:eastAsia="en-GB"/>
    </w:rPr>
  </w:style>
  <w:style w:type="paragraph" w:styleId="Bibliography">
    <w:name w:val="Bibliography"/>
    <w:basedOn w:val="Normal"/>
    <w:next w:val="Normal"/>
    <w:uiPriority w:val="37"/>
    <w:unhideWhenUsed/>
    <w:rsid w:val="005178B0"/>
    <w:pPr>
      <w:tabs>
        <w:tab w:val="left" w:pos="264"/>
      </w:tabs>
      <w:spacing w:after="240" w:line="240" w:lineRule="auto"/>
      <w:ind w:left="264" w:hanging="264"/>
    </w:pPr>
  </w:style>
  <w:style w:type="character" w:customStyle="1" w:styleId="apple-converted-space">
    <w:name w:val="apple-converted-space"/>
    <w:basedOn w:val="DefaultParagraphFont"/>
    <w:rsid w:val="005178B0"/>
  </w:style>
  <w:style w:type="paragraph" w:customStyle="1" w:styleId="EndNoteBibliographyTitle">
    <w:name w:val="EndNote Bibliography Title"/>
    <w:basedOn w:val="Normal"/>
    <w:link w:val="EndNoteBibliographyTitleChar"/>
    <w:rsid w:val="005178B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178B0"/>
    <w:rPr>
      <w:rFonts w:ascii="Calibri" w:hAnsi="Calibri"/>
      <w:noProof/>
      <w:lang w:val="en-US"/>
    </w:rPr>
  </w:style>
  <w:style w:type="paragraph" w:customStyle="1" w:styleId="EndNoteBibliography">
    <w:name w:val="EndNote Bibliography"/>
    <w:basedOn w:val="Normal"/>
    <w:link w:val="EndNoteBibliographyChar"/>
    <w:rsid w:val="005178B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178B0"/>
    <w:rPr>
      <w:rFonts w:ascii="Calibri" w:hAnsi="Calibri"/>
      <w:noProof/>
      <w:lang w:val="en-US"/>
    </w:rPr>
  </w:style>
  <w:style w:type="character" w:styleId="Hyperlink">
    <w:name w:val="Hyperlink"/>
    <w:basedOn w:val="DefaultParagraphFont"/>
    <w:uiPriority w:val="99"/>
    <w:unhideWhenUsed/>
    <w:rsid w:val="005178B0"/>
    <w:rPr>
      <w:color w:val="0563C1" w:themeColor="hyperlink"/>
      <w:u w:val="single"/>
    </w:rPr>
  </w:style>
  <w:style w:type="character" w:styleId="EndnoteReference">
    <w:name w:val="endnote reference"/>
    <w:basedOn w:val="DefaultParagraphFont"/>
    <w:uiPriority w:val="99"/>
    <w:unhideWhenUsed/>
    <w:rsid w:val="005178B0"/>
    <w:rPr>
      <w:sz w:val="20"/>
      <w:szCs w:val="20"/>
    </w:rPr>
  </w:style>
  <w:style w:type="numbering" w:customStyle="1" w:styleId="NoList1">
    <w:name w:val="No List1"/>
    <w:next w:val="NoList"/>
    <w:uiPriority w:val="99"/>
    <w:semiHidden/>
    <w:unhideWhenUsed/>
    <w:rsid w:val="005178B0"/>
  </w:style>
  <w:style w:type="table" w:customStyle="1" w:styleId="TableGrid1">
    <w:name w:val="Table Grid1"/>
    <w:basedOn w:val="TableNormal"/>
    <w:next w:val="TableGrid"/>
    <w:rsid w:val="005178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
    <w:name w:val="Body B"/>
    <w:rsid w:val="005178B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rPr>
  </w:style>
  <w:style w:type="table" w:customStyle="1" w:styleId="LightShading-Accent31">
    <w:name w:val="Light Shading - Accent 31"/>
    <w:basedOn w:val="TableNormal"/>
    <w:next w:val="LightShading-Accent3"/>
    <w:uiPriority w:val="60"/>
    <w:rsid w:val="005178B0"/>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1">
    <w:name w:val="Light Shading1"/>
    <w:basedOn w:val="TableNormal"/>
    <w:next w:val="LightShading"/>
    <w:uiPriority w:val="60"/>
    <w:rsid w:val="005178B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iPriority w:val="99"/>
    <w:unhideWhenUsed/>
    <w:rsid w:val="005178B0"/>
    <w:pPr>
      <w:spacing w:after="0" w:line="240" w:lineRule="auto"/>
      <w:ind w:left="284" w:hanging="284"/>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5178B0"/>
    <w:rPr>
      <w:rFonts w:ascii="Calibri" w:eastAsia="Calibri" w:hAnsi="Calibri" w:cs="Times New Roman"/>
      <w:sz w:val="20"/>
      <w:szCs w:val="20"/>
    </w:rPr>
  </w:style>
  <w:style w:type="table" w:styleId="LightShading-Accent3">
    <w:name w:val="Light Shading Accent 3"/>
    <w:basedOn w:val="TableNormal"/>
    <w:uiPriority w:val="60"/>
    <w:semiHidden/>
    <w:unhideWhenUsed/>
    <w:rsid w:val="005178B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09196">
      <w:bodyDiv w:val="1"/>
      <w:marLeft w:val="0"/>
      <w:marRight w:val="0"/>
      <w:marTop w:val="0"/>
      <w:marBottom w:val="0"/>
      <w:divBdr>
        <w:top w:val="none" w:sz="0" w:space="0" w:color="auto"/>
        <w:left w:val="none" w:sz="0" w:space="0" w:color="auto"/>
        <w:bottom w:val="none" w:sz="0" w:space="0" w:color="auto"/>
        <w:right w:val="none" w:sz="0" w:space="0" w:color="auto"/>
      </w:divBdr>
    </w:div>
    <w:div w:id="811025613">
      <w:bodyDiv w:val="1"/>
      <w:marLeft w:val="0"/>
      <w:marRight w:val="0"/>
      <w:marTop w:val="0"/>
      <w:marBottom w:val="0"/>
      <w:divBdr>
        <w:top w:val="none" w:sz="0" w:space="0" w:color="auto"/>
        <w:left w:val="none" w:sz="0" w:space="0" w:color="auto"/>
        <w:bottom w:val="none" w:sz="0" w:space="0" w:color="auto"/>
        <w:right w:val="none" w:sz="0" w:space="0" w:color="auto"/>
      </w:divBdr>
    </w:div>
    <w:div w:id="1450321861">
      <w:bodyDiv w:val="1"/>
      <w:marLeft w:val="0"/>
      <w:marRight w:val="0"/>
      <w:marTop w:val="0"/>
      <w:marBottom w:val="0"/>
      <w:divBdr>
        <w:top w:val="none" w:sz="0" w:space="0" w:color="auto"/>
        <w:left w:val="none" w:sz="0" w:space="0" w:color="auto"/>
        <w:bottom w:val="none" w:sz="0" w:space="0" w:color="auto"/>
        <w:right w:val="none" w:sz="0" w:space="0" w:color="auto"/>
      </w:divBdr>
    </w:div>
    <w:div w:id="2012247402">
      <w:bodyDiv w:val="1"/>
      <w:marLeft w:val="0"/>
      <w:marRight w:val="0"/>
      <w:marTop w:val="0"/>
      <w:marBottom w:val="0"/>
      <w:divBdr>
        <w:top w:val="none" w:sz="0" w:space="0" w:color="auto"/>
        <w:left w:val="none" w:sz="0" w:space="0" w:color="auto"/>
        <w:bottom w:val="none" w:sz="0" w:space="0" w:color="auto"/>
        <w:right w:val="none" w:sz="0" w:space="0" w:color="auto"/>
      </w:divBdr>
    </w:div>
    <w:div w:id="2020038731">
      <w:bodyDiv w:val="1"/>
      <w:marLeft w:val="0"/>
      <w:marRight w:val="0"/>
      <w:marTop w:val="0"/>
      <w:marBottom w:val="0"/>
      <w:divBdr>
        <w:top w:val="none" w:sz="0" w:space="0" w:color="auto"/>
        <w:left w:val="none" w:sz="0" w:space="0" w:color="auto"/>
        <w:bottom w:val="none" w:sz="0" w:space="0" w:color="auto"/>
        <w:right w:val="none" w:sz="0" w:space="0" w:color="auto"/>
      </w:divBdr>
    </w:div>
    <w:div w:id="208680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c3@le.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FC8AE0F6</Template>
  <TotalTime>0</TotalTime>
  <Pages>39</Pages>
  <Words>12654</Words>
  <Characters>72133</Characters>
  <Application>Microsoft Office Word</Application>
  <DocSecurity>0</DocSecurity>
  <Lines>601</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Leicester</Company>
  <LinksUpToDate>false</LinksUpToDate>
  <CharactersWithSpaces>84618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Simon (Prof.)</dc:creator>
  <cp:lastModifiedBy>Conroy, Simon (Prof.)</cp:lastModifiedBy>
  <cp:revision>3</cp:revision>
  <dcterms:created xsi:type="dcterms:W3CDTF">2018-03-07T13:43:00Z</dcterms:created>
  <dcterms:modified xsi:type="dcterms:W3CDTF">2018-03-07T13:43:00Z</dcterms:modified>
</cp:coreProperties>
</file>